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FFAA1B" w14:textId="77777777" w:rsidR="002E22AC" w:rsidRPr="005808FE" w:rsidRDefault="005808FE" w:rsidP="0033449D">
      <w:pPr>
        <w:jc w:val="center"/>
        <w:rPr>
          <w:sz w:val="44"/>
          <w:szCs w:val="44"/>
        </w:rPr>
      </w:pPr>
      <w:r>
        <w:rPr>
          <w:noProof/>
          <w:sz w:val="44"/>
          <w:szCs w:val="44"/>
          <w:lang w:eastAsia="en-GB"/>
        </w:rPr>
        <w:drawing>
          <wp:inline distT="0" distB="0" distL="0" distR="0" wp14:anchorId="778E0329" wp14:editId="1E1C28EB">
            <wp:extent cx="3291840" cy="131673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oslogo_key_cmyk_med.jpg"/>
                    <pic:cNvPicPr/>
                  </pic:nvPicPr>
                  <pic:blipFill>
                    <a:blip r:embed="rId9">
                      <a:extLst>
                        <a:ext uri="{28A0092B-C50C-407E-A947-70E740481C1C}">
                          <a14:useLocalDpi xmlns:a14="http://schemas.microsoft.com/office/drawing/2010/main" val="0"/>
                        </a:ext>
                      </a:extLst>
                    </a:blip>
                    <a:stretch>
                      <a:fillRect/>
                    </a:stretch>
                  </pic:blipFill>
                  <pic:spPr>
                    <a:xfrm>
                      <a:off x="0" y="0"/>
                      <a:ext cx="3291840" cy="1316736"/>
                    </a:xfrm>
                    <a:prstGeom prst="rect">
                      <a:avLst/>
                    </a:prstGeom>
                  </pic:spPr>
                </pic:pic>
              </a:graphicData>
            </a:graphic>
          </wp:inline>
        </w:drawing>
      </w:r>
    </w:p>
    <w:p w14:paraId="2B2D94D8" w14:textId="77777777" w:rsidR="002E22AC" w:rsidRDefault="00F660DC" w:rsidP="0033449D">
      <w:pPr>
        <w:jc w:val="center"/>
        <w:rPr>
          <w:b/>
          <w:sz w:val="44"/>
          <w:szCs w:val="44"/>
        </w:rPr>
      </w:pPr>
      <w:r>
        <w:rPr>
          <w:b/>
          <w:sz w:val="44"/>
          <w:szCs w:val="44"/>
        </w:rPr>
        <w:t>Molecular mechanisms governing the effects of arginine and other positively charged amino acids on protein thermal stability</w:t>
      </w:r>
    </w:p>
    <w:p w14:paraId="0EB3DD71" w14:textId="77777777" w:rsidR="005808FE" w:rsidRDefault="005808FE" w:rsidP="005808FE">
      <w:pPr>
        <w:spacing w:after="0"/>
        <w:jc w:val="center"/>
        <w:rPr>
          <w:b/>
          <w:sz w:val="44"/>
          <w:szCs w:val="44"/>
        </w:rPr>
      </w:pPr>
      <w:r>
        <w:rPr>
          <w:b/>
          <w:sz w:val="44"/>
          <w:szCs w:val="44"/>
        </w:rPr>
        <w:t>By:</w:t>
      </w:r>
    </w:p>
    <w:p w14:paraId="2542E9A8" w14:textId="77777777" w:rsidR="009524CA" w:rsidRDefault="005808FE" w:rsidP="00570275">
      <w:pPr>
        <w:spacing w:before="0"/>
        <w:jc w:val="center"/>
        <w:rPr>
          <w:b/>
          <w:sz w:val="44"/>
          <w:szCs w:val="44"/>
        </w:rPr>
      </w:pPr>
      <w:r>
        <w:rPr>
          <w:b/>
          <w:sz w:val="44"/>
          <w:szCs w:val="44"/>
        </w:rPr>
        <w:t>Lauren Platts</w:t>
      </w:r>
    </w:p>
    <w:p w14:paraId="130A8EF3" w14:textId="77777777" w:rsidR="00570275" w:rsidRDefault="00570275" w:rsidP="00570275">
      <w:pPr>
        <w:spacing w:before="0"/>
        <w:jc w:val="center"/>
        <w:rPr>
          <w:b/>
          <w:sz w:val="44"/>
          <w:szCs w:val="44"/>
        </w:rPr>
      </w:pPr>
    </w:p>
    <w:p w14:paraId="171ACD9B" w14:textId="77777777" w:rsidR="005808FE" w:rsidRDefault="005808FE" w:rsidP="00570275">
      <w:pPr>
        <w:jc w:val="center"/>
        <w:rPr>
          <w:b/>
          <w:sz w:val="32"/>
          <w:szCs w:val="32"/>
        </w:rPr>
      </w:pPr>
      <w:r>
        <w:rPr>
          <w:b/>
          <w:sz w:val="32"/>
          <w:szCs w:val="32"/>
        </w:rPr>
        <w:t>A thesis submitted in partial fulfilment of the requirements for the</w:t>
      </w:r>
      <w:r w:rsidR="009524CA">
        <w:rPr>
          <w:b/>
          <w:sz w:val="32"/>
          <w:szCs w:val="32"/>
        </w:rPr>
        <w:t xml:space="preserve"> degree of Doctor of Philosophy</w:t>
      </w:r>
    </w:p>
    <w:p w14:paraId="7A4E782A" w14:textId="77777777" w:rsidR="005808FE" w:rsidRDefault="005808FE" w:rsidP="005808FE">
      <w:pPr>
        <w:spacing w:before="0" w:after="0" w:line="240" w:lineRule="auto"/>
        <w:jc w:val="center"/>
        <w:rPr>
          <w:b/>
          <w:sz w:val="32"/>
          <w:szCs w:val="32"/>
        </w:rPr>
      </w:pPr>
      <w:r>
        <w:rPr>
          <w:b/>
          <w:sz w:val="32"/>
          <w:szCs w:val="32"/>
        </w:rPr>
        <w:t>The University of Sheffield</w:t>
      </w:r>
    </w:p>
    <w:p w14:paraId="2F64E0B0" w14:textId="77777777" w:rsidR="005808FE" w:rsidRDefault="005808FE" w:rsidP="005808FE">
      <w:pPr>
        <w:spacing w:before="0" w:after="0" w:line="240" w:lineRule="auto"/>
        <w:jc w:val="center"/>
        <w:rPr>
          <w:b/>
          <w:sz w:val="32"/>
          <w:szCs w:val="32"/>
        </w:rPr>
      </w:pPr>
      <w:r>
        <w:rPr>
          <w:b/>
          <w:sz w:val="32"/>
          <w:szCs w:val="32"/>
        </w:rPr>
        <w:t>Faculty of Engineering</w:t>
      </w:r>
    </w:p>
    <w:p w14:paraId="4C0C9C79" w14:textId="77777777" w:rsidR="005808FE" w:rsidRDefault="005808FE" w:rsidP="005808FE">
      <w:pPr>
        <w:spacing w:before="0" w:after="0" w:line="240" w:lineRule="auto"/>
        <w:jc w:val="center"/>
        <w:rPr>
          <w:b/>
          <w:sz w:val="32"/>
          <w:szCs w:val="32"/>
        </w:rPr>
      </w:pPr>
      <w:r>
        <w:rPr>
          <w:b/>
          <w:sz w:val="32"/>
          <w:szCs w:val="32"/>
        </w:rPr>
        <w:t>Department of Chemical and Biological Engineering</w:t>
      </w:r>
    </w:p>
    <w:p w14:paraId="1ADBB450" w14:textId="77777777" w:rsidR="005808FE" w:rsidRDefault="005808FE" w:rsidP="0033449D">
      <w:pPr>
        <w:jc w:val="center"/>
        <w:rPr>
          <w:b/>
          <w:sz w:val="32"/>
          <w:szCs w:val="32"/>
        </w:rPr>
      </w:pPr>
    </w:p>
    <w:p w14:paraId="79A1192E" w14:textId="77777777" w:rsidR="002E22AC" w:rsidRPr="005808FE" w:rsidRDefault="005808FE" w:rsidP="005808FE">
      <w:pPr>
        <w:jc w:val="center"/>
        <w:rPr>
          <w:sz w:val="32"/>
          <w:szCs w:val="32"/>
        </w:rPr>
      </w:pPr>
      <w:r>
        <w:rPr>
          <w:b/>
          <w:sz w:val="32"/>
          <w:szCs w:val="32"/>
        </w:rPr>
        <w:t>November 2016</w:t>
      </w:r>
    </w:p>
    <w:p w14:paraId="344FFBCA" w14:textId="77777777" w:rsidR="00CA628E" w:rsidRDefault="00CA628E" w:rsidP="0033449D">
      <w:pPr>
        <w:jc w:val="center"/>
        <w:rPr>
          <w:b/>
          <w:sz w:val="44"/>
          <w:szCs w:val="44"/>
          <w:u w:val="single"/>
        </w:rPr>
        <w:sectPr w:rsidR="00CA628E" w:rsidSect="00585CA3">
          <w:footerReference w:type="default" r:id="rId10"/>
          <w:pgSz w:w="11906" w:h="16838"/>
          <w:pgMar w:top="1134" w:right="1134" w:bottom="1134" w:left="2268" w:header="709" w:footer="709" w:gutter="0"/>
          <w:cols w:space="708"/>
          <w:docGrid w:linePitch="360"/>
        </w:sectPr>
      </w:pPr>
    </w:p>
    <w:p w14:paraId="7B7B3471" w14:textId="77777777" w:rsidR="00C82B9F" w:rsidRDefault="0033449D" w:rsidP="0033449D">
      <w:pPr>
        <w:jc w:val="center"/>
        <w:rPr>
          <w:b/>
          <w:sz w:val="44"/>
          <w:szCs w:val="44"/>
          <w:u w:val="single"/>
        </w:rPr>
      </w:pPr>
      <w:r>
        <w:rPr>
          <w:b/>
          <w:sz w:val="44"/>
          <w:szCs w:val="44"/>
          <w:u w:val="single"/>
        </w:rPr>
        <w:lastRenderedPageBreak/>
        <w:t>Acknowledgements</w:t>
      </w:r>
    </w:p>
    <w:p w14:paraId="4097DEDE" w14:textId="77777777" w:rsidR="0033449D" w:rsidRDefault="009D4034" w:rsidP="006B257F">
      <w:pPr>
        <w:rPr>
          <w:szCs w:val="24"/>
        </w:rPr>
      </w:pPr>
      <w:r>
        <w:rPr>
          <w:szCs w:val="24"/>
        </w:rPr>
        <w:t>Firstly I would like to thank Robert Falconer for always having his door open, and encouraging me to publish my work. I would also like to thank Stephen Ebbens for letting me use the NTA equipment, and Richard Archer for training me to use it. Thanks also go to the Department of Chemical and Biological Engineering for funding this project.</w:t>
      </w:r>
    </w:p>
    <w:p w14:paraId="1D4DC264" w14:textId="77777777" w:rsidR="009D4034" w:rsidRDefault="009D4034" w:rsidP="006B257F">
      <w:pPr>
        <w:rPr>
          <w:szCs w:val="24"/>
        </w:rPr>
      </w:pPr>
      <w:r>
        <w:rPr>
          <w:szCs w:val="24"/>
        </w:rPr>
        <w:t>I would also like to thank Jordan Bye, Samuel Darby and Kimberley Anderson for fruitful scientific discussion and technical support, and the rest of the office for some scientific discussion and keeping me sane with Friday pub lunches.</w:t>
      </w:r>
    </w:p>
    <w:p w14:paraId="4B2744B4" w14:textId="77777777" w:rsidR="009D4034" w:rsidRDefault="009D4034" w:rsidP="006B257F">
      <w:pPr>
        <w:rPr>
          <w:szCs w:val="24"/>
        </w:rPr>
      </w:pPr>
      <w:r>
        <w:rPr>
          <w:szCs w:val="24"/>
        </w:rPr>
        <w:t>I am very grateful to my Mum for proofreading, and also to my Dad and Grandparents for emotional and financial support.</w:t>
      </w:r>
      <w:r w:rsidR="009324C7">
        <w:rPr>
          <w:szCs w:val="24"/>
        </w:rPr>
        <w:t xml:space="preserve"> Thanks also to my sister Natalie for always being available for a chat.</w:t>
      </w:r>
      <w:r>
        <w:rPr>
          <w:szCs w:val="24"/>
        </w:rPr>
        <w:t xml:space="preserve"> Many thanks go to Sam Harding for putting up with me, looking after me and cooking me tea, especially in the writing-up stage.</w:t>
      </w:r>
    </w:p>
    <w:p w14:paraId="3C838715" w14:textId="3D022CDA" w:rsidR="009D4034" w:rsidRDefault="009D4034" w:rsidP="006B257F">
      <w:pPr>
        <w:rPr>
          <w:szCs w:val="24"/>
        </w:rPr>
      </w:pPr>
      <w:r>
        <w:rPr>
          <w:szCs w:val="24"/>
        </w:rPr>
        <w:t xml:space="preserve">A special thanks to my friends in Sheffield for making the past four years enjoyable, especially Charlotte, Liz, Kate, </w:t>
      </w:r>
      <w:r w:rsidR="00FD3781">
        <w:rPr>
          <w:szCs w:val="24"/>
        </w:rPr>
        <w:t>Tom, Jenny, Dan,</w:t>
      </w:r>
      <w:r w:rsidR="00E3274E">
        <w:rPr>
          <w:szCs w:val="24"/>
        </w:rPr>
        <w:t xml:space="preserve"> Rob,</w:t>
      </w:r>
      <w:r w:rsidR="00FD3781">
        <w:rPr>
          <w:szCs w:val="24"/>
        </w:rPr>
        <w:t xml:space="preserve"> Ben and Andrew. Finally </w:t>
      </w:r>
      <w:r w:rsidR="009C78EC">
        <w:rPr>
          <w:szCs w:val="24"/>
        </w:rPr>
        <w:t>a big thank you to my pets for cheering me up even on the most difficult days, particularly those that are no longer with us: Dave</w:t>
      </w:r>
      <w:r w:rsidR="00E3274E">
        <w:rPr>
          <w:szCs w:val="24"/>
        </w:rPr>
        <w:t>, Pinky</w:t>
      </w:r>
      <w:r w:rsidR="009C78EC">
        <w:rPr>
          <w:szCs w:val="24"/>
        </w:rPr>
        <w:t xml:space="preserve"> and Brain the gerbils,</w:t>
      </w:r>
      <w:r w:rsidR="00E3274E">
        <w:rPr>
          <w:szCs w:val="24"/>
        </w:rPr>
        <w:t xml:space="preserve"> Consuela, Juanita, Nymeria, </w:t>
      </w:r>
      <w:r w:rsidR="009C78EC">
        <w:rPr>
          <w:szCs w:val="24"/>
        </w:rPr>
        <w:t>Ghost</w:t>
      </w:r>
      <w:r w:rsidR="00E3274E">
        <w:rPr>
          <w:szCs w:val="24"/>
        </w:rPr>
        <w:t xml:space="preserve"> and Macarena</w:t>
      </w:r>
      <w:r w:rsidR="009C78EC">
        <w:rPr>
          <w:szCs w:val="24"/>
        </w:rPr>
        <w:t xml:space="preserve"> the guinea pigs and Macy the dog.</w:t>
      </w:r>
    </w:p>
    <w:p w14:paraId="1CE1F45E" w14:textId="77777777" w:rsidR="0033449D" w:rsidRDefault="0033449D">
      <w:pPr>
        <w:spacing w:before="0" w:after="200" w:line="276" w:lineRule="auto"/>
        <w:rPr>
          <w:szCs w:val="24"/>
        </w:rPr>
      </w:pPr>
      <w:r>
        <w:rPr>
          <w:szCs w:val="24"/>
        </w:rPr>
        <w:br w:type="page"/>
      </w:r>
    </w:p>
    <w:p w14:paraId="2368756B" w14:textId="77777777" w:rsidR="0033449D" w:rsidRDefault="0033449D" w:rsidP="0033449D">
      <w:pPr>
        <w:jc w:val="center"/>
        <w:rPr>
          <w:b/>
          <w:sz w:val="40"/>
          <w:szCs w:val="40"/>
          <w:u w:val="single"/>
        </w:rPr>
      </w:pPr>
      <w:r>
        <w:rPr>
          <w:b/>
          <w:sz w:val="40"/>
          <w:szCs w:val="40"/>
          <w:u w:val="single"/>
        </w:rPr>
        <w:lastRenderedPageBreak/>
        <w:t>Refereed Publications</w:t>
      </w:r>
    </w:p>
    <w:p w14:paraId="796D5758" w14:textId="77777777" w:rsidR="0033449D" w:rsidRDefault="0033449D" w:rsidP="009E04C5">
      <w:pPr>
        <w:rPr>
          <w:szCs w:val="24"/>
        </w:rPr>
      </w:pPr>
      <w:r>
        <w:rPr>
          <w:szCs w:val="24"/>
        </w:rPr>
        <w:t xml:space="preserve">Bye JW, </w:t>
      </w:r>
      <w:r w:rsidRPr="002E22AC">
        <w:rPr>
          <w:b/>
          <w:szCs w:val="24"/>
        </w:rPr>
        <w:t>Platts L</w:t>
      </w:r>
      <w:r>
        <w:rPr>
          <w:szCs w:val="24"/>
        </w:rPr>
        <w:t xml:space="preserve">, Falconer RJ (2014) Biopharmaceutical liquid formulation: a review of the science of protein stability and solubility in aqueous environments. </w:t>
      </w:r>
      <w:r>
        <w:rPr>
          <w:i/>
          <w:szCs w:val="24"/>
        </w:rPr>
        <w:t xml:space="preserve">Biotechnology Letters. </w:t>
      </w:r>
      <w:r>
        <w:rPr>
          <w:b/>
          <w:szCs w:val="24"/>
        </w:rPr>
        <w:t xml:space="preserve">36, </w:t>
      </w:r>
      <w:r>
        <w:rPr>
          <w:szCs w:val="24"/>
        </w:rPr>
        <w:t>869-875.</w:t>
      </w:r>
    </w:p>
    <w:p w14:paraId="72BCC420" w14:textId="77777777" w:rsidR="0033449D" w:rsidRDefault="0033449D" w:rsidP="009E04C5">
      <w:pPr>
        <w:rPr>
          <w:szCs w:val="24"/>
        </w:rPr>
      </w:pPr>
      <w:r w:rsidRPr="002E22AC">
        <w:rPr>
          <w:b/>
          <w:szCs w:val="24"/>
        </w:rPr>
        <w:t>Platts L</w:t>
      </w:r>
      <w:r>
        <w:rPr>
          <w:szCs w:val="24"/>
        </w:rPr>
        <w:t xml:space="preserve">, Falconer RJ (2015) Controlling protein stability: mechanisms revealed using formulations of arginine, glycine and guanidinium HCl with three globular proteins. </w:t>
      </w:r>
      <w:r>
        <w:rPr>
          <w:i/>
          <w:szCs w:val="24"/>
        </w:rPr>
        <w:t xml:space="preserve">International Journal of Pharmaceutics. </w:t>
      </w:r>
      <w:r>
        <w:rPr>
          <w:b/>
          <w:szCs w:val="24"/>
        </w:rPr>
        <w:t xml:space="preserve">486, </w:t>
      </w:r>
      <w:r>
        <w:rPr>
          <w:szCs w:val="24"/>
        </w:rPr>
        <w:t>131-135.</w:t>
      </w:r>
    </w:p>
    <w:p w14:paraId="4EBCF4E3" w14:textId="77777777" w:rsidR="0033449D" w:rsidRDefault="0033449D" w:rsidP="009E04C5">
      <w:r>
        <w:rPr>
          <w:szCs w:val="24"/>
        </w:rPr>
        <w:t xml:space="preserve">Darby SJ, </w:t>
      </w:r>
      <w:r w:rsidRPr="002E22AC">
        <w:rPr>
          <w:b/>
          <w:szCs w:val="24"/>
        </w:rPr>
        <w:t>Platts L</w:t>
      </w:r>
      <w:r>
        <w:rPr>
          <w:szCs w:val="24"/>
        </w:rPr>
        <w:t xml:space="preserve">, Daniel MS, Cowieson AJ, Falconer RJ (2016) An isothermal titration calorimetry study of phytate binding to lysozyme. </w:t>
      </w:r>
      <w:r>
        <w:rPr>
          <w:i/>
          <w:szCs w:val="24"/>
        </w:rPr>
        <w:t xml:space="preserve">Journal of Thermal Analysis and Calorimetry. </w:t>
      </w:r>
      <w:r>
        <w:rPr>
          <w:szCs w:val="24"/>
        </w:rPr>
        <w:t xml:space="preserve">doi: </w:t>
      </w:r>
      <w:r>
        <w:t>10.1007/s10973-016-5487-6</w:t>
      </w:r>
    </w:p>
    <w:p w14:paraId="420B8CA5" w14:textId="77777777" w:rsidR="002E22AC" w:rsidRDefault="0033449D" w:rsidP="009E04C5">
      <w:r w:rsidRPr="002E22AC">
        <w:rPr>
          <w:b/>
        </w:rPr>
        <w:t>Platts L</w:t>
      </w:r>
      <w:r>
        <w:t xml:space="preserve">, Darby SJ, Falconer RJ (2016) Control of globular protein thermal stability in aqueous formulations by the positively charged amino acid excipients. </w:t>
      </w:r>
      <w:r>
        <w:rPr>
          <w:i/>
        </w:rPr>
        <w:t xml:space="preserve">Journal of Pharmaceutical Sciences. </w:t>
      </w:r>
      <w:r>
        <w:t>doi: 10.1016/j.xphs.2016.09.013</w:t>
      </w:r>
    </w:p>
    <w:p w14:paraId="501F6A29" w14:textId="77777777" w:rsidR="002E22AC" w:rsidRDefault="002E22AC">
      <w:pPr>
        <w:spacing w:before="0" w:after="200" w:line="276" w:lineRule="auto"/>
      </w:pPr>
      <w:r>
        <w:br w:type="page"/>
      </w:r>
    </w:p>
    <w:p w14:paraId="60388707" w14:textId="77777777" w:rsidR="0033449D" w:rsidRPr="002E22AC" w:rsidRDefault="002E22AC" w:rsidP="0033449D">
      <w:pPr>
        <w:jc w:val="center"/>
        <w:rPr>
          <w:b/>
          <w:sz w:val="40"/>
          <w:szCs w:val="40"/>
          <w:u w:val="single"/>
        </w:rPr>
      </w:pPr>
      <w:r>
        <w:rPr>
          <w:b/>
          <w:sz w:val="40"/>
          <w:szCs w:val="40"/>
          <w:u w:val="single"/>
        </w:rPr>
        <w:lastRenderedPageBreak/>
        <w:t>Summary</w:t>
      </w:r>
    </w:p>
    <w:p w14:paraId="73A0F31A" w14:textId="77777777" w:rsidR="0033449D" w:rsidRDefault="00460837" w:rsidP="00460837">
      <w:pPr>
        <w:rPr>
          <w:szCs w:val="24"/>
        </w:rPr>
      </w:pPr>
      <w:r>
        <w:rPr>
          <w:szCs w:val="24"/>
        </w:rPr>
        <w:t>Arginine is an amino acid that is used extensively as an excipient in therapeutic protein formulations due to its unique ability to solubilise proteins and prevent aggregation without negative effects on protein stability. However, the mechanisms by which it exerts these distinctive effects are still open to conjecture. It is also undecided as to whether arginine is capable of destabilising at least some proteins. A major problem with the existing data on arginine effects on protein stability is the lack of low concentration data, and the presence of salt-containing buffers.</w:t>
      </w:r>
    </w:p>
    <w:p w14:paraId="009B2B4E" w14:textId="77777777" w:rsidR="00C11513" w:rsidRDefault="00460837" w:rsidP="00460837">
      <w:pPr>
        <w:rPr>
          <w:szCs w:val="24"/>
        </w:rPr>
      </w:pPr>
      <w:r>
        <w:rPr>
          <w:szCs w:val="24"/>
        </w:rPr>
        <w:t>The major aim of this thesis was to establish whether arginine acts on protein stability as a combination of its two major functional groups: glycine and guanidinium hydrochloride (GdnHCl). These two molecules are well-known stabilisers and destabilisers respectively. A detailed thermal stability study of three globular proteins in the presence of these three cosolutes demonstrated that arginine affects protein stability as an additive combination of its two functional groups: glycine and GdnHCl</w:t>
      </w:r>
      <w:r w:rsidR="00C11513">
        <w:rPr>
          <w:szCs w:val="24"/>
        </w:rPr>
        <w:t>, with mechanisms originating from both groups</w:t>
      </w:r>
      <w:r>
        <w:rPr>
          <w:szCs w:val="24"/>
        </w:rPr>
        <w:t xml:space="preserve">. This results in </w:t>
      </w:r>
      <w:r w:rsidR="00634AD9" w:rsidRPr="00634AD9">
        <w:rPr>
          <w:szCs w:val="24"/>
        </w:rPr>
        <w:t xml:space="preserve">two stage </w:t>
      </w:r>
      <w:r>
        <w:rPr>
          <w:szCs w:val="24"/>
        </w:rPr>
        <w:t>concentration-dependent stability e</w:t>
      </w:r>
      <w:r w:rsidR="00C11513">
        <w:rPr>
          <w:szCs w:val="24"/>
        </w:rPr>
        <w:t>ffects, with low cosolute concentrations (100 mM) causing less severe protein-specific effects. Lysine and histidine, the other positively charged amino acids are also shown to affect protein thermal stability via a combination of their respective functional groups.</w:t>
      </w:r>
    </w:p>
    <w:p w14:paraId="5BD8F061" w14:textId="77777777" w:rsidR="00827DFB" w:rsidRDefault="00C11513" w:rsidP="009E04C5">
      <w:pPr>
        <w:rPr>
          <w:szCs w:val="24"/>
        </w:rPr>
      </w:pPr>
      <w:r>
        <w:rPr>
          <w:szCs w:val="24"/>
        </w:rPr>
        <w:t>Glycine-GdnHCl mixtures are shown to also act on protein thermal stability similar to arginine, or in a synergistically stabilising manner (depending on the protein), meaning they have the potential to be developed as ‘designer excipients’ whereby bespoke ratios of the functional groups are used in place of arginine to exert the desired stability effects. Experimental evidence of arginine clustering is also presented, with head-to-tail electrostatic interactions and Gdn-Gdn self-association thought to be responsible. Although no link between clustering and protein stability effects are found.</w:t>
      </w:r>
    </w:p>
    <w:sdt>
      <w:sdtPr>
        <w:rPr>
          <w:rFonts w:asciiTheme="minorHAnsi" w:eastAsiaTheme="minorHAnsi" w:hAnsiTheme="minorHAnsi" w:cstheme="minorBidi"/>
          <w:b w:val="0"/>
          <w:bCs w:val="0"/>
          <w:color w:val="auto"/>
          <w:sz w:val="24"/>
          <w:szCs w:val="22"/>
          <w:lang w:val="en-GB" w:eastAsia="en-US"/>
        </w:rPr>
        <w:id w:val="-375548024"/>
        <w:docPartObj>
          <w:docPartGallery w:val="Table of Contents"/>
          <w:docPartUnique/>
        </w:docPartObj>
      </w:sdtPr>
      <w:sdtEndPr>
        <w:rPr>
          <w:noProof/>
        </w:rPr>
      </w:sdtEndPr>
      <w:sdtContent>
        <w:p w14:paraId="2C8A970D" w14:textId="77777777" w:rsidR="00827DFB" w:rsidRDefault="00827DFB">
          <w:pPr>
            <w:pStyle w:val="TOCHeading"/>
          </w:pPr>
          <w:r>
            <w:t>Contents</w:t>
          </w:r>
        </w:p>
        <w:p w14:paraId="6FC151A2" w14:textId="77777777" w:rsidR="00C643FE" w:rsidRDefault="00827DFB">
          <w:pPr>
            <w:pStyle w:val="TOC1"/>
            <w:tabs>
              <w:tab w:val="left" w:pos="480"/>
              <w:tab w:val="right" w:leader="dot" w:pos="8494"/>
            </w:tabs>
            <w:rPr>
              <w:rFonts w:eastAsiaTheme="minorEastAsia"/>
              <w:noProof/>
              <w:sz w:val="22"/>
              <w:lang w:eastAsia="en-GB"/>
            </w:rPr>
          </w:pPr>
          <w:r>
            <w:fldChar w:fldCharType="begin"/>
          </w:r>
          <w:r>
            <w:instrText xml:space="preserve"> TOC \o "1-3" \h \z \u </w:instrText>
          </w:r>
          <w:r>
            <w:fldChar w:fldCharType="separate"/>
          </w:r>
          <w:hyperlink w:anchor="_Toc485712735" w:history="1">
            <w:r w:rsidR="00C643FE" w:rsidRPr="006C6A77">
              <w:rPr>
                <w:rStyle w:val="Hyperlink"/>
                <w:noProof/>
              </w:rPr>
              <w:t>1</w:t>
            </w:r>
            <w:r w:rsidR="00C643FE">
              <w:rPr>
                <w:rFonts w:eastAsiaTheme="minorEastAsia"/>
                <w:noProof/>
                <w:sz w:val="22"/>
                <w:lang w:eastAsia="en-GB"/>
              </w:rPr>
              <w:tab/>
            </w:r>
            <w:r w:rsidR="00C643FE" w:rsidRPr="006C6A77">
              <w:rPr>
                <w:rStyle w:val="Hyperlink"/>
                <w:noProof/>
              </w:rPr>
              <w:t>A literature review of the effects of small molecules on the stability of proteins</w:t>
            </w:r>
            <w:r w:rsidR="00C643FE">
              <w:rPr>
                <w:noProof/>
                <w:webHidden/>
              </w:rPr>
              <w:tab/>
            </w:r>
            <w:r w:rsidR="00C643FE">
              <w:rPr>
                <w:noProof/>
                <w:webHidden/>
              </w:rPr>
              <w:fldChar w:fldCharType="begin"/>
            </w:r>
            <w:r w:rsidR="00C643FE">
              <w:rPr>
                <w:noProof/>
                <w:webHidden/>
              </w:rPr>
              <w:instrText xml:space="preserve"> PAGEREF _Toc485712735 \h </w:instrText>
            </w:r>
            <w:r w:rsidR="00C643FE">
              <w:rPr>
                <w:noProof/>
                <w:webHidden/>
              </w:rPr>
            </w:r>
            <w:r w:rsidR="00C643FE">
              <w:rPr>
                <w:noProof/>
                <w:webHidden/>
              </w:rPr>
              <w:fldChar w:fldCharType="separate"/>
            </w:r>
            <w:r w:rsidR="00C643FE">
              <w:rPr>
                <w:noProof/>
                <w:webHidden/>
              </w:rPr>
              <w:t>1</w:t>
            </w:r>
            <w:r w:rsidR="00C643FE">
              <w:rPr>
                <w:noProof/>
                <w:webHidden/>
              </w:rPr>
              <w:fldChar w:fldCharType="end"/>
            </w:r>
          </w:hyperlink>
        </w:p>
        <w:p w14:paraId="6665B7E0" w14:textId="77777777" w:rsidR="00C643FE" w:rsidRDefault="00C643FE">
          <w:pPr>
            <w:pStyle w:val="TOC2"/>
            <w:tabs>
              <w:tab w:val="left" w:pos="880"/>
              <w:tab w:val="right" w:leader="dot" w:pos="8494"/>
            </w:tabs>
            <w:rPr>
              <w:rFonts w:eastAsiaTheme="minorEastAsia"/>
              <w:noProof/>
              <w:sz w:val="22"/>
              <w:lang w:eastAsia="en-GB"/>
            </w:rPr>
          </w:pPr>
          <w:hyperlink w:anchor="_Toc485712736" w:history="1">
            <w:r w:rsidRPr="006C6A77">
              <w:rPr>
                <w:rStyle w:val="Hyperlink"/>
                <w:noProof/>
                <w:lang w:bidi="x-none"/>
                <w14:scene3d>
                  <w14:camera w14:prst="orthographicFront"/>
                  <w14:lightRig w14:rig="threePt" w14:dir="t">
                    <w14:rot w14:lat="0" w14:lon="0" w14:rev="0"/>
                  </w14:lightRig>
                </w14:scene3d>
              </w:rPr>
              <w:t>1.1</w:t>
            </w:r>
            <w:r>
              <w:rPr>
                <w:rFonts w:eastAsiaTheme="minorEastAsia"/>
                <w:noProof/>
                <w:sz w:val="22"/>
                <w:lang w:eastAsia="en-GB"/>
              </w:rPr>
              <w:tab/>
            </w:r>
            <w:r w:rsidRPr="006C6A77">
              <w:rPr>
                <w:rStyle w:val="Hyperlink"/>
                <w:noProof/>
              </w:rPr>
              <w:t>Thermodynamics of protein folding &amp; stability</w:t>
            </w:r>
            <w:r>
              <w:rPr>
                <w:noProof/>
                <w:webHidden/>
              </w:rPr>
              <w:tab/>
            </w:r>
            <w:r>
              <w:rPr>
                <w:noProof/>
                <w:webHidden/>
              </w:rPr>
              <w:fldChar w:fldCharType="begin"/>
            </w:r>
            <w:r>
              <w:rPr>
                <w:noProof/>
                <w:webHidden/>
              </w:rPr>
              <w:instrText xml:space="preserve"> PAGEREF _Toc485712736 \h </w:instrText>
            </w:r>
            <w:r>
              <w:rPr>
                <w:noProof/>
                <w:webHidden/>
              </w:rPr>
            </w:r>
            <w:r>
              <w:rPr>
                <w:noProof/>
                <w:webHidden/>
              </w:rPr>
              <w:fldChar w:fldCharType="separate"/>
            </w:r>
            <w:r>
              <w:rPr>
                <w:noProof/>
                <w:webHidden/>
              </w:rPr>
              <w:t>2</w:t>
            </w:r>
            <w:r>
              <w:rPr>
                <w:noProof/>
                <w:webHidden/>
              </w:rPr>
              <w:fldChar w:fldCharType="end"/>
            </w:r>
          </w:hyperlink>
        </w:p>
        <w:p w14:paraId="674BE829" w14:textId="77777777" w:rsidR="00C643FE" w:rsidRDefault="00C643FE">
          <w:pPr>
            <w:pStyle w:val="TOC3"/>
            <w:tabs>
              <w:tab w:val="left" w:pos="1320"/>
              <w:tab w:val="right" w:leader="dot" w:pos="8494"/>
            </w:tabs>
            <w:rPr>
              <w:rFonts w:eastAsiaTheme="minorEastAsia"/>
              <w:noProof/>
              <w:sz w:val="22"/>
              <w:lang w:eastAsia="en-GB"/>
            </w:rPr>
          </w:pPr>
          <w:hyperlink w:anchor="_Toc485712737" w:history="1">
            <w:r w:rsidRPr="006C6A77">
              <w:rPr>
                <w:rStyle w:val="Hyperlink"/>
                <w:noProof/>
                <w14:scene3d>
                  <w14:camera w14:prst="orthographicFront"/>
                  <w14:lightRig w14:rig="threePt" w14:dir="t">
                    <w14:rot w14:lat="0" w14:lon="0" w14:rev="0"/>
                  </w14:lightRig>
                </w14:scene3d>
              </w:rPr>
              <w:t>1.1.1</w:t>
            </w:r>
            <w:r>
              <w:rPr>
                <w:rFonts w:eastAsiaTheme="minorEastAsia"/>
                <w:noProof/>
                <w:sz w:val="22"/>
                <w:lang w:eastAsia="en-GB"/>
              </w:rPr>
              <w:tab/>
            </w:r>
            <w:r w:rsidRPr="006C6A77">
              <w:rPr>
                <w:rStyle w:val="Hyperlink"/>
                <w:noProof/>
              </w:rPr>
              <w:t>Role of hydration in protein folding &amp; stability</w:t>
            </w:r>
            <w:r>
              <w:rPr>
                <w:noProof/>
                <w:webHidden/>
              </w:rPr>
              <w:tab/>
            </w:r>
            <w:r>
              <w:rPr>
                <w:noProof/>
                <w:webHidden/>
              </w:rPr>
              <w:fldChar w:fldCharType="begin"/>
            </w:r>
            <w:r>
              <w:rPr>
                <w:noProof/>
                <w:webHidden/>
              </w:rPr>
              <w:instrText xml:space="preserve"> PAGEREF _Toc485712737 \h </w:instrText>
            </w:r>
            <w:r>
              <w:rPr>
                <w:noProof/>
                <w:webHidden/>
              </w:rPr>
            </w:r>
            <w:r>
              <w:rPr>
                <w:noProof/>
                <w:webHidden/>
              </w:rPr>
              <w:fldChar w:fldCharType="separate"/>
            </w:r>
            <w:r>
              <w:rPr>
                <w:noProof/>
                <w:webHidden/>
              </w:rPr>
              <w:t>2</w:t>
            </w:r>
            <w:r>
              <w:rPr>
                <w:noProof/>
                <w:webHidden/>
              </w:rPr>
              <w:fldChar w:fldCharType="end"/>
            </w:r>
          </w:hyperlink>
        </w:p>
        <w:p w14:paraId="66165A4A" w14:textId="77777777" w:rsidR="00C643FE" w:rsidRDefault="00C643FE">
          <w:pPr>
            <w:pStyle w:val="TOC3"/>
            <w:tabs>
              <w:tab w:val="left" w:pos="1320"/>
              <w:tab w:val="right" w:leader="dot" w:pos="8494"/>
            </w:tabs>
            <w:rPr>
              <w:rFonts w:eastAsiaTheme="minorEastAsia"/>
              <w:noProof/>
              <w:sz w:val="22"/>
              <w:lang w:eastAsia="en-GB"/>
            </w:rPr>
          </w:pPr>
          <w:hyperlink w:anchor="_Toc485712738" w:history="1">
            <w:r w:rsidRPr="006C6A77">
              <w:rPr>
                <w:rStyle w:val="Hyperlink"/>
                <w:noProof/>
                <w14:scene3d>
                  <w14:camera w14:prst="orthographicFront"/>
                  <w14:lightRig w14:rig="threePt" w14:dir="t">
                    <w14:rot w14:lat="0" w14:lon="0" w14:rev="0"/>
                  </w14:lightRig>
                </w14:scene3d>
              </w:rPr>
              <w:t>1.1.2</w:t>
            </w:r>
            <w:r>
              <w:rPr>
                <w:rFonts w:eastAsiaTheme="minorEastAsia"/>
                <w:noProof/>
                <w:sz w:val="22"/>
                <w:lang w:eastAsia="en-GB"/>
              </w:rPr>
              <w:tab/>
            </w:r>
            <w:r w:rsidRPr="006C6A77">
              <w:rPr>
                <w:rStyle w:val="Hyperlink"/>
                <w:noProof/>
              </w:rPr>
              <w:t>Role of the denatured state in protein stability</w:t>
            </w:r>
            <w:r>
              <w:rPr>
                <w:noProof/>
                <w:webHidden/>
              </w:rPr>
              <w:tab/>
            </w:r>
            <w:r>
              <w:rPr>
                <w:noProof/>
                <w:webHidden/>
              </w:rPr>
              <w:fldChar w:fldCharType="begin"/>
            </w:r>
            <w:r>
              <w:rPr>
                <w:noProof/>
                <w:webHidden/>
              </w:rPr>
              <w:instrText xml:space="preserve"> PAGEREF _Toc485712738 \h </w:instrText>
            </w:r>
            <w:r>
              <w:rPr>
                <w:noProof/>
                <w:webHidden/>
              </w:rPr>
            </w:r>
            <w:r>
              <w:rPr>
                <w:noProof/>
                <w:webHidden/>
              </w:rPr>
              <w:fldChar w:fldCharType="separate"/>
            </w:r>
            <w:r>
              <w:rPr>
                <w:noProof/>
                <w:webHidden/>
              </w:rPr>
              <w:t>3</w:t>
            </w:r>
            <w:r>
              <w:rPr>
                <w:noProof/>
                <w:webHidden/>
              </w:rPr>
              <w:fldChar w:fldCharType="end"/>
            </w:r>
          </w:hyperlink>
        </w:p>
        <w:p w14:paraId="0292AA38" w14:textId="77777777" w:rsidR="00C643FE" w:rsidRDefault="00C643FE">
          <w:pPr>
            <w:pStyle w:val="TOC2"/>
            <w:tabs>
              <w:tab w:val="left" w:pos="880"/>
              <w:tab w:val="right" w:leader="dot" w:pos="8494"/>
            </w:tabs>
            <w:rPr>
              <w:rFonts w:eastAsiaTheme="minorEastAsia"/>
              <w:noProof/>
              <w:sz w:val="22"/>
              <w:lang w:eastAsia="en-GB"/>
            </w:rPr>
          </w:pPr>
          <w:hyperlink w:anchor="_Toc485712739" w:history="1">
            <w:r w:rsidRPr="006C6A77">
              <w:rPr>
                <w:rStyle w:val="Hyperlink"/>
                <w:noProof/>
                <w:lang w:bidi="x-none"/>
                <w14:scene3d>
                  <w14:camera w14:prst="orthographicFront"/>
                  <w14:lightRig w14:rig="threePt" w14:dir="t">
                    <w14:rot w14:lat="0" w14:lon="0" w14:rev="0"/>
                  </w14:lightRig>
                </w14:scene3d>
              </w:rPr>
              <w:t>1.2</w:t>
            </w:r>
            <w:r>
              <w:rPr>
                <w:rFonts w:eastAsiaTheme="minorEastAsia"/>
                <w:noProof/>
                <w:sz w:val="22"/>
                <w:lang w:eastAsia="en-GB"/>
              </w:rPr>
              <w:tab/>
            </w:r>
            <w:r w:rsidRPr="006C6A77">
              <w:rPr>
                <w:rStyle w:val="Hyperlink"/>
                <w:noProof/>
              </w:rPr>
              <w:t>Factors affecting protein stability</w:t>
            </w:r>
            <w:r>
              <w:rPr>
                <w:noProof/>
                <w:webHidden/>
              </w:rPr>
              <w:tab/>
            </w:r>
            <w:r>
              <w:rPr>
                <w:noProof/>
                <w:webHidden/>
              </w:rPr>
              <w:fldChar w:fldCharType="begin"/>
            </w:r>
            <w:r>
              <w:rPr>
                <w:noProof/>
                <w:webHidden/>
              </w:rPr>
              <w:instrText xml:space="preserve"> PAGEREF _Toc485712739 \h </w:instrText>
            </w:r>
            <w:r>
              <w:rPr>
                <w:noProof/>
                <w:webHidden/>
              </w:rPr>
            </w:r>
            <w:r>
              <w:rPr>
                <w:noProof/>
                <w:webHidden/>
              </w:rPr>
              <w:fldChar w:fldCharType="separate"/>
            </w:r>
            <w:r>
              <w:rPr>
                <w:noProof/>
                <w:webHidden/>
              </w:rPr>
              <w:t>6</w:t>
            </w:r>
            <w:r>
              <w:rPr>
                <w:noProof/>
                <w:webHidden/>
              </w:rPr>
              <w:fldChar w:fldCharType="end"/>
            </w:r>
          </w:hyperlink>
        </w:p>
        <w:p w14:paraId="4F98D7F2" w14:textId="77777777" w:rsidR="00C643FE" w:rsidRDefault="00C643FE">
          <w:pPr>
            <w:pStyle w:val="TOC3"/>
            <w:tabs>
              <w:tab w:val="left" w:pos="1320"/>
              <w:tab w:val="right" w:leader="dot" w:pos="8494"/>
            </w:tabs>
            <w:rPr>
              <w:rFonts w:eastAsiaTheme="minorEastAsia"/>
              <w:noProof/>
              <w:sz w:val="22"/>
              <w:lang w:eastAsia="en-GB"/>
            </w:rPr>
          </w:pPr>
          <w:hyperlink w:anchor="_Toc485712740" w:history="1">
            <w:r w:rsidRPr="006C6A77">
              <w:rPr>
                <w:rStyle w:val="Hyperlink"/>
                <w:noProof/>
                <w14:scene3d>
                  <w14:camera w14:prst="orthographicFront"/>
                  <w14:lightRig w14:rig="threePt" w14:dir="t">
                    <w14:rot w14:lat="0" w14:lon="0" w14:rev="0"/>
                  </w14:lightRig>
                </w14:scene3d>
              </w:rPr>
              <w:t>1.2.1</w:t>
            </w:r>
            <w:r>
              <w:rPr>
                <w:rFonts w:eastAsiaTheme="minorEastAsia"/>
                <w:noProof/>
                <w:sz w:val="22"/>
                <w:lang w:eastAsia="en-GB"/>
              </w:rPr>
              <w:tab/>
            </w:r>
            <w:r w:rsidRPr="006C6A77">
              <w:rPr>
                <w:rStyle w:val="Hyperlink"/>
                <w:noProof/>
              </w:rPr>
              <w:t>Temperature</w:t>
            </w:r>
            <w:r>
              <w:rPr>
                <w:noProof/>
                <w:webHidden/>
              </w:rPr>
              <w:tab/>
            </w:r>
            <w:r>
              <w:rPr>
                <w:noProof/>
                <w:webHidden/>
              </w:rPr>
              <w:fldChar w:fldCharType="begin"/>
            </w:r>
            <w:r>
              <w:rPr>
                <w:noProof/>
                <w:webHidden/>
              </w:rPr>
              <w:instrText xml:space="preserve"> PAGEREF _Toc485712740 \h </w:instrText>
            </w:r>
            <w:r>
              <w:rPr>
                <w:noProof/>
                <w:webHidden/>
              </w:rPr>
            </w:r>
            <w:r>
              <w:rPr>
                <w:noProof/>
                <w:webHidden/>
              </w:rPr>
              <w:fldChar w:fldCharType="separate"/>
            </w:r>
            <w:r>
              <w:rPr>
                <w:noProof/>
                <w:webHidden/>
              </w:rPr>
              <w:t>6</w:t>
            </w:r>
            <w:r>
              <w:rPr>
                <w:noProof/>
                <w:webHidden/>
              </w:rPr>
              <w:fldChar w:fldCharType="end"/>
            </w:r>
          </w:hyperlink>
        </w:p>
        <w:p w14:paraId="35A14233" w14:textId="77777777" w:rsidR="00C643FE" w:rsidRDefault="00C643FE">
          <w:pPr>
            <w:pStyle w:val="TOC3"/>
            <w:tabs>
              <w:tab w:val="left" w:pos="1320"/>
              <w:tab w:val="right" w:leader="dot" w:pos="8494"/>
            </w:tabs>
            <w:rPr>
              <w:rFonts w:eastAsiaTheme="minorEastAsia"/>
              <w:noProof/>
              <w:sz w:val="22"/>
              <w:lang w:eastAsia="en-GB"/>
            </w:rPr>
          </w:pPr>
          <w:hyperlink w:anchor="_Toc485712741" w:history="1">
            <w:r w:rsidRPr="006C6A77">
              <w:rPr>
                <w:rStyle w:val="Hyperlink"/>
                <w:noProof/>
                <w14:scene3d>
                  <w14:camera w14:prst="orthographicFront"/>
                  <w14:lightRig w14:rig="threePt" w14:dir="t">
                    <w14:rot w14:lat="0" w14:lon="0" w14:rev="0"/>
                  </w14:lightRig>
                </w14:scene3d>
              </w:rPr>
              <w:t>1.2.2</w:t>
            </w:r>
            <w:r>
              <w:rPr>
                <w:rFonts w:eastAsiaTheme="minorEastAsia"/>
                <w:noProof/>
                <w:sz w:val="22"/>
                <w:lang w:eastAsia="en-GB"/>
              </w:rPr>
              <w:tab/>
            </w:r>
            <w:r w:rsidRPr="006C6A77">
              <w:rPr>
                <w:rStyle w:val="Hyperlink"/>
                <w:noProof/>
              </w:rPr>
              <w:t>pH</w:t>
            </w:r>
            <w:r>
              <w:rPr>
                <w:noProof/>
                <w:webHidden/>
              </w:rPr>
              <w:tab/>
            </w:r>
            <w:r>
              <w:rPr>
                <w:noProof/>
                <w:webHidden/>
              </w:rPr>
              <w:fldChar w:fldCharType="begin"/>
            </w:r>
            <w:r>
              <w:rPr>
                <w:noProof/>
                <w:webHidden/>
              </w:rPr>
              <w:instrText xml:space="preserve"> PAGEREF _Toc485712741 \h </w:instrText>
            </w:r>
            <w:r>
              <w:rPr>
                <w:noProof/>
                <w:webHidden/>
              </w:rPr>
            </w:r>
            <w:r>
              <w:rPr>
                <w:noProof/>
                <w:webHidden/>
              </w:rPr>
              <w:fldChar w:fldCharType="separate"/>
            </w:r>
            <w:r>
              <w:rPr>
                <w:noProof/>
                <w:webHidden/>
              </w:rPr>
              <w:t>7</w:t>
            </w:r>
            <w:r>
              <w:rPr>
                <w:noProof/>
                <w:webHidden/>
              </w:rPr>
              <w:fldChar w:fldCharType="end"/>
            </w:r>
          </w:hyperlink>
        </w:p>
        <w:p w14:paraId="06755C7F" w14:textId="77777777" w:rsidR="00C643FE" w:rsidRDefault="00C643FE">
          <w:pPr>
            <w:pStyle w:val="TOC3"/>
            <w:tabs>
              <w:tab w:val="left" w:pos="1320"/>
              <w:tab w:val="right" w:leader="dot" w:pos="8494"/>
            </w:tabs>
            <w:rPr>
              <w:rFonts w:eastAsiaTheme="minorEastAsia"/>
              <w:noProof/>
              <w:sz w:val="22"/>
              <w:lang w:eastAsia="en-GB"/>
            </w:rPr>
          </w:pPr>
          <w:hyperlink w:anchor="_Toc485712742" w:history="1">
            <w:r w:rsidRPr="006C6A77">
              <w:rPr>
                <w:rStyle w:val="Hyperlink"/>
                <w:noProof/>
                <w14:scene3d>
                  <w14:camera w14:prst="orthographicFront"/>
                  <w14:lightRig w14:rig="threePt" w14:dir="t">
                    <w14:rot w14:lat="0" w14:lon="0" w14:rev="0"/>
                  </w14:lightRig>
                </w14:scene3d>
              </w:rPr>
              <w:t>1.2.3</w:t>
            </w:r>
            <w:r>
              <w:rPr>
                <w:rFonts w:eastAsiaTheme="minorEastAsia"/>
                <w:noProof/>
                <w:sz w:val="22"/>
                <w:lang w:eastAsia="en-GB"/>
              </w:rPr>
              <w:tab/>
            </w:r>
            <w:r w:rsidRPr="006C6A77">
              <w:rPr>
                <w:rStyle w:val="Hyperlink"/>
                <w:noProof/>
              </w:rPr>
              <w:t>Pressure</w:t>
            </w:r>
            <w:r>
              <w:rPr>
                <w:noProof/>
                <w:webHidden/>
              </w:rPr>
              <w:tab/>
            </w:r>
            <w:r>
              <w:rPr>
                <w:noProof/>
                <w:webHidden/>
              </w:rPr>
              <w:fldChar w:fldCharType="begin"/>
            </w:r>
            <w:r>
              <w:rPr>
                <w:noProof/>
                <w:webHidden/>
              </w:rPr>
              <w:instrText xml:space="preserve"> PAGEREF _Toc485712742 \h </w:instrText>
            </w:r>
            <w:r>
              <w:rPr>
                <w:noProof/>
                <w:webHidden/>
              </w:rPr>
            </w:r>
            <w:r>
              <w:rPr>
                <w:noProof/>
                <w:webHidden/>
              </w:rPr>
              <w:fldChar w:fldCharType="separate"/>
            </w:r>
            <w:r>
              <w:rPr>
                <w:noProof/>
                <w:webHidden/>
              </w:rPr>
              <w:t>7</w:t>
            </w:r>
            <w:r>
              <w:rPr>
                <w:noProof/>
                <w:webHidden/>
              </w:rPr>
              <w:fldChar w:fldCharType="end"/>
            </w:r>
          </w:hyperlink>
        </w:p>
        <w:p w14:paraId="5F6A2FEE" w14:textId="77777777" w:rsidR="00C643FE" w:rsidRDefault="00C643FE">
          <w:pPr>
            <w:pStyle w:val="TOC3"/>
            <w:tabs>
              <w:tab w:val="left" w:pos="1320"/>
              <w:tab w:val="right" w:leader="dot" w:pos="8494"/>
            </w:tabs>
            <w:rPr>
              <w:rFonts w:eastAsiaTheme="minorEastAsia"/>
              <w:noProof/>
              <w:sz w:val="22"/>
              <w:lang w:eastAsia="en-GB"/>
            </w:rPr>
          </w:pPr>
          <w:hyperlink w:anchor="_Toc485712743" w:history="1">
            <w:r w:rsidRPr="006C6A77">
              <w:rPr>
                <w:rStyle w:val="Hyperlink"/>
                <w:noProof/>
                <w14:scene3d>
                  <w14:camera w14:prst="orthographicFront"/>
                  <w14:lightRig w14:rig="threePt" w14:dir="t">
                    <w14:rot w14:lat="0" w14:lon="0" w14:rev="0"/>
                  </w14:lightRig>
                </w14:scene3d>
              </w:rPr>
              <w:t>1.2.4</w:t>
            </w:r>
            <w:r>
              <w:rPr>
                <w:rFonts w:eastAsiaTheme="minorEastAsia"/>
                <w:noProof/>
                <w:sz w:val="22"/>
                <w:lang w:eastAsia="en-GB"/>
              </w:rPr>
              <w:tab/>
            </w:r>
            <w:r w:rsidRPr="006C6A77">
              <w:rPr>
                <w:rStyle w:val="Hyperlink"/>
                <w:noProof/>
              </w:rPr>
              <w:t>Chemical composition of the solvent</w:t>
            </w:r>
            <w:r>
              <w:rPr>
                <w:noProof/>
                <w:webHidden/>
              </w:rPr>
              <w:tab/>
            </w:r>
            <w:r>
              <w:rPr>
                <w:noProof/>
                <w:webHidden/>
              </w:rPr>
              <w:fldChar w:fldCharType="begin"/>
            </w:r>
            <w:r>
              <w:rPr>
                <w:noProof/>
                <w:webHidden/>
              </w:rPr>
              <w:instrText xml:space="preserve"> PAGEREF _Toc485712743 \h </w:instrText>
            </w:r>
            <w:r>
              <w:rPr>
                <w:noProof/>
                <w:webHidden/>
              </w:rPr>
            </w:r>
            <w:r>
              <w:rPr>
                <w:noProof/>
                <w:webHidden/>
              </w:rPr>
              <w:fldChar w:fldCharType="separate"/>
            </w:r>
            <w:r>
              <w:rPr>
                <w:noProof/>
                <w:webHidden/>
              </w:rPr>
              <w:t>8</w:t>
            </w:r>
            <w:r>
              <w:rPr>
                <w:noProof/>
                <w:webHidden/>
              </w:rPr>
              <w:fldChar w:fldCharType="end"/>
            </w:r>
          </w:hyperlink>
        </w:p>
        <w:p w14:paraId="07BD955B" w14:textId="77777777" w:rsidR="00C643FE" w:rsidRDefault="00C643FE">
          <w:pPr>
            <w:pStyle w:val="TOC2"/>
            <w:tabs>
              <w:tab w:val="left" w:pos="880"/>
              <w:tab w:val="right" w:leader="dot" w:pos="8494"/>
            </w:tabs>
            <w:rPr>
              <w:rFonts w:eastAsiaTheme="minorEastAsia"/>
              <w:noProof/>
              <w:sz w:val="22"/>
              <w:lang w:eastAsia="en-GB"/>
            </w:rPr>
          </w:pPr>
          <w:hyperlink w:anchor="_Toc485712744" w:history="1">
            <w:r w:rsidRPr="006C6A77">
              <w:rPr>
                <w:rStyle w:val="Hyperlink"/>
                <w:noProof/>
                <w:lang w:bidi="x-none"/>
                <w14:scene3d>
                  <w14:camera w14:prst="orthographicFront"/>
                  <w14:lightRig w14:rig="threePt" w14:dir="t">
                    <w14:rot w14:lat="0" w14:lon="0" w14:rev="0"/>
                  </w14:lightRig>
                </w14:scene3d>
              </w:rPr>
              <w:t>1.3</w:t>
            </w:r>
            <w:r>
              <w:rPr>
                <w:rFonts w:eastAsiaTheme="minorEastAsia"/>
                <w:noProof/>
                <w:sz w:val="22"/>
                <w:lang w:eastAsia="en-GB"/>
              </w:rPr>
              <w:tab/>
            </w:r>
            <w:r w:rsidRPr="006C6A77">
              <w:rPr>
                <w:rStyle w:val="Hyperlink"/>
                <w:noProof/>
              </w:rPr>
              <w:t>Small molecule effects on protein stability</w:t>
            </w:r>
            <w:r>
              <w:rPr>
                <w:noProof/>
                <w:webHidden/>
              </w:rPr>
              <w:tab/>
            </w:r>
            <w:r>
              <w:rPr>
                <w:noProof/>
                <w:webHidden/>
              </w:rPr>
              <w:fldChar w:fldCharType="begin"/>
            </w:r>
            <w:r>
              <w:rPr>
                <w:noProof/>
                <w:webHidden/>
              </w:rPr>
              <w:instrText xml:space="preserve"> PAGEREF _Toc485712744 \h </w:instrText>
            </w:r>
            <w:r>
              <w:rPr>
                <w:noProof/>
                <w:webHidden/>
              </w:rPr>
            </w:r>
            <w:r>
              <w:rPr>
                <w:noProof/>
                <w:webHidden/>
              </w:rPr>
              <w:fldChar w:fldCharType="separate"/>
            </w:r>
            <w:r>
              <w:rPr>
                <w:noProof/>
                <w:webHidden/>
              </w:rPr>
              <w:t>8</w:t>
            </w:r>
            <w:r>
              <w:rPr>
                <w:noProof/>
                <w:webHidden/>
              </w:rPr>
              <w:fldChar w:fldCharType="end"/>
            </w:r>
          </w:hyperlink>
        </w:p>
        <w:p w14:paraId="0F177A03" w14:textId="77777777" w:rsidR="00C643FE" w:rsidRDefault="00C643FE">
          <w:pPr>
            <w:pStyle w:val="TOC3"/>
            <w:tabs>
              <w:tab w:val="left" w:pos="1320"/>
              <w:tab w:val="right" w:leader="dot" w:pos="8494"/>
            </w:tabs>
            <w:rPr>
              <w:rFonts w:eastAsiaTheme="minorEastAsia"/>
              <w:noProof/>
              <w:sz w:val="22"/>
              <w:lang w:eastAsia="en-GB"/>
            </w:rPr>
          </w:pPr>
          <w:hyperlink w:anchor="_Toc485712745" w:history="1">
            <w:r w:rsidRPr="006C6A77">
              <w:rPr>
                <w:rStyle w:val="Hyperlink"/>
                <w:noProof/>
                <w14:scene3d>
                  <w14:camera w14:prst="orthographicFront"/>
                  <w14:lightRig w14:rig="threePt" w14:dir="t">
                    <w14:rot w14:lat="0" w14:lon="0" w14:rev="0"/>
                  </w14:lightRig>
                </w14:scene3d>
              </w:rPr>
              <w:t>1.3.1</w:t>
            </w:r>
            <w:r>
              <w:rPr>
                <w:rFonts w:eastAsiaTheme="minorEastAsia"/>
                <w:noProof/>
                <w:sz w:val="22"/>
                <w:lang w:eastAsia="en-GB"/>
              </w:rPr>
              <w:tab/>
            </w:r>
            <w:r w:rsidRPr="006C6A77">
              <w:rPr>
                <w:rStyle w:val="Hyperlink"/>
                <w:noProof/>
              </w:rPr>
              <w:t>Hofmeister salts</w:t>
            </w:r>
            <w:r>
              <w:rPr>
                <w:noProof/>
                <w:webHidden/>
              </w:rPr>
              <w:tab/>
            </w:r>
            <w:r>
              <w:rPr>
                <w:noProof/>
                <w:webHidden/>
              </w:rPr>
              <w:fldChar w:fldCharType="begin"/>
            </w:r>
            <w:r>
              <w:rPr>
                <w:noProof/>
                <w:webHidden/>
              </w:rPr>
              <w:instrText xml:space="preserve"> PAGEREF _Toc485712745 \h </w:instrText>
            </w:r>
            <w:r>
              <w:rPr>
                <w:noProof/>
                <w:webHidden/>
              </w:rPr>
            </w:r>
            <w:r>
              <w:rPr>
                <w:noProof/>
                <w:webHidden/>
              </w:rPr>
              <w:fldChar w:fldCharType="separate"/>
            </w:r>
            <w:r>
              <w:rPr>
                <w:noProof/>
                <w:webHidden/>
              </w:rPr>
              <w:t>9</w:t>
            </w:r>
            <w:r>
              <w:rPr>
                <w:noProof/>
                <w:webHidden/>
              </w:rPr>
              <w:fldChar w:fldCharType="end"/>
            </w:r>
          </w:hyperlink>
        </w:p>
        <w:p w14:paraId="12B0702D" w14:textId="77777777" w:rsidR="00C643FE" w:rsidRDefault="00C643FE">
          <w:pPr>
            <w:pStyle w:val="TOC3"/>
            <w:tabs>
              <w:tab w:val="left" w:pos="1320"/>
              <w:tab w:val="right" w:leader="dot" w:pos="8494"/>
            </w:tabs>
            <w:rPr>
              <w:rFonts w:eastAsiaTheme="minorEastAsia"/>
              <w:noProof/>
              <w:sz w:val="22"/>
              <w:lang w:eastAsia="en-GB"/>
            </w:rPr>
          </w:pPr>
          <w:hyperlink w:anchor="_Toc485712746" w:history="1">
            <w:r w:rsidRPr="006C6A77">
              <w:rPr>
                <w:rStyle w:val="Hyperlink"/>
                <w:noProof/>
                <w14:scene3d>
                  <w14:camera w14:prst="orthographicFront"/>
                  <w14:lightRig w14:rig="threePt" w14:dir="t">
                    <w14:rot w14:lat="0" w14:lon="0" w14:rev="0"/>
                  </w14:lightRig>
                </w14:scene3d>
              </w:rPr>
              <w:t>1.3.2</w:t>
            </w:r>
            <w:r>
              <w:rPr>
                <w:rFonts w:eastAsiaTheme="minorEastAsia"/>
                <w:noProof/>
                <w:sz w:val="22"/>
                <w:lang w:eastAsia="en-GB"/>
              </w:rPr>
              <w:tab/>
            </w:r>
            <w:r w:rsidRPr="006C6A77">
              <w:rPr>
                <w:rStyle w:val="Hyperlink"/>
                <w:noProof/>
              </w:rPr>
              <w:t>Denaturants</w:t>
            </w:r>
            <w:r>
              <w:rPr>
                <w:noProof/>
                <w:webHidden/>
              </w:rPr>
              <w:tab/>
            </w:r>
            <w:r>
              <w:rPr>
                <w:noProof/>
                <w:webHidden/>
              </w:rPr>
              <w:fldChar w:fldCharType="begin"/>
            </w:r>
            <w:r>
              <w:rPr>
                <w:noProof/>
                <w:webHidden/>
              </w:rPr>
              <w:instrText xml:space="preserve"> PAGEREF _Toc485712746 \h </w:instrText>
            </w:r>
            <w:r>
              <w:rPr>
                <w:noProof/>
                <w:webHidden/>
              </w:rPr>
            </w:r>
            <w:r>
              <w:rPr>
                <w:noProof/>
                <w:webHidden/>
              </w:rPr>
              <w:fldChar w:fldCharType="separate"/>
            </w:r>
            <w:r>
              <w:rPr>
                <w:noProof/>
                <w:webHidden/>
              </w:rPr>
              <w:t>12</w:t>
            </w:r>
            <w:r>
              <w:rPr>
                <w:noProof/>
                <w:webHidden/>
              </w:rPr>
              <w:fldChar w:fldCharType="end"/>
            </w:r>
          </w:hyperlink>
        </w:p>
        <w:p w14:paraId="15CC32D6" w14:textId="77777777" w:rsidR="00C643FE" w:rsidRDefault="00C643FE">
          <w:pPr>
            <w:pStyle w:val="TOC3"/>
            <w:tabs>
              <w:tab w:val="left" w:pos="1320"/>
              <w:tab w:val="right" w:leader="dot" w:pos="8494"/>
            </w:tabs>
            <w:rPr>
              <w:rFonts w:eastAsiaTheme="minorEastAsia"/>
              <w:noProof/>
              <w:sz w:val="22"/>
              <w:lang w:eastAsia="en-GB"/>
            </w:rPr>
          </w:pPr>
          <w:hyperlink w:anchor="_Toc485712747" w:history="1">
            <w:r w:rsidRPr="006C6A77">
              <w:rPr>
                <w:rStyle w:val="Hyperlink"/>
                <w:noProof/>
                <w14:scene3d>
                  <w14:camera w14:prst="orthographicFront"/>
                  <w14:lightRig w14:rig="threePt" w14:dir="t">
                    <w14:rot w14:lat="0" w14:lon="0" w14:rev="0"/>
                  </w14:lightRig>
                </w14:scene3d>
              </w:rPr>
              <w:t>1.3.3</w:t>
            </w:r>
            <w:r>
              <w:rPr>
                <w:rFonts w:eastAsiaTheme="minorEastAsia"/>
                <w:noProof/>
                <w:sz w:val="22"/>
                <w:lang w:eastAsia="en-GB"/>
              </w:rPr>
              <w:tab/>
            </w:r>
            <w:r w:rsidRPr="006C6A77">
              <w:rPr>
                <w:rStyle w:val="Hyperlink"/>
                <w:noProof/>
              </w:rPr>
              <w:t>Small organic molecules</w:t>
            </w:r>
            <w:r>
              <w:rPr>
                <w:noProof/>
                <w:webHidden/>
              </w:rPr>
              <w:tab/>
            </w:r>
            <w:r>
              <w:rPr>
                <w:noProof/>
                <w:webHidden/>
              </w:rPr>
              <w:fldChar w:fldCharType="begin"/>
            </w:r>
            <w:r>
              <w:rPr>
                <w:noProof/>
                <w:webHidden/>
              </w:rPr>
              <w:instrText xml:space="preserve"> PAGEREF _Toc485712747 \h </w:instrText>
            </w:r>
            <w:r>
              <w:rPr>
                <w:noProof/>
                <w:webHidden/>
              </w:rPr>
            </w:r>
            <w:r>
              <w:rPr>
                <w:noProof/>
                <w:webHidden/>
              </w:rPr>
              <w:fldChar w:fldCharType="separate"/>
            </w:r>
            <w:r>
              <w:rPr>
                <w:noProof/>
                <w:webHidden/>
              </w:rPr>
              <w:t>16</w:t>
            </w:r>
            <w:r>
              <w:rPr>
                <w:noProof/>
                <w:webHidden/>
              </w:rPr>
              <w:fldChar w:fldCharType="end"/>
            </w:r>
          </w:hyperlink>
        </w:p>
        <w:p w14:paraId="55C6EFF7" w14:textId="77777777" w:rsidR="00C643FE" w:rsidRDefault="00C643FE">
          <w:pPr>
            <w:pStyle w:val="TOC2"/>
            <w:tabs>
              <w:tab w:val="left" w:pos="880"/>
              <w:tab w:val="right" w:leader="dot" w:pos="8494"/>
            </w:tabs>
            <w:rPr>
              <w:rFonts w:eastAsiaTheme="minorEastAsia"/>
              <w:noProof/>
              <w:sz w:val="22"/>
              <w:lang w:eastAsia="en-GB"/>
            </w:rPr>
          </w:pPr>
          <w:hyperlink w:anchor="_Toc485712748" w:history="1">
            <w:r w:rsidRPr="006C6A77">
              <w:rPr>
                <w:rStyle w:val="Hyperlink"/>
                <w:noProof/>
                <w:lang w:bidi="x-none"/>
                <w14:scene3d>
                  <w14:camera w14:prst="orthographicFront"/>
                  <w14:lightRig w14:rig="threePt" w14:dir="t">
                    <w14:rot w14:lat="0" w14:lon="0" w14:rev="0"/>
                  </w14:lightRig>
                </w14:scene3d>
              </w:rPr>
              <w:t>1.4</w:t>
            </w:r>
            <w:r>
              <w:rPr>
                <w:rFonts w:eastAsiaTheme="minorEastAsia"/>
                <w:noProof/>
                <w:sz w:val="22"/>
                <w:lang w:eastAsia="en-GB"/>
              </w:rPr>
              <w:tab/>
            </w:r>
            <w:r w:rsidRPr="006C6A77">
              <w:rPr>
                <w:rStyle w:val="Hyperlink"/>
                <w:noProof/>
              </w:rPr>
              <w:t>Current suggestions for mechanism of protein stabilisation or destabilisation by cosolutes</w:t>
            </w:r>
            <w:r>
              <w:rPr>
                <w:noProof/>
                <w:webHidden/>
              </w:rPr>
              <w:tab/>
            </w:r>
            <w:r>
              <w:rPr>
                <w:noProof/>
                <w:webHidden/>
              </w:rPr>
              <w:fldChar w:fldCharType="begin"/>
            </w:r>
            <w:r>
              <w:rPr>
                <w:noProof/>
                <w:webHidden/>
              </w:rPr>
              <w:instrText xml:space="preserve"> PAGEREF _Toc485712748 \h </w:instrText>
            </w:r>
            <w:r>
              <w:rPr>
                <w:noProof/>
                <w:webHidden/>
              </w:rPr>
            </w:r>
            <w:r>
              <w:rPr>
                <w:noProof/>
                <w:webHidden/>
              </w:rPr>
              <w:fldChar w:fldCharType="separate"/>
            </w:r>
            <w:r>
              <w:rPr>
                <w:noProof/>
                <w:webHidden/>
              </w:rPr>
              <w:t>33</w:t>
            </w:r>
            <w:r>
              <w:rPr>
                <w:noProof/>
                <w:webHidden/>
              </w:rPr>
              <w:fldChar w:fldCharType="end"/>
            </w:r>
          </w:hyperlink>
        </w:p>
        <w:p w14:paraId="4BF0C7B9" w14:textId="77777777" w:rsidR="00C643FE" w:rsidRDefault="00C643FE">
          <w:pPr>
            <w:pStyle w:val="TOC3"/>
            <w:tabs>
              <w:tab w:val="left" w:pos="1320"/>
              <w:tab w:val="right" w:leader="dot" w:pos="8494"/>
            </w:tabs>
            <w:rPr>
              <w:rFonts w:eastAsiaTheme="minorEastAsia"/>
              <w:noProof/>
              <w:sz w:val="22"/>
              <w:lang w:eastAsia="en-GB"/>
            </w:rPr>
          </w:pPr>
          <w:hyperlink w:anchor="_Toc485712749" w:history="1">
            <w:r w:rsidRPr="006C6A77">
              <w:rPr>
                <w:rStyle w:val="Hyperlink"/>
                <w:noProof/>
                <w14:scene3d>
                  <w14:camera w14:prst="orthographicFront"/>
                  <w14:lightRig w14:rig="threePt" w14:dir="t">
                    <w14:rot w14:lat="0" w14:lon="0" w14:rev="0"/>
                  </w14:lightRig>
                </w14:scene3d>
              </w:rPr>
              <w:t>1.4.1</w:t>
            </w:r>
            <w:r>
              <w:rPr>
                <w:rFonts w:eastAsiaTheme="minorEastAsia"/>
                <w:noProof/>
                <w:sz w:val="22"/>
                <w:lang w:eastAsia="en-GB"/>
              </w:rPr>
              <w:tab/>
            </w:r>
            <w:r w:rsidRPr="006C6A77">
              <w:rPr>
                <w:rStyle w:val="Hyperlink"/>
                <w:noProof/>
              </w:rPr>
              <w:t>Direct &amp; indirect interactions</w:t>
            </w:r>
            <w:r>
              <w:rPr>
                <w:noProof/>
                <w:webHidden/>
              </w:rPr>
              <w:tab/>
            </w:r>
            <w:r>
              <w:rPr>
                <w:noProof/>
                <w:webHidden/>
              </w:rPr>
              <w:fldChar w:fldCharType="begin"/>
            </w:r>
            <w:r>
              <w:rPr>
                <w:noProof/>
                <w:webHidden/>
              </w:rPr>
              <w:instrText xml:space="preserve"> PAGEREF _Toc485712749 \h </w:instrText>
            </w:r>
            <w:r>
              <w:rPr>
                <w:noProof/>
                <w:webHidden/>
              </w:rPr>
            </w:r>
            <w:r>
              <w:rPr>
                <w:noProof/>
                <w:webHidden/>
              </w:rPr>
              <w:fldChar w:fldCharType="separate"/>
            </w:r>
            <w:r>
              <w:rPr>
                <w:noProof/>
                <w:webHidden/>
              </w:rPr>
              <w:t>35</w:t>
            </w:r>
            <w:r>
              <w:rPr>
                <w:noProof/>
                <w:webHidden/>
              </w:rPr>
              <w:fldChar w:fldCharType="end"/>
            </w:r>
          </w:hyperlink>
        </w:p>
        <w:p w14:paraId="6F2ADABF" w14:textId="77777777" w:rsidR="00C643FE" w:rsidRDefault="00C643FE">
          <w:pPr>
            <w:pStyle w:val="TOC3"/>
            <w:tabs>
              <w:tab w:val="left" w:pos="1320"/>
              <w:tab w:val="right" w:leader="dot" w:pos="8494"/>
            </w:tabs>
            <w:rPr>
              <w:rFonts w:eastAsiaTheme="minorEastAsia"/>
              <w:noProof/>
              <w:sz w:val="22"/>
              <w:lang w:eastAsia="en-GB"/>
            </w:rPr>
          </w:pPr>
          <w:hyperlink w:anchor="_Toc485712750" w:history="1">
            <w:r w:rsidRPr="006C6A77">
              <w:rPr>
                <w:rStyle w:val="Hyperlink"/>
                <w:noProof/>
                <w14:scene3d>
                  <w14:camera w14:prst="orthographicFront"/>
                  <w14:lightRig w14:rig="threePt" w14:dir="t">
                    <w14:rot w14:lat="0" w14:lon="0" w14:rev="0"/>
                  </w14:lightRig>
                </w14:scene3d>
              </w:rPr>
              <w:t>1.4.2</w:t>
            </w:r>
            <w:r>
              <w:rPr>
                <w:rFonts w:eastAsiaTheme="minorEastAsia"/>
                <w:noProof/>
                <w:sz w:val="22"/>
                <w:lang w:eastAsia="en-GB"/>
              </w:rPr>
              <w:tab/>
            </w:r>
            <w:r w:rsidRPr="006C6A77">
              <w:rPr>
                <w:rStyle w:val="Hyperlink"/>
                <w:noProof/>
              </w:rPr>
              <w:t>Direct interactions between cosolutes and proteins</w:t>
            </w:r>
            <w:r>
              <w:rPr>
                <w:noProof/>
                <w:webHidden/>
              </w:rPr>
              <w:tab/>
            </w:r>
            <w:r>
              <w:rPr>
                <w:noProof/>
                <w:webHidden/>
              </w:rPr>
              <w:fldChar w:fldCharType="begin"/>
            </w:r>
            <w:r>
              <w:rPr>
                <w:noProof/>
                <w:webHidden/>
              </w:rPr>
              <w:instrText xml:space="preserve"> PAGEREF _Toc485712750 \h </w:instrText>
            </w:r>
            <w:r>
              <w:rPr>
                <w:noProof/>
                <w:webHidden/>
              </w:rPr>
            </w:r>
            <w:r>
              <w:rPr>
                <w:noProof/>
                <w:webHidden/>
              </w:rPr>
              <w:fldChar w:fldCharType="separate"/>
            </w:r>
            <w:r>
              <w:rPr>
                <w:noProof/>
                <w:webHidden/>
              </w:rPr>
              <w:t>37</w:t>
            </w:r>
            <w:r>
              <w:rPr>
                <w:noProof/>
                <w:webHidden/>
              </w:rPr>
              <w:fldChar w:fldCharType="end"/>
            </w:r>
          </w:hyperlink>
        </w:p>
        <w:p w14:paraId="5A16C9B8" w14:textId="77777777" w:rsidR="00C643FE" w:rsidRDefault="00C643FE">
          <w:pPr>
            <w:pStyle w:val="TOC3"/>
            <w:tabs>
              <w:tab w:val="left" w:pos="1320"/>
              <w:tab w:val="right" w:leader="dot" w:pos="8494"/>
            </w:tabs>
            <w:rPr>
              <w:rFonts w:eastAsiaTheme="minorEastAsia"/>
              <w:noProof/>
              <w:sz w:val="22"/>
              <w:lang w:eastAsia="en-GB"/>
            </w:rPr>
          </w:pPr>
          <w:hyperlink w:anchor="_Toc485712751" w:history="1">
            <w:r w:rsidRPr="006C6A77">
              <w:rPr>
                <w:rStyle w:val="Hyperlink"/>
                <w:noProof/>
                <w14:scene3d>
                  <w14:camera w14:prst="orthographicFront"/>
                  <w14:lightRig w14:rig="threePt" w14:dir="t">
                    <w14:rot w14:lat="0" w14:lon="0" w14:rev="0"/>
                  </w14:lightRig>
                </w14:scene3d>
              </w:rPr>
              <w:t>1.4.3</w:t>
            </w:r>
            <w:r>
              <w:rPr>
                <w:rFonts w:eastAsiaTheme="minorEastAsia"/>
                <w:noProof/>
                <w:sz w:val="22"/>
                <w:lang w:eastAsia="en-GB"/>
              </w:rPr>
              <w:tab/>
            </w:r>
            <w:r w:rsidRPr="006C6A77">
              <w:rPr>
                <w:rStyle w:val="Hyperlink"/>
                <w:noProof/>
              </w:rPr>
              <w:t>Water-mediated effects</w:t>
            </w:r>
            <w:r>
              <w:rPr>
                <w:noProof/>
                <w:webHidden/>
              </w:rPr>
              <w:tab/>
            </w:r>
            <w:r>
              <w:rPr>
                <w:noProof/>
                <w:webHidden/>
              </w:rPr>
              <w:fldChar w:fldCharType="begin"/>
            </w:r>
            <w:r>
              <w:rPr>
                <w:noProof/>
                <w:webHidden/>
              </w:rPr>
              <w:instrText xml:space="preserve"> PAGEREF _Toc485712751 \h </w:instrText>
            </w:r>
            <w:r>
              <w:rPr>
                <w:noProof/>
                <w:webHidden/>
              </w:rPr>
            </w:r>
            <w:r>
              <w:rPr>
                <w:noProof/>
                <w:webHidden/>
              </w:rPr>
              <w:fldChar w:fldCharType="separate"/>
            </w:r>
            <w:r>
              <w:rPr>
                <w:noProof/>
                <w:webHidden/>
              </w:rPr>
              <w:t>40</w:t>
            </w:r>
            <w:r>
              <w:rPr>
                <w:noProof/>
                <w:webHidden/>
              </w:rPr>
              <w:fldChar w:fldCharType="end"/>
            </w:r>
          </w:hyperlink>
        </w:p>
        <w:p w14:paraId="37458D1B" w14:textId="77777777" w:rsidR="00C643FE" w:rsidRDefault="00C643FE">
          <w:pPr>
            <w:pStyle w:val="TOC3"/>
            <w:tabs>
              <w:tab w:val="left" w:pos="1320"/>
              <w:tab w:val="right" w:leader="dot" w:pos="8494"/>
            </w:tabs>
            <w:rPr>
              <w:rFonts w:eastAsiaTheme="minorEastAsia"/>
              <w:noProof/>
              <w:sz w:val="22"/>
              <w:lang w:eastAsia="en-GB"/>
            </w:rPr>
          </w:pPr>
          <w:hyperlink w:anchor="_Toc485712752" w:history="1">
            <w:r w:rsidRPr="006C6A77">
              <w:rPr>
                <w:rStyle w:val="Hyperlink"/>
                <w:noProof/>
                <w:lang w:val="it-IT"/>
                <w14:scene3d>
                  <w14:camera w14:prst="orthographicFront"/>
                  <w14:lightRig w14:rig="threePt" w14:dir="t">
                    <w14:rot w14:lat="0" w14:lon="0" w14:rev="0"/>
                  </w14:lightRig>
                </w14:scene3d>
              </w:rPr>
              <w:t>1.4.4</w:t>
            </w:r>
            <w:r>
              <w:rPr>
                <w:rFonts w:eastAsiaTheme="minorEastAsia"/>
                <w:noProof/>
                <w:sz w:val="22"/>
                <w:lang w:eastAsia="en-GB"/>
              </w:rPr>
              <w:tab/>
            </w:r>
            <w:r w:rsidRPr="006C6A77">
              <w:rPr>
                <w:rStyle w:val="Hyperlink"/>
                <w:noProof/>
                <w:lang w:val="it-IT"/>
              </w:rPr>
              <w:t>Transfer model</w:t>
            </w:r>
            <w:r>
              <w:rPr>
                <w:noProof/>
                <w:webHidden/>
              </w:rPr>
              <w:tab/>
            </w:r>
            <w:r>
              <w:rPr>
                <w:noProof/>
                <w:webHidden/>
              </w:rPr>
              <w:fldChar w:fldCharType="begin"/>
            </w:r>
            <w:r>
              <w:rPr>
                <w:noProof/>
                <w:webHidden/>
              </w:rPr>
              <w:instrText xml:space="preserve"> PAGEREF _Toc485712752 \h </w:instrText>
            </w:r>
            <w:r>
              <w:rPr>
                <w:noProof/>
                <w:webHidden/>
              </w:rPr>
            </w:r>
            <w:r>
              <w:rPr>
                <w:noProof/>
                <w:webHidden/>
              </w:rPr>
              <w:fldChar w:fldCharType="separate"/>
            </w:r>
            <w:r>
              <w:rPr>
                <w:noProof/>
                <w:webHidden/>
              </w:rPr>
              <w:t>52</w:t>
            </w:r>
            <w:r>
              <w:rPr>
                <w:noProof/>
                <w:webHidden/>
              </w:rPr>
              <w:fldChar w:fldCharType="end"/>
            </w:r>
          </w:hyperlink>
        </w:p>
        <w:p w14:paraId="024328EB" w14:textId="77777777" w:rsidR="00C643FE" w:rsidRDefault="00C643FE">
          <w:pPr>
            <w:pStyle w:val="TOC3"/>
            <w:tabs>
              <w:tab w:val="left" w:pos="1320"/>
              <w:tab w:val="right" w:leader="dot" w:pos="8494"/>
            </w:tabs>
            <w:rPr>
              <w:rFonts w:eastAsiaTheme="minorEastAsia"/>
              <w:noProof/>
              <w:sz w:val="22"/>
              <w:lang w:eastAsia="en-GB"/>
            </w:rPr>
          </w:pPr>
          <w:hyperlink w:anchor="_Toc485712753" w:history="1">
            <w:r w:rsidRPr="006C6A77">
              <w:rPr>
                <w:rStyle w:val="Hyperlink"/>
                <w:noProof/>
                <w14:scene3d>
                  <w14:camera w14:prst="orthographicFront"/>
                  <w14:lightRig w14:rig="threePt" w14:dir="t">
                    <w14:rot w14:lat="0" w14:lon="0" w14:rev="0"/>
                  </w14:lightRig>
                </w14:scene3d>
              </w:rPr>
              <w:t>1.4.5</w:t>
            </w:r>
            <w:r>
              <w:rPr>
                <w:rFonts w:eastAsiaTheme="minorEastAsia"/>
                <w:noProof/>
                <w:sz w:val="22"/>
                <w:lang w:eastAsia="en-GB"/>
              </w:rPr>
              <w:tab/>
            </w:r>
            <w:r w:rsidRPr="006C6A77">
              <w:rPr>
                <w:rStyle w:val="Hyperlink"/>
                <w:noProof/>
              </w:rPr>
              <w:t>Interactions with peptide backbone</w:t>
            </w:r>
            <w:r>
              <w:rPr>
                <w:noProof/>
                <w:webHidden/>
              </w:rPr>
              <w:tab/>
            </w:r>
            <w:r>
              <w:rPr>
                <w:noProof/>
                <w:webHidden/>
              </w:rPr>
              <w:fldChar w:fldCharType="begin"/>
            </w:r>
            <w:r>
              <w:rPr>
                <w:noProof/>
                <w:webHidden/>
              </w:rPr>
              <w:instrText xml:space="preserve"> PAGEREF _Toc485712753 \h </w:instrText>
            </w:r>
            <w:r>
              <w:rPr>
                <w:noProof/>
                <w:webHidden/>
              </w:rPr>
            </w:r>
            <w:r>
              <w:rPr>
                <w:noProof/>
                <w:webHidden/>
              </w:rPr>
              <w:fldChar w:fldCharType="separate"/>
            </w:r>
            <w:r>
              <w:rPr>
                <w:noProof/>
                <w:webHidden/>
              </w:rPr>
              <w:t>54</w:t>
            </w:r>
            <w:r>
              <w:rPr>
                <w:noProof/>
                <w:webHidden/>
              </w:rPr>
              <w:fldChar w:fldCharType="end"/>
            </w:r>
          </w:hyperlink>
        </w:p>
        <w:p w14:paraId="65856642" w14:textId="77777777" w:rsidR="00C643FE" w:rsidRDefault="00C643FE">
          <w:pPr>
            <w:pStyle w:val="TOC3"/>
            <w:tabs>
              <w:tab w:val="left" w:pos="1320"/>
              <w:tab w:val="right" w:leader="dot" w:pos="8494"/>
            </w:tabs>
            <w:rPr>
              <w:rFonts w:eastAsiaTheme="minorEastAsia"/>
              <w:noProof/>
              <w:sz w:val="22"/>
              <w:lang w:eastAsia="en-GB"/>
            </w:rPr>
          </w:pPr>
          <w:hyperlink w:anchor="_Toc485712754" w:history="1">
            <w:r w:rsidRPr="006C6A77">
              <w:rPr>
                <w:rStyle w:val="Hyperlink"/>
                <w:noProof/>
                <w14:scene3d>
                  <w14:camera w14:prst="orthographicFront"/>
                  <w14:lightRig w14:rig="threePt" w14:dir="t">
                    <w14:rot w14:lat="0" w14:lon="0" w14:rev="0"/>
                  </w14:lightRig>
                </w14:scene3d>
              </w:rPr>
              <w:t>1.4.6</w:t>
            </w:r>
            <w:r>
              <w:rPr>
                <w:rFonts w:eastAsiaTheme="minorEastAsia"/>
                <w:noProof/>
                <w:sz w:val="22"/>
                <w:lang w:eastAsia="en-GB"/>
              </w:rPr>
              <w:tab/>
            </w:r>
            <w:r w:rsidRPr="006C6A77">
              <w:rPr>
                <w:rStyle w:val="Hyperlink"/>
                <w:noProof/>
              </w:rPr>
              <w:t>Structural similarities to Hofmeister salts</w:t>
            </w:r>
            <w:r>
              <w:rPr>
                <w:noProof/>
                <w:webHidden/>
              </w:rPr>
              <w:tab/>
            </w:r>
            <w:r>
              <w:rPr>
                <w:noProof/>
                <w:webHidden/>
              </w:rPr>
              <w:fldChar w:fldCharType="begin"/>
            </w:r>
            <w:r>
              <w:rPr>
                <w:noProof/>
                <w:webHidden/>
              </w:rPr>
              <w:instrText xml:space="preserve"> PAGEREF _Toc485712754 \h </w:instrText>
            </w:r>
            <w:r>
              <w:rPr>
                <w:noProof/>
                <w:webHidden/>
              </w:rPr>
            </w:r>
            <w:r>
              <w:rPr>
                <w:noProof/>
                <w:webHidden/>
              </w:rPr>
              <w:fldChar w:fldCharType="separate"/>
            </w:r>
            <w:r>
              <w:rPr>
                <w:noProof/>
                <w:webHidden/>
              </w:rPr>
              <w:t>56</w:t>
            </w:r>
            <w:r>
              <w:rPr>
                <w:noProof/>
                <w:webHidden/>
              </w:rPr>
              <w:fldChar w:fldCharType="end"/>
            </w:r>
          </w:hyperlink>
        </w:p>
        <w:p w14:paraId="49B0D63C" w14:textId="77777777" w:rsidR="00C643FE" w:rsidRDefault="00C643FE">
          <w:pPr>
            <w:pStyle w:val="TOC3"/>
            <w:tabs>
              <w:tab w:val="left" w:pos="1320"/>
              <w:tab w:val="right" w:leader="dot" w:pos="8494"/>
            </w:tabs>
            <w:rPr>
              <w:rFonts w:eastAsiaTheme="minorEastAsia"/>
              <w:noProof/>
              <w:sz w:val="22"/>
              <w:lang w:eastAsia="en-GB"/>
            </w:rPr>
          </w:pPr>
          <w:hyperlink w:anchor="_Toc485712755" w:history="1">
            <w:r w:rsidRPr="006C6A77">
              <w:rPr>
                <w:rStyle w:val="Hyperlink"/>
                <w:noProof/>
                <w14:scene3d>
                  <w14:camera w14:prst="orthographicFront"/>
                  <w14:lightRig w14:rig="threePt" w14:dir="t">
                    <w14:rot w14:lat="0" w14:lon="0" w14:rev="0"/>
                  </w14:lightRig>
                </w14:scene3d>
              </w:rPr>
              <w:t>1.4.7</w:t>
            </w:r>
            <w:r>
              <w:rPr>
                <w:rFonts w:eastAsiaTheme="minorEastAsia"/>
                <w:noProof/>
                <w:sz w:val="22"/>
                <w:lang w:eastAsia="en-GB"/>
              </w:rPr>
              <w:tab/>
            </w:r>
            <w:r w:rsidRPr="006C6A77">
              <w:rPr>
                <w:rStyle w:val="Hyperlink"/>
                <w:noProof/>
              </w:rPr>
              <w:t>Additive-additive interactions</w:t>
            </w:r>
            <w:r>
              <w:rPr>
                <w:noProof/>
                <w:webHidden/>
              </w:rPr>
              <w:tab/>
            </w:r>
            <w:r>
              <w:rPr>
                <w:noProof/>
                <w:webHidden/>
              </w:rPr>
              <w:fldChar w:fldCharType="begin"/>
            </w:r>
            <w:r>
              <w:rPr>
                <w:noProof/>
                <w:webHidden/>
              </w:rPr>
              <w:instrText xml:space="preserve"> PAGEREF _Toc485712755 \h </w:instrText>
            </w:r>
            <w:r>
              <w:rPr>
                <w:noProof/>
                <w:webHidden/>
              </w:rPr>
            </w:r>
            <w:r>
              <w:rPr>
                <w:noProof/>
                <w:webHidden/>
              </w:rPr>
              <w:fldChar w:fldCharType="separate"/>
            </w:r>
            <w:r>
              <w:rPr>
                <w:noProof/>
                <w:webHidden/>
              </w:rPr>
              <w:t>58</w:t>
            </w:r>
            <w:r>
              <w:rPr>
                <w:noProof/>
                <w:webHidden/>
              </w:rPr>
              <w:fldChar w:fldCharType="end"/>
            </w:r>
          </w:hyperlink>
        </w:p>
        <w:p w14:paraId="201787A0" w14:textId="77777777" w:rsidR="00C643FE" w:rsidRDefault="00C643FE">
          <w:pPr>
            <w:pStyle w:val="TOC2"/>
            <w:tabs>
              <w:tab w:val="left" w:pos="880"/>
              <w:tab w:val="right" w:leader="dot" w:pos="8494"/>
            </w:tabs>
            <w:rPr>
              <w:rFonts w:eastAsiaTheme="minorEastAsia"/>
              <w:noProof/>
              <w:sz w:val="22"/>
              <w:lang w:eastAsia="en-GB"/>
            </w:rPr>
          </w:pPr>
          <w:hyperlink w:anchor="_Toc485712756" w:history="1">
            <w:r w:rsidRPr="006C6A77">
              <w:rPr>
                <w:rStyle w:val="Hyperlink"/>
                <w:noProof/>
                <w:lang w:bidi="x-none"/>
                <w14:scene3d>
                  <w14:camera w14:prst="orthographicFront"/>
                  <w14:lightRig w14:rig="threePt" w14:dir="t">
                    <w14:rot w14:lat="0" w14:lon="0" w14:rev="0"/>
                  </w14:lightRig>
                </w14:scene3d>
              </w:rPr>
              <w:t>1.5</w:t>
            </w:r>
            <w:r>
              <w:rPr>
                <w:rFonts w:eastAsiaTheme="minorEastAsia"/>
                <w:noProof/>
                <w:sz w:val="22"/>
                <w:lang w:eastAsia="en-GB"/>
              </w:rPr>
              <w:tab/>
            </w:r>
            <w:r w:rsidRPr="006C6A77">
              <w:rPr>
                <w:rStyle w:val="Hyperlink"/>
                <w:noProof/>
              </w:rPr>
              <w:t>Unpredicted effects of cosolutes on protein stability</w:t>
            </w:r>
            <w:r>
              <w:rPr>
                <w:noProof/>
                <w:webHidden/>
              </w:rPr>
              <w:tab/>
            </w:r>
            <w:r>
              <w:rPr>
                <w:noProof/>
                <w:webHidden/>
              </w:rPr>
              <w:fldChar w:fldCharType="begin"/>
            </w:r>
            <w:r>
              <w:rPr>
                <w:noProof/>
                <w:webHidden/>
              </w:rPr>
              <w:instrText xml:space="preserve"> PAGEREF _Toc485712756 \h </w:instrText>
            </w:r>
            <w:r>
              <w:rPr>
                <w:noProof/>
                <w:webHidden/>
              </w:rPr>
            </w:r>
            <w:r>
              <w:rPr>
                <w:noProof/>
                <w:webHidden/>
              </w:rPr>
              <w:fldChar w:fldCharType="separate"/>
            </w:r>
            <w:r>
              <w:rPr>
                <w:noProof/>
                <w:webHidden/>
              </w:rPr>
              <w:t>60</w:t>
            </w:r>
            <w:r>
              <w:rPr>
                <w:noProof/>
                <w:webHidden/>
              </w:rPr>
              <w:fldChar w:fldCharType="end"/>
            </w:r>
          </w:hyperlink>
        </w:p>
        <w:p w14:paraId="41BAD812" w14:textId="77777777" w:rsidR="00C643FE" w:rsidRDefault="00C643FE">
          <w:pPr>
            <w:pStyle w:val="TOC3"/>
            <w:tabs>
              <w:tab w:val="left" w:pos="1320"/>
              <w:tab w:val="right" w:leader="dot" w:pos="8494"/>
            </w:tabs>
            <w:rPr>
              <w:rFonts w:eastAsiaTheme="minorEastAsia"/>
              <w:noProof/>
              <w:sz w:val="22"/>
              <w:lang w:eastAsia="en-GB"/>
            </w:rPr>
          </w:pPr>
          <w:hyperlink w:anchor="_Toc485712757" w:history="1">
            <w:r w:rsidRPr="006C6A77">
              <w:rPr>
                <w:rStyle w:val="Hyperlink"/>
                <w:noProof/>
                <w14:scene3d>
                  <w14:camera w14:prst="orthographicFront"/>
                  <w14:lightRig w14:rig="threePt" w14:dir="t">
                    <w14:rot w14:lat="0" w14:lon="0" w14:rev="0"/>
                  </w14:lightRig>
                </w14:scene3d>
              </w:rPr>
              <w:t>1.5.1</w:t>
            </w:r>
            <w:r>
              <w:rPr>
                <w:rFonts w:eastAsiaTheme="minorEastAsia"/>
                <w:noProof/>
                <w:sz w:val="22"/>
                <w:lang w:eastAsia="en-GB"/>
              </w:rPr>
              <w:tab/>
            </w:r>
            <w:r w:rsidRPr="006C6A77">
              <w:rPr>
                <w:rStyle w:val="Hyperlink"/>
                <w:noProof/>
              </w:rPr>
              <w:t>Protein destabilisation by stabilising cosolutes</w:t>
            </w:r>
            <w:r>
              <w:rPr>
                <w:noProof/>
                <w:webHidden/>
              </w:rPr>
              <w:tab/>
            </w:r>
            <w:r>
              <w:rPr>
                <w:noProof/>
                <w:webHidden/>
              </w:rPr>
              <w:fldChar w:fldCharType="begin"/>
            </w:r>
            <w:r>
              <w:rPr>
                <w:noProof/>
                <w:webHidden/>
              </w:rPr>
              <w:instrText xml:space="preserve"> PAGEREF _Toc485712757 \h </w:instrText>
            </w:r>
            <w:r>
              <w:rPr>
                <w:noProof/>
                <w:webHidden/>
              </w:rPr>
            </w:r>
            <w:r>
              <w:rPr>
                <w:noProof/>
                <w:webHidden/>
              </w:rPr>
              <w:fldChar w:fldCharType="separate"/>
            </w:r>
            <w:r>
              <w:rPr>
                <w:noProof/>
                <w:webHidden/>
              </w:rPr>
              <w:t>60</w:t>
            </w:r>
            <w:r>
              <w:rPr>
                <w:noProof/>
                <w:webHidden/>
              </w:rPr>
              <w:fldChar w:fldCharType="end"/>
            </w:r>
          </w:hyperlink>
        </w:p>
        <w:p w14:paraId="3800074D" w14:textId="77777777" w:rsidR="00C643FE" w:rsidRDefault="00C643FE">
          <w:pPr>
            <w:pStyle w:val="TOC3"/>
            <w:tabs>
              <w:tab w:val="left" w:pos="1320"/>
              <w:tab w:val="right" w:leader="dot" w:pos="8494"/>
            </w:tabs>
            <w:rPr>
              <w:rFonts w:eastAsiaTheme="minorEastAsia"/>
              <w:noProof/>
              <w:sz w:val="22"/>
              <w:lang w:eastAsia="en-GB"/>
            </w:rPr>
          </w:pPr>
          <w:hyperlink w:anchor="_Toc485712758" w:history="1">
            <w:r w:rsidRPr="006C6A77">
              <w:rPr>
                <w:rStyle w:val="Hyperlink"/>
                <w:noProof/>
                <w14:scene3d>
                  <w14:camera w14:prst="orthographicFront"/>
                  <w14:lightRig w14:rig="threePt" w14:dir="t">
                    <w14:rot w14:lat="0" w14:lon="0" w14:rev="0"/>
                  </w14:lightRig>
                </w14:scene3d>
              </w:rPr>
              <w:t>1.5.2</w:t>
            </w:r>
            <w:r>
              <w:rPr>
                <w:rFonts w:eastAsiaTheme="minorEastAsia"/>
                <w:noProof/>
                <w:sz w:val="22"/>
                <w:lang w:eastAsia="en-GB"/>
              </w:rPr>
              <w:tab/>
            </w:r>
            <w:r w:rsidRPr="006C6A77">
              <w:rPr>
                <w:rStyle w:val="Hyperlink"/>
                <w:noProof/>
              </w:rPr>
              <w:t>Protein stabilisation by denaturants</w:t>
            </w:r>
            <w:r>
              <w:rPr>
                <w:noProof/>
                <w:webHidden/>
              </w:rPr>
              <w:tab/>
            </w:r>
            <w:r>
              <w:rPr>
                <w:noProof/>
                <w:webHidden/>
              </w:rPr>
              <w:fldChar w:fldCharType="begin"/>
            </w:r>
            <w:r>
              <w:rPr>
                <w:noProof/>
                <w:webHidden/>
              </w:rPr>
              <w:instrText xml:space="preserve"> PAGEREF _Toc485712758 \h </w:instrText>
            </w:r>
            <w:r>
              <w:rPr>
                <w:noProof/>
                <w:webHidden/>
              </w:rPr>
            </w:r>
            <w:r>
              <w:rPr>
                <w:noProof/>
                <w:webHidden/>
              </w:rPr>
              <w:fldChar w:fldCharType="separate"/>
            </w:r>
            <w:r>
              <w:rPr>
                <w:noProof/>
                <w:webHidden/>
              </w:rPr>
              <w:t>63</w:t>
            </w:r>
            <w:r>
              <w:rPr>
                <w:noProof/>
                <w:webHidden/>
              </w:rPr>
              <w:fldChar w:fldCharType="end"/>
            </w:r>
          </w:hyperlink>
        </w:p>
        <w:p w14:paraId="7424E9DD" w14:textId="77777777" w:rsidR="00C643FE" w:rsidRDefault="00C643FE">
          <w:pPr>
            <w:pStyle w:val="TOC2"/>
            <w:tabs>
              <w:tab w:val="left" w:pos="880"/>
              <w:tab w:val="right" w:leader="dot" w:pos="8494"/>
            </w:tabs>
            <w:rPr>
              <w:rFonts w:eastAsiaTheme="minorEastAsia"/>
              <w:noProof/>
              <w:sz w:val="22"/>
              <w:lang w:eastAsia="en-GB"/>
            </w:rPr>
          </w:pPr>
          <w:hyperlink w:anchor="_Toc485712759" w:history="1">
            <w:r w:rsidRPr="006C6A77">
              <w:rPr>
                <w:rStyle w:val="Hyperlink"/>
                <w:noProof/>
                <w:lang w:bidi="x-none"/>
                <w14:scene3d>
                  <w14:camera w14:prst="orthographicFront"/>
                  <w14:lightRig w14:rig="threePt" w14:dir="t">
                    <w14:rot w14:lat="0" w14:lon="0" w14:rev="0"/>
                  </w14:lightRig>
                </w14:scene3d>
              </w:rPr>
              <w:t>1.6</w:t>
            </w:r>
            <w:r>
              <w:rPr>
                <w:rFonts w:eastAsiaTheme="minorEastAsia"/>
                <w:noProof/>
                <w:sz w:val="22"/>
                <w:lang w:eastAsia="en-GB"/>
              </w:rPr>
              <w:tab/>
            </w:r>
            <w:r w:rsidRPr="006C6A77">
              <w:rPr>
                <w:rStyle w:val="Hyperlink"/>
                <w:noProof/>
              </w:rPr>
              <w:t>Effects of mixed cosolutes on protein stability</w:t>
            </w:r>
            <w:r>
              <w:rPr>
                <w:noProof/>
                <w:webHidden/>
              </w:rPr>
              <w:tab/>
            </w:r>
            <w:r>
              <w:rPr>
                <w:noProof/>
                <w:webHidden/>
              </w:rPr>
              <w:fldChar w:fldCharType="begin"/>
            </w:r>
            <w:r>
              <w:rPr>
                <w:noProof/>
                <w:webHidden/>
              </w:rPr>
              <w:instrText xml:space="preserve"> PAGEREF _Toc485712759 \h </w:instrText>
            </w:r>
            <w:r>
              <w:rPr>
                <w:noProof/>
                <w:webHidden/>
              </w:rPr>
            </w:r>
            <w:r>
              <w:rPr>
                <w:noProof/>
                <w:webHidden/>
              </w:rPr>
              <w:fldChar w:fldCharType="separate"/>
            </w:r>
            <w:r>
              <w:rPr>
                <w:noProof/>
                <w:webHidden/>
              </w:rPr>
              <w:t>64</w:t>
            </w:r>
            <w:r>
              <w:rPr>
                <w:noProof/>
                <w:webHidden/>
              </w:rPr>
              <w:fldChar w:fldCharType="end"/>
            </w:r>
          </w:hyperlink>
        </w:p>
        <w:p w14:paraId="472CBBC5" w14:textId="77777777" w:rsidR="00C643FE" w:rsidRDefault="00C643FE">
          <w:pPr>
            <w:pStyle w:val="TOC3"/>
            <w:tabs>
              <w:tab w:val="left" w:pos="1320"/>
              <w:tab w:val="right" w:leader="dot" w:pos="8494"/>
            </w:tabs>
            <w:rPr>
              <w:rFonts w:eastAsiaTheme="minorEastAsia"/>
              <w:noProof/>
              <w:sz w:val="22"/>
              <w:lang w:eastAsia="en-GB"/>
            </w:rPr>
          </w:pPr>
          <w:hyperlink w:anchor="_Toc485712760" w:history="1">
            <w:r w:rsidRPr="006C6A77">
              <w:rPr>
                <w:rStyle w:val="Hyperlink"/>
                <w:noProof/>
                <w14:scene3d>
                  <w14:camera w14:prst="orthographicFront"/>
                  <w14:lightRig w14:rig="threePt" w14:dir="t">
                    <w14:rot w14:lat="0" w14:lon="0" w14:rev="0"/>
                  </w14:lightRig>
                </w14:scene3d>
              </w:rPr>
              <w:t>1.6.1</w:t>
            </w:r>
            <w:r>
              <w:rPr>
                <w:rFonts w:eastAsiaTheme="minorEastAsia"/>
                <w:noProof/>
                <w:sz w:val="22"/>
                <w:lang w:eastAsia="en-GB"/>
              </w:rPr>
              <w:tab/>
            </w:r>
            <w:r w:rsidRPr="006C6A77">
              <w:rPr>
                <w:rStyle w:val="Hyperlink"/>
                <w:noProof/>
              </w:rPr>
              <w:t>Counteraction of urea by methylamines</w:t>
            </w:r>
            <w:r>
              <w:rPr>
                <w:noProof/>
                <w:webHidden/>
              </w:rPr>
              <w:tab/>
            </w:r>
            <w:r>
              <w:rPr>
                <w:noProof/>
                <w:webHidden/>
              </w:rPr>
              <w:fldChar w:fldCharType="begin"/>
            </w:r>
            <w:r>
              <w:rPr>
                <w:noProof/>
                <w:webHidden/>
              </w:rPr>
              <w:instrText xml:space="preserve"> PAGEREF _Toc485712760 \h </w:instrText>
            </w:r>
            <w:r>
              <w:rPr>
                <w:noProof/>
                <w:webHidden/>
              </w:rPr>
            </w:r>
            <w:r>
              <w:rPr>
                <w:noProof/>
                <w:webHidden/>
              </w:rPr>
              <w:fldChar w:fldCharType="separate"/>
            </w:r>
            <w:r>
              <w:rPr>
                <w:noProof/>
                <w:webHidden/>
              </w:rPr>
              <w:t>65</w:t>
            </w:r>
            <w:r>
              <w:rPr>
                <w:noProof/>
                <w:webHidden/>
              </w:rPr>
              <w:fldChar w:fldCharType="end"/>
            </w:r>
          </w:hyperlink>
        </w:p>
        <w:p w14:paraId="1A2C5168" w14:textId="77777777" w:rsidR="00C643FE" w:rsidRDefault="00C643FE">
          <w:pPr>
            <w:pStyle w:val="TOC3"/>
            <w:tabs>
              <w:tab w:val="left" w:pos="1320"/>
              <w:tab w:val="right" w:leader="dot" w:pos="8494"/>
            </w:tabs>
            <w:rPr>
              <w:rFonts w:eastAsiaTheme="minorEastAsia"/>
              <w:noProof/>
              <w:sz w:val="22"/>
              <w:lang w:eastAsia="en-GB"/>
            </w:rPr>
          </w:pPr>
          <w:hyperlink w:anchor="_Toc485712761" w:history="1">
            <w:r w:rsidRPr="006C6A77">
              <w:rPr>
                <w:rStyle w:val="Hyperlink"/>
                <w:noProof/>
                <w14:scene3d>
                  <w14:camera w14:prst="orthographicFront"/>
                  <w14:lightRig w14:rig="threePt" w14:dir="t">
                    <w14:rot w14:lat="0" w14:lon="0" w14:rev="0"/>
                  </w14:lightRig>
                </w14:scene3d>
              </w:rPr>
              <w:t>1.6.2</w:t>
            </w:r>
            <w:r>
              <w:rPr>
                <w:rFonts w:eastAsiaTheme="minorEastAsia"/>
                <w:noProof/>
                <w:sz w:val="22"/>
                <w:lang w:eastAsia="en-GB"/>
              </w:rPr>
              <w:tab/>
            </w:r>
            <w:r w:rsidRPr="006C6A77">
              <w:rPr>
                <w:rStyle w:val="Hyperlink"/>
                <w:noProof/>
              </w:rPr>
              <w:t>Arginine-glutamic acid mixtures in biopharmaceutical formulations</w:t>
            </w:r>
            <w:r>
              <w:rPr>
                <w:noProof/>
                <w:webHidden/>
              </w:rPr>
              <w:tab/>
            </w:r>
            <w:r>
              <w:rPr>
                <w:noProof/>
                <w:webHidden/>
              </w:rPr>
              <w:fldChar w:fldCharType="begin"/>
            </w:r>
            <w:r>
              <w:rPr>
                <w:noProof/>
                <w:webHidden/>
              </w:rPr>
              <w:instrText xml:space="preserve"> PAGEREF _Toc485712761 \h </w:instrText>
            </w:r>
            <w:r>
              <w:rPr>
                <w:noProof/>
                <w:webHidden/>
              </w:rPr>
            </w:r>
            <w:r>
              <w:rPr>
                <w:noProof/>
                <w:webHidden/>
              </w:rPr>
              <w:fldChar w:fldCharType="separate"/>
            </w:r>
            <w:r>
              <w:rPr>
                <w:noProof/>
                <w:webHidden/>
              </w:rPr>
              <w:t>66</w:t>
            </w:r>
            <w:r>
              <w:rPr>
                <w:noProof/>
                <w:webHidden/>
              </w:rPr>
              <w:fldChar w:fldCharType="end"/>
            </w:r>
          </w:hyperlink>
        </w:p>
        <w:p w14:paraId="313BB848" w14:textId="77777777" w:rsidR="00C643FE" w:rsidRDefault="00C643FE">
          <w:pPr>
            <w:pStyle w:val="TOC3"/>
            <w:tabs>
              <w:tab w:val="left" w:pos="1320"/>
              <w:tab w:val="right" w:leader="dot" w:pos="8494"/>
            </w:tabs>
            <w:rPr>
              <w:rFonts w:eastAsiaTheme="minorEastAsia"/>
              <w:noProof/>
              <w:sz w:val="22"/>
              <w:lang w:eastAsia="en-GB"/>
            </w:rPr>
          </w:pPr>
          <w:hyperlink w:anchor="_Toc485712762" w:history="1">
            <w:r w:rsidRPr="006C6A77">
              <w:rPr>
                <w:rStyle w:val="Hyperlink"/>
                <w:noProof/>
                <w14:scene3d>
                  <w14:camera w14:prst="orthographicFront"/>
                  <w14:lightRig w14:rig="threePt" w14:dir="t">
                    <w14:rot w14:lat="0" w14:lon="0" w14:rev="0"/>
                  </w14:lightRig>
                </w14:scene3d>
              </w:rPr>
              <w:t>1.6.3</w:t>
            </w:r>
            <w:r>
              <w:rPr>
                <w:rFonts w:eastAsiaTheme="minorEastAsia"/>
                <w:noProof/>
                <w:sz w:val="22"/>
                <w:lang w:eastAsia="en-GB"/>
              </w:rPr>
              <w:tab/>
            </w:r>
            <w:r w:rsidRPr="006C6A77">
              <w:rPr>
                <w:rStyle w:val="Hyperlink"/>
                <w:noProof/>
              </w:rPr>
              <w:t>Other mixtures</w:t>
            </w:r>
            <w:r>
              <w:rPr>
                <w:noProof/>
                <w:webHidden/>
              </w:rPr>
              <w:tab/>
            </w:r>
            <w:r>
              <w:rPr>
                <w:noProof/>
                <w:webHidden/>
              </w:rPr>
              <w:fldChar w:fldCharType="begin"/>
            </w:r>
            <w:r>
              <w:rPr>
                <w:noProof/>
                <w:webHidden/>
              </w:rPr>
              <w:instrText xml:space="preserve"> PAGEREF _Toc485712762 \h </w:instrText>
            </w:r>
            <w:r>
              <w:rPr>
                <w:noProof/>
                <w:webHidden/>
              </w:rPr>
            </w:r>
            <w:r>
              <w:rPr>
                <w:noProof/>
                <w:webHidden/>
              </w:rPr>
              <w:fldChar w:fldCharType="separate"/>
            </w:r>
            <w:r>
              <w:rPr>
                <w:noProof/>
                <w:webHidden/>
              </w:rPr>
              <w:t>67</w:t>
            </w:r>
            <w:r>
              <w:rPr>
                <w:noProof/>
                <w:webHidden/>
              </w:rPr>
              <w:fldChar w:fldCharType="end"/>
            </w:r>
          </w:hyperlink>
        </w:p>
        <w:p w14:paraId="5B197028" w14:textId="77777777" w:rsidR="00C643FE" w:rsidRDefault="00C643FE">
          <w:pPr>
            <w:pStyle w:val="TOC2"/>
            <w:tabs>
              <w:tab w:val="left" w:pos="880"/>
              <w:tab w:val="right" w:leader="dot" w:pos="8494"/>
            </w:tabs>
            <w:rPr>
              <w:rFonts w:eastAsiaTheme="minorEastAsia"/>
              <w:noProof/>
              <w:sz w:val="22"/>
              <w:lang w:eastAsia="en-GB"/>
            </w:rPr>
          </w:pPr>
          <w:hyperlink w:anchor="_Toc485712763" w:history="1">
            <w:r w:rsidRPr="006C6A77">
              <w:rPr>
                <w:rStyle w:val="Hyperlink"/>
                <w:noProof/>
                <w:lang w:bidi="x-none"/>
                <w14:scene3d>
                  <w14:camera w14:prst="orthographicFront"/>
                  <w14:lightRig w14:rig="threePt" w14:dir="t">
                    <w14:rot w14:lat="0" w14:lon="0" w14:rev="0"/>
                  </w14:lightRig>
                </w14:scene3d>
              </w:rPr>
              <w:t>1.7</w:t>
            </w:r>
            <w:r>
              <w:rPr>
                <w:rFonts w:eastAsiaTheme="minorEastAsia"/>
                <w:noProof/>
                <w:sz w:val="22"/>
                <w:lang w:eastAsia="en-GB"/>
              </w:rPr>
              <w:tab/>
            </w:r>
            <w:r w:rsidRPr="006C6A77">
              <w:rPr>
                <w:rStyle w:val="Hyperlink"/>
                <w:noProof/>
              </w:rPr>
              <w:t>Cosolutes studied in this thesis</w:t>
            </w:r>
            <w:r>
              <w:rPr>
                <w:noProof/>
                <w:webHidden/>
              </w:rPr>
              <w:tab/>
            </w:r>
            <w:r>
              <w:rPr>
                <w:noProof/>
                <w:webHidden/>
              </w:rPr>
              <w:fldChar w:fldCharType="begin"/>
            </w:r>
            <w:r>
              <w:rPr>
                <w:noProof/>
                <w:webHidden/>
              </w:rPr>
              <w:instrText xml:space="preserve"> PAGEREF _Toc485712763 \h </w:instrText>
            </w:r>
            <w:r>
              <w:rPr>
                <w:noProof/>
                <w:webHidden/>
              </w:rPr>
            </w:r>
            <w:r>
              <w:rPr>
                <w:noProof/>
                <w:webHidden/>
              </w:rPr>
              <w:fldChar w:fldCharType="separate"/>
            </w:r>
            <w:r>
              <w:rPr>
                <w:noProof/>
                <w:webHidden/>
              </w:rPr>
              <w:t>68</w:t>
            </w:r>
            <w:r>
              <w:rPr>
                <w:noProof/>
                <w:webHidden/>
              </w:rPr>
              <w:fldChar w:fldCharType="end"/>
            </w:r>
          </w:hyperlink>
        </w:p>
        <w:p w14:paraId="79F08BBD" w14:textId="77777777" w:rsidR="00C643FE" w:rsidRDefault="00C643FE">
          <w:pPr>
            <w:pStyle w:val="TOC3"/>
            <w:tabs>
              <w:tab w:val="left" w:pos="1320"/>
              <w:tab w:val="right" w:leader="dot" w:pos="8494"/>
            </w:tabs>
            <w:rPr>
              <w:rFonts w:eastAsiaTheme="minorEastAsia"/>
              <w:noProof/>
              <w:sz w:val="22"/>
              <w:lang w:eastAsia="en-GB"/>
            </w:rPr>
          </w:pPr>
          <w:hyperlink w:anchor="_Toc485712764" w:history="1">
            <w:r w:rsidRPr="006C6A77">
              <w:rPr>
                <w:rStyle w:val="Hyperlink"/>
                <w:noProof/>
                <w14:scene3d>
                  <w14:camera w14:prst="orthographicFront"/>
                  <w14:lightRig w14:rig="threePt" w14:dir="t">
                    <w14:rot w14:lat="0" w14:lon="0" w14:rev="0"/>
                  </w14:lightRig>
                </w14:scene3d>
              </w:rPr>
              <w:t>1.7.1</w:t>
            </w:r>
            <w:r>
              <w:rPr>
                <w:rFonts w:eastAsiaTheme="minorEastAsia"/>
                <w:noProof/>
                <w:sz w:val="22"/>
                <w:lang w:eastAsia="en-GB"/>
              </w:rPr>
              <w:tab/>
            </w:r>
            <w:r w:rsidRPr="006C6A77">
              <w:rPr>
                <w:rStyle w:val="Hyperlink"/>
                <w:noProof/>
              </w:rPr>
              <w:t>Arginine</w:t>
            </w:r>
            <w:r>
              <w:rPr>
                <w:noProof/>
                <w:webHidden/>
              </w:rPr>
              <w:tab/>
            </w:r>
            <w:r>
              <w:rPr>
                <w:noProof/>
                <w:webHidden/>
              </w:rPr>
              <w:fldChar w:fldCharType="begin"/>
            </w:r>
            <w:r>
              <w:rPr>
                <w:noProof/>
                <w:webHidden/>
              </w:rPr>
              <w:instrText xml:space="preserve"> PAGEREF _Toc485712764 \h </w:instrText>
            </w:r>
            <w:r>
              <w:rPr>
                <w:noProof/>
                <w:webHidden/>
              </w:rPr>
            </w:r>
            <w:r>
              <w:rPr>
                <w:noProof/>
                <w:webHidden/>
              </w:rPr>
              <w:fldChar w:fldCharType="separate"/>
            </w:r>
            <w:r>
              <w:rPr>
                <w:noProof/>
                <w:webHidden/>
              </w:rPr>
              <w:t>68</w:t>
            </w:r>
            <w:r>
              <w:rPr>
                <w:noProof/>
                <w:webHidden/>
              </w:rPr>
              <w:fldChar w:fldCharType="end"/>
            </w:r>
          </w:hyperlink>
        </w:p>
        <w:p w14:paraId="1C2DD05E" w14:textId="77777777" w:rsidR="00C643FE" w:rsidRDefault="00C643FE">
          <w:pPr>
            <w:pStyle w:val="TOC3"/>
            <w:tabs>
              <w:tab w:val="left" w:pos="1320"/>
              <w:tab w:val="right" w:leader="dot" w:pos="8494"/>
            </w:tabs>
            <w:rPr>
              <w:rFonts w:eastAsiaTheme="minorEastAsia"/>
              <w:noProof/>
              <w:sz w:val="22"/>
              <w:lang w:eastAsia="en-GB"/>
            </w:rPr>
          </w:pPr>
          <w:hyperlink w:anchor="_Toc485712765" w:history="1">
            <w:r w:rsidRPr="006C6A77">
              <w:rPr>
                <w:rStyle w:val="Hyperlink"/>
                <w:noProof/>
                <w14:scene3d>
                  <w14:camera w14:prst="orthographicFront"/>
                  <w14:lightRig w14:rig="threePt" w14:dir="t">
                    <w14:rot w14:lat="0" w14:lon="0" w14:rev="0"/>
                  </w14:lightRig>
                </w14:scene3d>
              </w:rPr>
              <w:t>1.7.2</w:t>
            </w:r>
            <w:r>
              <w:rPr>
                <w:rFonts w:eastAsiaTheme="minorEastAsia"/>
                <w:noProof/>
                <w:sz w:val="22"/>
                <w:lang w:eastAsia="en-GB"/>
              </w:rPr>
              <w:tab/>
            </w:r>
            <w:r w:rsidRPr="006C6A77">
              <w:rPr>
                <w:rStyle w:val="Hyperlink"/>
                <w:noProof/>
              </w:rPr>
              <w:t>Glycine</w:t>
            </w:r>
            <w:r>
              <w:rPr>
                <w:noProof/>
                <w:webHidden/>
              </w:rPr>
              <w:tab/>
            </w:r>
            <w:r>
              <w:rPr>
                <w:noProof/>
                <w:webHidden/>
              </w:rPr>
              <w:fldChar w:fldCharType="begin"/>
            </w:r>
            <w:r>
              <w:rPr>
                <w:noProof/>
                <w:webHidden/>
              </w:rPr>
              <w:instrText xml:space="preserve"> PAGEREF _Toc485712765 \h </w:instrText>
            </w:r>
            <w:r>
              <w:rPr>
                <w:noProof/>
                <w:webHidden/>
              </w:rPr>
            </w:r>
            <w:r>
              <w:rPr>
                <w:noProof/>
                <w:webHidden/>
              </w:rPr>
              <w:fldChar w:fldCharType="separate"/>
            </w:r>
            <w:r>
              <w:rPr>
                <w:noProof/>
                <w:webHidden/>
              </w:rPr>
              <w:t>73</w:t>
            </w:r>
            <w:r>
              <w:rPr>
                <w:noProof/>
                <w:webHidden/>
              </w:rPr>
              <w:fldChar w:fldCharType="end"/>
            </w:r>
          </w:hyperlink>
        </w:p>
        <w:p w14:paraId="249F5F9F" w14:textId="77777777" w:rsidR="00C643FE" w:rsidRDefault="00C643FE">
          <w:pPr>
            <w:pStyle w:val="TOC3"/>
            <w:tabs>
              <w:tab w:val="left" w:pos="1320"/>
              <w:tab w:val="right" w:leader="dot" w:pos="8494"/>
            </w:tabs>
            <w:rPr>
              <w:rFonts w:eastAsiaTheme="minorEastAsia"/>
              <w:noProof/>
              <w:sz w:val="22"/>
              <w:lang w:eastAsia="en-GB"/>
            </w:rPr>
          </w:pPr>
          <w:hyperlink w:anchor="_Toc485712766" w:history="1">
            <w:r w:rsidRPr="006C6A77">
              <w:rPr>
                <w:rStyle w:val="Hyperlink"/>
                <w:noProof/>
                <w14:scene3d>
                  <w14:camera w14:prst="orthographicFront"/>
                  <w14:lightRig w14:rig="threePt" w14:dir="t">
                    <w14:rot w14:lat="0" w14:lon="0" w14:rev="0"/>
                  </w14:lightRig>
                </w14:scene3d>
              </w:rPr>
              <w:t>1.7.3</w:t>
            </w:r>
            <w:r>
              <w:rPr>
                <w:rFonts w:eastAsiaTheme="minorEastAsia"/>
                <w:noProof/>
                <w:sz w:val="22"/>
                <w:lang w:eastAsia="en-GB"/>
              </w:rPr>
              <w:tab/>
            </w:r>
            <w:r w:rsidRPr="006C6A77">
              <w:rPr>
                <w:rStyle w:val="Hyperlink"/>
                <w:noProof/>
              </w:rPr>
              <w:t>Guanidine hydrochloride</w:t>
            </w:r>
            <w:r>
              <w:rPr>
                <w:noProof/>
                <w:webHidden/>
              </w:rPr>
              <w:tab/>
            </w:r>
            <w:r>
              <w:rPr>
                <w:noProof/>
                <w:webHidden/>
              </w:rPr>
              <w:fldChar w:fldCharType="begin"/>
            </w:r>
            <w:r>
              <w:rPr>
                <w:noProof/>
                <w:webHidden/>
              </w:rPr>
              <w:instrText xml:space="preserve"> PAGEREF _Toc485712766 \h </w:instrText>
            </w:r>
            <w:r>
              <w:rPr>
                <w:noProof/>
                <w:webHidden/>
              </w:rPr>
            </w:r>
            <w:r>
              <w:rPr>
                <w:noProof/>
                <w:webHidden/>
              </w:rPr>
              <w:fldChar w:fldCharType="separate"/>
            </w:r>
            <w:r>
              <w:rPr>
                <w:noProof/>
                <w:webHidden/>
              </w:rPr>
              <w:t>74</w:t>
            </w:r>
            <w:r>
              <w:rPr>
                <w:noProof/>
                <w:webHidden/>
              </w:rPr>
              <w:fldChar w:fldCharType="end"/>
            </w:r>
          </w:hyperlink>
        </w:p>
        <w:p w14:paraId="11241674" w14:textId="77777777" w:rsidR="00C643FE" w:rsidRDefault="00C643FE">
          <w:pPr>
            <w:pStyle w:val="TOC3"/>
            <w:tabs>
              <w:tab w:val="left" w:pos="1320"/>
              <w:tab w:val="right" w:leader="dot" w:pos="8494"/>
            </w:tabs>
            <w:rPr>
              <w:rFonts w:eastAsiaTheme="minorEastAsia"/>
              <w:noProof/>
              <w:sz w:val="22"/>
              <w:lang w:eastAsia="en-GB"/>
            </w:rPr>
          </w:pPr>
          <w:hyperlink w:anchor="_Toc485712767" w:history="1">
            <w:r w:rsidRPr="006C6A77">
              <w:rPr>
                <w:rStyle w:val="Hyperlink"/>
                <w:noProof/>
                <w14:scene3d>
                  <w14:camera w14:prst="orthographicFront"/>
                  <w14:lightRig w14:rig="threePt" w14:dir="t">
                    <w14:rot w14:lat="0" w14:lon="0" w14:rev="0"/>
                  </w14:lightRig>
                </w14:scene3d>
              </w:rPr>
              <w:t>1.7.4</w:t>
            </w:r>
            <w:r>
              <w:rPr>
                <w:rFonts w:eastAsiaTheme="minorEastAsia"/>
                <w:noProof/>
                <w:sz w:val="22"/>
                <w:lang w:eastAsia="en-GB"/>
              </w:rPr>
              <w:tab/>
            </w:r>
            <w:r w:rsidRPr="006C6A77">
              <w:rPr>
                <w:rStyle w:val="Hyperlink"/>
                <w:noProof/>
              </w:rPr>
              <w:t>Lysine</w:t>
            </w:r>
            <w:r>
              <w:rPr>
                <w:noProof/>
                <w:webHidden/>
              </w:rPr>
              <w:tab/>
            </w:r>
            <w:r>
              <w:rPr>
                <w:noProof/>
                <w:webHidden/>
              </w:rPr>
              <w:fldChar w:fldCharType="begin"/>
            </w:r>
            <w:r>
              <w:rPr>
                <w:noProof/>
                <w:webHidden/>
              </w:rPr>
              <w:instrText xml:space="preserve"> PAGEREF _Toc485712767 \h </w:instrText>
            </w:r>
            <w:r>
              <w:rPr>
                <w:noProof/>
                <w:webHidden/>
              </w:rPr>
            </w:r>
            <w:r>
              <w:rPr>
                <w:noProof/>
                <w:webHidden/>
              </w:rPr>
              <w:fldChar w:fldCharType="separate"/>
            </w:r>
            <w:r>
              <w:rPr>
                <w:noProof/>
                <w:webHidden/>
              </w:rPr>
              <w:t>74</w:t>
            </w:r>
            <w:r>
              <w:rPr>
                <w:noProof/>
                <w:webHidden/>
              </w:rPr>
              <w:fldChar w:fldCharType="end"/>
            </w:r>
          </w:hyperlink>
        </w:p>
        <w:p w14:paraId="307E22C1" w14:textId="77777777" w:rsidR="00C643FE" w:rsidRDefault="00C643FE">
          <w:pPr>
            <w:pStyle w:val="TOC3"/>
            <w:tabs>
              <w:tab w:val="left" w:pos="1320"/>
              <w:tab w:val="right" w:leader="dot" w:pos="8494"/>
            </w:tabs>
            <w:rPr>
              <w:rFonts w:eastAsiaTheme="minorEastAsia"/>
              <w:noProof/>
              <w:sz w:val="22"/>
              <w:lang w:eastAsia="en-GB"/>
            </w:rPr>
          </w:pPr>
          <w:hyperlink w:anchor="_Toc485712768" w:history="1">
            <w:r w:rsidRPr="006C6A77">
              <w:rPr>
                <w:rStyle w:val="Hyperlink"/>
                <w:noProof/>
                <w14:scene3d>
                  <w14:camera w14:prst="orthographicFront"/>
                  <w14:lightRig w14:rig="threePt" w14:dir="t">
                    <w14:rot w14:lat="0" w14:lon="0" w14:rev="0"/>
                  </w14:lightRig>
                </w14:scene3d>
              </w:rPr>
              <w:t>1.7.5</w:t>
            </w:r>
            <w:r>
              <w:rPr>
                <w:rFonts w:eastAsiaTheme="minorEastAsia"/>
                <w:noProof/>
                <w:sz w:val="22"/>
                <w:lang w:eastAsia="en-GB"/>
              </w:rPr>
              <w:tab/>
            </w:r>
            <w:r w:rsidRPr="006C6A77">
              <w:rPr>
                <w:rStyle w:val="Hyperlink"/>
                <w:noProof/>
              </w:rPr>
              <w:t>Histidine &amp; Imidazole</w:t>
            </w:r>
            <w:r>
              <w:rPr>
                <w:noProof/>
                <w:webHidden/>
              </w:rPr>
              <w:tab/>
            </w:r>
            <w:r>
              <w:rPr>
                <w:noProof/>
                <w:webHidden/>
              </w:rPr>
              <w:fldChar w:fldCharType="begin"/>
            </w:r>
            <w:r>
              <w:rPr>
                <w:noProof/>
                <w:webHidden/>
              </w:rPr>
              <w:instrText xml:space="preserve"> PAGEREF _Toc485712768 \h </w:instrText>
            </w:r>
            <w:r>
              <w:rPr>
                <w:noProof/>
                <w:webHidden/>
              </w:rPr>
            </w:r>
            <w:r>
              <w:rPr>
                <w:noProof/>
                <w:webHidden/>
              </w:rPr>
              <w:fldChar w:fldCharType="separate"/>
            </w:r>
            <w:r>
              <w:rPr>
                <w:noProof/>
                <w:webHidden/>
              </w:rPr>
              <w:t>75</w:t>
            </w:r>
            <w:r>
              <w:rPr>
                <w:noProof/>
                <w:webHidden/>
              </w:rPr>
              <w:fldChar w:fldCharType="end"/>
            </w:r>
          </w:hyperlink>
        </w:p>
        <w:p w14:paraId="72080BF2" w14:textId="77777777" w:rsidR="00C643FE" w:rsidRDefault="00C643FE">
          <w:pPr>
            <w:pStyle w:val="TOC2"/>
            <w:tabs>
              <w:tab w:val="left" w:pos="880"/>
              <w:tab w:val="right" w:leader="dot" w:pos="8494"/>
            </w:tabs>
            <w:rPr>
              <w:rFonts w:eastAsiaTheme="minorEastAsia"/>
              <w:noProof/>
              <w:sz w:val="22"/>
              <w:lang w:eastAsia="en-GB"/>
            </w:rPr>
          </w:pPr>
          <w:hyperlink w:anchor="_Toc485712769" w:history="1">
            <w:r w:rsidRPr="006C6A77">
              <w:rPr>
                <w:rStyle w:val="Hyperlink"/>
                <w:noProof/>
                <w:lang w:bidi="x-none"/>
                <w14:scene3d>
                  <w14:camera w14:prst="orthographicFront"/>
                  <w14:lightRig w14:rig="threePt" w14:dir="t">
                    <w14:rot w14:lat="0" w14:lon="0" w14:rev="0"/>
                  </w14:lightRig>
                </w14:scene3d>
              </w:rPr>
              <w:t>1.8</w:t>
            </w:r>
            <w:r>
              <w:rPr>
                <w:rFonts w:eastAsiaTheme="minorEastAsia"/>
                <w:noProof/>
                <w:sz w:val="22"/>
                <w:lang w:eastAsia="en-GB"/>
              </w:rPr>
              <w:tab/>
            </w:r>
            <w:r w:rsidRPr="006C6A77">
              <w:rPr>
                <w:rStyle w:val="Hyperlink"/>
                <w:noProof/>
              </w:rPr>
              <w:t>Aims of this thesis</w:t>
            </w:r>
            <w:r>
              <w:rPr>
                <w:noProof/>
                <w:webHidden/>
              </w:rPr>
              <w:tab/>
            </w:r>
            <w:r>
              <w:rPr>
                <w:noProof/>
                <w:webHidden/>
              </w:rPr>
              <w:fldChar w:fldCharType="begin"/>
            </w:r>
            <w:r>
              <w:rPr>
                <w:noProof/>
                <w:webHidden/>
              </w:rPr>
              <w:instrText xml:space="preserve"> PAGEREF _Toc485712769 \h </w:instrText>
            </w:r>
            <w:r>
              <w:rPr>
                <w:noProof/>
                <w:webHidden/>
              </w:rPr>
            </w:r>
            <w:r>
              <w:rPr>
                <w:noProof/>
                <w:webHidden/>
              </w:rPr>
              <w:fldChar w:fldCharType="separate"/>
            </w:r>
            <w:r>
              <w:rPr>
                <w:noProof/>
                <w:webHidden/>
              </w:rPr>
              <w:t>76</w:t>
            </w:r>
            <w:r>
              <w:rPr>
                <w:noProof/>
                <w:webHidden/>
              </w:rPr>
              <w:fldChar w:fldCharType="end"/>
            </w:r>
          </w:hyperlink>
        </w:p>
        <w:p w14:paraId="39BF27D8" w14:textId="77777777" w:rsidR="00C643FE" w:rsidRDefault="00C643FE">
          <w:pPr>
            <w:pStyle w:val="TOC1"/>
            <w:tabs>
              <w:tab w:val="left" w:pos="480"/>
              <w:tab w:val="right" w:leader="dot" w:pos="8494"/>
            </w:tabs>
            <w:rPr>
              <w:rFonts w:eastAsiaTheme="minorEastAsia"/>
              <w:noProof/>
              <w:sz w:val="22"/>
              <w:lang w:eastAsia="en-GB"/>
            </w:rPr>
          </w:pPr>
          <w:hyperlink w:anchor="_Toc485712770" w:history="1">
            <w:r w:rsidRPr="006C6A77">
              <w:rPr>
                <w:rStyle w:val="Hyperlink"/>
                <w:noProof/>
              </w:rPr>
              <w:t>2</w:t>
            </w:r>
            <w:r>
              <w:rPr>
                <w:rFonts w:eastAsiaTheme="minorEastAsia"/>
                <w:noProof/>
                <w:sz w:val="22"/>
                <w:lang w:eastAsia="en-GB"/>
              </w:rPr>
              <w:tab/>
            </w:r>
            <w:r w:rsidRPr="006C6A77">
              <w:rPr>
                <w:rStyle w:val="Hyperlink"/>
                <w:noProof/>
              </w:rPr>
              <w:t>Theory and methodology of experimental techniques</w:t>
            </w:r>
            <w:r>
              <w:rPr>
                <w:noProof/>
                <w:webHidden/>
              </w:rPr>
              <w:tab/>
            </w:r>
            <w:r>
              <w:rPr>
                <w:noProof/>
                <w:webHidden/>
              </w:rPr>
              <w:fldChar w:fldCharType="begin"/>
            </w:r>
            <w:r>
              <w:rPr>
                <w:noProof/>
                <w:webHidden/>
              </w:rPr>
              <w:instrText xml:space="preserve"> PAGEREF _Toc485712770 \h </w:instrText>
            </w:r>
            <w:r>
              <w:rPr>
                <w:noProof/>
                <w:webHidden/>
              </w:rPr>
            </w:r>
            <w:r>
              <w:rPr>
                <w:noProof/>
                <w:webHidden/>
              </w:rPr>
              <w:fldChar w:fldCharType="separate"/>
            </w:r>
            <w:r>
              <w:rPr>
                <w:noProof/>
                <w:webHidden/>
              </w:rPr>
              <w:t>78</w:t>
            </w:r>
            <w:r>
              <w:rPr>
                <w:noProof/>
                <w:webHidden/>
              </w:rPr>
              <w:fldChar w:fldCharType="end"/>
            </w:r>
          </w:hyperlink>
        </w:p>
        <w:p w14:paraId="756856B8" w14:textId="77777777" w:rsidR="00C643FE" w:rsidRDefault="00C643FE">
          <w:pPr>
            <w:pStyle w:val="TOC2"/>
            <w:tabs>
              <w:tab w:val="left" w:pos="880"/>
              <w:tab w:val="right" w:leader="dot" w:pos="8494"/>
            </w:tabs>
            <w:rPr>
              <w:rFonts w:eastAsiaTheme="minorEastAsia"/>
              <w:noProof/>
              <w:sz w:val="22"/>
              <w:lang w:eastAsia="en-GB"/>
            </w:rPr>
          </w:pPr>
          <w:hyperlink w:anchor="_Toc485712771" w:history="1">
            <w:r w:rsidRPr="006C6A77">
              <w:rPr>
                <w:rStyle w:val="Hyperlink"/>
                <w:noProof/>
                <w:lang w:bidi="x-none"/>
                <w14:scene3d>
                  <w14:camera w14:prst="orthographicFront"/>
                  <w14:lightRig w14:rig="threePt" w14:dir="t">
                    <w14:rot w14:lat="0" w14:lon="0" w14:rev="0"/>
                  </w14:lightRig>
                </w14:scene3d>
              </w:rPr>
              <w:t>2.1</w:t>
            </w:r>
            <w:r>
              <w:rPr>
                <w:rFonts w:eastAsiaTheme="minorEastAsia"/>
                <w:noProof/>
                <w:sz w:val="22"/>
                <w:lang w:eastAsia="en-GB"/>
              </w:rPr>
              <w:tab/>
            </w:r>
            <w:r w:rsidRPr="006C6A77">
              <w:rPr>
                <w:rStyle w:val="Hyperlink"/>
                <w:noProof/>
              </w:rPr>
              <w:t>Differential Scanning Calorimetry</w:t>
            </w:r>
            <w:r>
              <w:rPr>
                <w:noProof/>
                <w:webHidden/>
              </w:rPr>
              <w:tab/>
            </w:r>
            <w:r>
              <w:rPr>
                <w:noProof/>
                <w:webHidden/>
              </w:rPr>
              <w:fldChar w:fldCharType="begin"/>
            </w:r>
            <w:r>
              <w:rPr>
                <w:noProof/>
                <w:webHidden/>
              </w:rPr>
              <w:instrText xml:space="preserve"> PAGEREF _Toc485712771 \h </w:instrText>
            </w:r>
            <w:r>
              <w:rPr>
                <w:noProof/>
                <w:webHidden/>
              </w:rPr>
            </w:r>
            <w:r>
              <w:rPr>
                <w:noProof/>
                <w:webHidden/>
              </w:rPr>
              <w:fldChar w:fldCharType="separate"/>
            </w:r>
            <w:r>
              <w:rPr>
                <w:noProof/>
                <w:webHidden/>
              </w:rPr>
              <w:t>79</w:t>
            </w:r>
            <w:r>
              <w:rPr>
                <w:noProof/>
                <w:webHidden/>
              </w:rPr>
              <w:fldChar w:fldCharType="end"/>
            </w:r>
          </w:hyperlink>
        </w:p>
        <w:p w14:paraId="3ED3B519" w14:textId="77777777" w:rsidR="00C643FE" w:rsidRDefault="00C643FE">
          <w:pPr>
            <w:pStyle w:val="TOC3"/>
            <w:tabs>
              <w:tab w:val="left" w:pos="1320"/>
              <w:tab w:val="right" w:leader="dot" w:pos="8494"/>
            </w:tabs>
            <w:rPr>
              <w:rFonts w:eastAsiaTheme="minorEastAsia"/>
              <w:noProof/>
              <w:sz w:val="22"/>
              <w:lang w:eastAsia="en-GB"/>
            </w:rPr>
          </w:pPr>
          <w:hyperlink w:anchor="_Toc485712772" w:history="1">
            <w:r w:rsidRPr="006C6A77">
              <w:rPr>
                <w:rStyle w:val="Hyperlink"/>
                <w:noProof/>
                <w14:scene3d>
                  <w14:camera w14:prst="orthographicFront"/>
                  <w14:lightRig w14:rig="threePt" w14:dir="t">
                    <w14:rot w14:lat="0" w14:lon="0" w14:rev="0"/>
                  </w14:lightRig>
                </w14:scene3d>
              </w:rPr>
              <w:t>2.1.1</w:t>
            </w:r>
            <w:r>
              <w:rPr>
                <w:rFonts w:eastAsiaTheme="minorEastAsia"/>
                <w:noProof/>
                <w:sz w:val="22"/>
                <w:lang w:eastAsia="en-GB"/>
              </w:rPr>
              <w:tab/>
            </w:r>
            <w:r w:rsidRPr="006C6A77">
              <w:rPr>
                <w:rStyle w:val="Hyperlink"/>
                <w:noProof/>
              </w:rPr>
              <w:t>Introduction &amp; instrumentation</w:t>
            </w:r>
            <w:r>
              <w:rPr>
                <w:noProof/>
                <w:webHidden/>
              </w:rPr>
              <w:tab/>
            </w:r>
            <w:r>
              <w:rPr>
                <w:noProof/>
                <w:webHidden/>
              </w:rPr>
              <w:fldChar w:fldCharType="begin"/>
            </w:r>
            <w:r>
              <w:rPr>
                <w:noProof/>
                <w:webHidden/>
              </w:rPr>
              <w:instrText xml:space="preserve"> PAGEREF _Toc485712772 \h </w:instrText>
            </w:r>
            <w:r>
              <w:rPr>
                <w:noProof/>
                <w:webHidden/>
              </w:rPr>
            </w:r>
            <w:r>
              <w:rPr>
                <w:noProof/>
                <w:webHidden/>
              </w:rPr>
              <w:fldChar w:fldCharType="separate"/>
            </w:r>
            <w:r>
              <w:rPr>
                <w:noProof/>
                <w:webHidden/>
              </w:rPr>
              <w:t>79</w:t>
            </w:r>
            <w:r>
              <w:rPr>
                <w:noProof/>
                <w:webHidden/>
              </w:rPr>
              <w:fldChar w:fldCharType="end"/>
            </w:r>
          </w:hyperlink>
        </w:p>
        <w:p w14:paraId="5AD75B45" w14:textId="77777777" w:rsidR="00C643FE" w:rsidRDefault="00C643FE">
          <w:pPr>
            <w:pStyle w:val="TOC3"/>
            <w:tabs>
              <w:tab w:val="left" w:pos="1320"/>
              <w:tab w:val="right" w:leader="dot" w:pos="8494"/>
            </w:tabs>
            <w:rPr>
              <w:rFonts w:eastAsiaTheme="minorEastAsia"/>
              <w:noProof/>
              <w:sz w:val="22"/>
              <w:lang w:eastAsia="en-GB"/>
            </w:rPr>
          </w:pPr>
          <w:hyperlink w:anchor="_Toc485712773" w:history="1">
            <w:r w:rsidRPr="006C6A77">
              <w:rPr>
                <w:rStyle w:val="Hyperlink"/>
                <w:noProof/>
                <w14:scene3d>
                  <w14:camera w14:prst="orthographicFront"/>
                  <w14:lightRig w14:rig="threePt" w14:dir="t">
                    <w14:rot w14:lat="0" w14:lon="0" w14:rev="0"/>
                  </w14:lightRig>
                </w14:scene3d>
              </w:rPr>
              <w:t>2.1.2</w:t>
            </w:r>
            <w:r>
              <w:rPr>
                <w:rFonts w:eastAsiaTheme="minorEastAsia"/>
                <w:noProof/>
                <w:sz w:val="22"/>
                <w:lang w:eastAsia="en-GB"/>
              </w:rPr>
              <w:tab/>
            </w:r>
            <w:r w:rsidRPr="006C6A77">
              <w:rPr>
                <w:rStyle w:val="Hyperlink"/>
                <w:noProof/>
              </w:rPr>
              <w:t>Theory</w:t>
            </w:r>
            <w:r>
              <w:rPr>
                <w:noProof/>
                <w:webHidden/>
              </w:rPr>
              <w:tab/>
            </w:r>
            <w:r>
              <w:rPr>
                <w:noProof/>
                <w:webHidden/>
              </w:rPr>
              <w:fldChar w:fldCharType="begin"/>
            </w:r>
            <w:r>
              <w:rPr>
                <w:noProof/>
                <w:webHidden/>
              </w:rPr>
              <w:instrText xml:space="preserve"> PAGEREF _Toc485712773 \h </w:instrText>
            </w:r>
            <w:r>
              <w:rPr>
                <w:noProof/>
                <w:webHidden/>
              </w:rPr>
            </w:r>
            <w:r>
              <w:rPr>
                <w:noProof/>
                <w:webHidden/>
              </w:rPr>
              <w:fldChar w:fldCharType="separate"/>
            </w:r>
            <w:r>
              <w:rPr>
                <w:noProof/>
                <w:webHidden/>
              </w:rPr>
              <w:t>80</w:t>
            </w:r>
            <w:r>
              <w:rPr>
                <w:noProof/>
                <w:webHidden/>
              </w:rPr>
              <w:fldChar w:fldCharType="end"/>
            </w:r>
          </w:hyperlink>
        </w:p>
        <w:p w14:paraId="12D54215" w14:textId="77777777" w:rsidR="00C643FE" w:rsidRDefault="00C643FE">
          <w:pPr>
            <w:pStyle w:val="TOC3"/>
            <w:tabs>
              <w:tab w:val="left" w:pos="1320"/>
              <w:tab w:val="right" w:leader="dot" w:pos="8494"/>
            </w:tabs>
            <w:rPr>
              <w:rFonts w:eastAsiaTheme="minorEastAsia"/>
              <w:noProof/>
              <w:sz w:val="22"/>
              <w:lang w:eastAsia="en-GB"/>
            </w:rPr>
          </w:pPr>
          <w:hyperlink w:anchor="_Toc485712774" w:history="1">
            <w:r w:rsidRPr="006C6A77">
              <w:rPr>
                <w:rStyle w:val="Hyperlink"/>
                <w:noProof/>
                <w14:scene3d>
                  <w14:camera w14:prst="orthographicFront"/>
                  <w14:lightRig w14:rig="threePt" w14:dir="t">
                    <w14:rot w14:lat="0" w14:lon="0" w14:rev="0"/>
                  </w14:lightRig>
                </w14:scene3d>
              </w:rPr>
              <w:t>2.1.3</w:t>
            </w:r>
            <w:r>
              <w:rPr>
                <w:rFonts w:eastAsiaTheme="minorEastAsia"/>
                <w:noProof/>
                <w:sz w:val="22"/>
                <w:lang w:eastAsia="en-GB"/>
              </w:rPr>
              <w:tab/>
            </w:r>
            <w:r w:rsidRPr="006C6A77">
              <w:rPr>
                <w:rStyle w:val="Hyperlink"/>
                <w:noProof/>
              </w:rPr>
              <w:t>Experimental design</w:t>
            </w:r>
            <w:r>
              <w:rPr>
                <w:noProof/>
                <w:webHidden/>
              </w:rPr>
              <w:tab/>
            </w:r>
            <w:r>
              <w:rPr>
                <w:noProof/>
                <w:webHidden/>
              </w:rPr>
              <w:fldChar w:fldCharType="begin"/>
            </w:r>
            <w:r>
              <w:rPr>
                <w:noProof/>
                <w:webHidden/>
              </w:rPr>
              <w:instrText xml:space="preserve"> PAGEREF _Toc485712774 \h </w:instrText>
            </w:r>
            <w:r>
              <w:rPr>
                <w:noProof/>
                <w:webHidden/>
              </w:rPr>
            </w:r>
            <w:r>
              <w:rPr>
                <w:noProof/>
                <w:webHidden/>
              </w:rPr>
              <w:fldChar w:fldCharType="separate"/>
            </w:r>
            <w:r>
              <w:rPr>
                <w:noProof/>
                <w:webHidden/>
              </w:rPr>
              <w:t>85</w:t>
            </w:r>
            <w:r>
              <w:rPr>
                <w:noProof/>
                <w:webHidden/>
              </w:rPr>
              <w:fldChar w:fldCharType="end"/>
            </w:r>
          </w:hyperlink>
        </w:p>
        <w:p w14:paraId="1A54D535" w14:textId="77777777" w:rsidR="00C643FE" w:rsidRDefault="00C643FE">
          <w:pPr>
            <w:pStyle w:val="TOC2"/>
            <w:tabs>
              <w:tab w:val="left" w:pos="880"/>
              <w:tab w:val="right" w:leader="dot" w:pos="8494"/>
            </w:tabs>
            <w:rPr>
              <w:rFonts w:eastAsiaTheme="minorEastAsia"/>
              <w:noProof/>
              <w:sz w:val="22"/>
              <w:lang w:eastAsia="en-GB"/>
            </w:rPr>
          </w:pPr>
          <w:hyperlink w:anchor="_Toc485712775" w:history="1">
            <w:r w:rsidRPr="006C6A77">
              <w:rPr>
                <w:rStyle w:val="Hyperlink"/>
                <w:noProof/>
                <w:lang w:bidi="x-none"/>
                <w14:scene3d>
                  <w14:camera w14:prst="orthographicFront"/>
                  <w14:lightRig w14:rig="threePt" w14:dir="t">
                    <w14:rot w14:lat="0" w14:lon="0" w14:rev="0"/>
                  </w14:lightRig>
                </w14:scene3d>
              </w:rPr>
              <w:t>2.2</w:t>
            </w:r>
            <w:r>
              <w:rPr>
                <w:rFonts w:eastAsiaTheme="minorEastAsia"/>
                <w:noProof/>
                <w:sz w:val="22"/>
                <w:lang w:eastAsia="en-GB"/>
              </w:rPr>
              <w:tab/>
            </w:r>
            <w:r w:rsidRPr="006C6A77">
              <w:rPr>
                <w:rStyle w:val="Hyperlink"/>
                <w:noProof/>
              </w:rPr>
              <w:t>Nanoparticle Tracking Analysis</w:t>
            </w:r>
            <w:r>
              <w:rPr>
                <w:noProof/>
                <w:webHidden/>
              </w:rPr>
              <w:tab/>
            </w:r>
            <w:r>
              <w:rPr>
                <w:noProof/>
                <w:webHidden/>
              </w:rPr>
              <w:fldChar w:fldCharType="begin"/>
            </w:r>
            <w:r>
              <w:rPr>
                <w:noProof/>
                <w:webHidden/>
              </w:rPr>
              <w:instrText xml:space="preserve"> PAGEREF _Toc485712775 \h </w:instrText>
            </w:r>
            <w:r>
              <w:rPr>
                <w:noProof/>
                <w:webHidden/>
              </w:rPr>
            </w:r>
            <w:r>
              <w:rPr>
                <w:noProof/>
                <w:webHidden/>
              </w:rPr>
              <w:fldChar w:fldCharType="separate"/>
            </w:r>
            <w:r>
              <w:rPr>
                <w:noProof/>
                <w:webHidden/>
              </w:rPr>
              <w:t>86</w:t>
            </w:r>
            <w:r>
              <w:rPr>
                <w:noProof/>
                <w:webHidden/>
              </w:rPr>
              <w:fldChar w:fldCharType="end"/>
            </w:r>
          </w:hyperlink>
        </w:p>
        <w:p w14:paraId="438400DC" w14:textId="77777777" w:rsidR="00C643FE" w:rsidRDefault="00C643FE">
          <w:pPr>
            <w:pStyle w:val="TOC3"/>
            <w:tabs>
              <w:tab w:val="left" w:pos="1320"/>
              <w:tab w:val="right" w:leader="dot" w:pos="8494"/>
            </w:tabs>
            <w:rPr>
              <w:rFonts w:eastAsiaTheme="minorEastAsia"/>
              <w:noProof/>
              <w:sz w:val="22"/>
              <w:lang w:eastAsia="en-GB"/>
            </w:rPr>
          </w:pPr>
          <w:hyperlink w:anchor="_Toc485712776" w:history="1">
            <w:r w:rsidRPr="006C6A77">
              <w:rPr>
                <w:rStyle w:val="Hyperlink"/>
                <w:noProof/>
                <w14:scene3d>
                  <w14:camera w14:prst="orthographicFront"/>
                  <w14:lightRig w14:rig="threePt" w14:dir="t">
                    <w14:rot w14:lat="0" w14:lon="0" w14:rev="0"/>
                  </w14:lightRig>
                </w14:scene3d>
              </w:rPr>
              <w:t>2.2.1</w:t>
            </w:r>
            <w:r>
              <w:rPr>
                <w:rFonts w:eastAsiaTheme="minorEastAsia"/>
                <w:noProof/>
                <w:sz w:val="22"/>
                <w:lang w:eastAsia="en-GB"/>
              </w:rPr>
              <w:tab/>
            </w:r>
            <w:r w:rsidRPr="006C6A77">
              <w:rPr>
                <w:rStyle w:val="Hyperlink"/>
                <w:noProof/>
              </w:rPr>
              <w:t>Introduction &amp; instrumentation</w:t>
            </w:r>
            <w:r>
              <w:rPr>
                <w:noProof/>
                <w:webHidden/>
              </w:rPr>
              <w:tab/>
            </w:r>
            <w:r>
              <w:rPr>
                <w:noProof/>
                <w:webHidden/>
              </w:rPr>
              <w:fldChar w:fldCharType="begin"/>
            </w:r>
            <w:r>
              <w:rPr>
                <w:noProof/>
                <w:webHidden/>
              </w:rPr>
              <w:instrText xml:space="preserve"> PAGEREF _Toc485712776 \h </w:instrText>
            </w:r>
            <w:r>
              <w:rPr>
                <w:noProof/>
                <w:webHidden/>
              </w:rPr>
            </w:r>
            <w:r>
              <w:rPr>
                <w:noProof/>
                <w:webHidden/>
              </w:rPr>
              <w:fldChar w:fldCharType="separate"/>
            </w:r>
            <w:r>
              <w:rPr>
                <w:noProof/>
                <w:webHidden/>
              </w:rPr>
              <w:t>86</w:t>
            </w:r>
            <w:r>
              <w:rPr>
                <w:noProof/>
                <w:webHidden/>
              </w:rPr>
              <w:fldChar w:fldCharType="end"/>
            </w:r>
          </w:hyperlink>
        </w:p>
        <w:p w14:paraId="3A21D103" w14:textId="77777777" w:rsidR="00C643FE" w:rsidRDefault="00C643FE">
          <w:pPr>
            <w:pStyle w:val="TOC3"/>
            <w:tabs>
              <w:tab w:val="left" w:pos="1320"/>
              <w:tab w:val="right" w:leader="dot" w:pos="8494"/>
            </w:tabs>
            <w:rPr>
              <w:rFonts w:eastAsiaTheme="minorEastAsia"/>
              <w:noProof/>
              <w:sz w:val="22"/>
              <w:lang w:eastAsia="en-GB"/>
            </w:rPr>
          </w:pPr>
          <w:hyperlink w:anchor="_Toc485712777" w:history="1">
            <w:r w:rsidRPr="006C6A77">
              <w:rPr>
                <w:rStyle w:val="Hyperlink"/>
                <w:noProof/>
                <w14:scene3d>
                  <w14:camera w14:prst="orthographicFront"/>
                  <w14:lightRig w14:rig="threePt" w14:dir="t">
                    <w14:rot w14:lat="0" w14:lon="0" w14:rev="0"/>
                  </w14:lightRig>
                </w14:scene3d>
              </w:rPr>
              <w:t>2.2.2</w:t>
            </w:r>
            <w:r>
              <w:rPr>
                <w:rFonts w:eastAsiaTheme="minorEastAsia"/>
                <w:noProof/>
                <w:sz w:val="22"/>
                <w:lang w:eastAsia="en-GB"/>
              </w:rPr>
              <w:tab/>
            </w:r>
            <w:r w:rsidRPr="006C6A77">
              <w:rPr>
                <w:rStyle w:val="Hyperlink"/>
                <w:noProof/>
              </w:rPr>
              <w:t>Theory</w:t>
            </w:r>
            <w:r>
              <w:rPr>
                <w:noProof/>
                <w:webHidden/>
              </w:rPr>
              <w:tab/>
            </w:r>
            <w:r>
              <w:rPr>
                <w:noProof/>
                <w:webHidden/>
              </w:rPr>
              <w:fldChar w:fldCharType="begin"/>
            </w:r>
            <w:r>
              <w:rPr>
                <w:noProof/>
                <w:webHidden/>
              </w:rPr>
              <w:instrText xml:space="preserve"> PAGEREF _Toc485712777 \h </w:instrText>
            </w:r>
            <w:r>
              <w:rPr>
                <w:noProof/>
                <w:webHidden/>
              </w:rPr>
            </w:r>
            <w:r>
              <w:rPr>
                <w:noProof/>
                <w:webHidden/>
              </w:rPr>
              <w:fldChar w:fldCharType="separate"/>
            </w:r>
            <w:r>
              <w:rPr>
                <w:noProof/>
                <w:webHidden/>
              </w:rPr>
              <w:t>88</w:t>
            </w:r>
            <w:r>
              <w:rPr>
                <w:noProof/>
                <w:webHidden/>
              </w:rPr>
              <w:fldChar w:fldCharType="end"/>
            </w:r>
          </w:hyperlink>
        </w:p>
        <w:p w14:paraId="3E5C38CE" w14:textId="77777777" w:rsidR="00C643FE" w:rsidRDefault="00C643FE">
          <w:pPr>
            <w:pStyle w:val="TOC3"/>
            <w:tabs>
              <w:tab w:val="left" w:pos="1320"/>
              <w:tab w:val="right" w:leader="dot" w:pos="8494"/>
            </w:tabs>
            <w:rPr>
              <w:rFonts w:eastAsiaTheme="minorEastAsia"/>
              <w:noProof/>
              <w:sz w:val="22"/>
              <w:lang w:eastAsia="en-GB"/>
            </w:rPr>
          </w:pPr>
          <w:hyperlink w:anchor="_Toc485712778" w:history="1">
            <w:r w:rsidRPr="006C6A77">
              <w:rPr>
                <w:rStyle w:val="Hyperlink"/>
                <w:noProof/>
                <w14:scene3d>
                  <w14:camera w14:prst="orthographicFront"/>
                  <w14:lightRig w14:rig="threePt" w14:dir="t">
                    <w14:rot w14:lat="0" w14:lon="0" w14:rev="0"/>
                  </w14:lightRig>
                </w14:scene3d>
              </w:rPr>
              <w:t>2.2.3</w:t>
            </w:r>
            <w:r>
              <w:rPr>
                <w:rFonts w:eastAsiaTheme="minorEastAsia"/>
                <w:noProof/>
                <w:sz w:val="22"/>
                <w:lang w:eastAsia="en-GB"/>
              </w:rPr>
              <w:tab/>
            </w:r>
            <w:r w:rsidRPr="006C6A77">
              <w:rPr>
                <w:rStyle w:val="Hyperlink"/>
                <w:noProof/>
              </w:rPr>
              <w:t>Experimental design</w:t>
            </w:r>
            <w:r>
              <w:rPr>
                <w:noProof/>
                <w:webHidden/>
              </w:rPr>
              <w:tab/>
            </w:r>
            <w:r>
              <w:rPr>
                <w:noProof/>
                <w:webHidden/>
              </w:rPr>
              <w:fldChar w:fldCharType="begin"/>
            </w:r>
            <w:r>
              <w:rPr>
                <w:noProof/>
                <w:webHidden/>
              </w:rPr>
              <w:instrText xml:space="preserve"> PAGEREF _Toc485712778 \h </w:instrText>
            </w:r>
            <w:r>
              <w:rPr>
                <w:noProof/>
                <w:webHidden/>
              </w:rPr>
            </w:r>
            <w:r>
              <w:rPr>
                <w:noProof/>
                <w:webHidden/>
              </w:rPr>
              <w:fldChar w:fldCharType="separate"/>
            </w:r>
            <w:r>
              <w:rPr>
                <w:noProof/>
                <w:webHidden/>
              </w:rPr>
              <w:t>91</w:t>
            </w:r>
            <w:r>
              <w:rPr>
                <w:noProof/>
                <w:webHidden/>
              </w:rPr>
              <w:fldChar w:fldCharType="end"/>
            </w:r>
          </w:hyperlink>
        </w:p>
        <w:p w14:paraId="72FC1312" w14:textId="77777777" w:rsidR="00C643FE" w:rsidRDefault="00C643FE">
          <w:pPr>
            <w:pStyle w:val="TOC1"/>
            <w:tabs>
              <w:tab w:val="left" w:pos="480"/>
              <w:tab w:val="right" w:leader="dot" w:pos="8494"/>
            </w:tabs>
            <w:rPr>
              <w:rFonts w:eastAsiaTheme="minorEastAsia"/>
              <w:noProof/>
              <w:sz w:val="22"/>
              <w:lang w:eastAsia="en-GB"/>
            </w:rPr>
          </w:pPr>
          <w:hyperlink w:anchor="_Toc485712779" w:history="1">
            <w:r w:rsidRPr="006C6A77">
              <w:rPr>
                <w:rStyle w:val="Hyperlink"/>
                <w:noProof/>
              </w:rPr>
              <w:t>3</w:t>
            </w:r>
            <w:r>
              <w:rPr>
                <w:rFonts w:eastAsiaTheme="minorEastAsia"/>
                <w:noProof/>
                <w:sz w:val="22"/>
                <w:lang w:eastAsia="en-GB"/>
              </w:rPr>
              <w:tab/>
            </w:r>
            <w:r w:rsidRPr="006C6A77">
              <w:rPr>
                <w:rStyle w:val="Hyperlink"/>
                <w:noProof/>
              </w:rPr>
              <w:t>Mechanisms of arginine action on protein thermal stability: a comparison to its functional groups</w:t>
            </w:r>
            <w:r>
              <w:rPr>
                <w:noProof/>
                <w:webHidden/>
              </w:rPr>
              <w:tab/>
            </w:r>
            <w:r>
              <w:rPr>
                <w:noProof/>
                <w:webHidden/>
              </w:rPr>
              <w:fldChar w:fldCharType="begin"/>
            </w:r>
            <w:r>
              <w:rPr>
                <w:noProof/>
                <w:webHidden/>
              </w:rPr>
              <w:instrText xml:space="preserve"> PAGEREF _Toc485712779 \h </w:instrText>
            </w:r>
            <w:r>
              <w:rPr>
                <w:noProof/>
                <w:webHidden/>
              </w:rPr>
            </w:r>
            <w:r>
              <w:rPr>
                <w:noProof/>
                <w:webHidden/>
              </w:rPr>
              <w:fldChar w:fldCharType="separate"/>
            </w:r>
            <w:r>
              <w:rPr>
                <w:noProof/>
                <w:webHidden/>
              </w:rPr>
              <w:t>94</w:t>
            </w:r>
            <w:r>
              <w:rPr>
                <w:noProof/>
                <w:webHidden/>
              </w:rPr>
              <w:fldChar w:fldCharType="end"/>
            </w:r>
          </w:hyperlink>
        </w:p>
        <w:p w14:paraId="4B748A61" w14:textId="77777777" w:rsidR="00C643FE" w:rsidRDefault="00C643FE">
          <w:pPr>
            <w:pStyle w:val="TOC2"/>
            <w:tabs>
              <w:tab w:val="left" w:pos="880"/>
              <w:tab w:val="right" w:leader="dot" w:pos="8494"/>
            </w:tabs>
            <w:rPr>
              <w:rFonts w:eastAsiaTheme="minorEastAsia"/>
              <w:noProof/>
              <w:sz w:val="22"/>
              <w:lang w:eastAsia="en-GB"/>
            </w:rPr>
          </w:pPr>
          <w:hyperlink w:anchor="_Toc485712780" w:history="1">
            <w:r w:rsidRPr="006C6A77">
              <w:rPr>
                <w:rStyle w:val="Hyperlink"/>
                <w:noProof/>
                <w:lang w:bidi="x-none"/>
                <w14:scene3d>
                  <w14:camera w14:prst="orthographicFront"/>
                  <w14:lightRig w14:rig="threePt" w14:dir="t">
                    <w14:rot w14:lat="0" w14:lon="0" w14:rev="0"/>
                  </w14:lightRig>
                </w14:scene3d>
              </w:rPr>
              <w:t>3.1</w:t>
            </w:r>
            <w:r>
              <w:rPr>
                <w:rFonts w:eastAsiaTheme="minorEastAsia"/>
                <w:noProof/>
                <w:sz w:val="22"/>
                <w:lang w:eastAsia="en-GB"/>
              </w:rPr>
              <w:tab/>
            </w:r>
            <w:r w:rsidRPr="006C6A77">
              <w:rPr>
                <w:rStyle w:val="Hyperlink"/>
                <w:noProof/>
              </w:rPr>
              <w:t>Introduction</w:t>
            </w:r>
            <w:r>
              <w:rPr>
                <w:noProof/>
                <w:webHidden/>
              </w:rPr>
              <w:tab/>
            </w:r>
            <w:r>
              <w:rPr>
                <w:noProof/>
                <w:webHidden/>
              </w:rPr>
              <w:fldChar w:fldCharType="begin"/>
            </w:r>
            <w:r>
              <w:rPr>
                <w:noProof/>
                <w:webHidden/>
              </w:rPr>
              <w:instrText xml:space="preserve"> PAGEREF _Toc485712780 \h </w:instrText>
            </w:r>
            <w:r>
              <w:rPr>
                <w:noProof/>
                <w:webHidden/>
              </w:rPr>
            </w:r>
            <w:r>
              <w:rPr>
                <w:noProof/>
                <w:webHidden/>
              </w:rPr>
              <w:fldChar w:fldCharType="separate"/>
            </w:r>
            <w:r>
              <w:rPr>
                <w:noProof/>
                <w:webHidden/>
              </w:rPr>
              <w:t>95</w:t>
            </w:r>
            <w:r>
              <w:rPr>
                <w:noProof/>
                <w:webHidden/>
              </w:rPr>
              <w:fldChar w:fldCharType="end"/>
            </w:r>
          </w:hyperlink>
        </w:p>
        <w:p w14:paraId="50ED9A35" w14:textId="77777777" w:rsidR="00C643FE" w:rsidRDefault="00C643FE">
          <w:pPr>
            <w:pStyle w:val="TOC2"/>
            <w:tabs>
              <w:tab w:val="left" w:pos="880"/>
              <w:tab w:val="right" w:leader="dot" w:pos="8494"/>
            </w:tabs>
            <w:rPr>
              <w:rFonts w:eastAsiaTheme="minorEastAsia"/>
              <w:noProof/>
              <w:sz w:val="22"/>
              <w:lang w:eastAsia="en-GB"/>
            </w:rPr>
          </w:pPr>
          <w:hyperlink w:anchor="_Toc485712781" w:history="1">
            <w:r w:rsidRPr="006C6A77">
              <w:rPr>
                <w:rStyle w:val="Hyperlink"/>
                <w:noProof/>
                <w:lang w:bidi="x-none"/>
                <w14:scene3d>
                  <w14:camera w14:prst="orthographicFront"/>
                  <w14:lightRig w14:rig="threePt" w14:dir="t">
                    <w14:rot w14:lat="0" w14:lon="0" w14:rev="0"/>
                  </w14:lightRig>
                </w14:scene3d>
              </w:rPr>
              <w:t>3.2</w:t>
            </w:r>
            <w:r>
              <w:rPr>
                <w:rFonts w:eastAsiaTheme="minorEastAsia"/>
                <w:noProof/>
                <w:sz w:val="22"/>
                <w:lang w:eastAsia="en-GB"/>
              </w:rPr>
              <w:tab/>
            </w:r>
            <w:r w:rsidRPr="006C6A77">
              <w:rPr>
                <w:rStyle w:val="Hyperlink"/>
                <w:noProof/>
              </w:rPr>
              <w:t>Materials &amp; Methods</w:t>
            </w:r>
            <w:r>
              <w:rPr>
                <w:noProof/>
                <w:webHidden/>
              </w:rPr>
              <w:tab/>
            </w:r>
            <w:r>
              <w:rPr>
                <w:noProof/>
                <w:webHidden/>
              </w:rPr>
              <w:fldChar w:fldCharType="begin"/>
            </w:r>
            <w:r>
              <w:rPr>
                <w:noProof/>
                <w:webHidden/>
              </w:rPr>
              <w:instrText xml:space="preserve"> PAGEREF _Toc485712781 \h </w:instrText>
            </w:r>
            <w:r>
              <w:rPr>
                <w:noProof/>
                <w:webHidden/>
              </w:rPr>
            </w:r>
            <w:r>
              <w:rPr>
                <w:noProof/>
                <w:webHidden/>
              </w:rPr>
              <w:fldChar w:fldCharType="separate"/>
            </w:r>
            <w:r>
              <w:rPr>
                <w:noProof/>
                <w:webHidden/>
              </w:rPr>
              <w:t>98</w:t>
            </w:r>
            <w:r>
              <w:rPr>
                <w:noProof/>
                <w:webHidden/>
              </w:rPr>
              <w:fldChar w:fldCharType="end"/>
            </w:r>
          </w:hyperlink>
        </w:p>
        <w:p w14:paraId="4641BD78" w14:textId="77777777" w:rsidR="00C643FE" w:rsidRDefault="00C643FE">
          <w:pPr>
            <w:pStyle w:val="TOC3"/>
            <w:tabs>
              <w:tab w:val="left" w:pos="1320"/>
              <w:tab w:val="right" w:leader="dot" w:pos="8494"/>
            </w:tabs>
            <w:rPr>
              <w:rFonts w:eastAsiaTheme="minorEastAsia"/>
              <w:noProof/>
              <w:sz w:val="22"/>
              <w:lang w:eastAsia="en-GB"/>
            </w:rPr>
          </w:pPr>
          <w:hyperlink w:anchor="_Toc485712782" w:history="1">
            <w:r w:rsidRPr="006C6A77">
              <w:rPr>
                <w:rStyle w:val="Hyperlink"/>
                <w:noProof/>
                <w14:scene3d>
                  <w14:camera w14:prst="orthographicFront"/>
                  <w14:lightRig w14:rig="threePt" w14:dir="t">
                    <w14:rot w14:lat="0" w14:lon="0" w14:rev="0"/>
                  </w14:lightRig>
                </w14:scene3d>
              </w:rPr>
              <w:t>3.2.1</w:t>
            </w:r>
            <w:r>
              <w:rPr>
                <w:rFonts w:eastAsiaTheme="minorEastAsia"/>
                <w:noProof/>
                <w:sz w:val="22"/>
                <w:lang w:eastAsia="en-GB"/>
              </w:rPr>
              <w:tab/>
            </w:r>
            <w:r w:rsidRPr="006C6A77">
              <w:rPr>
                <w:rStyle w:val="Hyperlink"/>
                <w:noProof/>
              </w:rPr>
              <w:t>Materials</w:t>
            </w:r>
            <w:r>
              <w:rPr>
                <w:noProof/>
                <w:webHidden/>
              </w:rPr>
              <w:tab/>
            </w:r>
            <w:r>
              <w:rPr>
                <w:noProof/>
                <w:webHidden/>
              </w:rPr>
              <w:fldChar w:fldCharType="begin"/>
            </w:r>
            <w:r>
              <w:rPr>
                <w:noProof/>
                <w:webHidden/>
              </w:rPr>
              <w:instrText xml:space="preserve"> PAGEREF _Toc485712782 \h </w:instrText>
            </w:r>
            <w:r>
              <w:rPr>
                <w:noProof/>
                <w:webHidden/>
              </w:rPr>
            </w:r>
            <w:r>
              <w:rPr>
                <w:noProof/>
                <w:webHidden/>
              </w:rPr>
              <w:fldChar w:fldCharType="separate"/>
            </w:r>
            <w:r>
              <w:rPr>
                <w:noProof/>
                <w:webHidden/>
              </w:rPr>
              <w:t>98</w:t>
            </w:r>
            <w:r>
              <w:rPr>
                <w:noProof/>
                <w:webHidden/>
              </w:rPr>
              <w:fldChar w:fldCharType="end"/>
            </w:r>
          </w:hyperlink>
        </w:p>
        <w:p w14:paraId="630E72BE" w14:textId="77777777" w:rsidR="00C643FE" w:rsidRDefault="00C643FE">
          <w:pPr>
            <w:pStyle w:val="TOC3"/>
            <w:tabs>
              <w:tab w:val="left" w:pos="1320"/>
              <w:tab w:val="right" w:leader="dot" w:pos="8494"/>
            </w:tabs>
            <w:rPr>
              <w:rFonts w:eastAsiaTheme="minorEastAsia"/>
              <w:noProof/>
              <w:sz w:val="22"/>
              <w:lang w:eastAsia="en-GB"/>
            </w:rPr>
          </w:pPr>
          <w:hyperlink w:anchor="_Toc485712783" w:history="1">
            <w:r w:rsidRPr="006C6A77">
              <w:rPr>
                <w:rStyle w:val="Hyperlink"/>
                <w:noProof/>
                <w14:scene3d>
                  <w14:camera w14:prst="orthographicFront"/>
                  <w14:lightRig w14:rig="threePt" w14:dir="t">
                    <w14:rot w14:lat="0" w14:lon="0" w14:rev="0"/>
                  </w14:lightRig>
                </w14:scene3d>
              </w:rPr>
              <w:t>3.2.2</w:t>
            </w:r>
            <w:r>
              <w:rPr>
                <w:rFonts w:eastAsiaTheme="minorEastAsia"/>
                <w:noProof/>
                <w:sz w:val="22"/>
                <w:lang w:eastAsia="en-GB"/>
              </w:rPr>
              <w:tab/>
            </w:r>
            <w:r w:rsidRPr="006C6A77">
              <w:rPr>
                <w:rStyle w:val="Hyperlink"/>
                <w:noProof/>
              </w:rPr>
              <w:t>Methods</w:t>
            </w:r>
            <w:r>
              <w:rPr>
                <w:noProof/>
                <w:webHidden/>
              </w:rPr>
              <w:tab/>
            </w:r>
            <w:r>
              <w:rPr>
                <w:noProof/>
                <w:webHidden/>
              </w:rPr>
              <w:fldChar w:fldCharType="begin"/>
            </w:r>
            <w:r>
              <w:rPr>
                <w:noProof/>
                <w:webHidden/>
              </w:rPr>
              <w:instrText xml:space="preserve"> PAGEREF _Toc485712783 \h </w:instrText>
            </w:r>
            <w:r>
              <w:rPr>
                <w:noProof/>
                <w:webHidden/>
              </w:rPr>
            </w:r>
            <w:r>
              <w:rPr>
                <w:noProof/>
                <w:webHidden/>
              </w:rPr>
              <w:fldChar w:fldCharType="separate"/>
            </w:r>
            <w:r>
              <w:rPr>
                <w:noProof/>
                <w:webHidden/>
              </w:rPr>
              <w:t>99</w:t>
            </w:r>
            <w:r>
              <w:rPr>
                <w:noProof/>
                <w:webHidden/>
              </w:rPr>
              <w:fldChar w:fldCharType="end"/>
            </w:r>
          </w:hyperlink>
        </w:p>
        <w:p w14:paraId="3C54CE2C" w14:textId="77777777" w:rsidR="00C643FE" w:rsidRDefault="00C643FE">
          <w:pPr>
            <w:pStyle w:val="TOC2"/>
            <w:tabs>
              <w:tab w:val="left" w:pos="880"/>
              <w:tab w:val="right" w:leader="dot" w:pos="8494"/>
            </w:tabs>
            <w:rPr>
              <w:rFonts w:eastAsiaTheme="minorEastAsia"/>
              <w:noProof/>
              <w:sz w:val="22"/>
              <w:lang w:eastAsia="en-GB"/>
            </w:rPr>
          </w:pPr>
          <w:hyperlink w:anchor="_Toc485712784" w:history="1">
            <w:r w:rsidRPr="006C6A77">
              <w:rPr>
                <w:rStyle w:val="Hyperlink"/>
                <w:noProof/>
                <w:lang w:bidi="x-none"/>
                <w14:scene3d>
                  <w14:camera w14:prst="orthographicFront"/>
                  <w14:lightRig w14:rig="threePt" w14:dir="t">
                    <w14:rot w14:lat="0" w14:lon="0" w14:rev="0"/>
                  </w14:lightRig>
                </w14:scene3d>
              </w:rPr>
              <w:t>3.3</w:t>
            </w:r>
            <w:r>
              <w:rPr>
                <w:rFonts w:eastAsiaTheme="minorEastAsia"/>
                <w:noProof/>
                <w:sz w:val="22"/>
                <w:lang w:eastAsia="en-GB"/>
              </w:rPr>
              <w:tab/>
            </w:r>
            <w:r w:rsidRPr="006C6A77">
              <w:rPr>
                <w:rStyle w:val="Hyperlink"/>
                <w:noProof/>
              </w:rPr>
              <w:t>Results &amp; Discussion</w:t>
            </w:r>
            <w:r>
              <w:rPr>
                <w:noProof/>
                <w:webHidden/>
              </w:rPr>
              <w:tab/>
            </w:r>
            <w:r>
              <w:rPr>
                <w:noProof/>
                <w:webHidden/>
              </w:rPr>
              <w:fldChar w:fldCharType="begin"/>
            </w:r>
            <w:r>
              <w:rPr>
                <w:noProof/>
                <w:webHidden/>
              </w:rPr>
              <w:instrText xml:space="preserve"> PAGEREF _Toc485712784 \h </w:instrText>
            </w:r>
            <w:r>
              <w:rPr>
                <w:noProof/>
                <w:webHidden/>
              </w:rPr>
            </w:r>
            <w:r>
              <w:rPr>
                <w:noProof/>
                <w:webHidden/>
              </w:rPr>
              <w:fldChar w:fldCharType="separate"/>
            </w:r>
            <w:r>
              <w:rPr>
                <w:noProof/>
                <w:webHidden/>
              </w:rPr>
              <w:t>100</w:t>
            </w:r>
            <w:r>
              <w:rPr>
                <w:noProof/>
                <w:webHidden/>
              </w:rPr>
              <w:fldChar w:fldCharType="end"/>
            </w:r>
          </w:hyperlink>
        </w:p>
        <w:p w14:paraId="1C763E16" w14:textId="77777777" w:rsidR="00C643FE" w:rsidRDefault="00C643FE">
          <w:pPr>
            <w:pStyle w:val="TOC3"/>
            <w:tabs>
              <w:tab w:val="left" w:pos="1320"/>
              <w:tab w:val="right" w:leader="dot" w:pos="8494"/>
            </w:tabs>
            <w:rPr>
              <w:rFonts w:eastAsiaTheme="minorEastAsia"/>
              <w:noProof/>
              <w:sz w:val="22"/>
              <w:lang w:eastAsia="en-GB"/>
            </w:rPr>
          </w:pPr>
          <w:hyperlink w:anchor="_Toc485712785" w:history="1">
            <w:r w:rsidRPr="006C6A77">
              <w:rPr>
                <w:rStyle w:val="Hyperlink"/>
                <w:noProof/>
                <w14:scene3d>
                  <w14:camera w14:prst="orthographicFront"/>
                  <w14:lightRig w14:rig="threePt" w14:dir="t">
                    <w14:rot w14:lat="0" w14:lon="0" w14:rev="0"/>
                  </w14:lightRig>
                </w14:scene3d>
              </w:rPr>
              <w:t>3.3.1</w:t>
            </w:r>
            <w:r>
              <w:rPr>
                <w:rFonts w:eastAsiaTheme="minorEastAsia"/>
                <w:noProof/>
                <w:sz w:val="22"/>
                <w:lang w:eastAsia="en-GB"/>
              </w:rPr>
              <w:tab/>
            </w:r>
            <w:r w:rsidRPr="006C6A77">
              <w:rPr>
                <w:rStyle w:val="Hyperlink"/>
                <w:noProof/>
              </w:rPr>
              <w:t>Principal results</w:t>
            </w:r>
            <w:r>
              <w:rPr>
                <w:noProof/>
                <w:webHidden/>
              </w:rPr>
              <w:tab/>
            </w:r>
            <w:r>
              <w:rPr>
                <w:noProof/>
                <w:webHidden/>
              </w:rPr>
              <w:fldChar w:fldCharType="begin"/>
            </w:r>
            <w:r>
              <w:rPr>
                <w:noProof/>
                <w:webHidden/>
              </w:rPr>
              <w:instrText xml:space="preserve"> PAGEREF _Toc485712785 \h </w:instrText>
            </w:r>
            <w:r>
              <w:rPr>
                <w:noProof/>
                <w:webHidden/>
              </w:rPr>
            </w:r>
            <w:r>
              <w:rPr>
                <w:noProof/>
                <w:webHidden/>
              </w:rPr>
              <w:fldChar w:fldCharType="separate"/>
            </w:r>
            <w:r>
              <w:rPr>
                <w:noProof/>
                <w:webHidden/>
              </w:rPr>
              <w:t>100</w:t>
            </w:r>
            <w:r>
              <w:rPr>
                <w:noProof/>
                <w:webHidden/>
              </w:rPr>
              <w:fldChar w:fldCharType="end"/>
            </w:r>
          </w:hyperlink>
        </w:p>
        <w:p w14:paraId="7F388C22" w14:textId="77777777" w:rsidR="00C643FE" w:rsidRDefault="00C643FE">
          <w:pPr>
            <w:pStyle w:val="TOC3"/>
            <w:tabs>
              <w:tab w:val="left" w:pos="1320"/>
              <w:tab w:val="right" w:leader="dot" w:pos="8494"/>
            </w:tabs>
            <w:rPr>
              <w:rFonts w:eastAsiaTheme="minorEastAsia"/>
              <w:noProof/>
              <w:sz w:val="22"/>
              <w:lang w:eastAsia="en-GB"/>
            </w:rPr>
          </w:pPr>
          <w:hyperlink w:anchor="_Toc485712786" w:history="1">
            <w:r w:rsidRPr="006C6A77">
              <w:rPr>
                <w:rStyle w:val="Hyperlink"/>
                <w:noProof/>
                <w14:scene3d>
                  <w14:camera w14:prst="orthographicFront"/>
                  <w14:lightRig w14:rig="threePt" w14:dir="t">
                    <w14:rot w14:lat="0" w14:lon="0" w14:rev="0"/>
                  </w14:lightRig>
                </w14:scene3d>
              </w:rPr>
              <w:t>3.3.2</w:t>
            </w:r>
            <w:r>
              <w:rPr>
                <w:rFonts w:eastAsiaTheme="minorEastAsia"/>
                <w:noProof/>
                <w:sz w:val="22"/>
                <w:lang w:eastAsia="en-GB"/>
              </w:rPr>
              <w:tab/>
            </w:r>
            <w:r w:rsidRPr="006C6A77">
              <w:rPr>
                <w:rStyle w:val="Hyperlink"/>
                <w:noProof/>
              </w:rPr>
              <w:t>Glycine</w:t>
            </w:r>
            <w:r>
              <w:rPr>
                <w:noProof/>
                <w:webHidden/>
              </w:rPr>
              <w:tab/>
            </w:r>
            <w:r>
              <w:rPr>
                <w:noProof/>
                <w:webHidden/>
              </w:rPr>
              <w:fldChar w:fldCharType="begin"/>
            </w:r>
            <w:r>
              <w:rPr>
                <w:noProof/>
                <w:webHidden/>
              </w:rPr>
              <w:instrText xml:space="preserve"> PAGEREF _Toc485712786 \h </w:instrText>
            </w:r>
            <w:r>
              <w:rPr>
                <w:noProof/>
                <w:webHidden/>
              </w:rPr>
            </w:r>
            <w:r>
              <w:rPr>
                <w:noProof/>
                <w:webHidden/>
              </w:rPr>
              <w:fldChar w:fldCharType="separate"/>
            </w:r>
            <w:r>
              <w:rPr>
                <w:noProof/>
                <w:webHidden/>
              </w:rPr>
              <w:t>103</w:t>
            </w:r>
            <w:r>
              <w:rPr>
                <w:noProof/>
                <w:webHidden/>
              </w:rPr>
              <w:fldChar w:fldCharType="end"/>
            </w:r>
          </w:hyperlink>
        </w:p>
        <w:p w14:paraId="3764F2C2" w14:textId="77777777" w:rsidR="00C643FE" w:rsidRDefault="00C643FE">
          <w:pPr>
            <w:pStyle w:val="TOC3"/>
            <w:tabs>
              <w:tab w:val="left" w:pos="1320"/>
              <w:tab w:val="right" w:leader="dot" w:pos="8494"/>
            </w:tabs>
            <w:rPr>
              <w:rFonts w:eastAsiaTheme="minorEastAsia"/>
              <w:noProof/>
              <w:sz w:val="22"/>
              <w:lang w:eastAsia="en-GB"/>
            </w:rPr>
          </w:pPr>
          <w:hyperlink w:anchor="_Toc485712787" w:history="1">
            <w:r w:rsidRPr="006C6A77">
              <w:rPr>
                <w:rStyle w:val="Hyperlink"/>
                <w:noProof/>
                <w14:scene3d>
                  <w14:camera w14:prst="orthographicFront"/>
                  <w14:lightRig w14:rig="threePt" w14:dir="t">
                    <w14:rot w14:lat="0" w14:lon="0" w14:rev="0"/>
                  </w14:lightRig>
                </w14:scene3d>
              </w:rPr>
              <w:t>3.3.3</w:t>
            </w:r>
            <w:r>
              <w:rPr>
                <w:rFonts w:eastAsiaTheme="minorEastAsia"/>
                <w:noProof/>
                <w:sz w:val="22"/>
                <w:lang w:eastAsia="en-GB"/>
              </w:rPr>
              <w:tab/>
            </w:r>
            <w:r w:rsidRPr="006C6A77">
              <w:rPr>
                <w:rStyle w:val="Hyperlink"/>
                <w:noProof/>
              </w:rPr>
              <w:t>Guanidine hydrochloride</w:t>
            </w:r>
            <w:r>
              <w:rPr>
                <w:noProof/>
                <w:webHidden/>
              </w:rPr>
              <w:tab/>
            </w:r>
            <w:r>
              <w:rPr>
                <w:noProof/>
                <w:webHidden/>
              </w:rPr>
              <w:fldChar w:fldCharType="begin"/>
            </w:r>
            <w:r>
              <w:rPr>
                <w:noProof/>
                <w:webHidden/>
              </w:rPr>
              <w:instrText xml:space="preserve"> PAGEREF _Toc485712787 \h </w:instrText>
            </w:r>
            <w:r>
              <w:rPr>
                <w:noProof/>
                <w:webHidden/>
              </w:rPr>
            </w:r>
            <w:r>
              <w:rPr>
                <w:noProof/>
                <w:webHidden/>
              </w:rPr>
              <w:fldChar w:fldCharType="separate"/>
            </w:r>
            <w:r>
              <w:rPr>
                <w:noProof/>
                <w:webHidden/>
              </w:rPr>
              <w:t>108</w:t>
            </w:r>
            <w:r>
              <w:rPr>
                <w:noProof/>
                <w:webHidden/>
              </w:rPr>
              <w:fldChar w:fldCharType="end"/>
            </w:r>
          </w:hyperlink>
        </w:p>
        <w:p w14:paraId="36C1C070" w14:textId="77777777" w:rsidR="00C643FE" w:rsidRDefault="00C643FE">
          <w:pPr>
            <w:pStyle w:val="TOC3"/>
            <w:tabs>
              <w:tab w:val="left" w:pos="1320"/>
              <w:tab w:val="right" w:leader="dot" w:pos="8494"/>
            </w:tabs>
            <w:rPr>
              <w:rFonts w:eastAsiaTheme="minorEastAsia"/>
              <w:noProof/>
              <w:sz w:val="22"/>
              <w:lang w:eastAsia="en-GB"/>
            </w:rPr>
          </w:pPr>
          <w:hyperlink w:anchor="_Toc485712788" w:history="1">
            <w:r w:rsidRPr="006C6A77">
              <w:rPr>
                <w:rStyle w:val="Hyperlink"/>
                <w:noProof/>
                <w14:scene3d>
                  <w14:camera w14:prst="orthographicFront"/>
                  <w14:lightRig w14:rig="threePt" w14:dir="t">
                    <w14:rot w14:lat="0" w14:lon="0" w14:rev="0"/>
                  </w14:lightRig>
                </w14:scene3d>
              </w:rPr>
              <w:t>3.3.4</w:t>
            </w:r>
            <w:r>
              <w:rPr>
                <w:rFonts w:eastAsiaTheme="minorEastAsia"/>
                <w:noProof/>
                <w:sz w:val="22"/>
                <w:lang w:eastAsia="en-GB"/>
              </w:rPr>
              <w:tab/>
            </w:r>
            <w:r w:rsidRPr="006C6A77">
              <w:rPr>
                <w:rStyle w:val="Hyperlink"/>
                <w:noProof/>
              </w:rPr>
              <w:t>Arginine</w:t>
            </w:r>
            <w:r>
              <w:rPr>
                <w:noProof/>
                <w:webHidden/>
              </w:rPr>
              <w:tab/>
            </w:r>
            <w:r>
              <w:rPr>
                <w:noProof/>
                <w:webHidden/>
              </w:rPr>
              <w:fldChar w:fldCharType="begin"/>
            </w:r>
            <w:r>
              <w:rPr>
                <w:noProof/>
                <w:webHidden/>
              </w:rPr>
              <w:instrText xml:space="preserve"> PAGEREF _Toc485712788 \h </w:instrText>
            </w:r>
            <w:r>
              <w:rPr>
                <w:noProof/>
                <w:webHidden/>
              </w:rPr>
            </w:r>
            <w:r>
              <w:rPr>
                <w:noProof/>
                <w:webHidden/>
              </w:rPr>
              <w:fldChar w:fldCharType="separate"/>
            </w:r>
            <w:r>
              <w:rPr>
                <w:noProof/>
                <w:webHidden/>
              </w:rPr>
              <w:t>111</w:t>
            </w:r>
            <w:r>
              <w:rPr>
                <w:noProof/>
                <w:webHidden/>
              </w:rPr>
              <w:fldChar w:fldCharType="end"/>
            </w:r>
          </w:hyperlink>
        </w:p>
        <w:p w14:paraId="420058DC" w14:textId="77777777" w:rsidR="00C643FE" w:rsidRDefault="00C643FE">
          <w:pPr>
            <w:pStyle w:val="TOC3"/>
            <w:tabs>
              <w:tab w:val="left" w:pos="1320"/>
              <w:tab w:val="right" w:leader="dot" w:pos="8494"/>
            </w:tabs>
            <w:rPr>
              <w:rFonts w:eastAsiaTheme="minorEastAsia"/>
              <w:noProof/>
              <w:sz w:val="22"/>
              <w:lang w:eastAsia="en-GB"/>
            </w:rPr>
          </w:pPr>
          <w:hyperlink w:anchor="_Toc485712789" w:history="1">
            <w:r w:rsidRPr="006C6A77">
              <w:rPr>
                <w:rStyle w:val="Hyperlink"/>
                <w:noProof/>
                <w14:scene3d>
                  <w14:camera w14:prst="orthographicFront"/>
                  <w14:lightRig w14:rig="threePt" w14:dir="t">
                    <w14:rot w14:lat="0" w14:lon="0" w14:rev="0"/>
                  </w14:lightRig>
                </w14:scene3d>
              </w:rPr>
              <w:t>3.3.5</w:t>
            </w:r>
            <w:r>
              <w:rPr>
                <w:rFonts w:eastAsiaTheme="minorEastAsia"/>
                <w:noProof/>
                <w:sz w:val="22"/>
                <w:lang w:eastAsia="en-GB"/>
              </w:rPr>
              <w:tab/>
            </w:r>
            <w:r w:rsidRPr="006C6A77">
              <w:rPr>
                <w:rStyle w:val="Hyperlink"/>
                <w:noProof/>
              </w:rPr>
              <w:t>Importance &amp; wider implications of results</w:t>
            </w:r>
            <w:r>
              <w:rPr>
                <w:noProof/>
                <w:webHidden/>
              </w:rPr>
              <w:tab/>
            </w:r>
            <w:r>
              <w:rPr>
                <w:noProof/>
                <w:webHidden/>
              </w:rPr>
              <w:fldChar w:fldCharType="begin"/>
            </w:r>
            <w:r>
              <w:rPr>
                <w:noProof/>
                <w:webHidden/>
              </w:rPr>
              <w:instrText xml:space="preserve"> PAGEREF _Toc485712789 \h </w:instrText>
            </w:r>
            <w:r>
              <w:rPr>
                <w:noProof/>
                <w:webHidden/>
              </w:rPr>
            </w:r>
            <w:r>
              <w:rPr>
                <w:noProof/>
                <w:webHidden/>
              </w:rPr>
              <w:fldChar w:fldCharType="separate"/>
            </w:r>
            <w:r>
              <w:rPr>
                <w:noProof/>
                <w:webHidden/>
              </w:rPr>
              <w:t>114</w:t>
            </w:r>
            <w:r>
              <w:rPr>
                <w:noProof/>
                <w:webHidden/>
              </w:rPr>
              <w:fldChar w:fldCharType="end"/>
            </w:r>
          </w:hyperlink>
        </w:p>
        <w:p w14:paraId="225DD766" w14:textId="77777777" w:rsidR="00C643FE" w:rsidRDefault="00C643FE">
          <w:pPr>
            <w:pStyle w:val="TOC2"/>
            <w:tabs>
              <w:tab w:val="left" w:pos="880"/>
              <w:tab w:val="right" w:leader="dot" w:pos="8494"/>
            </w:tabs>
            <w:rPr>
              <w:rFonts w:eastAsiaTheme="minorEastAsia"/>
              <w:noProof/>
              <w:sz w:val="22"/>
              <w:lang w:eastAsia="en-GB"/>
            </w:rPr>
          </w:pPr>
          <w:hyperlink w:anchor="_Toc485712790" w:history="1">
            <w:r w:rsidRPr="006C6A77">
              <w:rPr>
                <w:rStyle w:val="Hyperlink"/>
                <w:noProof/>
                <w:lang w:bidi="x-none"/>
                <w14:scene3d>
                  <w14:camera w14:prst="orthographicFront"/>
                  <w14:lightRig w14:rig="threePt" w14:dir="t">
                    <w14:rot w14:lat="0" w14:lon="0" w14:rev="0"/>
                  </w14:lightRig>
                </w14:scene3d>
              </w:rPr>
              <w:t>3.4</w:t>
            </w:r>
            <w:r>
              <w:rPr>
                <w:rFonts w:eastAsiaTheme="minorEastAsia"/>
                <w:noProof/>
                <w:sz w:val="22"/>
                <w:lang w:eastAsia="en-GB"/>
              </w:rPr>
              <w:tab/>
            </w:r>
            <w:r w:rsidRPr="006C6A77">
              <w:rPr>
                <w:rStyle w:val="Hyperlink"/>
                <w:noProof/>
              </w:rPr>
              <w:t>Conclusion</w:t>
            </w:r>
            <w:r>
              <w:rPr>
                <w:noProof/>
                <w:webHidden/>
              </w:rPr>
              <w:tab/>
            </w:r>
            <w:r>
              <w:rPr>
                <w:noProof/>
                <w:webHidden/>
              </w:rPr>
              <w:fldChar w:fldCharType="begin"/>
            </w:r>
            <w:r>
              <w:rPr>
                <w:noProof/>
                <w:webHidden/>
              </w:rPr>
              <w:instrText xml:space="preserve"> PAGEREF _Toc485712790 \h </w:instrText>
            </w:r>
            <w:r>
              <w:rPr>
                <w:noProof/>
                <w:webHidden/>
              </w:rPr>
            </w:r>
            <w:r>
              <w:rPr>
                <w:noProof/>
                <w:webHidden/>
              </w:rPr>
              <w:fldChar w:fldCharType="separate"/>
            </w:r>
            <w:r>
              <w:rPr>
                <w:noProof/>
                <w:webHidden/>
              </w:rPr>
              <w:t>115</w:t>
            </w:r>
            <w:r>
              <w:rPr>
                <w:noProof/>
                <w:webHidden/>
              </w:rPr>
              <w:fldChar w:fldCharType="end"/>
            </w:r>
          </w:hyperlink>
        </w:p>
        <w:p w14:paraId="051D37FA" w14:textId="77777777" w:rsidR="00C643FE" w:rsidRDefault="00C643FE">
          <w:pPr>
            <w:pStyle w:val="TOC1"/>
            <w:tabs>
              <w:tab w:val="left" w:pos="480"/>
              <w:tab w:val="right" w:leader="dot" w:pos="8494"/>
            </w:tabs>
            <w:rPr>
              <w:rFonts w:eastAsiaTheme="minorEastAsia"/>
              <w:noProof/>
              <w:sz w:val="22"/>
              <w:lang w:eastAsia="en-GB"/>
            </w:rPr>
          </w:pPr>
          <w:hyperlink w:anchor="_Toc485712791" w:history="1">
            <w:r w:rsidRPr="006C6A77">
              <w:rPr>
                <w:rStyle w:val="Hyperlink"/>
                <w:noProof/>
              </w:rPr>
              <w:t>4</w:t>
            </w:r>
            <w:r>
              <w:rPr>
                <w:rFonts w:eastAsiaTheme="minorEastAsia"/>
                <w:noProof/>
                <w:sz w:val="22"/>
                <w:lang w:eastAsia="en-GB"/>
              </w:rPr>
              <w:tab/>
            </w:r>
            <w:r w:rsidRPr="006C6A77">
              <w:rPr>
                <w:rStyle w:val="Hyperlink"/>
                <w:noProof/>
              </w:rPr>
              <w:t>Development of glycine-guanidinium mixtures as an alternative excipient to arginine for protein stability</w:t>
            </w:r>
            <w:r>
              <w:rPr>
                <w:noProof/>
                <w:webHidden/>
              </w:rPr>
              <w:tab/>
            </w:r>
            <w:r>
              <w:rPr>
                <w:noProof/>
                <w:webHidden/>
              </w:rPr>
              <w:fldChar w:fldCharType="begin"/>
            </w:r>
            <w:r>
              <w:rPr>
                <w:noProof/>
                <w:webHidden/>
              </w:rPr>
              <w:instrText xml:space="preserve"> PAGEREF _Toc485712791 \h </w:instrText>
            </w:r>
            <w:r>
              <w:rPr>
                <w:noProof/>
                <w:webHidden/>
              </w:rPr>
            </w:r>
            <w:r>
              <w:rPr>
                <w:noProof/>
                <w:webHidden/>
              </w:rPr>
              <w:fldChar w:fldCharType="separate"/>
            </w:r>
            <w:r>
              <w:rPr>
                <w:noProof/>
                <w:webHidden/>
              </w:rPr>
              <w:t>117</w:t>
            </w:r>
            <w:r>
              <w:rPr>
                <w:noProof/>
                <w:webHidden/>
              </w:rPr>
              <w:fldChar w:fldCharType="end"/>
            </w:r>
          </w:hyperlink>
        </w:p>
        <w:p w14:paraId="4CF93614" w14:textId="77777777" w:rsidR="00C643FE" w:rsidRDefault="00C643FE">
          <w:pPr>
            <w:pStyle w:val="TOC2"/>
            <w:tabs>
              <w:tab w:val="left" w:pos="880"/>
              <w:tab w:val="right" w:leader="dot" w:pos="8494"/>
            </w:tabs>
            <w:rPr>
              <w:rFonts w:eastAsiaTheme="minorEastAsia"/>
              <w:noProof/>
              <w:sz w:val="22"/>
              <w:lang w:eastAsia="en-GB"/>
            </w:rPr>
          </w:pPr>
          <w:hyperlink w:anchor="_Toc485712792" w:history="1">
            <w:r w:rsidRPr="006C6A77">
              <w:rPr>
                <w:rStyle w:val="Hyperlink"/>
                <w:noProof/>
                <w:lang w:bidi="x-none"/>
                <w14:scene3d>
                  <w14:camera w14:prst="orthographicFront"/>
                  <w14:lightRig w14:rig="threePt" w14:dir="t">
                    <w14:rot w14:lat="0" w14:lon="0" w14:rev="0"/>
                  </w14:lightRig>
                </w14:scene3d>
              </w:rPr>
              <w:t>4.1</w:t>
            </w:r>
            <w:r>
              <w:rPr>
                <w:rFonts w:eastAsiaTheme="minorEastAsia"/>
                <w:noProof/>
                <w:sz w:val="22"/>
                <w:lang w:eastAsia="en-GB"/>
              </w:rPr>
              <w:tab/>
            </w:r>
            <w:r w:rsidRPr="006C6A77">
              <w:rPr>
                <w:rStyle w:val="Hyperlink"/>
                <w:noProof/>
              </w:rPr>
              <w:t>Introduction</w:t>
            </w:r>
            <w:r>
              <w:rPr>
                <w:noProof/>
                <w:webHidden/>
              </w:rPr>
              <w:tab/>
            </w:r>
            <w:r>
              <w:rPr>
                <w:noProof/>
                <w:webHidden/>
              </w:rPr>
              <w:fldChar w:fldCharType="begin"/>
            </w:r>
            <w:r>
              <w:rPr>
                <w:noProof/>
                <w:webHidden/>
              </w:rPr>
              <w:instrText xml:space="preserve"> PAGEREF _Toc485712792 \h </w:instrText>
            </w:r>
            <w:r>
              <w:rPr>
                <w:noProof/>
                <w:webHidden/>
              </w:rPr>
            </w:r>
            <w:r>
              <w:rPr>
                <w:noProof/>
                <w:webHidden/>
              </w:rPr>
              <w:fldChar w:fldCharType="separate"/>
            </w:r>
            <w:r>
              <w:rPr>
                <w:noProof/>
                <w:webHidden/>
              </w:rPr>
              <w:t>118</w:t>
            </w:r>
            <w:r>
              <w:rPr>
                <w:noProof/>
                <w:webHidden/>
              </w:rPr>
              <w:fldChar w:fldCharType="end"/>
            </w:r>
          </w:hyperlink>
        </w:p>
        <w:p w14:paraId="0F9C8951" w14:textId="77777777" w:rsidR="00C643FE" w:rsidRDefault="00C643FE">
          <w:pPr>
            <w:pStyle w:val="TOC2"/>
            <w:tabs>
              <w:tab w:val="left" w:pos="880"/>
              <w:tab w:val="right" w:leader="dot" w:pos="8494"/>
            </w:tabs>
            <w:rPr>
              <w:rFonts w:eastAsiaTheme="minorEastAsia"/>
              <w:noProof/>
              <w:sz w:val="22"/>
              <w:lang w:eastAsia="en-GB"/>
            </w:rPr>
          </w:pPr>
          <w:hyperlink w:anchor="_Toc485712793" w:history="1">
            <w:r w:rsidRPr="006C6A77">
              <w:rPr>
                <w:rStyle w:val="Hyperlink"/>
                <w:noProof/>
                <w:lang w:bidi="x-none"/>
                <w14:scene3d>
                  <w14:camera w14:prst="orthographicFront"/>
                  <w14:lightRig w14:rig="threePt" w14:dir="t">
                    <w14:rot w14:lat="0" w14:lon="0" w14:rev="0"/>
                  </w14:lightRig>
                </w14:scene3d>
              </w:rPr>
              <w:t>4.2</w:t>
            </w:r>
            <w:r>
              <w:rPr>
                <w:rFonts w:eastAsiaTheme="minorEastAsia"/>
                <w:noProof/>
                <w:sz w:val="22"/>
                <w:lang w:eastAsia="en-GB"/>
              </w:rPr>
              <w:tab/>
            </w:r>
            <w:r w:rsidRPr="006C6A77">
              <w:rPr>
                <w:rStyle w:val="Hyperlink"/>
                <w:noProof/>
              </w:rPr>
              <w:t>Materials &amp; Methods</w:t>
            </w:r>
            <w:r>
              <w:rPr>
                <w:noProof/>
                <w:webHidden/>
              </w:rPr>
              <w:tab/>
            </w:r>
            <w:r>
              <w:rPr>
                <w:noProof/>
                <w:webHidden/>
              </w:rPr>
              <w:fldChar w:fldCharType="begin"/>
            </w:r>
            <w:r>
              <w:rPr>
                <w:noProof/>
                <w:webHidden/>
              </w:rPr>
              <w:instrText xml:space="preserve"> PAGEREF _Toc485712793 \h </w:instrText>
            </w:r>
            <w:r>
              <w:rPr>
                <w:noProof/>
                <w:webHidden/>
              </w:rPr>
            </w:r>
            <w:r>
              <w:rPr>
                <w:noProof/>
                <w:webHidden/>
              </w:rPr>
              <w:fldChar w:fldCharType="separate"/>
            </w:r>
            <w:r>
              <w:rPr>
                <w:noProof/>
                <w:webHidden/>
              </w:rPr>
              <w:t>120</w:t>
            </w:r>
            <w:r>
              <w:rPr>
                <w:noProof/>
                <w:webHidden/>
              </w:rPr>
              <w:fldChar w:fldCharType="end"/>
            </w:r>
          </w:hyperlink>
        </w:p>
        <w:p w14:paraId="034C990F" w14:textId="77777777" w:rsidR="00C643FE" w:rsidRDefault="00C643FE">
          <w:pPr>
            <w:pStyle w:val="TOC3"/>
            <w:tabs>
              <w:tab w:val="left" w:pos="1320"/>
              <w:tab w:val="right" w:leader="dot" w:pos="8494"/>
            </w:tabs>
            <w:rPr>
              <w:rFonts w:eastAsiaTheme="minorEastAsia"/>
              <w:noProof/>
              <w:sz w:val="22"/>
              <w:lang w:eastAsia="en-GB"/>
            </w:rPr>
          </w:pPr>
          <w:hyperlink w:anchor="_Toc485712794" w:history="1">
            <w:r w:rsidRPr="006C6A77">
              <w:rPr>
                <w:rStyle w:val="Hyperlink"/>
                <w:noProof/>
                <w14:scene3d>
                  <w14:camera w14:prst="orthographicFront"/>
                  <w14:lightRig w14:rig="threePt" w14:dir="t">
                    <w14:rot w14:lat="0" w14:lon="0" w14:rev="0"/>
                  </w14:lightRig>
                </w14:scene3d>
              </w:rPr>
              <w:t>4.2.1</w:t>
            </w:r>
            <w:r>
              <w:rPr>
                <w:rFonts w:eastAsiaTheme="minorEastAsia"/>
                <w:noProof/>
                <w:sz w:val="22"/>
                <w:lang w:eastAsia="en-GB"/>
              </w:rPr>
              <w:tab/>
            </w:r>
            <w:r w:rsidRPr="006C6A77">
              <w:rPr>
                <w:rStyle w:val="Hyperlink"/>
                <w:noProof/>
              </w:rPr>
              <w:t>Materials</w:t>
            </w:r>
            <w:r>
              <w:rPr>
                <w:noProof/>
                <w:webHidden/>
              </w:rPr>
              <w:tab/>
            </w:r>
            <w:r>
              <w:rPr>
                <w:noProof/>
                <w:webHidden/>
              </w:rPr>
              <w:fldChar w:fldCharType="begin"/>
            </w:r>
            <w:r>
              <w:rPr>
                <w:noProof/>
                <w:webHidden/>
              </w:rPr>
              <w:instrText xml:space="preserve"> PAGEREF _Toc485712794 \h </w:instrText>
            </w:r>
            <w:r>
              <w:rPr>
                <w:noProof/>
                <w:webHidden/>
              </w:rPr>
            </w:r>
            <w:r>
              <w:rPr>
                <w:noProof/>
                <w:webHidden/>
              </w:rPr>
              <w:fldChar w:fldCharType="separate"/>
            </w:r>
            <w:r>
              <w:rPr>
                <w:noProof/>
                <w:webHidden/>
              </w:rPr>
              <w:t>120</w:t>
            </w:r>
            <w:r>
              <w:rPr>
                <w:noProof/>
                <w:webHidden/>
              </w:rPr>
              <w:fldChar w:fldCharType="end"/>
            </w:r>
          </w:hyperlink>
        </w:p>
        <w:p w14:paraId="2C988381" w14:textId="77777777" w:rsidR="00C643FE" w:rsidRDefault="00C643FE">
          <w:pPr>
            <w:pStyle w:val="TOC3"/>
            <w:tabs>
              <w:tab w:val="left" w:pos="1320"/>
              <w:tab w:val="right" w:leader="dot" w:pos="8494"/>
            </w:tabs>
            <w:rPr>
              <w:rFonts w:eastAsiaTheme="minorEastAsia"/>
              <w:noProof/>
              <w:sz w:val="22"/>
              <w:lang w:eastAsia="en-GB"/>
            </w:rPr>
          </w:pPr>
          <w:hyperlink w:anchor="_Toc485712795" w:history="1">
            <w:r w:rsidRPr="006C6A77">
              <w:rPr>
                <w:rStyle w:val="Hyperlink"/>
                <w:noProof/>
                <w14:scene3d>
                  <w14:camera w14:prst="orthographicFront"/>
                  <w14:lightRig w14:rig="threePt" w14:dir="t">
                    <w14:rot w14:lat="0" w14:lon="0" w14:rev="0"/>
                  </w14:lightRig>
                </w14:scene3d>
              </w:rPr>
              <w:t>4.2.2</w:t>
            </w:r>
            <w:r>
              <w:rPr>
                <w:rFonts w:eastAsiaTheme="minorEastAsia"/>
                <w:noProof/>
                <w:sz w:val="22"/>
                <w:lang w:eastAsia="en-GB"/>
              </w:rPr>
              <w:tab/>
            </w:r>
            <w:r w:rsidRPr="006C6A77">
              <w:rPr>
                <w:rStyle w:val="Hyperlink"/>
                <w:noProof/>
              </w:rPr>
              <w:t>Methods</w:t>
            </w:r>
            <w:r>
              <w:rPr>
                <w:noProof/>
                <w:webHidden/>
              </w:rPr>
              <w:tab/>
            </w:r>
            <w:r>
              <w:rPr>
                <w:noProof/>
                <w:webHidden/>
              </w:rPr>
              <w:fldChar w:fldCharType="begin"/>
            </w:r>
            <w:r>
              <w:rPr>
                <w:noProof/>
                <w:webHidden/>
              </w:rPr>
              <w:instrText xml:space="preserve"> PAGEREF _Toc485712795 \h </w:instrText>
            </w:r>
            <w:r>
              <w:rPr>
                <w:noProof/>
                <w:webHidden/>
              </w:rPr>
            </w:r>
            <w:r>
              <w:rPr>
                <w:noProof/>
                <w:webHidden/>
              </w:rPr>
              <w:fldChar w:fldCharType="separate"/>
            </w:r>
            <w:r>
              <w:rPr>
                <w:noProof/>
                <w:webHidden/>
              </w:rPr>
              <w:t>121</w:t>
            </w:r>
            <w:r>
              <w:rPr>
                <w:noProof/>
                <w:webHidden/>
              </w:rPr>
              <w:fldChar w:fldCharType="end"/>
            </w:r>
          </w:hyperlink>
        </w:p>
        <w:p w14:paraId="71F9C866" w14:textId="77777777" w:rsidR="00C643FE" w:rsidRDefault="00C643FE">
          <w:pPr>
            <w:pStyle w:val="TOC2"/>
            <w:tabs>
              <w:tab w:val="left" w:pos="880"/>
              <w:tab w:val="right" w:leader="dot" w:pos="8494"/>
            </w:tabs>
            <w:rPr>
              <w:rFonts w:eastAsiaTheme="minorEastAsia"/>
              <w:noProof/>
              <w:sz w:val="22"/>
              <w:lang w:eastAsia="en-GB"/>
            </w:rPr>
          </w:pPr>
          <w:hyperlink w:anchor="_Toc485712796" w:history="1">
            <w:r w:rsidRPr="006C6A77">
              <w:rPr>
                <w:rStyle w:val="Hyperlink"/>
                <w:noProof/>
                <w:lang w:bidi="x-none"/>
                <w14:scene3d>
                  <w14:camera w14:prst="orthographicFront"/>
                  <w14:lightRig w14:rig="threePt" w14:dir="t">
                    <w14:rot w14:lat="0" w14:lon="0" w14:rev="0"/>
                  </w14:lightRig>
                </w14:scene3d>
              </w:rPr>
              <w:t>4.3</w:t>
            </w:r>
            <w:r>
              <w:rPr>
                <w:rFonts w:eastAsiaTheme="minorEastAsia"/>
                <w:noProof/>
                <w:sz w:val="22"/>
                <w:lang w:eastAsia="en-GB"/>
              </w:rPr>
              <w:tab/>
            </w:r>
            <w:r w:rsidRPr="006C6A77">
              <w:rPr>
                <w:rStyle w:val="Hyperlink"/>
                <w:noProof/>
              </w:rPr>
              <w:t>Results &amp; Discussion</w:t>
            </w:r>
            <w:r>
              <w:rPr>
                <w:noProof/>
                <w:webHidden/>
              </w:rPr>
              <w:tab/>
            </w:r>
            <w:r>
              <w:rPr>
                <w:noProof/>
                <w:webHidden/>
              </w:rPr>
              <w:fldChar w:fldCharType="begin"/>
            </w:r>
            <w:r>
              <w:rPr>
                <w:noProof/>
                <w:webHidden/>
              </w:rPr>
              <w:instrText xml:space="preserve"> PAGEREF _Toc485712796 \h </w:instrText>
            </w:r>
            <w:r>
              <w:rPr>
                <w:noProof/>
                <w:webHidden/>
              </w:rPr>
            </w:r>
            <w:r>
              <w:rPr>
                <w:noProof/>
                <w:webHidden/>
              </w:rPr>
              <w:fldChar w:fldCharType="separate"/>
            </w:r>
            <w:r>
              <w:rPr>
                <w:noProof/>
                <w:webHidden/>
              </w:rPr>
              <w:t>122</w:t>
            </w:r>
            <w:r>
              <w:rPr>
                <w:noProof/>
                <w:webHidden/>
              </w:rPr>
              <w:fldChar w:fldCharType="end"/>
            </w:r>
          </w:hyperlink>
        </w:p>
        <w:p w14:paraId="1689EE6A" w14:textId="77777777" w:rsidR="00C643FE" w:rsidRDefault="00C643FE">
          <w:pPr>
            <w:pStyle w:val="TOC3"/>
            <w:tabs>
              <w:tab w:val="left" w:pos="1320"/>
              <w:tab w:val="right" w:leader="dot" w:pos="8494"/>
            </w:tabs>
            <w:rPr>
              <w:rFonts w:eastAsiaTheme="minorEastAsia"/>
              <w:noProof/>
              <w:sz w:val="22"/>
              <w:lang w:eastAsia="en-GB"/>
            </w:rPr>
          </w:pPr>
          <w:hyperlink w:anchor="_Toc485712797" w:history="1">
            <w:r w:rsidRPr="006C6A77">
              <w:rPr>
                <w:rStyle w:val="Hyperlink"/>
                <w:noProof/>
                <w14:scene3d>
                  <w14:camera w14:prst="orthographicFront"/>
                  <w14:lightRig w14:rig="threePt" w14:dir="t">
                    <w14:rot w14:lat="0" w14:lon="0" w14:rev="0"/>
                  </w14:lightRig>
                </w14:scene3d>
              </w:rPr>
              <w:t>4.3.1</w:t>
            </w:r>
            <w:r>
              <w:rPr>
                <w:rFonts w:eastAsiaTheme="minorEastAsia"/>
                <w:noProof/>
                <w:sz w:val="22"/>
                <w:lang w:eastAsia="en-GB"/>
              </w:rPr>
              <w:tab/>
            </w:r>
            <w:r w:rsidRPr="006C6A77">
              <w:rPr>
                <w:rStyle w:val="Hyperlink"/>
                <w:noProof/>
              </w:rPr>
              <w:t>Effect of varying concentrations of Gly-Gdn mixtures on protein stability</w:t>
            </w:r>
            <w:r>
              <w:rPr>
                <w:noProof/>
                <w:webHidden/>
              </w:rPr>
              <w:tab/>
            </w:r>
            <w:r>
              <w:rPr>
                <w:noProof/>
                <w:webHidden/>
              </w:rPr>
              <w:fldChar w:fldCharType="begin"/>
            </w:r>
            <w:r>
              <w:rPr>
                <w:noProof/>
                <w:webHidden/>
              </w:rPr>
              <w:instrText xml:space="preserve"> PAGEREF _Toc485712797 \h </w:instrText>
            </w:r>
            <w:r>
              <w:rPr>
                <w:noProof/>
                <w:webHidden/>
              </w:rPr>
            </w:r>
            <w:r>
              <w:rPr>
                <w:noProof/>
                <w:webHidden/>
              </w:rPr>
              <w:fldChar w:fldCharType="separate"/>
            </w:r>
            <w:r>
              <w:rPr>
                <w:noProof/>
                <w:webHidden/>
              </w:rPr>
              <w:t>122</w:t>
            </w:r>
            <w:r>
              <w:rPr>
                <w:noProof/>
                <w:webHidden/>
              </w:rPr>
              <w:fldChar w:fldCharType="end"/>
            </w:r>
          </w:hyperlink>
        </w:p>
        <w:p w14:paraId="448C07A3" w14:textId="77777777" w:rsidR="00C643FE" w:rsidRDefault="00C643FE">
          <w:pPr>
            <w:pStyle w:val="TOC3"/>
            <w:tabs>
              <w:tab w:val="left" w:pos="1320"/>
              <w:tab w:val="right" w:leader="dot" w:pos="8494"/>
            </w:tabs>
            <w:rPr>
              <w:rFonts w:eastAsiaTheme="minorEastAsia"/>
              <w:noProof/>
              <w:sz w:val="22"/>
              <w:lang w:eastAsia="en-GB"/>
            </w:rPr>
          </w:pPr>
          <w:hyperlink w:anchor="_Toc485712798" w:history="1">
            <w:r w:rsidRPr="006C6A77">
              <w:rPr>
                <w:rStyle w:val="Hyperlink"/>
                <w:noProof/>
                <w14:scene3d>
                  <w14:camera w14:prst="orthographicFront"/>
                  <w14:lightRig w14:rig="threePt" w14:dir="t">
                    <w14:rot w14:lat="0" w14:lon="0" w14:rev="0"/>
                  </w14:lightRig>
                </w14:scene3d>
              </w:rPr>
              <w:t>4.3.2</w:t>
            </w:r>
            <w:r>
              <w:rPr>
                <w:rFonts w:eastAsiaTheme="minorEastAsia"/>
                <w:noProof/>
                <w:sz w:val="22"/>
                <w:lang w:eastAsia="en-GB"/>
              </w:rPr>
              <w:tab/>
            </w:r>
            <w:r w:rsidRPr="006C6A77">
              <w:rPr>
                <w:rStyle w:val="Hyperlink"/>
                <w:noProof/>
              </w:rPr>
              <w:t>Equimolar Gly-Gdn mixtures compared to arginine &amp; deviation from additivity</w:t>
            </w:r>
            <w:r>
              <w:rPr>
                <w:noProof/>
                <w:webHidden/>
              </w:rPr>
              <w:tab/>
            </w:r>
            <w:r>
              <w:rPr>
                <w:noProof/>
                <w:webHidden/>
              </w:rPr>
              <w:fldChar w:fldCharType="begin"/>
            </w:r>
            <w:r>
              <w:rPr>
                <w:noProof/>
                <w:webHidden/>
              </w:rPr>
              <w:instrText xml:space="preserve"> PAGEREF _Toc485712798 \h </w:instrText>
            </w:r>
            <w:r>
              <w:rPr>
                <w:noProof/>
                <w:webHidden/>
              </w:rPr>
            </w:r>
            <w:r>
              <w:rPr>
                <w:noProof/>
                <w:webHidden/>
              </w:rPr>
              <w:fldChar w:fldCharType="separate"/>
            </w:r>
            <w:r>
              <w:rPr>
                <w:noProof/>
                <w:webHidden/>
              </w:rPr>
              <w:t>126</w:t>
            </w:r>
            <w:r>
              <w:rPr>
                <w:noProof/>
                <w:webHidden/>
              </w:rPr>
              <w:fldChar w:fldCharType="end"/>
            </w:r>
          </w:hyperlink>
        </w:p>
        <w:p w14:paraId="4B0DDBB8" w14:textId="77777777" w:rsidR="00C643FE" w:rsidRDefault="00C643FE">
          <w:pPr>
            <w:pStyle w:val="TOC2"/>
            <w:tabs>
              <w:tab w:val="left" w:pos="880"/>
              <w:tab w:val="right" w:leader="dot" w:pos="8494"/>
            </w:tabs>
            <w:rPr>
              <w:rFonts w:eastAsiaTheme="minorEastAsia"/>
              <w:noProof/>
              <w:sz w:val="22"/>
              <w:lang w:eastAsia="en-GB"/>
            </w:rPr>
          </w:pPr>
          <w:hyperlink w:anchor="_Toc485712799" w:history="1">
            <w:r w:rsidRPr="006C6A77">
              <w:rPr>
                <w:rStyle w:val="Hyperlink"/>
                <w:noProof/>
                <w:lang w:bidi="x-none"/>
                <w14:scene3d>
                  <w14:camera w14:prst="orthographicFront"/>
                  <w14:lightRig w14:rig="threePt" w14:dir="t">
                    <w14:rot w14:lat="0" w14:lon="0" w14:rev="0"/>
                  </w14:lightRig>
                </w14:scene3d>
              </w:rPr>
              <w:t>4.4</w:t>
            </w:r>
            <w:r>
              <w:rPr>
                <w:rFonts w:eastAsiaTheme="minorEastAsia"/>
                <w:noProof/>
                <w:sz w:val="22"/>
                <w:lang w:eastAsia="en-GB"/>
              </w:rPr>
              <w:tab/>
            </w:r>
            <w:r w:rsidRPr="006C6A77">
              <w:rPr>
                <w:rStyle w:val="Hyperlink"/>
                <w:noProof/>
              </w:rPr>
              <w:t>Conclusions</w:t>
            </w:r>
            <w:r>
              <w:rPr>
                <w:noProof/>
                <w:webHidden/>
              </w:rPr>
              <w:tab/>
            </w:r>
            <w:r>
              <w:rPr>
                <w:noProof/>
                <w:webHidden/>
              </w:rPr>
              <w:fldChar w:fldCharType="begin"/>
            </w:r>
            <w:r>
              <w:rPr>
                <w:noProof/>
                <w:webHidden/>
              </w:rPr>
              <w:instrText xml:space="preserve"> PAGEREF _Toc485712799 \h </w:instrText>
            </w:r>
            <w:r>
              <w:rPr>
                <w:noProof/>
                <w:webHidden/>
              </w:rPr>
            </w:r>
            <w:r>
              <w:rPr>
                <w:noProof/>
                <w:webHidden/>
              </w:rPr>
              <w:fldChar w:fldCharType="separate"/>
            </w:r>
            <w:r>
              <w:rPr>
                <w:noProof/>
                <w:webHidden/>
              </w:rPr>
              <w:t>132</w:t>
            </w:r>
            <w:r>
              <w:rPr>
                <w:noProof/>
                <w:webHidden/>
              </w:rPr>
              <w:fldChar w:fldCharType="end"/>
            </w:r>
          </w:hyperlink>
        </w:p>
        <w:p w14:paraId="6DB30413" w14:textId="77777777" w:rsidR="00C643FE" w:rsidRDefault="00C643FE">
          <w:pPr>
            <w:pStyle w:val="TOC1"/>
            <w:tabs>
              <w:tab w:val="left" w:pos="480"/>
              <w:tab w:val="right" w:leader="dot" w:pos="8494"/>
            </w:tabs>
            <w:rPr>
              <w:rFonts w:eastAsiaTheme="minorEastAsia"/>
              <w:noProof/>
              <w:sz w:val="22"/>
              <w:lang w:eastAsia="en-GB"/>
            </w:rPr>
          </w:pPr>
          <w:hyperlink w:anchor="_Toc485712800" w:history="1">
            <w:r w:rsidRPr="006C6A77">
              <w:rPr>
                <w:rStyle w:val="Hyperlink"/>
                <w:noProof/>
              </w:rPr>
              <w:t>5</w:t>
            </w:r>
            <w:r>
              <w:rPr>
                <w:rFonts w:eastAsiaTheme="minorEastAsia"/>
                <w:noProof/>
                <w:sz w:val="22"/>
                <w:lang w:eastAsia="en-GB"/>
              </w:rPr>
              <w:tab/>
            </w:r>
            <w:r w:rsidRPr="006C6A77">
              <w:rPr>
                <w:rStyle w:val="Hyperlink"/>
                <w:noProof/>
              </w:rPr>
              <w:t>Experimental evidence of arginine self-association and elucidation of the mechanisms involved in clustering studied by Nanoparticle Tracking Analysis</w:t>
            </w:r>
            <w:r>
              <w:rPr>
                <w:noProof/>
                <w:webHidden/>
              </w:rPr>
              <w:tab/>
            </w:r>
            <w:r>
              <w:rPr>
                <w:noProof/>
                <w:webHidden/>
              </w:rPr>
              <w:fldChar w:fldCharType="begin"/>
            </w:r>
            <w:r>
              <w:rPr>
                <w:noProof/>
                <w:webHidden/>
              </w:rPr>
              <w:instrText xml:space="preserve"> PAGEREF _Toc485712800 \h </w:instrText>
            </w:r>
            <w:r>
              <w:rPr>
                <w:noProof/>
                <w:webHidden/>
              </w:rPr>
            </w:r>
            <w:r>
              <w:rPr>
                <w:noProof/>
                <w:webHidden/>
              </w:rPr>
              <w:fldChar w:fldCharType="separate"/>
            </w:r>
            <w:r>
              <w:rPr>
                <w:noProof/>
                <w:webHidden/>
              </w:rPr>
              <w:t>134</w:t>
            </w:r>
            <w:r>
              <w:rPr>
                <w:noProof/>
                <w:webHidden/>
              </w:rPr>
              <w:fldChar w:fldCharType="end"/>
            </w:r>
          </w:hyperlink>
        </w:p>
        <w:p w14:paraId="07B02BC4" w14:textId="77777777" w:rsidR="00C643FE" w:rsidRDefault="00C643FE">
          <w:pPr>
            <w:pStyle w:val="TOC2"/>
            <w:tabs>
              <w:tab w:val="left" w:pos="880"/>
              <w:tab w:val="right" w:leader="dot" w:pos="8494"/>
            </w:tabs>
            <w:rPr>
              <w:rFonts w:eastAsiaTheme="minorEastAsia"/>
              <w:noProof/>
              <w:sz w:val="22"/>
              <w:lang w:eastAsia="en-GB"/>
            </w:rPr>
          </w:pPr>
          <w:hyperlink w:anchor="_Toc485712801" w:history="1">
            <w:r w:rsidRPr="006C6A77">
              <w:rPr>
                <w:rStyle w:val="Hyperlink"/>
                <w:noProof/>
                <w:lang w:bidi="x-none"/>
                <w14:scene3d>
                  <w14:camera w14:prst="orthographicFront"/>
                  <w14:lightRig w14:rig="threePt" w14:dir="t">
                    <w14:rot w14:lat="0" w14:lon="0" w14:rev="0"/>
                  </w14:lightRig>
                </w14:scene3d>
              </w:rPr>
              <w:t>5.1</w:t>
            </w:r>
            <w:r>
              <w:rPr>
                <w:rFonts w:eastAsiaTheme="minorEastAsia"/>
                <w:noProof/>
                <w:sz w:val="22"/>
                <w:lang w:eastAsia="en-GB"/>
              </w:rPr>
              <w:tab/>
            </w:r>
            <w:r w:rsidRPr="006C6A77">
              <w:rPr>
                <w:rStyle w:val="Hyperlink"/>
                <w:noProof/>
              </w:rPr>
              <w:t>Introduction</w:t>
            </w:r>
            <w:r>
              <w:rPr>
                <w:noProof/>
                <w:webHidden/>
              </w:rPr>
              <w:tab/>
            </w:r>
            <w:r>
              <w:rPr>
                <w:noProof/>
                <w:webHidden/>
              </w:rPr>
              <w:fldChar w:fldCharType="begin"/>
            </w:r>
            <w:r>
              <w:rPr>
                <w:noProof/>
                <w:webHidden/>
              </w:rPr>
              <w:instrText xml:space="preserve"> PAGEREF _Toc485712801 \h </w:instrText>
            </w:r>
            <w:r>
              <w:rPr>
                <w:noProof/>
                <w:webHidden/>
              </w:rPr>
            </w:r>
            <w:r>
              <w:rPr>
                <w:noProof/>
                <w:webHidden/>
              </w:rPr>
              <w:fldChar w:fldCharType="separate"/>
            </w:r>
            <w:r>
              <w:rPr>
                <w:noProof/>
                <w:webHidden/>
              </w:rPr>
              <w:t>135</w:t>
            </w:r>
            <w:r>
              <w:rPr>
                <w:noProof/>
                <w:webHidden/>
              </w:rPr>
              <w:fldChar w:fldCharType="end"/>
            </w:r>
          </w:hyperlink>
        </w:p>
        <w:p w14:paraId="0C8BB009" w14:textId="77777777" w:rsidR="00C643FE" w:rsidRDefault="00C643FE">
          <w:pPr>
            <w:pStyle w:val="TOC2"/>
            <w:tabs>
              <w:tab w:val="left" w:pos="880"/>
              <w:tab w:val="right" w:leader="dot" w:pos="8494"/>
            </w:tabs>
            <w:rPr>
              <w:rFonts w:eastAsiaTheme="minorEastAsia"/>
              <w:noProof/>
              <w:sz w:val="22"/>
              <w:lang w:eastAsia="en-GB"/>
            </w:rPr>
          </w:pPr>
          <w:hyperlink w:anchor="_Toc485712802" w:history="1">
            <w:r w:rsidRPr="006C6A77">
              <w:rPr>
                <w:rStyle w:val="Hyperlink"/>
                <w:noProof/>
                <w:lang w:bidi="x-none"/>
                <w14:scene3d>
                  <w14:camera w14:prst="orthographicFront"/>
                  <w14:lightRig w14:rig="threePt" w14:dir="t">
                    <w14:rot w14:lat="0" w14:lon="0" w14:rev="0"/>
                  </w14:lightRig>
                </w14:scene3d>
              </w:rPr>
              <w:t>5.2</w:t>
            </w:r>
            <w:r>
              <w:rPr>
                <w:rFonts w:eastAsiaTheme="minorEastAsia"/>
                <w:noProof/>
                <w:sz w:val="22"/>
                <w:lang w:eastAsia="en-GB"/>
              </w:rPr>
              <w:tab/>
            </w:r>
            <w:r w:rsidRPr="006C6A77">
              <w:rPr>
                <w:rStyle w:val="Hyperlink"/>
                <w:noProof/>
              </w:rPr>
              <w:t>Materials &amp; Methods</w:t>
            </w:r>
            <w:r>
              <w:rPr>
                <w:noProof/>
                <w:webHidden/>
              </w:rPr>
              <w:tab/>
            </w:r>
            <w:r>
              <w:rPr>
                <w:noProof/>
                <w:webHidden/>
              </w:rPr>
              <w:fldChar w:fldCharType="begin"/>
            </w:r>
            <w:r>
              <w:rPr>
                <w:noProof/>
                <w:webHidden/>
              </w:rPr>
              <w:instrText xml:space="preserve"> PAGEREF _Toc485712802 \h </w:instrText>
            </w:r>
            <w:r>
              <w:rPr>
                <w:noProof/>
                <w:webHidden/>
              </w:rPr>
            </w:r>
            <w:r>
              <w:rPr>
                <w:noProof/>
                <w:webHidden/>
              </w:rPr>
              <w:fldChar w:fldCharType="separate"/>
            </w:r>
            <w:r>
              <w:rPr>
                <w:noProof/>
                <w:webHidden/>
              </w:rPr>
              <w:t>137</w:t>
            </w:r>
            <w:r>
              <w:rPr>
                <w:noProof/>
                <w:webHidden/>
              </w:rPr>
              <w:fldChar w:fldCharType="end"/>
            </w:r>
          </w:hyperlink>
        </w:p>
        <w:p w14:paraId="65ECF4BA" w14:textId="77777777" w:rsidR="00C643FE" w:rsidRDefault="00C643FE">
          <w:pPr>
            <w:pStyle w:val="TOC3"/>
            <w:tabs>
              <w:tab w:val="left" w:pos="1320"/>
              <w:tab w:val="right" w:leader="dot" w:pos="8494"/>
            </w:tabs>
            <w:rPr>
              <w:rFonts w:eastAsiaTheme="minorEastAsia"/>
              <w:noProof/>
              <w:sz w:val="22"/>
              <w:lang w:eastAsia="en-GB"/>
            </w:rPr>
          </w:pPr>
          <w:hyperlink w:anchor="_Toc485712803" w:history="1">
            <w:r w:rsidRPr="006C6A77">
              <w:rPr>
                <w:rStyle w:val="Hyperlink"/>
                <w:noProof/>
                <w14:scene3d>
                  <w14:camera w14:prst="orthographicFront"/>
                  <w14:lightRig w14:rig="threePt" w14:dir="t">
                    <w14:rot w14:lat="0" w14:lon="0" w14:rev="0"/>
                  </w14:lightRig>
                </w14:scene3d>
              </w:rPr>
              <w:t>5.2.1</w:t>
            </w:r>
            <w:r>
              <w:rPr>
                <w:rFonts w:eastAsiaTheme="minorEastAsia"/>
                <w:noProof/>
                <w:sz w:val="22"/>
                <w:lang w:eastAsia="en-GB"/>
              </w:rPr>
              <w:tab/>
            </w:r>
            <w:r w:rsidRPr="006C6A77">
              <w:rPr>
                <w:rStyle w:val="Hyperlink"/>
                <w:noProof/>
              </w:rPr>
              <w:t>Materials</w:t>
            </w:r>
            <w:r>
              <w:rPr>
                <w:noProof/>
                <w:webHidden/>
              </w:rPr>
              <w:tab/>
            </w:r>
            <w:r>
              <w:rPr>
                <w:noProof/>
                <w:webHidden/>
              </w:rPr>
              <w:fldChar w:fldCharType="begin"/>
            </w:r>
            <w:r>
              <w:rPr>
                <w:noProof/>
                <w:webHidden/>
              </w:rPr>
              <w:instrText xml:space="preserve"> PAGEREF _Toc485712803 \h </w:instrText>
            </w:r>
            <w:r>
              <w:rPr>
                <w:noProof/>
                <w:webHidden/>
              </w:rPr>
            </w:r>
            <w:r>
              <w:rPr>
                <w:noProof/>
                <w:webHidden/>
              </w:rPr>
              <w:fldChar w:fldCharType="separate"/>
            </w:r>
            <w:r>
              <w:rPr>
                <w:noProof/>
                <w:webHidden/>
              </w:rPr>
              <w:t>137</w:t>
            </w:r>
            <w:r>
              <w:rPr>
                <w:noProof/>
                <w:webHidden/>
              </w:rPr>
              <w:fldChar w:fldCharType="end"/>
            </w:r>
          </w:hyperlink>
        </w:p>
        <w:p w14:paraId="4E756AE5" w14:textId="77777777" w:rsidR="00C643FE" w:rsidRDefault="00C643FE">
          <w:pPr>
            <w:pStyle w:val="TOC3"/>
            <w:tabs>
              <w:tab w:val="left" w:pos="1320"/>
              <w:tab w:val="right" w:leader="dot" w:pos="8494"/>
            </w:tabs>
            <w:rPr>
              <w:rFonts w:eastAsiaTheme="minorEastAsia"/>
              <w:noProof/>
              <w:sz w:val="22"/>
              <w:lang w:eastAsia="en-GB"/>
            </w:rPr>
          </w:pPr>
          <w:hyperlink w:anchor="_Toc485712804" w:history="1">
            <w:r w:rsidRPr="006C6A77">
              <w:rPr>
                <w:rStyle w:val="Hyperlink"/>
                <w:noProof/>
                <w14:scene3d>
                  <w14:camera w14:prst="orthographicFront"/>
                  <w14:lightRig w14:rig="threePt" w14:dir="t">
                    <w14:rot w14:lat="0" w14:lon="0" w14:rev="0"/>
                  </w14:lightRig>
                </w14:scene3d>
              </w:rPr>
              <w:t>5.2.2</w:t>
            </w:r>
            <w:r>
              <w:rPr>
                <w:rFonts w:eastAsiaTheme="minorEastAsia"/>
                <w:noProof/>
                <w:sz w:val="22"/>
                <w:lang w:eastAsia="en-GB"/>
              </w:rPr>
              <w:tab/>
            </w:r>
            <w:r w:rsidRPr="006C6A77">
              <w:rPr>
                <w:rStyle w:val="Hyperlink"/>
                <w:noProof/>
              </w:rPr>
              <w:t>Methods</w:t>
            </w:r>
            <w:r>
              <w:rPr>
                <w:noProof/>
                <w:webHidden/>
              </w:rPr>
              <w:tab/>
            </w:r>
            <w:r>
              <w:rPr>
                <w:noProof/>
                <w:webHidden/>
              </w:rPr>
              <w:fldChar w:fldCharType="begin"/>
            </w:r>
            <w:r>
              <w:rPr>
                <w:noProof/>
                <w:webHidden/>
              </w:rPr>
              <w:instrText xml:space="preserve"> PAGEREF _Toc485712804 \h </w:instrText>
            </w:r>
            <w:r>
              <w:rPr>
                <w:noProof/>
                <w:webHidden/>
              </w:rPr>
            </w:r>
            <w:r>
              <w:rPr>
                <w:noProof/>
                <w:webHidden/>
              </w:rPr>
              <w:fldChar w:fldCharType="separate"/>
            </w:r>
            <w:r>
              <w:rPr>
                <w:noProof/>
                <w:webHidden/>
              </w:rPr>
              <w:t>137</w:t>
            </w:r>
            <w:r>
              <w:rPr>
                <w:noProof/>
                <w:webHidden/>
              </w:rPr>
              <w:fldChar w:fldCharType="end"/>
            </w:r>
          </w:hyperlink>
        </w:p>
        <w:p w14:paraId="0992BF8B" w14:textId="77777777" w:rsidR="00C643FE" w:rsidRDefault="00C643FE">
          <w:pPr>
            <w:pStyle w:val="TOC2"/>
            <w:tabs>
              <w:tab w:val="left" w:pos="880"/>
              <w:tab w:val="right" w:leader="dot" w:pos="8494"/>
            </w:tabs>
            <w:rPr>
              <w:rFonts w:eastAsiaTheme="minorEastAsia"/>
              <w:noProof/>
              <w:sz w:val="22"/>
              <w:lang w:eastAsia="en-GB"/>
            </w:rPr>
          </w:pPr>
          <w:hyperlink w:anchor="_Toc485712805" w:history="1">
            <w:r w:rsidRPr="006C6A77">
              <w:rPr>
                <w:rStyle w:val="Hyperlink"/>
                <w:noProof/>
                <w:lang w:bidi="x-none"/>
                <w14:scene3d>
                  <w14:camera w14:prst="orthographicFront"/>
                  <w14:lightRig w14:rig="threePt" w14:dir="t">
                    <w14:rot w14:lat="0" w14:lon="0" w14:rev="0"/>
                  </w14:lightRig>
                </w14:scene3d>
              </w:rPr>
              <w:t>5.3</w:t>
            </w:r>
            <w:r>
              <w:rPr>
                <w:rFonts w:eastAsiaTheme="minorEastAsia"/>
                <w:noProof/>
                <w:sz w:val="22"/>
                <w:lang w:eastAsia="en-GB"/>
              </w:rPr>
              <w:tab/>
            </w:r>
            <w:r w:rsidRPr="006C6A77">
              <w:rPr>
                <w:rStyle w:val="Hyperlink"/>
                <w:noProof/>
              </w:rPr>
              <w:t>Results &amp; Discussion</w:t>
            </w:r>
            <w:r>
              <w:rPr>
                <w:noProof/>
                <w:webHidden/>
              </w:rPr>
              <w:tab/>
            </w:r>
            <w:r>
              <w:rPr>
                <w:noProof/>
                <w:webHidden/>
              </w:rPr>
              <w:fldChar w:fldCharType="begin"/>
            </w:r>
            <w:r>
              <w:rPr>
                <w:noProof/>
                <w:webHidden/>
              </w:rPr>
              <w:instrText xml:space="preserve"> PAGEREF _Toc485712805 \h </w:instrText>
            </w:r>
            <w:r>
              <w:rPr>
                <w:noProof/>
                <w:webHidden/>
              </w:rPr>
            </w:r>
            <w:r>
              <w:rPr>
                <w:noProof/>
                <w:webHidden/>
              </w:rPr>
              <w:fldChar w:fldCharType="separate"/>
            </w:r>
            <w:r>
              <w:rPr>
                <w:noProof/>
                <w:webHidden/>
              </w:rPr>
              <w:t>140</w:t>
            </w:r>
            <w:r>
              <w:rPr>
                <w:noProof/>
                <w:webHidden/>
              </w:rPr>
              <w:fldChar w:fldCharType="end"/>
            </w:r>
          </w:hyperlink>
        </w:p>
        <w:p w14:paraId="5DCADDA2" w14:textId="77777777" w:rsidR="00C643FE" w:rsidRDefault="00C643FE">
          <w:pPr>
            <w:pStyle w:val="TOC3"/>
            <w:tabs>
              <w:tab w:val="left" w:pos="1320"/>
              <w:tab w:val="right" w:leader="dot" w:pos="8494"/>
            </w:tabs>
            <w:rPr>
              <w:rFonts w:eastAsiaTheme="minorEastAsia"/>
              <w:noProof/>
              <w:sz w:val="22"/>
              <w:lang w:eastAsia="en-GB"/>
            </w:rPr>
          </w:pPr>
          <w:hyperlink w:anchor="_Toc485712806" w:history="1">
            <w:r w:rsidRPr="006C6A77">
              <w:rPr>
                <w:rStyle w:val="Hyperlink"/>
                <w:noProof/>
                <w14:scene3d>
                  <w14:camera w14:prst="orthographicFront"/>
                  <w14:lightRig w14:rig="threePt" w14:dir="t">
                    <w14:rot w14:lat="0" w14:lon="0" w14:rev="0"/>
                  </w14:lightRig>
                </w14:scene3d>
              </w:rPr>
              <w:t>5.3.1</w:t>
            </w:r>
            <w:r>
              <w:rPr>
                <w:rFonts w:eastAsiaTheme="minorEastAsia"/>
                <w:noProof/>
                <w:sz w:val="22"/>
                <w:lang w:eastAsia="en-GB"/>
              </w:rPr>
              <w:tab/>
            </w:r>
            <w:r w:rsidRPr="006C6A77">
              <w:rPr>
                <w:rStyle w:val="Hyperlink"/>
                <w:noProof/>
              </w:rPr>
              <w:t>Extent of clustering of arginine &amp; relation to effects on stability and solubility</w:t>
            </w:r>
            <w:r>
              <w:rPr>
                <w:noProof/>
                <w:webHidden/>
              </w:rPr>
              <w:tab/>
            </w:r>
            <w:r>
              <w:rPr>
                <w:noProof/>
                <w:webHidden/>
              </w:rPr>
              <w:fldChar w:fldCharType="begin"/>
            </w:r>
            <w:r>
              <w:rPr>
                <w:noProof/>
                <w:webHidden/>
              </w:rPr>
              <w:instrText xml:space="preserve"> PAGEREF _Toc485712806 \h </w:instrText>
            </w:r>
            <w:r>
              <w:rPr>
                <w:noProof/>
                <w:webHidden/>
              </w:rPr>
            </w:r>
            <w:r>
              <w:rPr>
                <w:noProof/>
                <w:webHidden/>
              </w:rPr>
              <w:fldChar w:fldCharType="separate"/>
            </w:r>
            <w:r>
              <w:rPr>
                <w:noProof/>
                <w:webHidden/>
              </w:rPr>
              <w:t>140</w:t>
            </w:r>
            <w:r>
              <w:rPr>
                <w:noProof/>
                <w:webHidden/>
              </w:rPr>
              <w:fldChar w:fldCharType="end"/>
            </w:r>
          </w:hyperlink>
        </w:p>
        <w:p w14:paraId="4AA57B26" w14:textId="77777777" w:rsidR="00C643FE" w:rsidRDefault="00C643FE">
          <w:pPr>
            <w:pStyle w:val="TOC3"/>
            <w:tabs>
              <w:tab w:val="left" w:pos="1320"/>
              <w:tab w:val="right" w:leader="dot" w:pos="8494"/>
            </w:tabs>
            <w:rPr>
              <w:rFonts w:eastAsiaTheme="minorEastAsia"/>
              <w:noProof/>
              <w:sz w:val="22"/>
              <w:lang w:eastAsia="en-GB"/>
            </w:rPr>
          </w:pPr>
          <w:hyperlink w:anchor="_Toc485712807" w:history="1">
            <w:r w:rsidRPr="006C6A77">
              <w:rPr>
                <w:rStyle w:val="Hyperlink"/>
                <w:noProof/>
                <w14:scene3d>
                  <w14:camera w14:prst="orthographicFront"/>
                  <w14:lightRig w14:rig="threePt" w14:dir="t">
                    <w14:rot w14:lat="0" w14:lon="0" w14:rev="0"/>
                  </w14:lightRig>
                </w14:scene3d>
              </w:rPr>
              <w:t>5.3.2</w:t>
            </w:r>
            <w:r>
              <w:rPr>
                <w:rFonts w:eastAsiaTheme="minorEastAsia"/>
                <w:noProof/>
                <w:sz w:val="22"/>
                <w:lang w:eastAsia="en-GB"/>
              </w:rPr>
              <w:tab/>
            </w:r>
            <w:r w:rsidRPr="006C6A77">
              <w:rPr>
                <w:rStyle w:val="Hyperlink"/>
                <w:noProof/>
              </w:rPr>
              <w:t>Establishing the interactions involved in arginine clustering</w:t>
            </w:r>
            <w:r>
              <w:rPr>
                <w:noProof/>
                <w:webHidden/>
              </w:rPr>
              <w:tab/>
            </w:r>
            <w:r>
              <w:rPr>
                <w:noProof/>
                <w:webHidden/>
              </w:rPr>
              <w:fldChar w:fldCharType="begin"/>
            </w:r>
            <w:r>
              <w:rPr>
                <w:noProof/>
                <w:webHidden/>
              </w:rPr>
              <w:instrText xml:space="preserve"> PAGEREF _Toc485712807 \h </w:instrText>
            </w:r>
            <w:r>
              <w:rPr>
                <w:noProof/>
                <w:webHidden/>
              </w:rPr>
            </w:r>
            <w:r>
              <w:rPr>
                <w:noProof/>
                <w:webHidden/>
              </w:rPr>
              <w:fldChar w:fldCharType="separate"/>
            </w:r>
            <w:r>
              <w:rPr>
                <w:noProof/>
                <w:webHidden/>
              </w:rPr>
              <w:t>148</w:t>
            </w:r>
            <w:r>
              <w:rPr>
                <w:noProof/>
                <w:webHidden/>
              </w:rPr>
              <w:fldChar w:fldCharType="end"/>
            </w:r>
          </w:hyperlink>
        </w:p>
        <w:p w14:paraId="49723ED7" w14:textId="77777777" w:rsidR="00C643FE" w:rsidRDefault="00C643FE">
          <w:pPr>
            <w:pStyle w:val="TOC2"/>
            <w:tabs>
              <w:tab w:val="left" w:pos="880"/>
              <w:tab w:val="right" w:leader="dot" w:pos="8494"/>
            </w:tabs>
            <w:rPr>
              <w:rFonts w:eastAsiaTheme="minorEastAsia"/>
              <w:noProof/>
              <w:sz w:val="22"/>
              <w:lang w:eastAsia="en-GB"/>
            </w:rPr>
          </w:pPr>
          <w:hyperlink w:anchor="_Toc485712808" w:history="1">
            <w:r w:rsidRPr="006C6A77">
              <w:rPr>
                <w:rStyle w:val="Hyperlink"/>
                <w:noProof/>
                <w:lang w:bidi="x-none"/>
                <w14:scene3d>
                  <w14:camera w14:prst="orthographicFront"/>
                  <w14:lightRig w14:rig="threePt" w14:dir="t">
                    <w14:rot w14:lat="0" w14:lon="0" w14:rev="0"/>
                  </w14:lightRig>
                </w14:scene3d>
              </w:rPr>
              <w:t>5.4</w:t>
            </w:r>
            <w:r>
              <w:rPr>
                <w:rFonts w:eastAsiaTheme="minorEastAsia"/>
                <w:noProof/>
                <w:sz w:val="22"/>
                <w:lang w:eastAsia="en-GB"/>
              </w:rPr>
              <w:tab/>
            </w:r>
            <w:r w:rsidRPr="006C6A77">
              <w:rPr>
                <w:rStyle w:val="Hyperlink"/>
                <w:noProof/>
              </w:rPr>
              <w:t>Conclusions</w:t>
            </w:r>
            <w:r>
              <w:rPr>
                <w:noProof/>
                <w:webHidden/>
              </w:rPr>
              <w:tab/>
            </w:r>
            <w:r>
              <w:rPr>
                <w:noProof/>
                <w:webHidden/>
              </w:rPr>
              <w:fldChar w:fldCharType="begin"/>
            </w:r>
            <w:r>
              <w:rPr>
                <w:noProof/>
                <w:webHidden/>
              </w:rPr>
              <w:instrText xml:space="preserve"> PAGEREF _Toc485712808 \h </w:instrText>
            </w:r>
            <w:r>
              <w:rPr>
                <w:noProof/>
                <w:webHidden/>
              </w:rPr>
            </w:r>
            <w:r>
              <w:rPr>
                <w:noProof/>
                <w:webHidden/>
              </w:rPr>
              <w:fldChar w:fldCharType="separate"/>
            </w:r>
            <w:r>
              <w:rPr>
                <w:noProof/>
                <w:webHidden/>
              </w:rPr>
              <w:t>154</w:t>
            </w:r>
            <w:r>
              <w:rPr>
                <w:noProof/>
                <w:webHidden/>
              </w:rPr>
              <w:fldChar w:fldCharType="end"/>
            </w:r>
          </w:hyperlink>
        </w:p>
        <w:p w14:paraId="3EE1965F" w14:textId="77777777" w:rsidR="00C643FE" w:rsidRDefault="00C643FE">
          <w:pPr>
            <w:pStyle w:val="TOC1"/>
            <w:tabs>
              <w:tab w:val="left" w:pos="480"/>
              <w:tab w:val="right" w:leader="dot" w:pos="8494"/>
            </w:tabs>
            <w:rPr>
              <w:rFonts w:eastAsiaTheme="minorEastAsia"/>
              <w:noProof/>
              <w:sz w:val="22"/>
              <w:lang w:eastAsia="en-GB"/>
            </w:rPr>
          </w:pPr>
          <w:hyperlink w:anchor="_Toc485712809" w:history="1">
            <w:r w:rsidRPr="006C6A77">
              <w:rPr>
                <w:rStyle w:val="Hyperlink"/>
                <w:noProof/>
              </w:rPr>
              <w:t>6</w:t>
            </w:r>
            <w:r>
              <w:rPr>
                <w:rFonts w:eastAsiaTheme="minorEastAsia"/>
                <w:noProof/>
                <w:sz w:val="22"/>
                <w:lang w:eastAsia="en-GB"/>
              </w:rPr>
              <w:tab/>
            </w:r>
            <w:r w:rsidRPr="006C6A77">
              <w:rPr>
                <w:rStyle w:val="Hyperlink"/>
                <w:noProof/>
              </w:rPr>
              <w:t>Lysine and histidine effects on protein thermal stability: Do all positively charged amino acids act via similar mechanisms?</w:t>
            </w:r>
            <w:r>
              <w:rPr>
                <w:noProof/>
                <w:webHidden/>
              </w:rPr>
              <w:tab/>
            </w:r>
            <w:r>
              <w:rPr>
                <w:noProof/>
                <w:webHidden/>
              </w:rPr>
              <w:fldChar w:fldCharType="begin"/>
            </w:r>
            <w:r>
              <w:rPr>
                <w:noProof/>
                <w:webHidden/>
              </w:rPr>
              <w:instrText xml:space="preserve"> PAGEREF _Toc485712809 \h </w:instrText>
            </w:r>
            <w:r>
              <w:rPr>
                <w:noProof/>
                <w:webHidden/>
              </w:rPr>
            </w:r>
            <w:r>
              <w:rPr>
                <w:noProof/>
                <w:webHidden/>
              </w:rPr>
              <w:fldChar w:fldCharType="separate"/>
            </w:r>
            <w:r>
              <w:rPr>
                <w:noProof/>
                <w:webHidden/>
              </w:rPr>
              <w:t>155</w:t>
            </w:r>
            <w:r>
              <w:rPr>
                <w:noProof/>
                <w:webHidden/>
              </w:rPr>
              <w:fldChar w:fldCharType="end"/>
            </w:r>
          </w:hyperlink>
        </w:p>
        <w:p w14:paraId="6F52934D" w14:textId="77777777" w:rsidR="00C643FE" w:rsidRDefault="00C643FE">
          <w:pPr>
            <w:pStyle w:val="TOC2"/>
            <w:tabs>
              <w:tab w:val="left" w:pos="880"/>
              <w:tab w:val="right" w:leader="dot" w:pos="8494"/>
            </w:tabs>
            <w:rPr>
              <w:rFonts w:eastAsiaTheme="minorEastAsia"/>
              <w:noProof/>
              <w:sz w:val="22"/>
              <w:lang w:eastAsia="en-GB"/>
            </w:rPr>
          </w:pPr>
          <w:hyperlink w:anchor="_Toc485712810" w:history="1">
            <w:r w:rsidRPr="006C6A77">
              <w:rPr>
                <w:rStyle w:val="Hyperlink"/>
                <w:noProof/>
                <w:lang w:bidi="x-none"/>
                <w14:scene3d>
                  <w14:camera w14:prst="orthographicFront"/>
                  <w14:lightRig w14:rig="threePt" w14:dir="t">
                    <w14:rot w14:lat="0" w14:lon="0" w14:rev="0"/>
                  </w14:lightRig>
                </w14:scene3d>
              </w:rPr>
              <w:t>6.1</w:t>
            </w:r>
            <w:r>
              <w:rPr>
                <w:rFonts w:eastAsiaTheme="minorEastAsia"/>
                <w:noProof/>
                <w:sz w:val="22"/>
                <w:lang w:eastAsia="en-GB"/>
              </w:rPr>
              <w:tab/>
            </w:r>
            <w:r w:rsidRPr="006C6A77">
              <w:rPr>
                <w:rStyle w:val="Hyperlink"/>
                <w:noProof/>
              </w:rPr>
              <w:t>Introduction</w:t>
            </w:r>
            <w:r>
              <w:rPr>
                <w:noProof/>
                <w:webHidden/>
              </w:rPr>
              <w:tab/>
            </w:r>
            <w:r>
              <w:rPr>
                <w:noProof/>
                <w:webHidden/>
              </w:rPr>
              <w:fldChar w:fldCharType="begin"/>
            </w:r>
            <w:r>
              <w:rPr>
                <w:noProof/>
                <w:webHidden/>
              </w:rPr>
              <w:instrText xml:space="preserve"> PAGEREF _Toc485712810 \h </w:instrText>
            </w:r>
            <w:r>
              <w:rPr>
                <w:noProof/>
                <w:webHidden/>
              </w:rPr>
            </w:r>
            <w:r>
              <w:rPr>
                <w:noProof/>
                <w:webHidden/>
              </w:rPr>
              <w:fldChar w:fldCharType="separate"/>
            </w:r>
            <w:r>
              <w:rPr>
                <w:noProof/>
                <w:webHidden/>
              </w:rPr>
              <w:t>156</w:t>
            </w:r>
            <w:r>
              <w:rPr>
                <w:noProof/>
                <w:webHidden/>
              </w:rPr>
              <w:fldChar w:fldCharType="end"/>
            </w:r>
          </w:hyperlink>
        </w:p>
        <w:p w14:paraId="4DE9D42D" w14:textId="77777777" w:rsidR="00C643FE" w:rsidRDefault="00C643FE">
          <w:pPr>
            <w:pStyle w:val="TOC2"/>
            <w:tabs>
              <w:tab w:val="left" w:pos="880"/>
              <w:tab w:val="right" w:leader="dot" w:pos="8494"/>
            </w:tabs>
            <w:rPr>
              <w:rFonts w:eastAsiaTheme="minorEastAsia"/>
              <w:noProof/>
              <w:sz w:val="22"/>
              <w:lang w:eastAsia="en-GB"/>
            </w:rPr>
          </w:pPr>
          <w:hyperlink w:anchor="_Toc485712811" w:history="1">
            <w:r w:rsidRPr="006C6A77">
              <w:rPr>
                <w:rStyle w:val="Hyperlink"/>
                <w:noProof/>
                <w:lang w:bidi="x-none"/>
                <w14:scene3d>
                  <w14:camera w14:prst="orthographicFront"/>
                  <w14:lightRig w14:rig="threePt" w14:dir="t">
                    <w14:rot w14:lat="0" w14:lon="0" w14:rev="0"/>
                  </w14:lightRig>
                </w14:scene3d>
              </w:rPr>
              <w:t>6.2</w:t>
            </w:r>
            <w:r>
              <w:rPr>
                <w:rFonts w:eastAsiaTheme="minorEastAsia"/>
                <w:noProof/>
                <w:sz w:val="22"/>
                <w:lang w:eastAsia="en-GB"/>
              </w:rPr>
              <w:tab/>
            </w:r>
            <w:r w:rsidRPr="006C6A77">
              <w:rPr>
                <w:rStyle w:val="Hyperlink"/>
                <w:noProof/>
              </w:rPr>
              <w:t>Materials &amp; Methods</w:t>
            </w:r>
            <w:r>
              <w:rPr>
                <w:noProof/>
                <w:webHidden/>
              </w:rPr>
              <w:tab/>
            </w:r>
            <w:r>
              <w:rPr>
                <w:noProof/>
                <w:webHidden/>
              </w:rPr>
              <w:fldChar w:fldCharType="begin"/>
            </w:r>
            <w:r>
              <w:rPr>
                <w:noProof/>
                <w:webHidden/>
              </w:rPr>
              <w:instrText xml:space="preserve"> PAGEREF _Toc485712811 \h </w:instrText>
            </w:r>
            <w:r>
              <w:rPr>
                <w:noProof/>
                <w:webHidden/>
              </w:rPr>
            </w:r>
            <w:r>
              <w:rPr>
                <w:noProof/>
                <w:webHidden/>
              </w:rPr>
              <w:fldChar w:fldCharType="separate"/>
            </w:r>
            <w:r>
              <w:rPr>
                <w:noProof/>
                <w:webHidden/>
              </w:rPr>
              <w:t>159</w:t>
            </w:r>
            <w:r>
              <w:rPr>
                <w:noProof/>
                <w:webHidden/>
              </w:rPr>
              <w:fldChar w:fldCharType="end"/>
            </w:r>
          </w:hyperlink>
        </w:p>
        <w:p w14:paraId="1E7DAF12" w14:textId="77777777" w:rsidR="00C643FE" w:rsidRDefault="00C643FE">
          <w:pPr>
            <w:pStyle w:val="TOC3"/>
            <w:tabs>
              <w:tab w:val="left" w:pos="1320"/>
              <w:tab w:val="right" w:leader="dot" w:pos="8494"/>
            </w:tabs>
            <w:rPr>
              <w:rFonts w:eastAsiaTheme="minorEastAsia"/>
              <w:noProof/>
              <w:sz w:val="22"/>
              <w:lang w:eastAsia="en-GB"/>
            </w:rPr>
          </w:pPr>
          <w:hyperlink w:anchor="_Toc485712812" w:history="1">
            <w:r w:rsidRPr="006C6A77">
              <w:rPr>
                <w:rStyle w:val="Hyperlink"/>
                <w:noProof/>
                <w14:scene3d>
                  <w14:camera w14:prst="orthographicFront"/>
                  <w14:lightRig w14:rig="threePt" w14:dir="t">
                    <w14:rot w14:lat="0" w14:lon="0" w14:rev="0"/>
                  </w14:lightRig>
                </w14:scene3d>
              </w:rPr>
              <w:t>6.2.1</w:t>
            </w:r>
            <w:r>
              <w:rPr>
                <w:rFonts w:eastAsiaTheme="minorEastAsia"/>
                <w:noProof/>
                <w:sz w:val="22"/>
                <w:lang w:eastAsia="en-GB"/>
              </w:rPr>
              <w:tab/>
            </w:r>
            <w:r w:rsidRPr="006C6A77">
              <w:rPr>
                <w:rStyle w:val="Hyperlink"/>
                <w:noProof/>
              </w:rPr>
              <w:t>Materials</w:t>
            </w:r>
            <w:r>
              <w:rPr>
                <w:noProof/>
                <w:webHidden/>
              </w:rPr>
              <w:tab/>
            </w:r>
            <w:r>
              <w:rPr>
                <w:noProof/>
                <w:webHidden/>
              </w:rPr>
              <w:fldChar w:fldCharType="begin"/>
            </w:r>
            <w:r>
              <w:rPr>
                <w:noProof/>
                <w:webHidden/>
              </w:rPr>
              <w:instrText xml:space="preserve"> PAGEREF _Toc485712812 \h </w:instrText>
            </w:r>
            <w:r>
              <w:rPr>
                <w:noProof/>
                <w:webHidden/>
              </w:rPr>
            </w:r>
            <w:r>
              <w:rPr>
                <w:noProof/>
                <w:webHidden/>
              </w:rPr>
              <w:fldChar w:fldCharType="separate"/>
            </w:r>
            <w:r>
              <w:rPr>
                <w:noProof/>
                <w:webHidden/>
              </w:rPr>
              <w:t>159</w:t>
            </w:r>
            <w:r>
              <w:rPr>
                <w:noProof/>
                <w:webHidden/>
              </w:rPr>
              <w:fldChar w:fldCharType="end"/>
            </w:r>
          </w:hyperlink>
        </w:p>
        <w:p w14:paraId="56B20E85" w14:textId="77777777" w:rsidR="00C643FE" w:rsidRDefault="00C643FE">
          <w:pPr>
            <w:pStyle w:val="TOC3"/>
            <w:tabs>
              <w:tab w:val="left" w:pos="1320"/>
              <w:tab w:val="right" w:leader="dot" w:pos="8494"/>
            </w:tabs>
            <w:rPr>
              <w:rFonts w:eastAsiaTheme="minorEastAsia"/>
              <w:noProof/>
              <w:sz w:val="22"/>
              <w:lang w:eastAsia="en-GB"/>
            </w:rPr>
          </w:pPr>
          <w:hyperlink w:anchor="_Toc485712813" w:history="1">
            <w:r w:rsidRPr="006C6A77">
              <w:rPr>
                <w:rStyle w:val="Hyperlink"/>
                <w:noProof/>
                <w14:scene3d>
                  <w14:camera w14:prst="orthographicFront"/>
                  <w14:lightRig w14:rig="threePt" w14:dir="t">
                    <w14:rot w14:lat="0" w14:lon="0" w14:rev="0"/>
                  </w14:lightRig>
                </w14:scene3d>
              </w:rPr>
              <w:t>6.2.2</w:t>
            </w:r>
            <w:r>
              <w:rPr>
                <w:rFonts w:eastAsiaTheme="minorEastAsia"/>
                <w:noProof/>
                <w:sz w:val="22"/>
                <w:lang w:eastAsia="en-GB"/>
              </w:rPr>
              <w:tab/>
            </w:r>
            <w:r w:rsidRPr="006C6A77">
              <w:rPr>
                <w:rStyle w:val="Hyperlink"/>
                <w:noProof/>
              </w:rPr>
              <w:t>Methods</w:t>
            </w:r>
            <w:r>
              <w:rPr>
                <w:noProof/>
                <w:webHidden/>
              </w:rPr>
              <w:tab/>
            </w:r>
            <w:r>
              <w:rPr>
                <w:noProof/>
                <w:webHidden/>
              </w:rPr>
              <w:fldChar w:fldCharType="begin"/>
            </w:r>
            <w:r>
              <w:rPr>
                <w:noProof/>
                <w:webHidden/>
              </w:rPr>
              <w:instrText xml:space="preserve"> PAGEREF _Toc485712813 \h </w:instrText>
            </w:r>
            <w:r>
              <w:rPr>
                <w:noProof/>
                <w:webHidden/>
              </w:rPr>
            </w:r>
            <w:r>
              <w:rPr>
                <w:noProof/>
                <w:webHidden/>
              </w:rPr>
              <w:fldChar w:fldCharType="separate"/>
            </w:r>
            <w:r>
              <w:rPr>
                <w:noProof/>
                <w:webHidden/>
              </w:rPr>
              <w:t>159</w:t>
            </w:r>
            <w:r>
              <w:rPr>
                <w:noProof/>
                <w:webHidden/>
              </w:rPr>
              <w:fldChar w:fldCharType="end"/>
            </w:r>
          </w:hyperlink>
        </w:p>
        <w:p w14:paraId="07E3DB03" w14:textId="77777777" w:rsidR="00C643FE" w:rsidRDefault="00C643FE">
          <w:pPr>
            <w:pStyle w:val="TOC2"/>
            <w:tabs>
              <w:tab w:val="left" w:pos="880"/>
              <w:tab w:val="right" w:leader="dot" w:pos="8494"/>
            </w:tabs>
            <w:rPr>
              <w:rFonts w:eastAsiaTheme="minorEastAsia"/>
              <w:noProof/>
              <w:sz w:val="22"/>
              <w:lang w:eastAsia="en-GB"/>
            </w:rPr>
          </w:pPr>
          <w:hyperlink w:anchor="_Toc485712814" w:history="1">
            <w:r w:rsidRPr="006C6A77">
              <w:rPr>
                <w:rStyle w:val="Hyperlink"/>
                <w:noProof/>
                <w:lang w:bidi="x-none"/>
                <w14:scene3d>
                  <w14:camera w14:prst="orthographicFront"/>
                  <w14:lightRig w14:rig="threePt" w14:dir="t">
                    <w14:rot w14:lat="0" w14:lon="0" w14:rev="0"/>
                  </w14:lightRig>
                </w14:scene3d>
              </w:rPr>
              <w:t>6.3</w:t>
            </w:r>
            <w:r>
              <w:rPr>
                <w:rFonts w:eastAsiaTheme="minorEastAsia"/>
                <w:noProof/>
                <w:sz w:val="22"/>
                <w:lang w:eastAsia="en-GB"/>
              </w:rPr>
              <w:tab/>
            </w:r>
            <w:r w:rsidRPr="006C6A77">
              <w:rPr>
                <w:rStyle w:val="Hyperlink"/>
                <w:noProof/>
              </w:rPr>
              <w:t>Results &amp; Discussion</w:t>
            </w:r>
            <w:r>
              <w:rPr>
                <w:noProof/>
                <w:webHidden/>
              </w:rPr>
              <w:tab/>
            </w:r>
            <w:r>
              <w:rPr>
                <w:noProof/>
                <w:webHidden/>
              </w:rPr>
              <w:fldChar w:fldCharType="begin"/>
            </w:r>
            <w:r>
              <w:rPr>
                <w:noProof/>
                <w:webHidden/>
              </w:rPr>
              <w:instrText xml:space="preserve"> PAGEREF _Toc485712814 \h </w:instrText>
            </w:r>
            <w:r>
              <w:rPr>
                <w:noProof/>
                <w:webHidden/>
              </w:rPr>
            </w:r>
            <w:r>
              <w:rPr>
                <w:noProof/>
                <w:webHidden/>
              </w:rPr>
              <w:fldChar w:fldCharType="separate"/>
            </w:r>
            <w:r>
              <w:rPr>
                <w:noProof/>
                <w:webHidden/>
              </w:rPr>
              <w:t>161</w:t>
            </w:r>
            <w:r>
              <w:rPr>
                <w:noProof/>
                <w:webHidden/>
              </w:rPr>
              <w:fldChar w:fldCharType="end"/>
            </w:r>
          </w:hyperlink>
        </w:p>
        <w:p w14:paraId="4B55BBA2" w14:textId="77777777" w:rsidR="00C643FE" w:rsidRDefault="00C643FE">
          <w:pPr>
            <w:pStyle w:val="TOC3"/>
            <w:tabs>
              <w:tab w:val="left" w:pos="1320"/>
              <w:tab w:val="right" w:leader="dot" w:pos="8494"/>
            </w:tabs>
            <w:rPr>
              <w:rFonts w:eastAsiaTheme="minorEastAsia"/>
              <w:noProof/>
              <w:sz w:val="22"/>
              <w:lang w:eastAsia="en-GB"/>
            </w:rPr>
          </w:pPr>
          <w:hyperlink w:anchor="_Toc485712815" w:history="1">
            <w:r w:rsidRPr="006C6A77">
              <w:rPr>
                <w:rStyle w:val="Hyperlink"/>
                <w:noProof/>
                <w14:scene3d>
                  <w14:camera w14:prst="orthographicFront"/>
                  <w14:lightRig w14:rig="threePt" w14:dir="t">
                    <w14:rot w14:lat="0" w14:lon="0" w14:rev="0"/>
                  </w14:lightRig>
                </w14:scene3d>
              </w:rPr>
              <w:t>6.3.1</w:t>
            </w:r>
            <w:r>
              <w:rPr>
                <w:rFonts w:eastAsiaTheme="minorEastAsia"/>
                <w:noProof/>
                <w:sz w:val="22"/>
                <w:lang w:eastAsia="en-GB"/>
              </w:rPr>
              <w:tab/>
            </w:r>
            <w:r w:rsidRPr="006C6A77">
              <w:rPr>
                <w:rStyle w:val="Hyperlink"/>
                <w:noProof/>
              </w:rPr>
              <w:t>Lysine &amp; methylamine HCl</w:t>
            </w:r>
            <w:r>
              <w:rPr>
                <w:noProof/>
                <w:webHidden/>
              </w:rPr>
              <w:tab/>
            </w:r>
            <w:r>
              <w:rPr>
                <w:noProof/>
                <w:webHidden/>
              </w:rPr>
              <w:fldChar w:fldCharType="begin"/>
            </w:r>
            <w:r>
              <w:rPr>
                <w:noProof/>
                <w:webHidden/>
              </w:rPr>
              <w:instrText xml:space="preserve"> PAGEREF _Toc485712815 \h </w:instrText>
            </w:r>
            <w:r>
              <w:rPr>
                <w:noProof/>
                <w:webHidden/>
              </w:rPr>
            </w:r>
            <w:r>
              <w:rPr>
                <w:noProof/>
                <w:webHidden/>
              </w:rPr>
              <w:fldChar w:fldCharType="separate"/>
            </w:r>
            <w:r>
              <w:rPr>
                <w:noProof/>
                <w:webHidden/>
              </w:rPr>
              <w:t>161</w:t>
            </w:r>
            <w:r>
              <w:rPr>
                <w:noProof/>
                <w:webHidden/>
              </w:rPr>
              <w:fldChar w:fldCharType="end"/>
            </w:r>
          </w:hyperlink>
        </w:p>
        <w:p w14:paraId="330C22E0" w14:textId="77777777" w:rsidR="00C643FE" w:rsidRDefault="00C643FE">
          <w:pPr>
            <w:pStyle w:val="TOC3"/>
            <w:tabs>
              <w:tab w:val="left" w:pos="1320"/>
              <w:tab w:val="right" w:leader="dot" w:pos="8494"/>
            </w:tabs>
            <w:rPr>
              <w:rFonts w:eastAsiaTheme="minorEastAsia"/>
              <w:noProof/>
              <w:sz w:val="22"/>
              <w:lang w:eastAsia="en-GB"/>
            </w:rPr>
          </w:pPr>
          <w:hyperlink w:anchor="_Toc485712816" w:history="1">
            <w:r w:rsidRPr="006C6A77">
              <w:rPr>
                <w:rStyle w:val="Hyperlink"/>
                <w:noProof/>
                <w14:scene3d>
                  <w14:camera w14:prst="orthographicFront"/>
                  <w14:lightRig w14:rig="threePt" w14:dir="t">
                    <w14:rot w14:lat="0" w14:lon="0" w14:rev="0"/>
                  </w14:lightRig>
                </w14:scene3d>
              </w:rPr>
              <w:t>6.3.2</w:t>
            </w:r>
            <w:r>
              <w:rPr>
                <w:rFonts w:eastAsiaTheme="minorEastAsia"/>
                <w:noProof/>
                <w:sz w:val="22"/>
                <w:lang w:eastAsia="en-GB"/>
              </w:rPr>
              <w:tab/>
            </w:r>
            <w:r w:rsidRPr="006C6A77">
              <w:rPr>
                <w:rStyle w:val="Hyperlink"/>
                <w:noProof/>
              </w:rPr>
              <w:t>Histidine &amp; imidazole</w:t>
            </w:r>
            <w:r>
              <w:rPr>
                <w:noProof/>
                <w:webHidden/>
              </w:rPr>
              <w:tab/>
            </w:r>
            <w:r>
              <w:rPr>
                <w:noProof/>
                <w:webHidden/>
              </w:rPr>
              <w:fldChar w:fldCharType="begin"/>
            </w:r>
            <w:r>
              <w:rPr>
                <w:noProof/>
                <w:webHidden/>
              </w:rPr>
              <w:instrText xml:space="preserve"> PAGEREF _Toc485712816 \h </w:instrText>
            </w:r>
            <w:r>
              <w:rPr>
                <w:noProof/>
                <w:webHidden/>
              </w:rPr>
            </w:r>
            <w:r>
              <w:rPr>
                <w:noProof/>
                <w:webHidden/>
              </w:rPr>
              <w:fldChar w:fldCharType="separate"/>
            </w:r>
            <w:r>
              <w:rPr>
                <w:noProof/>
                <w:webHidden/>
              </w:rPr>
              <w:t>172</w:t>
            </w:r>
            <w:r>
              <w:rPr>
                <w:noProof/>
                <w:webHidden/>
              </w:rPr>
              <w:fldChar w:fldCharType="end"/>
            </w:r>
          </w:hyperlink>
        </w:p>
        <w:p w14:paraId="73A2A9DD" w14:textId="77777777" w:rsidR="00C643FE" w:rsidRDefault="00C643FE">
          <w:pPr>
            <w:pStyle w:val="TOC3"/>
            <w:tabs>
              <w:tab w:val="left" w:pos="1320"/>
              <w:tab w:val="right" w:leader="dot" w:pos="8494"/>
            </w:tabs>
            <w:rPr>
              <w:rFonts w:eastAsiaTheme="minorEastAsia"/>
              <w:noProof/>
              <w:sz w:val="22"/>
              <w:lang w:eastAsia="en-GB"/>
            </w:rPr>
          </w:pPr>
          <w:hyperlink w:anchor="_Toc485712817" w:history="1">
            <w:r w:rsidRPr="006C6A77">
              <w:rPr>
                <w:rStyle w:val="Hyperlink"/>
                <w:noProof/>
                <w14:scene3d>
                  <w14:camera w14:prst="orthographicFront"/>
                  <w14:lightRig w14:rig="threePt" w14:dir="t">
                    <w14:rot w14:lat="0" w14:lon="0" w14:rev="0"/>
                  </w14:lightRig>
                </w14:scene3d>
              </w:rPr>
              <w:t>6.3.3</w:t>
            </w:r>
            <w:r>
              <w:rPr>
                <w:rFonts w:eastAsiaTheme="minorEastAsia"/>
                <w:noProof/>
                <w:sz w:val="22"/>
                <w:lang w:eastAsia="en-GB"/>
              </w:rPr>
              <w:tab/>
            </w:r>
            <w:r w:rsidRPr="006C6A77">
              <w:rPr>
                <w:rStyle w:val="Hyperlink"/>
                <w:noProof/>
              </w:rPr>
              <w:t>Interpretation &amp; comparison to arginine results</w:t>
            </w:r>
            <w:r>
              <w:rPr>
                <w:noProof/>
                <w:webHidden/>
              </w:rPr>
              <w:tab/>
            </w:r>
            <w:r>
              <w:rPr>
                <w:noProof/>
                <w:webHidden/>
              </w:rPr>
              <w:fldChar w:fldCharType="begin"/>
            </w:r>
            <w:r>
              <w:rPr>
                <w:noProof/>
                <w:webHidden/>
              </w:rPr>
              <w:instrText xml:space="preserve"> PAGEREF _Toc485712817 \h </w:instrText>
            </w:r>
            <w:r>
              <w:rPr>
                <w:noProof/>
                <w:webHidden/>
              </w:rPr>
            </w:r>
            <w:r>
              <w:rPr>
                <w:noProof/>
                <w:webHidden/>
              </w:rPr>
              <w:fldChar w:fldCharType="separate"/>
            </w:r>
            <w:r>
              <w:rPr>
                <w:noProof/>
                <w:webHidden/>
              </w:rPr>
              <w:t>179</w:t>
            </w:r>
            <w:r>
              <w:rPr>
                <w:noProof/>
                <w:webHidden/>
              </w:rPr>
              <w:fldChar w:fldCharType="end"/>
            </w:r>
          </w:hyperlink>
        </w:p>
        <w:p w14:paraId="425B6FDB" w14:textId="77777777" w:rsidR="00C643FE" w:rsidRDefault="00C643FE">
          <w:pPr>
            <w:pStyle w:val="TOC2"/>
            <w:tabs>
              <w:tab w:val="left" w:pos="880"/>
              <w:tab w:val="right" w:leader="dot" w:pos="8494"/>
            </w:tabs>
            <w:rPr>
              <w:rFonts w:eastAsiaTheme="minorEastAsia"/>
              <w:noProof/>
              <w:sz w:val="22"/>
              <w:lang w:eastAsia="en-GB"/>
            </w:rPr>
          </w:pPr>
          <w:hyperlink w:anchor="_Toc485712818" w:history="1">
            <w:r w:rsidRPr="006C6A77">
              <w:rPr>
                <w:rStyle w:val="Hyperlink"/>
                <w:noProof/>
                <w:lang w:bidi="x-none"/>
                <w14:scene3d>
                  <w14:camera w14:prst="orthographicFront"/>
                  <w14:lightRig w14:rig="threePt" w14:dir="t">
                    <w14:rot w14:lat="0" w14:lon="0" w14:rev="0"/>
                  </w14:lightRig>
                </w14:scene3d>
              </w:rPr>
              <w:t>6.4</w:t>
            </w:r>
            <w:r>
              <w:rPr>
                <w:rFonts w:eastAsiaTheme="minorEastAsia"/>
                <w:noProof/>
                <w:sz w:val="22"/>
                <w:lang w:eastAsia="en-GB"/>
              </w:rPr>
              <w:tab/>
            </w:r>
            <w:r w:rsidRPr="006C6A77">
              <w:rPr>
                <w:rStyle w:val="Hyperlink"/>
                <w:noProof/>
              </w:rPr>
              <w:t>Conclusions</w:t>
            </w:r>
            <w:r>
              <w:rPr>
                <w:noProof/>
                <w:webHidden/>
              </w:rPr>
              <w:tab/>
            </w:r>
            <w:r>
              <w:rPr>
                <w:noProof/>
                <w:webHidden/>
              </w:rPr>
              <w:fldChar w:fldCharType="begin"/>
            </w:r>
            <w:r>
              <w:rPr>
                <w:noProof/>
                <w:webHidden/>
              </w:rPr>
              <w:instrText xml:space="preserve"> PAGEREF _Toc485712818 \h </w:instrText>
            </w:r>
            <w:r>
              <w:rPr>
                <w:noProof/>
                <w:webHidden/>
              </w:rPr>
            </w:r>
            <w:r>
              <w:rPr>
                <w:noProof/>
                <w:webHidden/>
              </w:rPr>
              <w:fldChar w:fldCharType="separate"/>
            </w:r>
            <w:r>
              <w:rPr>
                <w:noProof/>
                <w:webHidden/>
              </w:rPr>
              <w:t>180</w:t>
            </w:r>
            <w:r>
              <w:rPr>
                <w:noProof/>
                <w:webHidden/>
              </w:rPr>
              <w:fldChar w:fldCharType="end"/>
            </w:r>
          </w:hyperlink>
        </w:p>
        <w:p w14:paraId="48DF060A" w14:textId="77777777" w:rsidR="00C643FE" w:rsidRDefault="00C643FE">
          <w:pPr>
            <w:pStyle w:val="TOC1"/>
            <w:tabs>
              <w:tab w:val="left" w:pos="480"/>
              <w:tab w:val="right" w:leader="dot" w:pos="8494"/>
            </w:tabs>
            <w:rPr>
              <w:rFonts w:eastAsiaTheme="minorEastAsia"/>
              <w:noProof/>
              <w:sz w:val="22"/>
              <w:lang w:eastAsia="en-GB"/>
            </w:rPr>
          </w:pPr>
          <w:hyperlink w:anchor="_Toc485712819" w:history="1">
            <w:r w:rsidRPr="006C6A77">
              <w:rPr>
                <w:rStyle w:val="Hyperlink"/>
                <w:noProof/>
              </w:rPr>
              <w:t>7</w:t>
            </w:r>
            <w:r>
              <w:rPr>
                <w:rFonts w:eastAsiaTheme="minorEastAsia"/>
                <w:noProof/>
                <w:sz w:val="22"/>
                <w:lang w:eastAsia="en-GB"/>
              </w:rPr>
              <w:tab/>
            </w:r>
            <w:r w:rsidRPr="006C6A77">
              <w:rPr>
                <w:rStyle w:val="Hyperlink"/>
                <w:noProof/>
              </w:rPr>
              <w:t>Conclusions &amp; future work</w:t>
            </w:r>
            <w:r>
              <w:rPr>
                <w:noProof/>
                <w:webHidden/>
              </w:rPr>
              <w:tab/>
            </w:r>
            <w:r>
              <w:rPr>
                <w:noProof/>
                <w:webHidden/>
              </w:rPr>
              <w:fldChar w:fldCharType="begin"/>
            </w:r>
            <w:r>
              <w:rPr>
                <w:noProof/>
                <w:webHidden/>
              </w:rPr>
              <w:instrText xml:space="preserve"> PAGEREF _Toc485712819 \h </w:instrText>
            </w:r>
            <w:r>
              <w:rPr>
                <w:noProof/>
                <w:webHidden/>
              </w:rPr>
            </w:r>
            <w:r>
              <w:rPr>
                <w:noProof/>
                <w:webHidden/>
              </w:rPr>
              <w:fldChar w:fldCharType="separate"/>
            </w:r>
            <w:r>
              <w:rPr>
                <w:noProof/>
                <w:webHidden/>
              </w:rPr>
              <w:t>181</w:t>
            </w:r>
            <w:r>
              <w:rPr>
                <w:noProof/>
                <w:webHidden/>
              </w:rPr>
              <w:fldChar w:fldCharType="end"/>
            </w:r>
          </w:hyperlink>
        </w:p>
        <w:p w14:paraId="2EF79389" w14:textId="77777777" w:rsidR="00C643FE" w:rsidRDefault="00C643FE">
          <w:pPr>
            <w:pStyle w:val="TOC2"/>
            <w:tabs>
              <w:tab w:val="left" w:pos="880"/>
              <w:tab w:val="right" w:leader="dot" w:pos="8494"/>
            </w:tabs>
            <w:rPr>
              <w:rFonts w:eastAsiaTheme="minorEastAsia"/>
              <w:noProof/>
              <w:sz w:val="22"/>
              <w:lang w:eastAsia="en-GB"/>
            </w:rPr>
          </w:pPr>
          <w:hyperlink w:anchor="_Toc485712820" w:history="1">
            <w:r w:rsidRPr="006C6A77">
              <w:rPr>
                <w:rStyle w:val="Hyperlink"/>
                <w:noProof/>
                <w:lang w:bidi="x-none"/>
                <w14:scene3d>
                  <w14:camera w14:prst="orthographicFront"/>
                  <w14:lightRig w14:rig="threePt" w14:dir="t">
                    <w14:rot w14:lat="0" w14:lon="0" w14:rev="0"/>
                  </w14:lightRig>
                </w14:scene3d>
              </w:rPr>
              <w:t>7.1</w:t>
            </w:r>
            <w:r>
              <w:rPr>
                <w:rFonts w:eastAsiaTheme="minorEastAsia"/>
                <w:noProof/>
                <w:sz w:val="22"/>
                <w:lang w:eastAsia="en-GB"/>
              </w:rPr>
              <w:tab/>
            </w:r>
            <w:r w:rsidRPr="006C6A77">
              <w:rPr>
                <w:rStyle w:val="Hyperlink"/>
                <w:noProof/>
              </w:rPr>
              <w:t>Introduction &amp; main conclusions</w:t>
            </w:r>
            <w:r>
              <w:rPr>
                <w:noProof/>
                <w:webHidden/>
              </w:rPr>
              <w:tab/>
            </w:r>
            <w:r>
              <w:rPr>
                <w:noProof/>
                <w:webHidden/>
              </w:rPr>
              <w:fldChar w:fldCharType="begin"/>
            </w:r>
            <w:r>
              <w:rPr>
                <w:noProof/>
                <w:webHidden/>
              </w:rPr>
              <w:instrText xml:space="preserve"> PAGEREF _Toc485712820 \h </w:instrText>
            </w:r>
            <w:r>
              <w:rPr>
                <w:noProof/>
                <w:webHidden/>
              </w:rPr>
            </w:r>
            <w:r>
              <w:rPr>
                <w:noProof/>
                <w:webHidden/>
              </w:rPr>
              <w:fldChar w:fldCharType="separate"/>
            </w:r>
            <w:r>
              <w:rPr>
                <w:noProof/>
                <w:webHidden/>
              </w:rPr>
              <w:t>182</w:t>
            </w:r>
            <w:r>
              <w:rPr>
                <w:noProof/>
                <w:webHidden/>
              </w:rPr>
              <w:fldChar w:fldCharType="end"/>
            </w:r>
          </w:hyperlink>
        </w:p>
        <w:p w14:paraId="6AE3C9CE" w14:textId="77777777" w:rsidR="00C643FE" w:rsidRDefault="00C643FE">
          <w:pPr>
            <w:pStyle w:val="TOC2"/>
            <w:tabs>
              <w:tab w:val="left" w:pos="880"/>
              <w:tab w:val="right" w:leader="dot" w:pos="8494"/>
            </w:tabs>
            <w:rPr>
              <w:rFonts w:eastAsiaTheme="minorEastAsia"/>
              <w:noProof/>
              <w:sz w:val="22"/>
              <w:lang w:eastAsia="en-GB"/>
            </w:rPr>
          </w:pPr>
          <w:hyperlink w:anchor="_Toc485712821" w:history="1">
            <w:r w:rsidRPr="006C6A77">
              <w:rPr>
                <w:rStyle w:val="Hyperlink"/>
                <w:noProof/>
                <w:lang w:bidi="x-none"/>
                <w14:scene3d>
                  <w14:camera w14:prst="orthographicFront"/>
                  <w14:lightRig w14:rig="threePt" w14:dir="t">
                    <w14:rot w14:lat="0" w14:lon="0" w14:rev="0"/>
                  </w14:lightRig>
                </w14:scene3d>
              </w:rPr>
              <w:t>7.2</w:t>
            </w:r>
            <w:r>
              <w:rPr>
                <w:rFonts w:eastAsiaTheme="minorEastAsia"/>
                <w:noProof/>
                <w:sz w:val="22"/>
                <w:lang w:eastAsia="en-GB"/>
              </w:rPr>
              <w:tab/>
            </w:r>
            <w:r w:rsidRPr="006C6A77">
              <w:rPr>
                <w:rStyle w:val="Hyperlink"/>
                <w:noProof/>
              </w:rPr>
              <w:t>Key findings</w:t>
            </w:r>
            <w:r>
              <w:rPr>
                <w:noProof/>
                <w:webHidden/>
              </w:rPr>
              <w:tab/>
            </w:r>
            <w:r>
              <w:rPr>
                <w:noProof/>
                <w:webHidden/>
              </w:rPr>
              <w:fldChar w:fldCharType="begin"/>
            </w:r>
            <w:r>
              <w:rPr>
                <w:noProof/>
                <w:webHidden/>
              </w:rPr>
              <w:instrText xml:space="preserve"> PAGEREF _Toc485712821 \h </w:instrText>
            </w:r>
            <w:r>
              <w:rPr>
                <w:noProof/>
                <w:webHidden/>
              </w:rPr>
            </w:r>
            <w:r>
              <w:rPr>
                <w:noProof/>
                <w:webHidden/>
              </w:rPr>
              <w:fldChar w:fldCharType="separate"/>
            </w:r>
            <w:r>
              <w:rPr>
                <w:noProof/>
                <w:webHidden/>
              </w:rPr>
              <w:t>183</w:t>
            </w:r>
            <w:r>
              <w:rPr>
                <w:noProof/>
                <w:webHidden/>
              </w:rPr>
              <w:fldChar w:fldCharType="end"/>
            </w:r>
          </w:hyperlink>
        </w:p>
        <w:p w14:paraId="3FC1D846" w14:textId="77777777" w:rsidR="00C643FE" w:rsidRDefault="00C643FE">
          <w:pPr>
            <w:pStyle w:val="TOC3"/>
            <w:tabs>
              <w:tab w:val="left" w:pos="1320"/>
              <w:tab w:val="right" w:leader="dot" w:pos="8494"/>
            </w:tabs>
            <w:rPr>
              <w:rFonts w:eastAsiaTheme="minorEastAsia"/>
              <w:noProof/>
              <w:sz w:val="22"/>
              <w:lang w:eastAsia="en-GB"/>
            </w:rPr>
          </w:pPr>
          <w:hyperlink w:anchor="_Toc485712822" w:history="1">
            <w:r w:rsidRPr="006C6A77">
              <w:rPr>
                <w:rStyle w:val="Hyperlink"/>
                <w:noProof/>
                <w14:scene3d>
                  <w14:camera w14:prst="orthographicFront"/>
                  <w14:lightRig w14:rig="threePt" w14:dir="t">
                    <w14:rot w14:lat="0" w14:lon="0" w14:rev="0"/>
                  </w14:lightRig>
                </w14:scene3d>
              </w:rPr>
              <w:t>7.2.1</w:t>
            </w:r>
            <w:r>
              <w:rPr>
                <w:rFonts w:eastAsiaTheme="minorEastAsia"/>
                <w:noProof/>
                <w:sz w:val="22"/>
                <w:lang w:eastAsia="en-GB"/>
              </w:rPr>
              <w:tab/>
            </w:r>
            <w:r w:rsidRPr="006C6A77">
              <w:rPr>
                <w:rStyle w:val="Hyperlink"/>
                <w:noProof/>
              </w:rPr>
              <w:t>Chapter 3 findings</w:t>
            </w:r>
            <w:r>
              <w:rPr>
                <w:noProof/>
                <w:webHidden/>
              </w:rPr>
              <w:tab/>
            </w:r>
            <w:r>
              <w:rPr>
                <w:noProof/>
                <w:webHidden/>
              </w:rPr>
              <w:fldChar w:fldCharType="begin"/>
            </w:r>
            <w:r>
              <w:rPr>
                <w:noProof/>
                <w:webHidden/>
              </w:rPr>
              <w:instrText xml:space="preserve"> PAGEREF _Toc485712822 \h </w:instrText>
            </w:r>
            <w:r>
              <w:rPr>
                <w:noProof/>
                <w:webHidden/>
              </w:rPr>
            </w:r>
            <w:r>
              <w:rPr>
                <w:noProof/>
                <w:webHidden/>
              </w:rPr>
              <w:fldChar w:fldCharType="separate"/>
            </w:r>
            <w:r>
              <w:rPr>
                <w:noProof/>
                <w:webHidden/>
              </w:rPr>
              <w:t>183</w:t>
            </w:r>
            <w:r>
              <w:rPr>
                <w:noProof/>
                <w:webHidden/>
              </w:rPr>
              <w:fldChar w:fldCharType="end"/>
            </w:r>
          </w:hyperlink>
        </w:p>
        <w:p w14:paraId="0A92D99D" w14:textId="77777777" w:rsidR="00C643FE" w:rsidRDefault="00C643FE">
          <w:pPr>
            <w:pStyle w:val="TOC3"/>
            <w:tabs>
              <w:tab w:val="left" w:pos="1320"/>
              <w:tab w:val="right" w:leader="dot" w:pos="8494"/>
            </w:tabs>
            <w:rPr>
              <w:rFonts w:eastAsiaTheme="minorEastAsia"/>
              <w:noProof/>
              <w:sz w:val="22"/>
              <w:lang w:eastAsia="en-GB"/>
            </w:rPr>
          </w:pPr>
          <w:hyperlink w:anchor="_Toc485712823" w:history="1">
            <w:r w:rsidRPr="006C6A77">
              <w:rPr>
                <w:rStyle w:val="Hyperlink"/>
                <w:noProof/>
                <w14:scene3d>
                  <w14:camera w14:prst="orthographicFront"/>
                  <w14:lightRig w14:rig="threePt" w14:dir="t">
                    <w14:rot w14:lat="0" w14:lon="0" w14:rev="0"/>
                  </w14:lightRig>
                </w14:scene3d>
              </w:rPr>
              <w:t>7.2.2</w:t>
            </w:r>
            <w:r>
              <w:rPr>
                <w:rFonts w:eastAsiaTheme="minorEastAsia"/>
                <w:noProof/>
                <w:sz w:val="22"/>
                <w:lang w:eastAsia="en-GB"/>
              </w:rPr>
              <w:tab/>
            </w:r>
            <w:r w:rsidRPr="006C6A77">
              <w:rPr>
                <w:rStyle w:val="Hyperlink"/>
                <w:noProof/>
              </w:rPr>
              <w:t>Chapter 4 findings</w:t>
            </w:r>
            <w:r>
              <w:rPr>
                <w:noProof/>
                <w:webHidden/>
              </w:rPr>
              <w:tab/>
            </w:r>
            <w:r>
              <w:rPr>
                <w:noProof/>
                <w:webHidden/>
              </w:rPr>
              <w:fldChar w:fldCharType="begin"/>
            </w:r>
            <w:r>
              <w:rPr>
                <w:noProof/>
                <w:webHidden/>
              </w:rPr>
              <w:instrText xml:space="preserve"> PAGEREF _Toc485712823 \h </w:instrText>
            </w:r>
            <w:r>
              <w:rPr>
                <w:noProof/>
                <w:webHidden/>
              </w:rPr>
            </w:r>
            <w:r>
              <w:rPr>
                <w:noProof/>
                <w:webHidden/>
              </w:rPr>
              <w:fldChar w:fldCharType="separate"/>
            </w:r>
            <w:r>
              <w:rPr>
                <w:noProof/>
                <w:webHidden/>
              </w:rPr>
              <w:t>184</w:t>
            </w:r>
            <w:r>
              <w:rPr>
                <w:noProof/>
                <w:webHidden/>
              </w:rPr>
              <w:fldChar w:fldCharType="end"/>
            </w:r>
          </w:hyperlink>
        </w:p>
        <w:p w14:paraId="3EB309E4" w14:textId="77777777" w:rsidR="00C643FE" w:rsidRDefault="00C643FE">
          <w:pPr>
            <w:pStyle w:val="TOC3"/>
            <w:tabs>
              <w:tab w:val="left" w:pos="1320"/>
              <w:tab w:val="right" w:leader="dot" w:pos="8494"/>
            </w:tabs>
            <w:rPr>
              <w:rFonts w:eastAsiaTheme="minorEastAsia"/>
              <w:noProof/>
              <w:sz w:val="22"/>
              <w:lang w:eastAsia="en-GB"/>
            </w:rPr>
          </w:pPr>
          <w:hyperlink w:anchor="_Toc485712824" w:history="1">
            <w:r w:rsidRPr="006C6A77">
              <w:rPr>
                <w:rStyle w:val="Hyperlink"/>
                <w:noProof/>
                <w14:scene3d>
                  <w14:camera w14:prst="orthographicFront"/>
                  <w14:lightRig w14:rig="threePt" w14:dir="t">
                    <w14:rot w14:lat="0" w14:lon="0" w14:rev="0"/>
                  </w14:lightRig>
                </w14:scene3d>
              </w:rPr>
              <w:t>7.2.3</w:t>
            </w:r>
            <w:r>
              <w:rPr>
                <w:rFonts w:eastAsiaTheme="minorEastAsia"/>
                <w:noProof/>
                <w:sz w:val="22"/>
                <w:lang w:eastAsia="en-GB"/>
              </w:rPr>
              <w:tab/>
            </w:r>
            <w:r w:rsidRPr="006C6A77">
              <w:rPr>
                <w:rStyle w:val="Hyperlink"/>
                <w:noProof/>
              </w:rPr>
              <w:t>Chapter 5 findings</w:t>
            </w:r>
            <w:r>
              <w:rPr>
                <w:noProof/>
                <w:webHidden/>
              </w:rPr>
              <w:tab/>
            </w:r>
            <w:r>
              <w:rPr>
                <w:noProof/>
                <w:webHidden/>
              </w:rPr>
              <w:fldChar w:fldCharType="begin"/>
            </w:r>
            <w:r>
              <w:rPr>
                <w:noProof/>
                <w:webHidden/>
              </w:rPr>
              <w:instrText xml:space="preserve"> PAGEREF _Toc485712824 \h </w:instrText>
            </w:r>
            <w:r>
              <w:rPr>
                <w:noProof/>
                <w:webHidden/>
              </w:rPr>
            </w:r>
            <w:r>
              <w:rPr>
                <w:noProof/>
                <w:webHidden/>
              </w:rPr>
              <w:fldChar w:fldCharType="separate"/>
            </w:r>
            <w:r>
              <w:rPr>
                <w:noProof/>
                <w:webHidden/>
              </w:rPr>
              <w:t>185</w:t>
            </w:r>
            <w:r>
              <w:rPr>
                <w:noProof/>
                <w:webHidden/>
              </w:rPr>
              <w:fldChar w:fldCharType="end"/>
            </w:r>
          </w:hyperlink>
        </w:p>
        <w:p w14:paraId="758F4FF5" w14:textId="77777777" w:rsidR="00C643FE" w:rsidRDefault="00C643FE">
          <w:pPr>
            <w:pStyle w:val="TOC3"/>
            <w:tabs>
              <w:tab w:val="left" w:pos="1320"/>
              <w:tab w:val="right" w:leader="dot" w:pos="8494"/>
            </w:tabs>
            <w:rPr>
              <w:rFonts w:eastAsiaTheme="minorEastAsia"/>
              <w:noProof/>
              <w:sz w:val="22"/>
              <w:lang w:eastAsia="en-GB"/>
            </w:rPr>
          </w:pPr>
          <w:hyperlink w:anchor="_Toc485712825" w:history="1">
            <w:r w:rsidRPr="006C6A77">
              <w:rPr>
                <w:rStyle w:val="Hyperlink"/>
                <w:noProof/>
                <w14:scene3d>
                  <w14:camera w14:prst="orthographicFront"/>
                  <w14:lightRig w14:rig="threePt" w14:dir="t">
                    <w14:rot w14:lat="0" w14:lon="0" w14:rev="0"/>
                  </w14:lightRig>
                </w14:scene3d>
              </w:rPr>
              <w:t>7.2.4</w:t>
            </w:r>
            <w:r>
              <w:rPr>
                <w:rFonts w:eastAsiaTheme="minorEastAsia"/>
                <w:noProof/>
                <w:sz w:val="22"/>
                <w:lang w:eastAsia="en-GB"/>
              </w:rPr>
              <w:tab/>
            </w:r>
            <w:r w:rsidRPr="006C6A77">
              <w:rPr>
                <w:rStyle w:val="Hyperlink"/>
                <w:noProof/>
              </w:rPr>
              <w:t>Chapter 6 findings</w:t>
            </w:r>
            <w:r>
              <w:rPr>
                <w:noProof/>
                <w:webHidden/>
              </w:rPr>
              <w:tab/>
            </w:r>
            <w:r>
              <w:rPr>
                <w:noProof/>
                <w:webHidden/>
              </w:rPr>
              <w:fldChar w:fldCharType="begin"/>
            </w:r>
            <w:r>
              <w:rPr>
                <w:noProof/>
                <w:webHidden/>
              </w:rPr>
              <w:instrText xml:space="preserve"> PAGEREF _Toc485712825 \h </w:instrText>
            </w:r>
            <w:r>
              <w:rPr>
                <w:noProof/>
                <w:webHidden/>
              </w:rPr>
            </w:r>
            <w:r>
              <w:rPr>
                <w:noProof/>
                <w:webHidden/>
              </w:rPr>
              <w:fldChar w:fldCharType="separate"/>
            </w:r>
            <w:r>
              <w:rPr>
                <w:noProof/>
                <w:webHidden/>
              </w:rPr>
              <w:t>187</w:t>
            </w:r>
            <w:r>
              <w:rPr>
                <w:noProof/>
                <w:webHidden/>
              </w:rPr>
              <w:fldChar w:fldCharType="end"/>
            </w:r>
          </w:hyperlink>
        </w:p>
        <w:p w14:paraId="15FB6BEF" w14:textId="77777777" w:rsidR="00C643FE" w:rsidRDefault="00C643FE">
          <w:pPr>
            <w:pStyle w:val="TOC2"/>
            <w:tabs>
              <w:tab w:val="left" w:pos="880"/>
              <w:tab w:val="right" w:leader="dot" w:pos="8494"/>
            </w:tabs>
            <w:rPr>
              <w:rFonts w:eastAsiaTheme="minorEastAsia"/>
              <w:noProof/>
              <w:sz w:val="22"/>
              <w:lang w:eastAsia="en-GB"/>
            </w:rPr>
          </w:pPr>
          <w:hyperlink w:anchor="_Toc485712826" w:history="1">
            <w:r w:rsidRPr="006C6A77">
              <w:rPr>
                <w:rStyle w:val="Hyperlink"/>
                <w:noProof/>
                <w:lang w:bidi="x-none"/>
                <w14:scene3d>
                  <w14:camera w14:prst="orthographicFront"/>
                  <w14:lightRig w14:rig="threePt" w14:dir="t">
                    <w14:rot w14:lat="0" w14:lon="0" w14:rev="0"/>
                  </w14:lightRig>
                </w14:scene3d>
              </w:rPr>
              <w:t>7.3</w:t>
            </w:r>
            <w:r>
              <w:rPr>
                <w:rFonts w:eastAsiaTheme="minorEastAsia"/>
                <w:noProof/>
                <w:sz w:val="22"/>
                <w:lang w:eastAsia="en-GB"/>
              </w:rPr>
              <w:tab/>
            </w:r>
            <w:r w:rsidRPr="006C6A77">
              <w:rPr>
                <w:rStyle w:val="Hyperlink"/>
                <w:noProof/>
              </w:rPr>
              <w:t>Implications</w:t>
            </w:r>
            <w:r>
              <w:rPr>
                <w:noProof/>
                <w:webHidden/>
              </w:rPr>
              <w:tab/>
            </w:r>
            <w:r>
              <w:rPr>
                <w:noProof/>
                <w:webHidden/>
              </w:rPr>
              <w:fldChar w:fldCharType="begin"/>
            </w:r>
            <w:r>
              <w:rPr>
                <w:noProof/>
                <w:webHidden/>
              </w:rPr>
              <w:instrText xml:space="preserve"> PAGEREF _Toc485712826 \h </w:instrText>
            </w:r>
            <w:r>
              <w:rPr>
                <w:noProof/>
                <w:webHidden/>
              </w:rPr>
            </w:r>
            <w:r>
              <w:rPr>
                <w:noProof/>
                <w:webHidden/>
              </w:rPr>
              <w:fldChar w:fldCharType="separate"/>
            </w:r>
            <w:r>
              <w:rPr>
                <w:noProof/>
                <w:webHidden/>
              </w:rPr>
              <w:t>188</w:t>
            </w:r>
            <w:r>
              <w:rPr>
                <w:noProof/>
                <w:webHidden/>
              </w:rPr>
              <w:fldChar w:fldCharType="end"/>
            </w:r>
          </w:hyperlink>
        </w:p>
        <w:p w14:paraId="696861F3" w14:textId="77777777" w:rsidR="00C643FE" w:rsidRDefault="00C643FE">
          <w:pPr>
            <w:pStyle w:val="TOC3"/>
            <w:tabs>
              <w:tab w:val="left" w:pos="1320"/>
              <w:tab w:val="right" w:leader="dot" w:pos="8494"/>
            </w:tabs>
            <w:rPr>
              <w:rFonts w:eastAsiaTheme="minorEastAsia"/>
              <w:noProof/>
              <w:sz w:val="22"/>
              <w:lang w:eastAsia="en-GB"/>
            </w:rPr>
          </w:pPr>
          <w:hyperlink w:anchor="_Toc485712827" w:history="1">
            <w:r w:rsidRPr="006C6A77">
              <w:rPr>
                <w:rStyle w:val="Hyperlink"/>
                <w:noProof/>
                <w14:scene3d>
                  <w14:camera w14:prst="orthographicFront"/>
                  <w14:lightRig w14:rig="threePt" w14:dir="t">
                    <w14:rot w14:lat="0" w14:lon="0" w14:rev="0"/>
                  </w14:lightRig>
                </w14:scene3d>
              </w:rPr>
              <w:t>7.3.1</w:t>
            </w:r>
            <w:r>
              <w:rPr>
                <w:rFonts w:eastAsiaTheme="minorEastAsia"/>
                <w:noProof/>
                <w:sz w:val="22"/>
                <w:lang w:eastAsia="en-GB"/>
              </w:rPr>
              <w:tab/>
            </w:r>
            <w:r w:rsidRPr="006C6A77">
              <w:rPr>
                <w:rStyle w:val="Hyperlink"/>
                <w:noProof/>
              </w:rPr>
              <w:t>Implications for the pharmaceutical industry</w:t>
            </w:r>
            <w:r>
              <w:rPr>
                <w:noProof/>
                <w:webHidden/>
              </w:rPr>
              <w:tab/>
            </w:r>
            <w:r>
              <w:rPr>
                <w:noProof/>
                <w:webHidden/>
              </w:rPr>
              <w:fldChar w:fldCharType="begin"/>
            </w:r>
            <w:r>
              <w:rPr>
                <w:noProof/>
                <w:webHidden/>
              </w:rPr>
              <w:instrText xml:space="preserve"> PAGEREF _Toc485712827 \h </w:instrText>
            </w:r>
            <w:r>
              <w:rPr>
                <w:noProof/>
                <w:webHidden/>
              </w:rPr>
            </w:r>
            <w:r>
              <w:rPr>
                <w:noProof/>
                <w:webHidden/>
              </w:rPr>
              <w:fldChar w:fldCharType="separate"/>
            </w:r>
            <w:r>
              <w:rPr>
                <w:noProof/>
                <w:webHidden/>
              </w:rPr>
              <w:t>188</w:t>
            </w:r>
            <w:r>
              <w:rPr>
                <w:noProof/>
                <w:webHidden/>
              </w:rPr>
              <w:fldChar w:fldCharType="end"/>
            </w:r>
          </w:hyperlink>
        </w:p>
        <w:p w14:paraId="648294F8" w14:textId="77777777" w:rsidR="00C643FE" w:rsidRDefault="00C643FE">
          <w:pPr>
            <w:pStyle w:val="TOC3"/>
            <w:tabs>
              <w:tab w:val="left" w:pos="1320"/>
              <w:tab w:val="right" w:leader="dot" w:pos="8494"/>
            </w:tabs>
            <w:rPr>
              <w:rFonts w:eastAsiaTheme="minorEastAsia"/>
              <w:noProof/>
              <w:sz w:val="22"/>
              <w:lang w:eastAsia="en-GB"/>
            </w:rPr>
          </w:pPr>
          <w:hyperlink w:anchor="_Toc485712828" w:history="1">
            <w:r w:rsidRPr="006C6A77">
              <w:rPr>
                <w:rStyle w:val="Hyperlink"/>
                <w:noProof/>
                <w14:scene3d>
                  <w14:camera w14:prst="orthographicFront"/>
                  <w14:lightRig w14:rig="threePt" w14:dir="t">
                    <w14:rot w14:lat="0" w14:lon="0" w14:rev="0"/>
                  </w14:lightRig>
                </w14:scene3d>
              </w:rPr>
              <w:t>7.3.2</w:t>
            </w:r>
            <w:r>
              <w:rPr>
                <w:rFonts w:eastAsiaTheme="minorEastAsia"/>
                <w:noProof/>
                <w:sz w:val="22"/>
                <w:lang w:eastAsia="en-GB"/>
              </w:rPr>
              <w:tab/>
            </w:r>
            <w:r w:rsidRPr="006C6A77">
              <w:rPr>
                <w:rStyle w:val="Hyperlink"/>
                <w:noProof/>
              </w:rPr>
              <w:t>Implications for cell biology</w:t>
            </w:r>
            <w:r>
              <w:rPr>
                <w:noProof/>
                <w:webHidden/>
              </w:rPr>
              <w:tab/>
            </w:r>
            <w:r>
              <w:rPr>
                <w:noProof/>
                <w:webHidden/>
              </w:rPr>
              <w:fldChar w:fldCharType="begin"/>
            </w:r>
            <w:r>
              <w:rPr>
                <w:noProof/>
                <w:webHidden/>
              </w:rPr>
              <w:instrText xml:space="preserve"> PAGEREF _Toc485712828 \h </w:instrText>
            </w:r>
            <w:r>
              <w:rPr>
                <w:noProof/>
                <w:webHidden/>
              </w:rPr>
            </w:r>
            <w:r>
              <w:rPr>
                <w:noProof/>
                <w:webHidden/>
              </w:rPr>
              <w:fldChar w:fldCharType="separate"/>
            </w:r>
            <w:r>
              <w:rPr>
                <w:noProof/>
                <w:webHidden/>
              </w:rPr>
              <w:t>189</w:t>
            </w:r>
            <w:r>
              <w:rPr>
                <w:noProof/>
                <w:webHidden/>
              </w:rPr>
              <w:fldChar w:fldCharType="end"/>
            </w:r>
          </w:hyperlink>
        </w:p>
        <w:p w14:paraId="0099EB4E" w14:textId="77777777" w:rsidR="00C643FE" w:rsidRDefault="00C643FE">
          <w:pPr>
            <w:pStyle w:val="TOC2"/>
            <w:tabs>
              <w:tab w:val="left" w:pos="880"/>
              <w:tab w:val="right" w:leader="dot" w:pos="8494"/>
            </w:tabs>
            <w:rPr>
              <w:rFonts w:eastAsiaTheme="minorEastAsia"/>
              <w:noProof/>
              <w:sz w:val="22"/>
              <w:lang w:eastAsia="en-GB"/>
            </w:rPr>
          </w:pPr>
          <w:hyperlink w:anchor="_Toc485712829" w:history="1">
            <w:r w:rsidRPr="006C6A77">
              <w:rPr>
                <w:rStyle w:val="Hyperlink"/>
                <w:noProof/>
                <w:lang w:bidi="x-none"/>
                <w14:scene3d>
                  <w14:camera w14:prst="orthographicFront"/>
                  <w14:lightRig w14:rig="threePt" w14:dir="t">
                    <w14:rot w14:lat="0" w14:lon="0" w14:rev="0"/>
                  </w14:lightRig>
                </w14:scene3d>
              </w:rPr>
              <w:t>7.4</w:t>
            </w:r>
            <w:r>
              <w:rPr>
                <w:rFonts w:eastAsiaTheme="minorEastAsia"/>
                <w:noProof/>
                <w:sz w:val="22"/>
                <w:lang w:eastAsia="en-GB"/>
              </w:rPr>
              <w:tab/>
            </w:r>
            <w:r w:rsidRPr="006C6A77">
              <w:rPr>
                <w:rStyle w:val="Hyperlink"/>
                <w:noProof/>
              </w:rPr>
              <w:t>Future work</w:t>
            </w:r>
            <w:r>
              <w:rPr>
                <w:noProof/>
                <w:webHidden/>
              </w:rPr>
              <w:tab/>
            </w:r>
            <w:r>
              <w:rPr>
                <w:noProof/>
                <w:webHidden/>
              </w:rPr>
              <w:fldChar w:fldCharType="begin"/>
            </w:r>
            <w:r>
              <w:rPr>
                <w:noProof/>
                <w:webHidden/>
              </w:rPr>
              <w:instrText xml:space="preserve"> PAGEREF _Toc485712829 \h </w:instrText>
            </w:r>
            <w:r>
              <w:rPr>
                <w:noProof/>
                <w:webHidden/>
              </w:rPr>
            </w:r>
            <w:r>
              <w:rPr>
                <w:noProof/>
                <w:webHidden/>
              </w:rPr>
              <w:fldChar w:fldCharType="separate"/>
            </w:r>
            <w:r>
              <w:rPr>
                <w:noProof/>
                <w:webHidden/>
              </w:rPr>
              <w:t>190</w:t>
            </w:r>
            <w:r>
              <w:rPr>
                <w:noProof/>
                <w:webHidden/>
              </w:rPr>
              <w:fldChar w:fldCharType="end"/>
            </w:r>
          </w:hyperlink>
        </w:p>
        <w:p w14:paraId="2BE4B075" w14:textId="77777777" w:rsidR="00C643FE" w:rsidRDefault="00C643FE">
          <w:pPr>
            <w:pStyle w:val="TOC3"/>
            <w:tabs>
              <w:tab w:val="left" w:pos="1320"/>
              <w:tab w:val="right" w:leader="dot" w:pos="8494"/>
            </w:tabs>
            <w:rPr>
              <w:rFonts w:eastAsiaTheme="minorEastAsia"/>
              <w:noProof/>
              <w:sz w:val="22"/>
              <w:lang w:eastAsia="en-GB"/>
            </w:rPr>
          </w:pPr>
          <w:hyperlink w:anchor="_Toc485712830" w:history="1">
            <w:r w:rsidRPr="006C6A77">
              <w:rPr>
                <w:rStyle w:val="Hyperlink"/>
                <w:noProof/>
                <w14:scene3d>
                  <w14:camera w14:prst="orthographicFront"/>
                  <w14:lightRig w14:rig="threePt" w14:dir="t">
                    <w14:rot w14:lat="0" w14:lon="0" w14:rev="0"/>
                  </w14:lightRig>
                </w14:scene3d>
              </w:rPr>
              <w:t>7.4.1</w:t>
            </w:r>
            <w:r>
              <w:rPr>
                <w:rFonts w:eastAsiaTheme="minorEastAsia"/>
                <w:noProof/>
                <w:sz w:val="22"/>
                <w:lang w:eastAsia="en-GB"/>
              </w:rPr>
              <w:tab/>
            </w:r>
            <w:r w:rsidRPr="006C6A77">
              <w:rPr>
                <w:rStyle w:val="Hyperlink"/>
                <w:noProof/>
              </w:rPr>
              <w:t>Further development of Gly-Gdn mixture as designer excipient</w:t>
            </w:r>
            <w:r>
              <w:rPr>
                <w:noProof/>
                <w:webHidden/>
              </w:rPr>
              <w:tab/>
            </w:r>
            <w:r>
              <w:rPr>
                <w:noProof/>
                <w:webHidden/>
              </w:rPr>
              <w:fldChar w:fldCharType="begin"/>
            </w:r>
            <w:r>
              <w:rPr>
                <w:noProof/>
                <w:webHidden/>
              </w:rPr>
              <w:instrText xml:space="preserve"> PAGEREF _Toc485712830 \h </w:instrText>
            </w:r>
            <w:r>
              <w:rPr>
                <w:noProof/>
                <w:webHidden/>
              </w:rPr>
            </w:r>
            <w:r>
              <w:rPr>
                <w:noProof/>
                <w:webHidden/>
              </w:rPr>
              <w:fldChar w:fldCharType="separate"/>
            </w:r>
            <w:r>
              <w:rPr>
                <w:noProof/>
                <w:webHidden/>
              </w:rPr>
              <w:t>190</w:t>
            </w:r>
            <w:r>
              <w:rPr>
                <w:noProof/>
                <w:webHidden/>
              </w:rPr>
              <w:fldChar w:fldCharType="end"/>
            </w:r>
          </w:hyperlink>
        </w:p>
        <w:p w14:paraId="7F5236EB" w14:textId="77777777" w:rsidR="00C643FE" w:rsidRDefault="00C643FE">
          <w:pPr>
            <w:pStyle w:val="TOC3"/>
            <w:tabs>
              <w:tab w:val="left" w:pos="1320"/>
              <w:tab w:val="right" w:leader="dot" w:pos="8494"/>
            </w:tabs>
            <w:rPr>
              <w:rFonts w:eastAsiaTheme="minorEastAsia"/>
              <w:noProof/>
              <w:sz w:val="22"/>
              <w:lang w:eastAsia="en-GB"/>
            </w:rPr>
          </w:pPr>
          <w:hyperlink w:anchor="_Toc485712831" w:history="1">
            <w:r w:rsidRPr="006C6A77">
              <w:rPr>
                <w:rStyle w:val="Hyperlink"/>
                <w:noProof/>
                <w14:scene3d>
                  <w14:camera w14:prst="orthographicFront"/>
                  <w14:lightRig w14:rig="threePt" w14:dir="t">
                    <w14:rot w14:lat="0" w14:lon="0" w14:rev="0"/>
                  </w14:lightRig>
                </w14:scene3d>
              </w:rPr>
              <w:t>7.4.2</w:t>
            </w:r>
            <w:r>
              <w:rPr>
                <w:rFonts w:eastAsiaTheme="minorEastAsia"/>
                <w:noProof/>
                <w:sz w:val="22"/>
                <w:lang w:eastAsia="en-GB"/>
              </w:rPr>
              <w:tab/>
            </w:r>
            <w:r w:rsidRPr="006C6A77">
              <w:rPr>
                <w:rStyle w:val="Hyperlink"/>
                <w:noProof/>
              </w:rPr>
              <w:t>Linking arginine cluster formation to effects on proteins</w:t>
            </w:r>
            <w:r>
              <w:rPr>
                <w:noProof/>
                <w:webHidden/>
              </w:rPr>
              <w:tab/>
            </w:r>
            <w:r>
              <w:rPr>
                <w:noProof/>
                <w:webHidden/>
              </w:rPr>
              <w:fldChar w:fldCharType="begin"/>
            </w:r>
            <w:r>
              <w:rPr>
                <w:noProof/>
                <w:webHidden/>
              </w:rPr>
              <w:instrText xml:space="preserve"> PAGEREF _Toc485712831 \h </w:instrText>
            </w:r>
            <w:r>
              <w:rPr>
                <w:noProof/>
                <w:webHidden/>
              </w:rPr>
            </w:r>
            <w:r>
              <w:rPr>
                <w:noProof/>
                <w:webHidden/>
              </w:rPr>
              <w:fldChar w:fldCharType="separate"/>
            </w:r>
            <w:r>
              <w:rPr>
                <w:noProof/>
                <w:webHidden/>
              </w:rPr>
              <w:t>190</w:t>
            </w:r>
            <w:r>
              <w:rPr>
                <w:noProof/>
                <w:webHidden/>
              </w:rPr>
              <w:fldChar w:fldCharType="end"/>
            </w:r>
          </w:hyperlink>
        </w:p>
        <w:p w14:paraId="1011C67B" w14:textId="77777777" w:rsidR="00C643FE" w:rsidRDefault="00C643FE">
          <w:pPr>
            <w:pStyle w:val="TOC3"/>
            <w:tabs>
              <w:tab w:val="left" w:pos="1320"/>
              <w:tab w:val="right" w:leader="dot" w:pos="8494"/>
            </w:tabs>
            <w:rPr>
              <w:rFonts w:eastAsiaTheme="minorEastAsia"/>
              <w:noProof/>
              <w:sz w:val="22"/>
              <w:lang w:eastAsia="en-GB"/>
            </w:rPr>
          </w:pPr>
          <w:hyperlink w:anchor="_Toc485712832" w:history="1">
            <w:r w:rsidRPr="006C6A77">
              <w:rPr>
                <w:rStyle w:val="Hyperlink"/>
                <w:noProof/>
                <w14:scene3d>
                  <w14:camera w14:prst="orthographicFront"/>
                  <w14:lightRig w14:rig="threePt" w14:dir="t">
                    <w14:rot w14:lat="0" w14:lon="0" w14:rev="0"/>
                  </w14:lightRig>
                </w14:scene3d>
              </w:rPr>
              <w:t>7.4.3</w:t>
            </w:r>
            <w:r>
              <w:rPr>
                <w:rFonts w:eastAsiaTheme="minorEastAsia"/>
                <w:noProof/>
                <w:sz w:val="22"/>
                <w:lang w:eastAsia="en-GB"/>
              </w:rPr>
              <w:tab/>
            </w:r>
            <w:r w:rsidRPr="006C6A77">
              <w:rPr>
                <w:rStyle w:val="Hyperlink"/>
                <w:noProof/>
              </w:rPr>
              <w:t>Application to therapeutically relevant proteins</w:t>
            </w:r>
            <w:r>
              <w:rPr>
                <w:noProof/>
                <w:webHidden/>
              </w:rPr>
              <w:tab/>
            </w:r>
            <w:r>
              <w:rPr>
                <w:noProof/>
                <w:webHidden/>
              </w:rPr>
              <w:fldChar w:fldCharType="begin"/>
            </w:r>
            <w:r>
              <w:rPr>
                <w:noProof/>
                <w:webHidden/>
              </w:rPr>
              <w:instrText xml:space="preserve"> PAGEREF _Toc485712832 \h </w:instrText>
            </w:r>
            <w:r>
              <w:rPr>
                <w:noProof/>
                <w:webHidden/>
              </w:rPr>
            </w:r>
            <w:r>
              <w:rPr>
                <w:noProof/>
                <w:webHidden/>
              </w:rPr>
              <w:fldChar w:fldCharType="separate"/>
            </w:r>
            <w:r>
              <w:rPr>
                <w:noProof/>
                <w:webHidden/>
              </w:rPr>
              <w:t>191</w:t>
            </w:r>
            <w:r>
              <w:rPr>
                <w:noProof/>
                <w:webHidden/>
              </w:rPr>
              <w:fldChar w:fldCharType="end"/>
            </w:r>
          </w:hyperlink>
        </w:p>
        <w:p w14:paraId="14F8042C" w14:textId="77777777" w:rsidR="00C643FE" w:rsidRDefault="00C643FE">
          <w:pPr>
            <w:pStyle w:val="TOC3"/>
            <w:tabs>
              <w:tab w:val="left" w:pos="1320"/>
              <w:tab w:val="right" w:leader="dot" w:pos="8494"/>
            </w:tabs>
            <w:rPr>
              <w:rFonts w:eastAsiaTheme="minorEastAsia"/>
              <w:noProof/>
              <w:sz w:val="22"/>
              <w:lang w:eastAsia="en-GB"/>
            </w:rPr>
          </w:pPr>
          <w:hyperlink w:anchor="_Toc485712833" w:history="1">
            <w:r w:rsidRPr="006C6A77">
              <w:rPr>
                <w:rStyle w:val="Hyperlink"/>
                <w:noProof/>
                <w14:scene3d>
                  <w14:camera w14:prst="orthographicFront"/>
                  <w14:lightRig w14:rig="threePt" w14:dir="t">
                    <w14:rot w14:lat="0" w14:lon="0" w14:rev="0"/>
                  </w14:lightRig>
                </w14:scene3d>
              </w:rPr>
              <w:t>7.4.4</w:t>
            </w:r>
            <w:r>
              <w:rPr>
                <w:rFonts w:eastAsiaTheme="minorEastAsia"/>
                <w:noProof/>
                <w:sz w:val="22"/>
                <w:lang w:eastAsia="en-GB"/>
              </w:rPr>
              <w:tab/>
            </w:r>
            <w:r w:rsidRPr="006C6A77">
              <w:rPr>
                <w:rStyle w:val="Hyperlink"/>
                <w:noProof/>
              </w:rPr>
              <w:t>Application of ‘functional group’ mechanism to other amino acids</w:t>
            </w:r>
            <w:r>
              <w:rPr>
                <w:noProof/>
                <w:webHidden/>
              </w:rPr>
              <w:tab/>
            </w:r>
            <w:r>
              <w:rPr>
                <w:noProof/>
                <w:webHidden/>
              </w:rPr>
              <w:fldChar w:fldCharType="begin"/>
            </w:r>
            <w:r>
              <w:rPr>
                <w:noProof/>
                <w:webHidden/>
              </w:rPr>
              <w:instrText xml:space="preserve"> PAGEREF _Toc485712833 \h </w:instrText>
            </w:r>
            <w:r>
              <w:rPr>
                <w:noProof/>
                <w:webHidden/>
              </w:rPr>
            </w:r>
            <w:r>
              <w:rPr>
                <w:noProof/>
                <w:webHidden/>
              </w:rPr>
              <w:fldChar w:fldCharType="separate"/>
            </w:r>
            <w:r>
              <w:rPr>
                <w:noProof/>
                <w:webHidden/>
              </w:rPr>
              <w:t>191</w:t>
            </w:r>
            <w:r>
              <w:rPr>
                <w:noProof/>
                <w:webHidden/>
              </w:rPr>
              <w:fldChar w:fldCharType="end"/>
            </w:r>
          </w:hyperlink>
        </w:p>
        <w:p w14:paraId="09C4DB43" w14:textId="77777777" w:rsidR="00C643FE" w:rsidRDefault="00C643FE">
          <w:pPr>
            <w:pStyle w:val="TOC3"/>
            <w:tabs>
              <w:tab w:val="left" w:pos="1320"/>
              <w:tab w:val="right" w:leader="dot" w:pos="8494"/>
            </w:tabs>
            <w:rPr>
              <w:rFonts w:eastAsiaTheme="minorEastAsia"/>
              <w:noProof/>
              <w:sz w:val="22"/>
              <w:lang w:eastAsia="en-GB"/>
            </w:rPr>
          </w:pPr>
          <w:hyperlink w:anchor="_Toc485712834" w:history="1">
            <w:r w:rsidRPr="006C6A77">
              <w:rPr>
                <w:rStyle w:val="Hyperlink"/>
                <w:noProof/>
                <w14:scene3d>
                  <w14:camera w14:prst="orthographicFront"/>
                  <w14:lightRig w14:rig="threePt" w14:dir="t">
                    <w14:rot w14:lat="0" w14:lon="0" w14:rev="0"/>
                  </w14:lightRig>
                </w14:scene3d>
              </w:rPr>
              <w:t>7.4.5</w:t>
            </w:r>
            <w:r>
              <w:rPr>
                <w:rFonts w:eastAsiaTheme="minorEastAsia"/>
                <w:noProof/>
                <w:sz w:val="22"/>
                <w:lang w:eastAsia="en-GB"/>
              </w:rPr>
              <w:tab/>
            </w:r>
            <w:r w:rsidRPr="006C6A77">
              <w:rPr>
                <w:rStyle w:val="Hyperlink"/>
                <w:noProof/>
              </w:rPr>
              <w:t>Confirmation of specific interactions between arginine &amp; protein via orthogonal methods</w:t>
            </w:r>
            <w:r>
              <w:rPr>
                <w:noProof/>
                <w:webHidden/>
              </w:rPr>
              <w:tab/>
            </w:r>
            <w:r>
              <w:rPr>
                <w:noProof/>
                <w:webHidden/>
              </w:rPr>
              <w:fldChar w:fldCharType="begin"/>
            </w:r>
            <w:r>
              <w:rPr>
                <w:noProof/>
                <w:webHidden/>
              </w:rPr>
              <w:instrText xml:space="preserve"> PAGEREF _Toc485712834 \h </w:instrText>
            </w:r>
            <w:r>
              <w:rPr>
                <w:noProof/>
                <w:webHidden/>
              </w:rPr>
            </w:r>
            <w:r>
              <w:rPr>
                <w:noProof/>
                <w:webHidden/>
              </w:rPr>
              <w:fldChar w:fldCharType="separate"/>
            </w:r>
            <w:r>
              <w:rPr>
                <w:noProof/>
                <w:webHidden/>
              </w:rPr>
              <w:t>191</w:t>
            </w:r>
            <w:r>
              <w:rPr>
                <w:noProof/>
                <w:webHidden/>
              </w:rPr>
              <w:fldChar w:fldCharType="end"/>
            </w:r>
          </w:hyperlink>
        </w:p>
        <w:p w14:paraId="601C538F" w14:textId="77777777" w:rsidR="00C643FE" w:rsidRDefault="00C643FE">
          <w:pPr>
            <w:pStyle w:val="TOC1"/>
            <w:tabs>
              <w:tab w:val="left" w:pos="480"/>
              <w:tab w:val="right" w:leader="dot" w:pos="8494"/>
            </w:tabs>
            <w:rPr>
              <w:rFonts w:eastAsiaTheme="minorEastAsia"/>
              <w:noProof/>
              <w:sz w:val="22"/>
              <w:lang w:eastAsia="en-GB"/>
            </w:rPr>
          </w:pPr>
          <w:hyperlink w:anchor="_Toc485712835" w:history="1">
            <w:r w:rsidRPr="006C6A77">
              <w:rPr>
                <w:rStyle w:val="Hyperlink"/>
                <w:noProof/>
              </w:rPr>
              <w:t>8</w:t>
            </w:r>
            <w:r>
              <w:rPr>
                <w:rFonts w:eastAsiaTheme="minorEastAsia"/>
                <w:noProof/>
                <w:sz w:val="22"/>
                <w:lang w:eastAsia="en-GB"/>
              </w:rPr>
              <w:tab/>
            </w:r>
            <w:r w:rsidRPr="006C6A77">
              <w:rPr>
                <w:rStyle w:val="Hyperlink"/>
                <w:noProof/>
              </w:rPr>
              <w:t>References</w:t>
            </w:r>
            <w:r>
              <w:rPr>
                <w:noProof/>
                <w:webHidden/>
              </w:rPr>
              <w:tab/>
            </w:r>
            <w:r>
              <w:rPr>
                <w:noProof/>
                <w:webHidden/>
              </w:rPr>
              <w:fldChar w:fldCharType="begin"/>
            </w:r>
            <w:r>
              <w:rPr>
                <w:noProof/>
                <w:webHidden/>
              </w:rPr>
              <w:instrText xml:space="preserve"> PAGEREF _Toc485712835 \h </w:instrText>
            </w:r>
            <w:r>
              <w:rPr>
                <w:noProof/>
                <w:webHidden/>
              </w:rPr>
            </w:r>
            <w:r>
              <w:rPr>
                <w:noProof/>
                <w:webHidden/>
              </w:rPr>
              <w:fldChar w:fldCharType="separate"/>
            </w:r>
            <w:r>
              <w:rPr>
                <w:noProof/>
                <w:webHidden/>
              </w:rPr>
              <w:t>193</w:t>
            </w:r>
            <w:r>
              <w:rPr>
                <w:noProof/>
                <w:webHidden/>
              </w:rPr>
              <w:fldChar w:fldCharType="end"/>
            </w:r>
          </w:hyperlink>
        </w:p>
        <w:p w14:paraId="39BE73F6" w14:textId="77777777" w:rsidR="00C643FE" w:rsidRDefault="00C643FE">
          <w:pPr>
            <w:pStyle w:val="TOC2"/>
            <w:tabs>
              <w:tab w:val="right" w:leader="dot" w:pos="8494"/>
            </w:tabs>
            <w:rPr>
              <w:rFonts w:eastAsiaTheme="minorEastAsia"/>
              <w:noProof/>
              <w:sz w:val="22"/>
              <w:lang w:eastAsia="en-GB"/>
            </w:rPr>
          </w:pPr>
          <w:hyperlink w:anchor="_Toc485712836" w:history="1">
            <w:r w:rsidRPr="006C6A77">
              <w:rPr>
                <w:rStyle w:val="Hyperlink"/>
                <w:noProof/>
              </w:rPr>
              <w:t>Appendix A: Raw data &amp; data tables for Chapter 3</w:t>
            </w:r>
            <w:r>
              <w:rPr>
                <w:noProof/>
                <w:webHidden/>
              </w:rPr>
              <w:tab/>
            </w:r>
            <w:r>
              <w:rPr>
                <w:noProof/>
                <w:webHidden/>
              </w:rPr>
              <w:fldChar w:fldCharType="begin"/>
            </w:r>
            <w:r>
              <w:rPr>
                <w:noProof/>
                <w:webHidden/>
              </w:rPr>
              <w:instrText xml:space="preserve"> PAGEREF _Toc485712836 \h </w:instrText>
            </w:r>
            <w:r>
              <w:rPr>
                <w:noProof/>
                <w:webHidden/>
              </w:rPr>
            </w:r>
            <w:r>
              <w:rPr>
                <w:noProof/>
                <w:webHidden/>
              </w:rPr>
              <w:fldChar w:fldCharType="separate"/>
            </w:r>
            <w:r>
              <w:rPr>
                <w:noProof/>
                <w:webHidden/>
              </w:rPr>
              <w:t>i</w:t>
            </w:r>
            <w:r>
              <w:rPr>
                <w:noProof/>
                <w:webHidden/>
              </w:rPr>
              <w:fldChar w:fldCharType="end"/>
            </w:r>
          </w:hyperlink>
        </w:p>
        <w:p w14:paraId="5A736421" w14:textId="77777777" w:rsidR="00C643FE" w:rsidRDefault="00C643FE">
          <w:pPr>
            <w:pStyle w:val="TOC2"/>
            <w:tabs>
              <w:tab w:val="right" w:leader="dot" w:pos="8494"/>
            </w:tabs>
            <w:rPr>
              <w:rFonts w:eastAsiaTheme="minorEastAsia"/>
              <w:noProof/>
              <w:sz w:val="22"/>
              <w:lang w:eastAsia="en-GB"/>
            </w:rPr>
          </w:pPr>
          <w:hyperlink w:anchor="_Toc485712837" w:history="1">
            <w:r w:rsidRPr="006C6A77">
              <w:rPr>
                <w:rStyle w:val="Hyperlink"/>
                <w:noProof/>
              </w:rPr>
              <w:t>Appendix B: Raw data &amp; data tables for Chapter 4</w:t>
            </w:r>
            <w:r>
              <w:rPr>
                <w:noProof/>
                <w:webHidden/>
              </w:rPr>
              <w:tab/>
            </w:r>
            <w:r>
              <w:rPr>
                <w:noProof/>
                <w:webHidden/>
              </w:rPr>
              <w:fldChar w:fldCharType="begin"/>
            </w:r>
            <w:r>
              <w:rPr>
                <w:noProof/>
                <w:webHidden/>
              </w:rPr>
              <w:instrText xml:space="preserve"> PAGEREF _Toc485712837 \h </w:instrText>
            </w:r>
            <w:r>
              <w:rPr>
                <w:noProof/>
                <w:webHidden/>
              </w:rPr>
            </w:r>
            <w:r>
              <w:rPr>
                <w:noProof/>
                <w:webHidden/>
              </w:rPr>
              <w:fldChar w:fldCharType="separate"/>
            </w:r>
            <w:r>
              <w:rPr>
                <w:noProof/>
                <w:webHidden/>
              </w:rPr>
              <w:t>ix</w:t>
            </w:r>
            <w:r>
              <w:rPr>
                <w:noProof/>
                <w:webHidden/>
              </w:rPr>
              <w:fldChar w:fldCharType="end"/>
            </w:r>
          </w:hyperlink>
        </w:p>
        <w:p w14:paraId="17D535EF" w14:textId="77777777" w:rsidR="00C643FE" w:rsidRDefault="00C643FE">
          <w:pPr>
            <w:pStyle w:val="TOC2"/>
            <w:tabs>
              <w:tab w:val="right" w:leader="dot" w:pos="8494"/>
            </w:tabs>
            <w:rPr>
              <w:rFonts w:eastAsiaTheme="minorEastAsia"/>
              <w:noProof/>
              <w:sz w:val="22"/>
              <w:lang w:eastAsia="en-GB"/>
            </w:rPr>
          </w:pPr>
          <w:hyperlink w:anchor="_Toc485712838" w:history="1">
            <w:r w:rsidRPr="006C6A77">
              <w:rPr>
                <w:rStyle w:val="Hyperlink"/>
                <w:noProof/>
              </w:rPr>
              <w:t>Appendix C: Raw data &amp; data tables for Chapter 5</w:t>
            </w:r>
            <w:r>
              <w:rPr>
                <w:noProof/>
                <w:webHidden/>
              </w:rPr>
              <w:tab/>
            </w:r>
            <w:r>
              <w:rPr>
                <w:noProof/>
                <w:webHidden/>
              </w:rPr>
              <w:fldChar w:fldCharType="begin"/>
            </w:r>
            <w:r>
              <w:rPr>
                <w:noProof/>
                <w:webHidden/>
              </w:rPr>
              <w:instrText xml:space="preserve"> PAGEREF _Toc485712838 \h </w:instrText>
            </w:r>
            <w:r>
              <w:rPr>
                <w:noProof/>
                <w:webHidden/>
              </w:rPr>
            </w:r>
            <w:r>
              <w:rPr>
                <w:noProof/>
                <w:webHidden/>
              </w:rPr>
              <w:fldChar w:fldCharType="separate"/>
            </w:r>
            <w:r>
              <w:rPr>
                <w:noProof/>
                <w:webHidden/>
              </w:rPr>
              <w:t>xiii</w:t>
            </w:r>
            <w:r>
              <w:rPr>
                <w:noProof/>
                <w:webHidden/>
              </w:rPr>
              <w:fldChar w:fldCharType="end"/>
            </w:r>
          </w:hyperlink>
        </w:p>
        <w:p w14:paraId="6982D389" w14:textId="77777777" w:rsidR="00C643FE" w:rsidRDefault="00C643FE">
          <w:pPr>
            <w:pStyle w:val="TOC3"/>
            <w:tabs>
              <w:tab w:val="right" w:leader="dot" w:pos="8494"/>
            </w:tabs>
            <w:rPr>
              <w:rFonts w:eastAsiaTheme="minorEastAsia"/>
              <w:noProof/>
              <w:sz w:val="22"/>
              <w:lang w:eastAsia="en-GB"/>
            </w:rPr>
          </w:pPr>
          <w:hyperlink w:anchor="_Toc485712839" w:history="1">
            <w:r w:rsidRPr="006C6A77">
              <w:rPr>
                <w:rStyle w:val="Hyperlink"/>
                <w:noProof/>
              </w:rPr>
              <w:t>C.1 Arginine</w:t>
            </w:r>
            <w:r>
              <w:rPr>
                <w:noProof/>
                <w:webHidden/>
              </w:rPr>
              <w:tab/>
            </w:r>
            <w:r>
              <w:rPr>
                <w:noProof/>
                <w:webHidden/>
              </w:rPr>
              <w:fldChar w:fldCharType="begin"/>
            </w:r>
            <w:r>
              <w:rPr>
                <w:noProof/>
                <w:webHidden/>
              </w:rPr>
              <w:instrText xml:space="preserve"> PAGEREF _Toc485712839 \h </w:instrText>
            </w:r>
            <w:r>
              <w:rPr>
                <w:noProof/>
                <w:webHidden/>
              </w:rPr>
            </w:r>
            <w:r>
              <w:rPr>
                <w:noProof/>
                <w:webHidden/>
              </w:rPr>
              <w:fldChar w:fldCharType="separate"/>
            </w:r>
            <w:r>
              <w:rPr>
                <w:noProof/>
                <w:webHidden/>
              </w:rPr>
              <w:t>xiii</w:t>
            </w:r>
            <w:r>
              <w:rPr>
                <w:noProof/>
                <w:webHidden/>
              </w:rPr>
              <w:fldChar w:fldCharType="end"/>
            </w:r>
          </w:hyperlink>
        </w:p>
        <w:p w14:paraId="5AFA1412" w14:textId="77777777" w:rsidR="00C643FE" w:rsidRDefault="00C643FE">
          <w:pPr>
            <w:pStyle w:val="TOC3"/>
            <w:tabs>
              <w:tab w:val="right" w:leader="dot" w:pos="8494"/>
            </w:tabs>
            <w:rPr>
              <w:rFonts w:eastAsiaTheme="minorEastAsia"/>
              <w:noProof/>
              <w:sz w:val="22"/>
              <w:lang w:eastAsia="en-GB"/>
            </w:rPr>
          </w:pPr>
          <w:hyperlink w:anchor="_Toc485712840" w:history="1">
            <w:r w:rsidRPr="006C6A77">
              <w:rPr>
                <w:rStyle w:val="Hyperlink"/>
                <w:noProof/>
              </w:rPr>
              <w:t>C.2 Arginine &amp; NaCl</w:t>
            </w:r>
            <w:r>
              <w:rPr>
                <w:noProof/>
                <w:webHidden/>
              </w:rPr>
              <w:tab/>
            </w:r>
            <w:r>
              <w:rPr>
                <w:noProof/>
                <w:webHidden/>
              </w:rPr>
              <w:fldChar w:fldCharType="begin"/>
            </w:r>
            <w:r>
              <w:rPr>
                <w:noProof/>
                <w:webHidden/>
              </w:rPr>
              <w:instrText xml:space="preserve"> PAGEREF _Toc485712840 \h </w:instrText>
            </w:r>
            <w:r>
              <w:rPr>
                <w:noProof/>
                <w:webHidden/>
              </w:rPr>
            </w:r>
            <w:r>
              <w:rPr>
                <w:noProof/>
                <w:webHidden/>
              </w:rPr>
              <w:fldChar w:fldCharType="separate"/>
            </w:r>
            <w:r>
              <w:rPr>
                <w:noProof/>
                <w:webHidden/>
              </w:rPr>
              <w:t>xvi</w:t>
            </w:r>
            <w:r>
              <w:rPr>
                <w:noProof/>
                <w:webHidden/>
              </w:rPr>
              <w:fldChar w:fldCharType="end"/>
            </w:r>
          </w:hyperlink>
        </w:p>
        <w:p w14:paraId="46E0E68F" w14:textId="77777777" w:rsidR="00C643FE" w:rsidRDefault="00C643FE">
          <w:pPr>
            <w:pStyle w:val="TOC3"/>
            <w:tabs>
              <w:tab w:val="right" w:leader="dot" w:pos="8494"/>
            </w:tabs>
            <w:rPr>
              <w:rFonts w:eastAsiaTheme="minorEastAsia"/>
              <w:noProof/>
              <w:sz w:val="22"/>
              <w:lang w:eastAsia="en-GB"/>
            </w:rPr>
          </w:pPr>
          <w:hyperlink w:anchor="_Toc485712841" w:history="1">
            <w:r w:rsidRPr="006C6A77">
              <w:rPr>
                <w:rStyle w:val="Hyperlink"/>
                <w:noProof/>
              </w:rPr>
              <w:t>C.3 Lysine</w:t>
            </w:r>
            <w:r>
              <w:rPr>
                <w:noProof/>
                <w:webHidden/>
              </w:rPr>
              <w:tab/>
            </w:r>
            <w:r>
              <w:rPr>
                <w:noProof/>
                <w:webHidden/>
              </w:rPr>
              <w:fldChar w:fldCharType="begin"/>
            </w:r>
            <w:r>
              <w:rPr>
                <w:noProof/>
                <w:webHidden/>
              </w:rPr>
              <w:instrText xml:space="preserve"> PAGEREF _Toc485712841 \h </w:instrText>
            </w:r>
            <w:r>
              <w:rPr>
                <w:noProof/>
                <w:webHidden/>
              </w:rPr>
            </w:r>
            <w:r>
              <w:rPr>
                <w:noProof/>
                <w:webHidden/>
              </w:rPr>
              <w:fldChar w:fldCharType="separate"/>
            </w:r>
            <w:r>
              <w:rPr>
                <w:noProof/>
                <w:webHidden/>
              </w:rPr>
              <w:t>xvii</w:t>
            </w:r>
            <w:r>
              <w:rPr>
                <w:noProof/>
                <w:webHidden/>
              </w:rPr>
              <w:fldChar w:fldCharType="end"/>
            </w:r>
          </w:hyperlink>
        </w:p>
        <w:p w14:paraId="3CF9C4A1" w14:textId="77777777" w:rsidR="00C643FE" w:rsidRDefault="00C643FE">
          <w:pPr>
            <w:pStyle w:val="TOC3"/>
            <w:tabs>
              <w:tab w:val="right" w:leader="dot" w:pos="8494"/>
            </w:tabs>
            <w:rPr>
              <w:rFonts w:eastAsiaTheme="minorEastAsia"/>
              <w:noProof/>
              <w:sz w:val="22"/>
              <w:lang w:eastAsia="en-GB"/>
            </w:rPr>
          </w:pPr>
          <w:hyperlink w:anchor="_Toc485712842" w:history="1">
            <w:r w:rsidRPr="006C6A77">
              <w:rPr>
                <w:rStyle w:val="Hyperlink"/>
                <w:noProof/>
              </w:rPr>
              <w:t>C.4 GdnHCl</w:t>
            </w:r>
            <w:r>
              <w:rPr>
                <w:noProof/>
                <w:webHidden/>
              </w:rPr>
              <w:tab/>
            </w:r>
            <w:r>
              <w:rPr>
                <w:noProof/>
                <w:webHidden/>
              </w:rPr>
              <w:fldChar w:fldCharType="begin"/>
            </w:r>
            <w:r>
              <w:rPr>
                <w:noProof/>
                <w:webHidden/>
              </w:rPr>
              <w:instrText xml:space="preserve"> PAGEREF _Toc485712842 \h </w:instrText>
            </w:r>
            <w:r>
              <w:rPr>
                <w:noProof/>
                <w:webHidden/>
              </w:rPr>
            </w:r>
            <w:r>
              <w:rPr>
                <w:noProof/>
                <w:webHidden/>
              </w:rPr>
              <w:fldChar w:fldCharType="separate"/>
            </w:r>
            <w:r>
              <w:rPr>
                <w:noProof/>
                <w:webHidden/>
              </w:rPr>
              <w:t>xxii</w:t>
            </w:r>
            <w:r>
              <w:rPr>
                <w:noProof/>
                <w:webHidden/>
              </w:rPr>
              <w:fldChar w:fldCharType="end"/>
            </w:r>
          </w:hyperlink>
        </w:p>
        <w:p w14:paraId="54F935AB" w14:textId="77777777" w:rsidR="00C643FE" w:rsidRDefault="00C643FE">
          <w:pPr>
            <w:pStyle w:val="TOC2"/>
            <w:tabs>
              <w:tab w:val="right" w:leader="dot" w:pos="8494"/>
            </w:tabs>
            <w:rPr>
              <w:rFonts w:eastAsiaTheme="minorEastAsia"/>
              <w:noProof/>
              <w:sz w:val="22"/>
              <w:lang w:eastAsia="en-GB"/>
            </w:rPr>
          </w:pPr>
          <w:hyperlink w:anchor="_Toc485712843" w:history="1">
            <w:r w:rsidRPr="006C6A77">
              <w:rPr>
                <w:rStyle w:val="Hyperlink"/>
                <w:noProof/>
              </w:rPr>
              <w:t>Appendix D: Raw data &amp; data tables for Chapter 6</w:t>
            </w:r>
            <w:r>
              <w:rPr>
                <w:noProof/>
                <w:webHidden/>
              </w:rPr>
              <w:tab/>
            </w:r>
            <w:r>
              <w:rPr>
                <w:noProof/>
                <w:webHidden/>
              </w:rPr>
              <w:fldChar w:fldCharType="begin"/>
            </w:r>
            <w:r>
              <w:rPr>
                <w:noProof/>
                <w:webHidden/>
              </w:rPr>
              <w:instrText xml:space="preserve"> PAGEREF _Toc485712843 \h </w:instrText>
            </w:r>
            <w:r>
              <w:rPr>
                <w:noProof/>
                <w:webHidden/>
              </w:rPr>
            </w:r>
            <w:r>
              <w:rPr>
                <w:noProof/>
                <w:webHidden/>
              </w:rPr>
              <w:fldChar w:fldCharType="separate"/>
            </w:r>
            <w:r>
              <w:rPr>
                <w:noProof/>
                <w:webHidden/>
              </w:rPr>
              <w:t>xxvi</w:t>
            </w:r>
            <w:r>
              <w:rPr>
                <w:noProof/>
                <w:webHidden/>
              </w:rPr>
              <w:fldChar w:fldCharType="end"/>
            </w:r>
          </w:hyperlink>
        </w:p>
        <w:p w14:paraId="778CD183" w14:textId="77777777" w:rsidR="00C643FE" w:rsidRDefault="00C643FE">
          <w:pPr>
            <w:pStyle w:val="TOC3"/>
            <w:tabs>
              <w:tab w:val="right" w:leader="dot" w:pos="8494"/>
            </w:tabs>
            <w:rPr>
              <w:rFonts w:eastAsiaTheme="minorEastAsia"/>
              <w:noProof/>
              <w:sz w:val="22"/>
              <w:lang w:eastAsia="en-GB"/>
            </w:rPr>
          </w:pPr>
          <w:hyperlink w:anchor="_Toc485712844" w:history="1">
            <w:r w:rsidRPr="006C6A77">
              <w:rPr>
                <w:rStyle w:val="Hyperlink"/>
                <w:noProof/>
              </w:rPr>
              <w:t>D.1 Lysine</w:t>
            </w:r>
            <w:r>
              <w:rPr>
                <w:noProof/>
                <w:webHidden/>
              </w:rPr>
              <w:tab/>
            </w:r>
            <w:r>
              <w:rPr>
                <w:noProof/>
                <w:webHidden/>
              </w:rPr>
              <w:fldChar w:fldCharType="begin"/>
            </w:r>
            <w:r>
              <w:rPr>
                <w:noProof/>
                <w:webHidden/>
              </w:rPr>
              <w:instrText xml:space="preserve"> PAGEREF _Toc485712844 \h </w:instrText>
            </w:r>
            <w:r>
              <w:rPr>
                <w:noProof/>
                <w:webHidden/>
              </w:rPr>
            </w:r>
            <w:r>
              <w:rPr>
                <w:noProof/>
                <w:webHidden/>
              </w:rPr>
              <w:fldChar w:fldCharType="separate"/>
            </w:r>
            <w:r>
              <w:rPr>
                <w:noProof/>
                <w:webHidden/>
              </w:rPr>
              <w:t>xxvi</w:t>
            </w:r>
            <w:r>
              <w:rPr>
                <w:noProof/>
                <w:webHidden/>
              </w:rPr>
              <w:fldChar w:fldCharType="end"/>
            </w:r>
          </w:hyperlink>
        </w:p>
        <w:p w14:paraId="704E7A1C" w14:textId="77777777" w:rsidR="00C643FE" w:rsidRDefault="00C643FE">
          <w:pPr>
            <w:pStyle w:val="TOC3"/>
            <w:tabs>
              <w:tab w:val="right" w:leader="dot" w:pos="8494"/>
            </w:tabs>
            <w:rPr>
              <w:rFonts w:eastAsiaTheme="minorEastAsia"/>
              <w:noProof/>
              <w:sz w:val="22"/>
              <w:lang w:eastAsia="en-GB"/>
            </w:rPr>
          </w:pPr>
          <w:hyperlink w:anchor="_Toc485712845" w:history="1">
            <w:r w:rsidRPr="006C6A77">
              <w:rPr>
                <w:rStyle w:val="Hyperlink"/>
                <w:noProof/>
              </w:rPr>
              <w:t>D.2 Histidine</w:t>
            </w:r>
            <w:r>
              <w:rPr>
                <w:noProof/>
                <w:webHidden/>
              </w:rPr>
              <w:tab/>
            </w:r>
            <w:r>
              <w:rPr>
                <w:noProof/>
                <w:webHidden/>
              </w:rPr>
              <w:fldChar w:fldCharType="begin"/>
            </w:r>
            <w:r>
              <w:rPr>
                <w:noProof/>
                <w:webHidden/>
              </w:rPr>
              <w:instrText xml:space="preserve"> PAGEREF _Toc485712845 \h </w:instrText>
            </w:r>
            <w:r>
              <w:rPr>
                <w:noProof/>
                <w:webHidden/>
              </w:rPr>
            </w:r>
            <w:r>
              <w:rPr>
                <w:noProof/>
                <w:webHidden/>
              </w:rPr>
              <w:fldChar w:fldCharType="separate"/>
            </w:r>
            <w:r>
              <w:rPr>
                <w:noProof/>
                <w:webHidden/>
              </w:rPr>
              <w:t>xxix</w:t>
            </w:r>
            <w:r>
              <w:rPr>
                <w:noProof/>
                <w:webHidden/>
              </w:rPr>
              <w:fldChar w:fldCharType="end"/>
            </w:r>
          </w:hyperlink>
        </w:p>
        <w:p w14:paraId="5152236B" w14:textId="77777777" w:rsidR="00827DFB" w:rsidRDefault="00827DFB">
          <w:r>
            <w:rPr>
              <w:b/>
              <w:bCs/>
              <w:noProof/>
            </w:rPr>
            <w:fldChar w:fldCharType="end"/>
          </w:r>
        </w:p>
      </w:sdtContent>
    </w:sdt>
    <w:p w14:paraId="5725948A" w14:textId="77777777" w:rsidR="009C61A8" w:rsidRDefault="009C61A8">
      <w:pPr>
        <w:spacing w:before="0" w:after="200" w:line="276" w:lineRule="auto"/>
        <w:rPr>
          <w:szCs w:val="24"/>
        </w:rPr>
      </w:pPr>
      <w:r>
        <w:rPr>
          <w:szCs w:val="24"/>
        </w:rPr>
        <w:br w:type="page"/>
      </w:r>
      <w:bookmarkStart w:id="0" w:name="_GoBack"/>
      <w:bookmarkEnd w:id="0"/>
    </w:p>
    <w:p w14:paraId="57C055B6" w14:textId="77777777" w:rsidR="00827DFB" w:rsidRPr="00F50256" w:rsidRDefault="009C61A8" w:rsidP="00827DFB">
      <w:pPr>
        <w:rPr>
          <w:rFonts w:asciiTheme="majorHAnsi" w:hAnsiTheme="majorHAnsi"/>
          <w:b/>
          <w:color w:val="365F91" w:themeColor="accent1" w:themeShade="BF"/>
          <w:sz w:val="28"/>
          <w:szCs w:val="28"/>
        </w:rPr>
      </w:pPr>
      <w:r w:rsidRPr="00F50256">
        <w:rPr>
          <w:rFonts w:asciiTheme="majorHAnsi" w:hAnsiTheme="majorHAnsi"/>
          <w:b/>
          <w:color w:val="365F91" w:themeColor="accent1" w:themeShade="BF"/>
          <w:sz w:val="28"/>
          <w:szCs w:val="28"/>
        </w:rPr>
        <w:lastRenderedPageBreak/>
        <w:t>Table of Figures</w:t>
      </w:r>
    </w:p>
    <w:p w14:paraId="3509CA93" w14:textId="77777777" w:rsidR="003C67A9" w:rsidRDefault="009C61A8">
      <w:pPr>
        <w:pStyle w:val="TableofFigures"/>
        <w:tabs>
          <w:tab w:val="right" w:leader="dot" w:pos="8494"/>
        </w:tabs>
        <w:rPr>
          <w:rFonts w:eastAsiaTheme="minorEastAsia"/>
          <w:noProof/>
          <w:sz w:val="22"/>
          <w:lang w:eastAsia="en-GB"/>
        </w:rPr>
      </w:pPr>
      <w:r>
        <w:rPr>
          <w:szCs w:val="24"/>
        </w:rPr>
        <w:fldChar w:fldCharType="begin"/>
      </w:r>
      <w:r>
        <w:rPr>
          <w:szCs w:val="24"/>
        </w:rPr>
        <w:instrText xml:space="preserve"> TOC \c "Figure" </w:instrText>
      </w:r>
      <w:r>
        <w:rPr>
          <w:szCs w:val="24"/>
        </w:rPr>
        <w:fldChar w:fldCharType="separate"/>
      </w:r>
      <w:r w:rsidR="003C67A9">
        <w:rPr>
          <w:noProof/>
        </w:rPr>
        <w:t>Figure 1</w:t>
      </w:r>
      <w:r w:rsidR="003C67A9">
        <w:rPr>
          <w:noProof/>
        </w:rPr>
        <w:noBreakHyphen/>
        <w:t>1. Schematic depicting how destabilisation of a protein can result from an increase in free energy of the native state (left), or a decrease in free energy of the denatured state (right). Circle represents fully folded protein and line represents the denatured protein</w:t>
      </w:r>
      <w:r w:rsidR="003C67A9">
        <w:rPr>
          <w:noProof/>
        </w:rPr>
        <w:tab/>
      </w:r>
      <w:r w:rsidR="003C67A9">
        <w:rPr>
          <w:noProof/>
        </w:rPr>
        <w:fldChar w:fldCharType="begin"/>
      </w:r>
      <w:r w:rsidR="003C67A9">
        <w:rPr>
          <w:noProof/>
        </w:rPr>
        <w:instrText xml:space="preserve"> PAGEREF _Toc482633159 \h </w:instrText>
      </w:r>
      <w:r w:rsidR="003C67A9">
        <w:rPr>
          <w:noProof/>
        </w:rPr>
      </w:r>
      <w:r w:rsidR="003C67A9">
        <w:rPr>
          <w:noProof/>
        </w:rPr>
        <w:fldChar w:fldCharType="separate"/>
      </w:r>
      <w:r w:rsidR="00AA6926">
        <w:rPr>
          <w:noProof/>
        </w:rPr>
        <w:t>4</w:t>
      </w:r>
      <w:r w:rsidR="003C67A9">
        <w:rPr>
          <w:noProof/>
        </w:rPr>
        <w:fldChar w:fldCharType="end"/>
      </w:r>
    </w:p>
    <w:p w14:paraId="53AD3741" w14:textId="77777777" w:rsidR="003C67A9" w:rsidRDefault="003C67A9">
      <w:pPr>
        <w:pStyle w:val="TableofFigures"/>
        <w:tabs>
          <w:tab w:val="right" w:leader="dot" w:pos="8494"/>
        </w:tabs>
        <w:rPr>
          <w:rFonts w:eastAsiaTheme="minorEastAsia"/>
          <w:noProof/>
          <w:sz w:val="22"/>
          <w:lang w:eastAsia="en-GB"/>
        </w:rPr>
      </w:pPr>
      <w:r>
        <w:rPr>
          <w:noProof/>
        </w:rPr>
        <w:t>Figure 1</w:t>
      </w:r>
      <w:r>
        <w:rPr>
          <w:noProof/>
        </w:rPr>
        <w:noBreakHyphen/>
        <w:t>2. Schematic depicting how stabilisation of a protein can result from a decrease in free energy of the native state (left), or an increase in free energy of the denatured state (right). Circle represents fully folded protein and line represents the denatured protein</w:t>
      </w:r>
      <w:r>
        <w:rPr>
          <w:noProof/>
        </w:rPr>
        <w:tab/>
      </w:r>
      <w:r>
        <w:rPr>
          <w:noProof/>
        </w:rPr>
        <w:fldChar w:fldCharType="begin"/>
      </w:r>
      <w:r>
        <w:rPr>
          <w:noProof/>
        </w:rPr>
        <w:instrText xml:space="preserve"> PAGEREF _Toc482633160 \h </w:instrText>
      </w:r>
      <w:r>
        <w:rPr>
          <w:noProof/>
        </w:rPr>
      </w:r>
      <w:r>
        <w:rPr>
          <w:noProof/>
        </w:rPr>
        <w:fldChar w:fldCharType="separate"/>
      </w:r>
      <w:r w:rsidR="00AA6926">
        <w:rPr>
          <w:noProof/>
        </w:rPr>
        <w:t>5</w:t>
      </w:r>
      <w:r>
        <w:rPr>
          <w:noProof/>
        </w:rPr>
        <w:fldChar w:fldCharType="end"/>
      </w:r>
    </w:p>
    <w:p w14:paraId="372D87E3" w14:textId="77777777" w:rsidR="003C67A9" w:rsidRDefault="003C67A9">
      <w:pPr>
        <w:pStyle w:val="TableofFigures"/>
        <w:tabs>
          <w:tab w:val="right" w:leader="dot" w:pos="8494"/>
        </w:tabs>
        <w:rPr>
          <w:rFonts w:eastAsiaTheme="minorEastAsia"/>
          <w:noProof/>
          <w:sz w:val="22"/>
          <w:lang w:eastAsia="en-GB"/>
        </w:rPr>
      </w:pPr>
      <w:r>
        <w:rPr>
          <w:noProof/>
        </w:rPr>
        <w:t>Figure 1</w:t>
      </w:r>
      <w:r>
        <w:rPr>
          <w:noProof/>
        </w:rPr>
        <w:noBreakHyphen/>
        <w:t>3. Hofmeister series of anions (upper list) and cations (lower list)</w:t>
      </w:r>
      <w:r>
        <w:rPr>
          <w:noProof/>
        </w:rPr>
        <w:tab/>
      </w:r>
      <w:r>
        <w:rPr>
          <w:noProof/>
        </w:rPr>
        <w:fldChar w:fldCharType="begin"/>
      </w:r>
      <w:r>
        <w:rPr>
          <w:noProof/>
        </w:rPr>
        <w:instrText xml:space="preserve"> PAGEREF _Toc482633161 \h </w:instrText>
      </w:r>
      <w:r>
        <w:rPr>
          <w:noProof/>
        </w:rPr>
      </w:r>
      <w:r>
        <w:rPr>
          <w:noProof/>
        </w:rPr>
        <w:fldChar w:fldCharType="separate"/>
      </w:r>
      <w:r w:rsidR="00AA6926">
        <w:rPr>
          <w:noProof/>
        </w:rPr>
        <w:t>10</w:t>
      </w:r>
      <w:r>
        <w:rPr>
          <w:noProof/>
        </w:rPr>
        <w:fldChar w:fldCharType="end"/>
      </w:r>
    </w:p>
    <w:p w14:paraId="68C2F00C" w14:textId="77777777" w:rsidR="003C67A9" w:rsidRDefault="003C67A9">
      <w:pPr>
        <w:pStyle w:val="TableofFigures"/>
        <w:tabs>
          <w:tab w:val="right" w:leader="dot" w:pos="8494"/>
        </w:tabs>
        <w:rPr>
          <w:rFonts w:eastAsiaTheme="minorEastAsia"/>
          <w:noProof/>
          <w:sz w:val="22"/>
          <w:lang w:eastAsia="en-GB"/>
        </w:rPr>
      </w:pPr>
      <w:r>
        <w:rPr>
          <w:noProof/>
        </w:rPr>
        <w:t>Figure 1</w:t>
      </w:r>
      <w:r>
        <w:rPr>
          <w:noProof/>
        </w:rPr>
        <w:noBreakHyphen/>
        <w:t>4. Chemical structures of the denaturants urea (left) and guanidinium (right)</w:t>
      </w:r>
      <w:r>
        <w:rPr>
          <w:noProof/>
        </w:rPr>
        <w:tab/>
      </w:r>
      <w:r>
        <w:rPr>
          <w:noProof/>
        </w:rPr>
        <w:fldChar w:fldCharType="begin"/>
      </w:r>
      <w:r>
        <w:rPr>
          <w:noProof/>
        </w:rPr>
        <w:instrText xml:space="preserve"> PAGEREF _Toc482633162 \h </w:instrText>
      </w:r>
      <w:r>
        <w:rPr>
          <w:noProof/>
        </w:rPr>
      </w:r>
      <w:r>
        <w:rPr>
          <w:noProof/>
        </w:rPr>
        <w:fldChar w:fldCharType="separate"/>
      </w:r>
      <w:r w:rsidR="00AA6926">
        <w:rPr>
          <w:noProof/>
        </w:rPr>
        <w:t>12</w:t>
      </w:r>
      <w:r>
        <w:rPr>
          <w:noProof/>
        </w:rPr>
        <w:fldChar w:fldCharType="end"/>
      </w:r>
    </w:p>
    <w:p w14:paraId="197FDB5F" w14:textId="77777777" w:rsidR="003C67A9" w:rsidRDefault="003C67A9">
      <w:pPr>
        <w:pStyle w:val="TableofFigures"/>
        <w:tabs>
          <w:tab w:val="right" w:leader="dot" w:pos="8494"/>
        </w:tabs>
        <w:rPr>
          <w:rFonts w:eastAsiaTheme="minorEastAsia"/>
          <w:noProof/>
          <w:sz w:val="22"/>
          <w:lang w:eastAsia="en-GB"/>
        </w:rPr>
      </w:pPr>
      <w:r>
        <w:rPr>
          <w:noProof/>
        </w:rPr>
        <w:t>Figure 1</w:t>
      </w:r>
      <w:r>
        <w:rPr>
          <w:noProof/>
        </w:rPr>
        <w:noBreakHyphen/>
        <w:t>5. Chemical structures of various common osmolytes in the three classes demonstrating the variety of structure</w:t>
      </w:r>
      <w:r>
        <w:rPr>
          <w:noProof/>
        </w:rPr>
        <w:tab/>
      </w:r>
      <w:r>
        <w:rPr>
          <w:noProof/>
        </w:rPr>
        <w:fldChar w:fldCharType="begin"/>
      </w:r>
      <w:r>
        <w:rPr>
          <w:noProof/>
        </w:rPr>
        <w:instrText xml:space="preserve"> PAGEREF _Toc482633163 \h </w:instrText>
      </w:r>
      <w:r>
        <w:rPr>
          <w:noProof/>
        </w:rPr>
      </w:r>
      <w:r>
        <w:rPr>
          <w:noProof/>
        </w:rPr>
        <w:fldChar w:fldCharType="separate"/>
      </w:r>
      <w:r w:rsidR="00AA6926">
        <w:rPr>
          <w:noProof/>
        </w:rPr>
        <w:t>19</w:t>
      </w:r>
      <w:r>
        <w:rPr>
          <w:noProof/>
        </w:rPr>
        <w:fldChar w:fldCharType="end"/>
      </w:r>
    </w:p>
    <w:p w14:paraId="590F8B46" w14:textId="77777777" w:rsidR="003C67A9" w:rsidRDefault="003C67A9">
      <w:pPr>
        <w:pStyle w:val="TableofFigures"/>
        <w:tabs>
          <w:tab w:val="right" w:leader="dot" w:pos="8494"/>
        </w:tabs>
        <w:rPr>
          <w:rFonts w:eastAsiaTheme="minorEastAsia"/>
          <w:noProof/>
          <w:sz w:val="22"/>
          <w:lang w:eastAsia="en-GB"/>
        </w:rPr>
      </w:pPr>
      <w:r>
        <w:rPr>
          <w:noProof/>
        </w:rPr>
        <w:t>Figure 1</w:t>
      </w:r>
      <w:r>
        <w:rPr>
          <w:noProof/>
        </w:rPr>
        <w:noBreakHyphen/>
        <w:t>6. Schematic drawing showing preferential interaction/binding (a) and preferential exclusion/hydration (b) as developed by Timasheff and coworkers. Figure adapted from theory presented in Arakawa &amp; Timasheff (1982a;1982b;1983).</w:t>
      </w:r>
      <w:r>
        <w:rPr>
          <w:noProof/>
        </w:rPr>
        <w:tab/>
      </w:r>
      <w:r>
        <w:rPr>
          <w:noProof/>
        </w:rPr>
        <w:fldChar w:fldCharType="begin"/>
      </w:r>
      <w:r>
        <w:rPr>
          <w:noProof/>
        </w:rPr>
        <w:instrText xml:space="preserve"> PAGEREF _Toc482633164 \h </w:instrText>
      </w:r>
      <w:r>
        <w:rPr>
          <w:noProof/>
        </w:rPr>
      </w:r>
      <w:r>
        <w:rPr>
          <w:noProof/>
        </w:rPr>
        <w:fldChar w:fldCharType="separate"/>
      </w:r>
      <w:r w:rsidR="00AA6926">
        <w:rPr>
          <w:noProof/>
        </w:rPr>
        <w:t>43</w:t>
      </w:r>
      <w:r>
        <w:rPr>
          <w:noProof/>
        </w:rPr>
        <w:fldChar w:fldCharType="end"/>
      </w:r>
    </w:p>
    <w:p w14:paraId="445EEC5F" w14:textId="77777777" w:rsidR="003C67A9" w:rsidRDefault="003C67A9">
      <w:pPr>
        <w:pStyle w:val="TableofFigures"/>
        <w:tabs>
          <w:tab w:val="right" w:leader="dot" w:pos="8494"/>
        </w:tabs>
        <w:rPr>
          <w:rFonts w:eastAsiaTheme="minorEastAsia"/>
          <w:noProof/>
          <w:sz w:val="22"/>
          <w:lang w:eastAsia="en-GB"/>
        </w:rPr>
      </w:pPr>
      <w:r>
        <w:rPr>
          <w:noProof/>
        </w:rPr>
        <w:t>Figure 1</w:t>
      </w:r>
      <w:r>
        <w:rPr>
          <w:noProof/>
        </w:rPr>
        <w:noBreakHyphen/>
        <w:t>7. Schematic drawing showing competition for water theory adapted from (Bye &amp; Falconer 2014). Right panel demonstrates that at high concentrations of cosolute there is very little bulk water left to hydrate the apolar core of an unfolding protein. This means it has to compete for water with the strongly bound hydration shells of stabilising cosolutes</w:t>
      </w:r>
      <w:r>
        <w:rPr>
          <w:noProof/>
        </w:rPr>
        <w:tab/>
      </w:r>
      <w:r>
        <w:rPr>
          <w:noProof/>
        </w:rPr>
        <w:fldChar w:fldCharType="begin"/>
      </w:r>
      <w:r>
        <w:rPr>
          <w:noProof/>
        </w:rPr>
        <w:instrText xml:space="preserve"> PAGEREF _Toc482633165 \h </w:instrText>
      </w:r>
      <w:r>
        <w:rPr>
          <w:noProof/>
        </w:rPr>
      </w:r>
      <w:r>
        <w:rPr>
          <w:noProof/>
        </w:rPr>
        <w:fldChar w:fldCharType="separate"/>
      </w:r>
      <w:r w:rsidR="00AA6926">
        <w:rPr>
          <w:noProof/>
        </w:rPr>
        <w:t>51</w:t>
      </w:r>
      <w:r>
        <w:rPr>
          <w:noProof/>
        </w:rPr>
        <w:fldChar w:fldCharType="end"/>
      </w:r>
    </w:p>
    <w:p w14:paraId="089EE097" w14:textId="77777777" w:rsidR="003C67A9" w:rsidRDefault="003C67A9">
      <w:pPr>
        <w:pStyle w:val="TableofFigures"/>
        <w:tabs>
          <w:tab w:val="right" w:leader="dot" w:pos="8494"/>
        </w:tabs>
        <w:rPr>
          <w:rFonts w:eastAsiaTheme="minorEastAsia"/>
          <w:noProof/>
          <w:sz w:val="22"/>
          <w:lang w:eastAsia="en-GB"/>
        </w:rPr>
      </w:pPr>
      <w:r>
        <w:rPr>
          <w:noProof/>
        </w:rPr>
        <w:t>Figure 1</w:t>
      </w:r>
      <w:r>
        <w:rPr>
          <w:noProof/>
        </w:rPr>
        <w:noBreakHyphen/>
        <w:t xml:space="preserve">8. Schematic diagram of the transfer model originally suggested by Tanford for the transfer of a protein from water into urea (A) in its native (N) and denatured state (D). This has subsequently applied to stabilising cosolutes (b). It shows the linking between the Gibbs free energy of unfolding in cosolute and water and the Gibbs free </w:t>
      </w:r>
      <w:r>
        <w:rPr>
          <w:noProof/>
        </w:rPr>
        <w:lastRenderedPageBreak/>
        <w:t>energy of transfer of the protein from water to cosolute (ΔG</w:t>
      </w:r>
      <w:r w:rsidRPr="00FC0387">
        <w:rPr>
          <w:noProof/>
          <w:vertAlign w:val="superscript"/>
        </w:rPr>
        <w:t>1 M</w:t>
      </w:r>
      <w:r w:rsidRPr="00FC0387">
        <w:rPr>
          <w:noProof/>
          <w:vertAlign w:val="subscript"/>
        </w:rPr>
        <w:t xml:space="preserve">N-D </w:t>
      </w:r>
      <w:r>
        <w:rPr>
          <w:noProof/>
        </w:rPr>
        <w:t>– ΔG</w:t>
      </w:r>
      <w:r w:rsidRPr="00FC0387">
        <w:rPr>
          <w:noProof/>
          <w:vertAlign w:val="superscript"/>
        </w:rPr>
        <w:t>Ο</w:t>
      </w:r>
      <w:r w:rsidRPr="00FC0387">
        <w:rPr>
          <w:noProof/>
          <w:vertAlign w:val="subscript"/>
        </w:rPr>
        <w:t xml:space="preserve">N-D </w:t>
      </w:r>
      <w:r>
        <w:rPr>
          <w:noProof/>
        </w:rPr>
        <w:t>= ΔG</w:t>
      </w:r>
      <w:r w:rsidRPr="00FC0387">
        <w:rPr>
          <w:noProof/>
          <w:vertAlign w:val="subscript"/>
        </w:rPr>
        <w:t xml:space="preserve">tr D </w:t>
      </w:r>
      <w:r>
        <w:rPr>
          <w:noProof/>
        </w:rPr>
        <w:t>– ΔG</w:t>
      </w:r>
      <w:r w:rsidRPr="00FC0387">
        <w:rPr>
          <w:noProof/>
          <w:vertAlign w:val="subscript"/>
        </w:rPr>
        <w:t>tr N</w:t>
      </w:r>
      <w:r>
        <w:rPr>
          <w:noProof/>
        </w:rPr>
        <w:t>). In A ΔG</w:t>
      </w:r>
      <w:r w:rsidRPr="00FC0387">
        <w:rPr>
          <w:noProof/>
          <w:vertAlign w:val="subscript"/>
        </w:rPr>
        <w:t>tr</w:t>
      </w:r>
      <w:r>
        <w:rPr>
          <w:noProof/>
        </w:rPr>
        <w:t xml:space="preserve"> &lt; 0, in B ΔG</w:t>
      </w:r>
      <w:r w:rsidRPr="00FC0387">
        <w:rPr>
          <w:noProof/>
          <w:vertAlign w:val="subscript"/>
        </w:rPr>
        <w:t xml:space="preserve">tr </w:t>
      </w:r>
      <w:r>
        <w:rPr>
          <w:noProof/>
        </w:rPr>
        <w:t>&gt; 0. Figure adapted from (Auton &amp; Bolen 2007).</w:t>
      </w:r>
      <w:r>
        <w:rPr>
          <w:noProof/>
        </w:rPr>
        <w:tab/>
      </w:r>
      <w:r>
        <w:rPr>
          <w:noProof/>
        </w:rPr>
        <w:fldChar w:fldCharType="begin"/>
      </w:r>
      <w:r>
        <w:rPr>
          <w:noProof/>
        </w:rPr>
        <w:instrText xml:space="preserve"> PAGEREF _Toc482633166 \h </w:instrText>
      </w:r>
      <w:r>
        <w:rPr>
          <w:noProof/>
        </w:rPr>
      </w:r>
      <w:r>
        <w:rPr>
          <w:noProof/>
        </w:rPr>
        <w:fldChar w:fldCharType="separate"/>
      </w:r>
      <w:r w:rsidR="00AA6926">
        <w:rPr>
          <w:noProof/>
        </w:rPr>
        <w:t>53</w:t>
      </w:r>
      <w:r>
        <w:rPr>
          <w:noProof/>
        </w:rPr>
        <w:fldChar w:fldCharType="end"/>
      </w:r>
    </w:p>
    <w:p w14:paraId="521ABFCB" w14:textId="77777777" w:rsidR="003C67A9" w:rsidRDefault="003C67A9">
      <w:pPr>
        <w:pStyle w:val="TableofFigures"/>
        <w:tabs>
          <w:tab w:val="right" w:leader="dot" w:pos="8494"/>
        </w:tabs>
        <w:rPr>
          <w:rFonts w:eastAsiaTheme="minorEastAsia"/>
          <w:noProof/>
          <w:sz w:val="22"/>
          <w:lang w:eastAsia="en-GB"/>
        </w:rPr>
      </w:pPr>
      <w:r>
        <w:rPr>
          <w:noProof/>
        </w:rPr>
        <w:t>Figure 1</w:t>
      </w:r>
      <w:r>
        <w:rPr>
          <w:noProof/>
        </w:rPr>
        <w:noBreakHyphen/>
        <w:t>9. Some stabilising small molecules and their structurally similar stabilising salts according to (Clark &amp; Zounes 1977)</w:t>
      </w:r>
      <w:r>
        <w:rPr>
          <w:noProof/>
        </w:rPr>
        <w:tab/>
      </w:r>
      <w:r>
        <w:rPr>
          <w:noProof/>
        </w:rPr>
        <w:fldChar w:fldCharType="begin"/>
      </w:r>
      <w:r>
        <w:rPr>
          <w:noProof/>
        </w:rPr>
        <w:instrText xml:space="preserve"> PAGEREF _Toc482633167 \h </w:instrText>
      </w:r>
      <w:r>
        <w:rPr>
          <w:noProof/>
        </w:rPr>
      </w:r>
      <w:r>
        <w:rPr>
          <w:noProof/>
        </w:rPr>
        <w:fldChar w:fldCharType="separate"/>
      </w:r>
      <w:r w:rsidR="00AA6926">
        <w:rPr>
          <w:noProof/>
        </w:rPr>
        <w:t>57</w:t>
      </w:r>
      <w:r>
        <w:rPr>
          <w:noProof/>
        </w:rPr>
        <w:fldChar w:fldCharType="end"/>
      </w:r>
    </w:p>
    <w:p w14:paraId="673CBEC3" w14:textId="77777777" w:rsidR="003C67A9" w:rsidRDefault="003C67A9">
      <w:pPr>
        <w:pStyle w:val="TableofFigures"/>
        <w:tabs>
          <w:tab w:val="right" w:leader="dot" w:pos="8494"/>
        </w:tabs>
        <w:rPr>
          <w:rFonts w:eastAsiaTheme="minorEastAsia"/>
          <w:noProof/>
          <w:sz w:val="22"/>
          <w:lang w:eastAsia="en-GB"/>
        </w:rPr>
      </w:pPr>
      <w:r>
        <w:rPr>
          <w:noProof/>
        </w:rPr>
        <w:t>Figure 1</w:t>
      </w:r>
      <w:r>
        <w:rPr>
          <w:noProof/>
        </w:rPr>
        <w:noBreakHyphen/>
        <w:t>10. The various interactions that can occur in a three-component system of protein and cosolute dissolved in water. Adapted from Miyawaki et al (2014)</w:t>
      </w:r>
      <w:r>
        <w:rPr>
          <w:noProof/>
        </w:rPr>
        <w:tab/>
      </w:r>
      <w:r>
        <w:rPr>
          <w:noProof/>
        </w:rPr>
        <w:fldChar w:fldCharType="begin"/>
      </w:r>
      <w:r>
        <w:rPr>
          <w:noProof/>
        </w:rPr>
        <w:instrText xml:space="preserve"> PAGEREF _Toc482633168 \h </w:instrText>
      </w:r>
      <w:r>
        <w:rPr>
          <w:noProof/>
        </w:rPr>
      </w:r>
      <w:r>
        <w:rPr>
          <w:noProof/>
        </w:rPr>
        <w:fldChar w:fldCharType="separate"/>
      </w:r>
      <w:r w:rsidR="00AA6926">
        <w:rPr>
          <w:noProof/>
        </w:rPr>
        <w:t>59</w:t>
      </w:r>
      <w:r>
        <w:rPr>
          <w:noProof/>
        </w:rPr>
        <w:fldChar w:fldCharType="end"/>
      </w:r>
    </w:p>
    <w:p w14:paraId="206F2DE3" w14:textId="77777777" w:rsidR="003C67A9" w:rsidRDefault="003C67A9">
      <w:pPr>
        <w:pStyle w:val="TableofFigures"/>
        <w:tabs>
          <w:tab w:val="right" w:leader="dot" w:pos="8494"/>
        </w:tabs>
        <w:rPr>
          <w:rFonts w:eastAsiaTheme="minorEastAsia"/>
          <w:noProof/>
          <w:sz w:val="22"/>
          <w:lang w:eastAsia="en-GB"/>
        </w:rPr>
      </w:pPr>
      <w:r>
        <w:rPr>
          <w:noProof/>
        </w:rPr>
        <w:t>Figure 1</w:t>
      </w:r>
      <w:r>
        <w:rPr>
          <w:noProof/>
        </w:rPr>
        <w:noBreakHyphen/>
        <w:t>11. Structure of arginine</w:t>
      </w:r>
      <w:r>
        <w:rPr>
          <w:noProof/>
        </w:rPr>
        <w:tab/>
      </w:r>
      <w:r>
        <w:rPr>
          <w:noProof/>
        </w:rPr>
        <w:fldChar w:fldCharType="begin"/>
      </w:r>
      <w:r>
        <w:rPr>
          <w:noProof/>
        </w:rPr>
        <w:instrText xml:space="preserve"> PAGEREF _Toc482633169 \h </w:instrText>
      </w:r>
      <w:r>
        <w:rPr>
          <w:noProof/>
        </w:rPr>
      </w:r>
      <w:r>
        <w:rPr>
          <w:noProof/>
        </w:rPr>
        <w:fldChar w:fldCharType="separate"/>
      </w:r>
      <w:r w:rsidR="00AA6926">
        <w:rPr>
          <w:noProof/>
        </w:rPr>
        <w:t>69</w:t>
      </w:r>
      <w:r>
        <w:rPr>
          <w:noProof/>
        </w:rPr>
        <w:fldChar w:fldCharType="end"/>
      </w:r>
    </w:p>
    <w:p w14:paraId="64401848" w14:textId="77777777" w:rsidR="003C67A9" w:rsidRDefault="003C67A9">
      <w:pPr>
        <w:pStyle w:val="TableofFigures"/>
        <w:tabs>
          <w:tab w:val="right" w:leader="dot" w:pos="8494"/>
        </w:tabs>
        <w:rPr>
          <w:rFonts w:eastAsiaTheme="minorEastAsia"/>
          <w:noProof/>
          <w:sz w:val="22"/>
          <w:lang w:eastAsia="en-GB"/>
        </w:rPr>
      </w:pPr>
      <w:r>
        <w:rPr>
          <w:noProof/>
        </w:rPr>
        <w:t>Figure 1</w:t>
      </w:r>
      <w:r>
        <w:rPr>
          <w:noProof/>
        </w:rPr>
        <w:noBreakHyphen/>
        <w:t>12. Structure of glycine</w:t>
      </w:r>
      <w:r>
        <w:rPr>
          <w:noProof/>
        </w:rPr>
        <w:tab/>
      </w:r>
      <w:r>
        <w:rPr>
          <w:noProof/>
        </w:rPr>
        <w:fldChar w:fldCharType="begin"/>
      </w:r>
      <w:r>
        <w:rPr>
          <w:noProof/>
        </w:rPr>
        <w:instrText xml:space="preserve"> PAGEREF _Toc482633170 \h </w:instrText>
      </w:r>
      <w:r>
        <w:rPr>
          <w:noProof/>
        </w:rPr>
      </w:r>
      <w:r>
        <w:rPr>
          <w:noProof/>
        </w:rPr>
        <w:fldChar w:fldCharType="separate"/>
      </w:r>
      <w:r w:rsidR="00AA6926">
        <w:rPr>
          <w:noProof/>
        </w:rPr>
        <w:t>73</w:t>
      </w:r>
      <w:r>
        <w:rPr>
          <w:noProof/>
        </w:rPr>
        <w:fldChar w:fldCharType="end"/>
      </w:r>
    </w:p>
    <w:p w14:paraId="09F0728D" w14:textId="77777777" w:rsidR="003C67A9" w:rsidRDefault="003C67A9">
      <w:pPr>
        <w:pStyle w:val="TableofFigures"/>
        <w:tabs>
          <w:tab w:val="right" w:leader="dot" w:pos="8494"/>
        </w:tabs>
        <w:rPr>
          <w:rFonts w:eastAsiaTheme="minorEastAsia"/>
          <w:noProof/>
          <w:sz w:val="22"/>
          <w:lang w:eastAsia="en-GB"/>
        </w:rPr>
      </w:pPr>
      <w:r>
        <w:rPr>
          <w:noProof/>
        </w:rPr>
        <w:t>Figure 1</w:t>
      </w:r>
      <w:r>
        <w:rPr>
          <w:noProof/>
        </w:rPr>
        <w:noBreakHyphen/>
        <w:t>13. Structure of lysine</w:t>
      </w:r>
      <w:r>
        <w:rPr>
          <w:noProof/>
        </w:rPr>
        <w:tab/>
      </w:r>
      <w:r>
        <w:rPr>
          <w:noProof/>
        </w:rPr>
        <w:fldChar w:fldCharType="begin"/>
      </w:r>
      <w:r>
        <w:rPr>
          <w:noProof/>
        </w:rPr>
        <w:instrText xml:space="preserve"> PAGEREF _Toc482633171 \h </w:instrText>
      </w:r>
      <w:r>
        <w:rPr>
          <w:noProof/>
        </w:rPr>
      </w:r>
      <w:r>
        <w:rPr>
          <w:noProof/>
        </w:rPr>
        <w:fldChar w:fldCharType="separate"/>
      </w:r>
      <w:r w:rsidR="00AA6926">
        <w:rPr>
          <w:noProof/>
        </w:rPr>
        <w:t>74</w:t>
      </w:r>
      <w:r>
        <w:rPr>
          <w:noProof/>
        </w:rPr>
        <w:fldChar w:fldCharType="end"/>
      </w:r>
    </w:p>
    <w:p w14:paraId="68675061" w14:textId="77777777" w:rsidR="003C67A9" w:rsidRDefault="003C67A9">
      <w:pPr>
        <w:pStyle w:val="TableofFigures"/>
        <w:tabs>
          <w:tab w:val="right" w:leader="dot" w:pos="8494"/>
        </w:tabs>
        <w:rPr>
          <w:rFonts w:eastAsiaTheme="minorEastAsia"/>
          <w:noProof/>
          <w:sz w:val="22"/>
          <w:lang w:eastAsia="en-GB"/>
        </w:rPr>
      </w:pPr>
      <w:r>
        <w:rPr>
          <w:noProof/>
        </w:rPr>
        <w:t>Figure 1</w:t>
      </w:r>
      <w:r>
        <w:rPr>
          <w:noProof/>
        </w:rPr>
        <w:noBreakHyphen/>
        <w:t>14. Structure of histidine</w:t>
      </w:r>
      <w:r>
        <w:rPr>
          <w:noProof/>
        </w:rPr>
        <w:tab/>
      </w:r>
      <w:r>
        <w:rPr>
          <w:noProof/>
        </w:rPr>
        <w:fldChar w:fldCharType="begin"/>
      </w:r>
      <w:r>
        <w:rPr>
          <w:noProof/>
        </w:rPr>
        <w:instrText xml:space="preserve"> PAGEREF _Toc482633172 \h </w:instrText>
      </w:r>
      <w:r>
        <w:rPr>
          <w:noProof/>
        </w:rPr>
      </w:r>
      <w:r>
        <w:rPr>
          <w:noProof/>
        </w:rPr>
        <w:fldChar w:fldCharType="separate"/>
      </w:r>
      <w:r w:rsidR="00AA6926">
        <w:rPr>
          <w:noProof/>
        </w:rPr>
        <w:t>75</w:t>
      </w:r>
      <w:r>
        <w:rPr>
          <w:noProof/>
        </w:rPr>
        <w:fldChar w:fldCharType="end"/>
      </w:r>
    </w:p>
    <w:p w14:paraId="5E838C2D" w14:textId="77777777" w:rsidR="003C67A9" w:rsidRDefault="003C67A9">
      <w:pPr>
        <w:pStyle w:val="TableofFigures"/>
        <w:tabs>
          <w:tab w:val="right" w:leader="dot" w:pos="8494"/>
        </w:tabs>
        <w:rPr>
          <w:rFonts w:eastAsiaTheme="minorEastAsia"/>
          <w:noProof/>
          <w:sz w:val="22"/>
          <w:lang w:eastAsia="en-GB"/>
        </w:rPr>
      </w:pPr>
      <w:r>
        <w:rPr>
          <w:noProof/>
        </w:rPr>
        <w:t>Figure 1</w:t>
      </w:r>
      <w:r>
        <w:rPr>
          <w:noProof/>
        </w:rPr>
        <w:noBreakHyphen/>
        <w:t>15. Structure of imidazole</w:t>
      </w:r>
      <w:r>
        <w:rPr>
          <w:noProof/>
        </w:rPr>
        <w:tab/>
      </w:r>
      <w:r>
        <w:rPr>
          <w:noProof/>
        </w:rPr>
        <w:fldChar w:fldCharType="begin"/>
      </w:r>
      <w:r>
        <w:rPr>
          <w:noProof/>
        </w:rPr>
        <w:instrText xml:space="preserve"> PAGEREF _Toc482633173 \h </w:instrText>
      </w:r>
      <w:r>
        <w:rPr>
          <w:noProof/>
        </w:rPr>
      </w:r>
      <w:r>
        <w:rPr>
          <w:noProof/>
        </w:rPr>
        <w:fldChar w:fldCharType="separate"/>
      </w:r>
      <w:r w:rsidR="00AA6926">
        <w:rPr>
          <w:noProof/>
        </w:rPr>
        <w:t>76</w:t>
      </w:r>
      <w:r>
        <w:rPr>
          <w:noProof/>
        </w:rPr>
        <w:fldChar w:fldCharType="end"/>
      </w:r>
    </w:p>
    <w:p w14:paraId="77A58C9C" w14:textId="77777777" w:rsidR="003C67A9" w:rsidRDefault="003C67A9">
      <w:pPr>
        <w:pStyle w:val="TableofFigures"/>
        <w:tabs>
          <w:tab w:val="right" w:leader="dot" w:pos="8494"/>
        </w:tabs>
        <w:rPr>
          <w:rFonts w:eastAsiaTheme="minorEastAsia"/>
          <w:noProof/>
          <w:sz w:val="22"/>
          <w:lang w:eastAsia="en-GB"/>
        </w:rPr>
      </w:pPr>
      <w:r>
        <w:rPr>
          <w:noProof/>
        </w:rPr>
        <w:t>Figure 2</w:t>
      </w:r>
      <w:r>
        <w:rPr>
          <w:noProof/>
        </w:rPr>
        <w:noBreakHyphen/>
        <w:t>1. Schematic of a Differential Scanning Calorimeter instrument with capillary cell design</w:t>
      </w:r>
      <w:r>
        <w:rPr>
          <w:noProof/>
        </w:rPr>
        <w:tab/>
      </w:r>
      <w:r>
        <w:rPr>
          <w:noProof/>
        </w:rPr>
        <w:fldChar w:fldCharType="begin"/>
      </w:r>
      <w:r>
        <w:rPr>
          <w:noProof/>
        </w:rPr>
        <w:instrText xml:space="preserve"> PAGEREF _Toc482633174 \h </w:instrText>
      </w:r>
      <w:r>
        <w:rPr>
          <w:noProof/>
        </w:rPr>
      </w:r>
      <w:r>
        <w:rPr>
          <w:noProof/>
        </w:rPr>
        <w:fldChar w:fldCharType="separate"/>
      </w:r>
      <w:r w:rsidR="00AA6926">
        <w:rPr>
          <w:noProof/>
        </w:rPr>
        <w:t>80</w:t>
      </w:r>
      <w:r>
        <w:rPr>
          <w:noProof/>
        </w:rPr>
        <w:fldChar w:fldCharType="end"/>
      </w:r>
    </w:p>
    <w:p w14:paraId="25103CF3" w14:textId="77777777" w:rsidR="003C67A9" w:rsidRDefault="003C67A9">
      <w:pPr>
        <w:pStyle w:val="TableofFigures"/>
        <w:tabs>
          <w:tab w:val="right" w:leader="dot" w:pos="8494"/>
        </w:tabs>
        <w:rPr>
          <w:rFonts w:eastAsiaTheme="minorEastAsia"/>
          <w:noProof/>
          <w:sz w:val="22"/>
          <w:lang w:eastAsia="en-GB"/>
        </w:rPr>
      </w:pPr>
      <w:r>
        <w:rPr>
          <w:noProof/>
        </w:rPr>
        <w:t>Figure 2</w:t>
      </w:r>
      <w:r>
        <w:rPr>
          <w:noProof/>
        </w:rPr>
        <w:noBreakHyphen/>
        <w:t>2. Example of analysed DSC thermogram of 1 g/L BSA at pH 7 in 10 mM sodium octanoate HPLC-grade water and the thermodynamic values that can be directly obtained from the thermogram</w:t>
      </w:r>
      <w:r>
        <w:rPr>
          <w:noProof/>
        </w:rPr>
        <w:tab/>
      </w:r>
      <w:r>
        <w:rPr>
          <w:noProof/>
        </w:rPr>
        <w:fldChar w:fldCharType="begin"/>
      </w:r>
      <w:r>
        <w:rPr>
          <w:noProof/>
        </w:rPr>
        <w:instrText xml:space="preserve"> PAGEREF _Toc482633175 \h </w:instrText>
      </w:r>
      <w:r>
        <w:rPr>
          <w:noProof/>
        </w:rPr>
      </w:r>
      <w:r>
        <w:rPr>
          <w:noProof/>
        </w:rPr>
        <w:fldChar w:fldCharType="separate"/>
      </w:r>
      <w:r w:rsidR="00AA6926">
        <w:rPr>
          <w:noProof/>
        </w:rPr>
        <w:t>81</w:t>
      </w:r>
      <w:r>
        <w:rPr>
          <w:noProof/>
        </w:rPr>
        <w:fldChar w:fldCharType="end"/>
      </w:r>
    </w:p>
    <w:p w14:paraId="7AFF0EEA" w14:textId="77777777" w:rsidR="003C67A9" w:rsidRDefault="003C67A9">
      <w:pPr>
        <w:pStyle w:val="TableofFigures"/>
        <w:tabs>
          <w:tab w:val="right" w:leader="dot" w:pos="8494"/>
        </w:tabs>
        <w:rPr>
          <w:rFonts w:eastAsiaTheme="minorEastAsia"/>
          <w:noProof/>
          <w:sz w:val="22"/>
          <w:lang w:eastAsia="en-GB"/>
        </w:rPr>
      </w:pPr>
      <w:r>
        <w:rPr>
          <w:noProof/>
        </w:rPr>
        <w:t>Figure 2</w:t>
      </w:r>
      <w:r>
        <w:rPr>
          <w:noProof/>
        </w:rPr>
        <w:noBreakHyphen/>
        <w:t>3. Example DSC thermogram of a protein that has aggregated post-denaturation. Red arrow indicates the characteristic drop in relative heat capacity indicative of aggregation.</w:t>
      </w:r>
      <w:r>
        <w:rPr>
          <w:noProof/>
        </w:rPr>
        <w:tab/>
      </w:r>
      <w:r>
        <w:rPr>
          <w:noProof/>
        </w:rPr>
        <w:fldChar w:fldCharType="begin"/>
      </w:r>
      <w:r>
        <w:rPr>
          <w:noProof/>
        </w:rPr>
        <w:instrText xml:space="preserve"> PAGEREF _Toc482633176 \h </w:instrText>
      </w:r>
      <w:r>
        <w:rPr>
          <w:noProof/>
        </w:rPr>
      </w:r>
      <w:r>
        <w:rPr>
          <w:noProof/>
        </w:rPr>
        <w:fldChar w:fldCharType="separate"/>
      </w:r>
      <w:r w:rsidR="00AA6926">
        <w:rPr>
          <w:noProof/>
        </w:rPr>
        <w:t>83</w:t>
      </w:r>
      <w:r>
        <w:rPr>
          <w:noProof/>
        </w:rPr>
        <w:fldChar w:fldCharType="end"/>
      </w:r>
    </w:p>
    <w:p w14:paraId="25EC22A4" w14:textId="77777777" w:rsidR="003C67A9" w:rsidRDefault="003C67A9">
      <w:pPr>
        <w:pStyle w:val="TableofFigures"/>
        <w:tabs>
          <w:tab w:val="right" w:leader="dot" w:pos="8494"/>
        </w:tabs>
        <w:rPr>
          <w:rFonts w:eastAsiaTheme="minorEastAsia"/>
          <w:noProof/>
          <w:sz w:val="22"/>
          <w:lang w:eastAsia="en-GB"/>
        </w:rPr>
      </w:pPr>
      <w:r>
        <w:rPr>
          <w:noProof/>
        </w:rPr>
        <w:t>Figure 2</w:t>
      </w:r>
      <w:r>
        <w:rPr>
          <w:noProof/>
        </w:rPr>
        <w:noBreakHyphen/>
        <w:t>4. Schematic of the Nanosight LM10 Nanoparticle Tracking Analysis (NTA) instrument. Adapted from Malvern Instruments Limited (2015e)</w:t>
      </w:r>
      <w:r>
        <w:rPr>
          <w:noProof/>
        </w:rPr>
        <w:tab/>
      </w:r>
      <w:r>
        <w:rPr>
          <w:noProof/>
        </w:rPr>
        <w:fldChar w:fldCharType="begin"/>
      </w:r>
      <w:r>
        <w:rPr>
          <w:noProof/>
        </w:rPr>
        <w:instrText xml:space="preserve"> PAGEREF _Toc482633177 \h </w:instrText>
      </w:r>
      <w:r>
        <w:rPr>
          <w:noProof/>
        </w:rPr>
      </w:r>
      <w:r>
        <w:rPr>
          <w:noProof/>
        </w:rPr>
        <w:fldChar w:fldCharType="separate"/>
      </w:r>
      <w:r w:rsidR="00AA6926">
        <w:rPr>
          <w:noProof/>
        </w:rPr>
        <w:t>87</w:t>
      </w:r>
      <w:r>
        <w:rPr>
          <w:noProof/>
        </w:rPr>
        <w:fldChar w:fldCharType="end"/>
      </w:r>
    </w:p>
    <w:p w14:paraId="6EF9BC2D" w14:textId="77777777" w:rsidR="003C67A9" w:rsidRDefault="003C67A9">
      <w:pPr>
        <w:pStyle w:val="TableofFigures"/>
        <w:tabs>
          <w:tab w:val="right" w:leader="dot" w:pos="8494"/>
        </w:tabs>
        <w:rPr>
          <w:rFonts w:eastAsiaTheme="minorEastAsia"/>
          <w:noProof/>
          <w:sz w:val="22"/>
          <w:lang w:eastAsia="en-GB"/>
        </w:rPr>
      </w:pPr>
      <w:r>
        <w:rPr>
          <w:noProof/>
        </w:rPr>
        <w:t>Figure 2</w:t>
      </w:r>
      <w:r>
        <w:rPr>
          <w:noProof/>
        </w:rPr>
        <w:noBreakHyphen/>
        <w:t xml:space="preserve">5. Example of Nanoparticle Tracking Analysis track. Top image shows the scattered nanoparticles detected by the instrument in a single frame with a red cross. Bottom image shows the tracks of each particle over a set time. This is used to </w:t>
      </w:r>
      <w:r>
        <w:rPr>
          <w:noProof/>
        </w:rPr>
        <w:lastRenderedPageBreak/>
        <w:t>establish the diffusion coefficient of each particle, which can then be used to calculate the size of each particle using the Stokes-Einstein equation.</w:t>
      </w:r>
      <w:r>
        <w:rPr>
          <w:noProof/>
        </w:rPr>
        <w:tab/>
      </w:r>
      <w:r>
        <w:rPr>
          <w:noProof/>
        </w:rPr>
        <w:fldChar w:fldCharType="begin"/>
      </w:r>
      <w:r>
        <w:rPr>
          <w:noProof/>
        </w:rPr>
        <w:instrText xml:space="preserve"> PAGEREF _Toc482633178 \h </w:instrText>
      </w:r>
      <w:r>
        <w:rPr>
          <w:noProof/>
        </w:rPr>
      </w:r>
      <w:r>
        <w:rPr>
          <w:noProof/>
        </w:rPr>
        <w:fldChar w:fldCharType="separate"/>
      </w:r>
      <w:r w:rsidR="00AA6926">
        <w:rPr>
          <w:noProof/>
        </w:rPr>
        <w:t>89</w:t>
      </w:r>
      <w:r>
        <w:rPr>
          <w:noProof/>
        </w:rPr>
        <w:fldChar w:fldCharType="end"/>
      </w:r>
    </w:p>
    <w:p w14:paraId="7DB4F8F0" w14:textId="77777777" w:rsidR="003C67A9" w:rsidRDefault="003C67A9">
      <w:pPr>
        <w:pStyle w:val="TableofFigures"/>
        <w:tabs>
          <w:tab w:val="right" w:leader="dot" w:pos="8494"/>
        </w:tabs>
        <w:rPr>
          <w:rFonts w:eastAsiaTheme="minorEastAsia"/>
          <w:noProof/>
          <w:sz w:val="22"/>
          <w:lang w:eastAsia="en-GB"/>
        </w:rPr>
      </w:pPr>
      <w:r>
        <w:rPr>
          <w:noProof/>
        </w:rPr>
        <w:t>Figure 3</w:t>
      </w:r>
      <w:r>
        <w:rPr>
          <w:noProof/>
        </w:rPr>
        <w:noBreakHyphen/>
        <w:t>1. Structure of arginine in comparison to two of its functional groups: glycine and guanidinium. Glycine and guanidinium structures have been rotated from their usual representation in order to highlight the similarities in structure to arginine</w:t>
      </w:r>
      <w:r>
        <w:rPr>
          <w:noProof/>
        </w:rPr>
        <w:tab/>
      </w:r>
      <w:r>
        <w:rPr>
          <w:noProof/>
        </w:rPr>
        <w:fldChar w:fldCharType="begin"/>
      </w:r>
      <w:r>
        <w:rPr>
          <w:noProof/>
        </w:rPr>
        <w:instrText xml:space="preserve"> PAGEREF _Toc482633179 \h </w:instrText>
      </w:r>
      <w:r>
        <w:rPr>
          <w:noProof/>
        </w:rPr>
      </w:r>
      <w:r>
        <w:rPr>
          <w:noProof/>
        </w:rPr>
        <w:fldChar w:fldCharType="separate"/>
      </w:r>
      <w:r w:rsidR="00AA6926">
        <w:rPr>
          <w:noProof/>
        </w:rPr>
        <w:t>97</w:t>
      </w:r>
      <w:r>
        <w:rPr>
          <w:noProof/>
        </w:rPr>
        <w:fldChar w:fldCharType="end"/>
      </w:r>
    </w:p>
    <w:p w14:paraId="22BF134A" w14:textId="77777777" w:rsidR="003C67A9" w:rsidRDefault="003C67A9">
      <w:pPr>
        <w:pStyle w:val="TableofFigures"/>
        <w:tabs>
          <w:tab w:val="right" w:leader="dot" w:pos="8494"/>
        </w:tabs>
        <w:rPr>
          <w:rFonts w:eastAsiaTheme="minorEastAsia"/>
          <w:noProof/>
          <w:sz w:val="22"/>
          <w:lang w:eastAsia="en-GB"/>
        </w:rPr>
      </w:pPr>
      <w:r>
        <w:rPr>
          <w:noProof/>
        </w:rPr>
        <w:t>Figure 3</w:t>
      </w:r>
      <w:r>
        <w:rPr>
          <w:noProof/>
        </w:rPr>
        <w:noBreakHyphen/>
        <w:t>2. Change in melting temperature of 1 g/L BSA pH 7 (red circles), 1 g/L lysozyme pH 7 (green triangles), and 0.5 g/L myoglobin pH 8 (blue squares) in the presence of increasing concentrations of glycine (top panel), GdnHCl (middle panel), and arginine (bottom panel). Dotted line represents no change in melting temperature to guide the eye</w:t>
      </w:r>
      <w:r>
        <w:rPr>
          <w:noProof/>
        </w:rPr>
        <w:tab/>
      </w:r>
      <w:r>
        <w:rPr>
          <w:noProof/>
        </w:rPr>
        <w:fldChar w:fldCharType="begin"/>
      </w:r>
      <w:r>
        <w:rPr>
          <w:noProof/>
        </w:rPr>
        <w:instrText xml:space="preserve"> PAGEREF _Toc482633180 \h </w:instrText>
      </w:r>
      <w:r>
        <w:rPr>
          <w:noProof/>
        </w:rPr>
      </w:r>
      <w:r>
        <w:rPr>
          <w:noProof/>
        </w:rPr>
        <w:fldChar w:fldCharType="separate"/>
      </w:r>
      <w:r w:rsidR="00AA6926">
        <w:rPr>
          <w:noProof/>
        </w:rPr>
        <w:t>102</w:t>
      </w:r>
      <w:r>
        <w:rPr>
          <w:noProof/>
        </w:rPr>
        <w:fldChar w:fldCharType="end"/>
      </w:r>
    </w:p>
    <w:p w14:paraId="1753BA5A" w14:textId="77777777" w:rsidR="003C67A9" w:rsidRDefault="003C67A9">
      <w:pPr>
        <w:pStyle w:val="TableofFigures"/>
        <w:tabs>
          <w:tab w:val="right" w:leader="dot" w:pos="8494"/>
        </w:tabs>
        <w:rPr>
          <w:rFonts w:eastAsiaTheme="minorEastAsia"/>
          <w:noProof/>
          <w:sz w:val="22"/>
          <w:lang w:eastAsia="en-GB"/>
        </w:rPr>
      </w:pPr>
      <w:r>
        <w:rPr>
          <w:noProof/>
        </w:rPr>
        <w:t>Figure 3</w:t>
      </w:r>
      <w:r>
        <w:rPr>
          <w:noProof/>
        </w:rPr>
        <w:noBreakHyphen/>
        <w:t>3. The effect of low concentrations of glycine (&lt;100 mM) on the thermal stability of BSA, lysozyme and myoglobin demonstrating the protein-specific effects seen at these concentrations. Dotted line represents no change in melting temperature to guide the eye</w:t>
      </w:r>
      <w:r>
        <w:rPr>
          <w:noProof/>
        </w:rPr>
        <w:tab/>
      </w:r>
      <w:r>
        <w:rPr>
          <w:noProof/>
        </w:rPr>
        <w:fldChar w:fldCharType="begin"/>
      </w:r>
      <w:r>
        <w:rPr>
          <w:noProof/>
        </w:rPr>
        <w:instrText xml:space="preserve"> PAGEREF _Toc482633181 \h </w:instrText>
      </w:r>
      <w:r>
        <w:rPr>
          <w:noProof/>
        </w:rPr>
      </w:r>
      <w:r>
        <w:rPr>
          <w:noProof/>
        </w:rPr>
        <w:fldChar w:fldCharType="separate"/>
      </w:r>
      <w:r w:rsidR="00AA6926">
        <w:rPr>
          <w:noProof/>
        </w:rPr>
        <w:t>104</w:t>
      </w:r>
      <w:r>
        <w:rPr>
          <w:noProof/>
        </w:rPr>
        <w:fldChar w:fldCharType="end"/>
      </w:r>
    </w:p>
    <w:p w14:paraId="0220D894" w14:textId="77777777" w:rsidR="003C67A9" w:rsidRDefault="003C67A9">
      <w:pPr>
        <w:pStyle w:val="TableofFigures"/>
        <w:tabs>
          <w:tab w:val="right" w:leader="dot" w:pos="8494"/>
        </w:tabs>
        <w:rPr>
          <w:rFonts w:eastAsiaTheme="minorEastAsia"/>
          <w:noProof/>
          <w:sz w:val="22"/>
          <w:lang w:eastAsia="en-GB"/>
        </w:rPr>
      </w:pPr>
      <w:r>
        <w:rPr>
          <w:noProof/>
        </w:rPr>
        <w:t>Figure 3</w:t>
      </w:r>
      <w:r>
        <w:rPr>
          <w:noProof/>
        </w:rPr>
        <w:noBreakHyphen/>
        <w:t>4. The effect of high concentrations of glycine (&gt;100 mM) on the thermal stability of BSA, lysozyme and myoglobin demonstrating the universal stabilisation seen at these concentrations. Dotted line represents no change in melting temperature to guide the eye</w:t>
      </w:r>
      <w:r>
        <w:rPr>
          <w:noProof/>
        </w:rPr>
        <w:tab/>
      </w:r>
      <w:r>
        <w:rPr>
          <w:noProof/>
        </w:rPr>
        <w:fldChar w:fldCharType="begin"/>
      </w:r>
      <w:r>
        <w:rPr>
          <w:noProof/>
        </w:rPr>
        <w:instrText xml:space="preserve"> PAGEREF _Toc482633182 \h </w:instrText>
      </w:r>
      <w:r>
        <w:rPr>
          <w:noProof/>
        </w:rPr>
      </w:r>
      <w:r>
        <w:rPr>
          <w:noProof/>
        </w:rPr>
        <w:fldChar w:fldCharType="separate"/>
      </w:r>
      <w:r w:rsidR="00AA6926">
        <w:rPr>
          <w:noProof/>
        </w:rPr>
        <w:t>106</w:t>
      </w:r>
      <w:r>
        <w:rPr>
          <w:noProof/>
        </w:rPr>
        <w:fldChar w:fldCharType="end"/>
      </w:r>
    </w:p>
    <w:p w14:paraId="41215CFD" w14:textId="77777777" w:rsidR="003C67A9" w:rsidRDefault="003C67A9">
      <w:pPr>
        <w:pStyle w:val="TableofFigures"/>
        <w:tabs>
          <w:tab w:val="right" w:leader="dot" w:pos="8494"/>
        </w:tabs>
        <w:rPr>
          <w:rFonts w:eastAsiaTheme="minorEastAsia"/>
          <w:noProof/>
          <w:sz w:val="22"/>
          <w:lang w:eastAsia="en-GB"/>
        </w:rPr>
      </w:pPr>
      <w:r>
        <w:rPr>
          <w:noProof/>
        </w:rPr>
        <w:t>Figure 3</w:t>
      </w:r>
      <w:r>
        <w:rPr>
          <w:noProof/>
        </w:rPr>
        <w:noBreakHyphen/>
        <w:t>5. Comparison of change in melting temperature of 1 g/L BSA pH 7 (top panel), 1 g/L Lysozyme pH 7 (middle panel), and 0.5 g/L myoglobin pH 8 (bottom panel) caused by increasing concentrations of arginine (red circles) and the summation of the changes in melting temperature caused by equimolar concentrations of glycine and guanidine hydrochloride (blue triangles). Dotted lines represent no change in melting temperature to guide the eye</w:t>
      </w:r>
      <w:r>
        <w:rPr>
          <w:noProof/>
        </w:rPr>
        <w:tab/>
      </w:r>
      <w:r>
        <w:rPr>
          <w:noProof/>
        </w:rPr>
        <w:fldChar w:fldCharType="begin"/>
      </w:r>
      <w:r>
        <w:rPr>
          <w:noProof/>
        </w:rPr>
        <w:instrText xml:space="preserve"> PAGEREF _Toc482633183 \h </w:instrText>
      </w:r>
      <w:r>
        <w:rPr>
          <w:noProof/>
        </w:rPr>
      </w:r>
      <w:r>
        <w:rPr>
          <w:noProof/>
        </w:rPr>
        <w:fldChar w:fldCharType="separate"/>
      </w:r>
      <w:r w:rsidR="00AA6926">
        <w:rPr>
          <w:noProof/>
        </w:rPr>
        <w:t>113</w:t>
      </w:r>
      <w:r>
        <w:rPr>
          <w:noProof/>
        </w:rPr>
        <w:fldChar w:fldCharType="end"/>
      </w:r>
    </w:p>
    <w:p w14:paraId="37F92ABB" w14:textId="77777777" w:rsidR="003C67A9" w:rsidRDefault="003C67A9">
      <w:pPr>
        <w:pStyle w:val="TableofFigures"/>
        <w:tabs>
          <w:tab w:val="right" w:leader="dot" w:pos="8494"/>
        </w:tabs>
        <w:rPr>
          <w:rFonts w:eastAsiaTheme="minorEastAsia"/>
          <w:noProof/>
          <w:sz w:val="22"/>
          <w:lang w:eastAsia="en-GB"/>
        </w:rPr>
      </w:pPr>
      <w:r>
        <w:rPr>
          <w:noProof/>
        </w:rPr>
        <w:t>Figure 4</w:t>
      </w:r>
      <w:r>
        <w:rPr>
          <w:noProof/>
        </w:rPr>
        <w:noBreakHyphen/>
        <w:t>1. Schematic of all potential interactions that can affect protein stability in four-component system containing a mixture of cosolutes. See Figure 1</w:t>
      </w:r>
      <w:r>
        <w:rPr>
          <w:noProof/>
        </w:rPr>
        <w:noBreakHyphen/>
        <w:t>10</w:t>
      </w:r>
      <w:r w:rsidRPr="00FC0387">
        <w:rPr>
          <w:noProof/>
          <w:color w:val="FF0000"/>
        </w:rPr>
        <w:t xml:space="preserve"> </w:t>
      </w:r>
      <w:r>
        <w:rPr>
          <w:noProof/>
        </w:rPr>
        <w:t>for comparison to three-component system containing a single cosolute</w:t>
      </w:r>
      <w:r>
        <w:rPr>
          <w:noProof/>
        </w:rPr>
        <w:tab/>
      </w:r>
      <w:r>
        <w:rPr>
          <w:noProof/>
        </w:rPr>
        <w:fldChar w:fldCharType="begin"/>
      </w:r>
      <w:r>
        <w:rPr>
          <w:noProof/>
        </w:rPr>
        <w:instrText xml:space="preserve"> PAGEREF _Toc482633184 \h </w:instrText>
      </w:r>
      <w:r>
        <w:rPr>
          <w:noProof/>
        </w:rPr>
      </w:r>
      <w:r>
        <w:rPr>
          <w:noProof/>
        </w:rPr>
        <w:fldChar w:fldCharType="separate"/>
      </w:r>
      <w:r w:rsidR="00AA6926">
        <w:rPr>
          <w:noProof/>
        </w:rPr>
        <w:t>119</w:t>
      </w:r>
      <w:r>
        <w:rPr>
          <w:noProof/>
        </w:rPr>
        <w:fldChar w:fldCharType="end"/>
      </w:r>
    </w:p>
    <w:p w14:paraId="6CE92A16" w14:textId="77777777" w:rsidR="003C67A9" w:rsidRDefault="003C67A9">
      <w:pPr>
        <w:pStyle w:val="TableofFigures"/>
        <w:tabs>
          <w:tab w:val="right" w:leader="dot" w:pos="8494"/>
        </w:tabs>
        <w:rPr>
          <w:rFonts w:eastAsiaTheme="minorEastAsia"/>
          <w:noProof/>
          <w:sz w:val="22"/>
          <w:lang w:eastAsia="en-GB"/>
        </w:rPr>
      </w:pPr>
      <w:r>
        <w:rPr>
          <w:noProof/>
        </w:rPr>
        <w:lastRenderedPageBreak/>
        <w:t>Figure 4</w:t>
      </w:r>
      <w:r>
        <w:rPr>
          <w:noProof/>
        </w:rPr>
        <w:noBreakHyphen/>
        <w:t>2. Effect of addition of various concentrations of glycine (see legend) to various concentrations of GdnHCl on the melting temperature of 1 g/L BSA pH 7 (top panel) and 1 g/L lysozyme pH 7 (bottom panel). 0 mM glycine plot (only GdnHCl) is taken from Chapter 3</w:t>
      </w:r>
      <w:r>
        <w:rPr>
          <w:noProof/>
        </w:rPr>
        <w:tab/>
      </w:r>
      <w:r>
        <w:rPr>
          <w:noProof/>
        </w:rPr>
        <w:fldChar w:fldCharType="begin"/>
      </w:r>
      <w:r>
        <w:rPr>
          <w:noProof/>
        </w:rPr>
        <w:instrText xml:space="preserve"> PAGEREF _Toc482633185 \h </w:instrText>
      </w:r>
      <w:r>
        <w:rPr>
          <w:noProof/>
        </w:rPr>
      </w:r>
      <w:r>
        <w:rPr>
          <w:noProof/>
        </w:rPr>
        <w:fldChar w:fldCharType="separate"/>
      </w:r>
      <w:r w:rsidR="00AA6926">
        <w:rPr>
          <w:noProof/>
        </w:rPr>
        <w:t>123</w:t>
      </w:r>
      <w:r>
        <w:rPr>
          <w:noProof/>
        </w:rPr>
        <w:fldChar w:fldCharType="end"/>
      </w:r>
    </w:p>
    <w:p w14:paraId="48008C3F" w14:textId="77777777" w:rsidR="003C67A9" w:rsidRDefault="003C67A9">
      <w:pPr>
        <w:pStyle w:val="TableofFigures"/>
        <w:tabs>
          <w:tab w:val="right" w:leader="dot" w:pos="8494"/>
        </w:tabs>
        <w:rPr>
          <w:rFonts w:eastAsiaTheme="minorEastAsia"/>
          <w:noProof/>
          <w:sz w:val="22"/>
          <w:lang w:eastAsia="en-GB"/>
        </w:rPr>
      </w:pPr>
      <w:r>
        <w:rPr>
          <w:noProof/>
        </w:rPr>
        <w:t>Figure 4</w:t>
      </w:r>
      <w:r>
        <w:rPr>
          <w:noProof/>
        </w:rPr>
        <w:noBreakHyphen/>
        <w:t>3. Effect of addition of various concentrations of GdnHCl (see legend) to various concentrations of glycine on the melting temperature of 1 g/L BSA pH 7 (top panel) and 1 g/L lysozyme pH 7 (bottom panel). 0 mM GdnHCl plot (only glycine) is taken from Chapter 3</w:t>
      </w:r>
      <w:r>
        <w:rPr>
          <w:noProof/>
        </w:rPr>
        <w:tab/>
      </w:r>
      <w:r>
        <w:rPr>
          <w:noProof/>
        </w:rPr>
        <w:fldChar w:fldCharType="begin"/>
      </w:r>
      <w:r>
        <w:rPr>
          <w:noProof/>
        </w:rPr>
        <w:instrText xml:space="preserve"> PAGEREF _Toc482633186 \h </w:instrText>
      </w:r>
      <w:r>
        <w:rPr>
          <w:noProof/>
        </w:rPr>
      </w:r>
      <w:r>
        <w:rPr>
          <w:noProof/>
        </w:rPr>
        <w:fldChar w:fldCharType="separate"/>
      </w:r>
      <w:r w:rsidR="00AA6926">
        <w:rPr>
          <w:noProof/>
        </w:rPr>
        <w:t>125</w:t>
      </w:r>
      <w:r>
        <w:rPr>
          <w:noProof/>
        </w:rPr>
        <w:fldChar w:fldCharType="end"/>
      </w:r>
    </w:p>
    <w:p w14:paraId="58112946" w14:textId="77777777" w:rsidR="003C67A9" w:rsidRDefault="003C67A9">
      <w:pPr>
        <w:pStyle w:val="TableofFigures"/>
        <w:tabs>
          <w:tab w:val="right" w:leader="dot" w:pos="8494"/>
        </w:tabs>
        <w:rPr>
          <w:rFonts w:eastAsiaTheme="minorEastAsia"/>
          <w:noProof/>
          <w:sz w:val="22"/>
          <w:lang w:eastAsia="en-GB"/>
        </w:rPr>
      </w:pPr>
      <w:r>
        <w:rPr>
          <w:noProof/>
        </w:rPr>
        <w:t>Figure 4</w:t>
      </w:r>
      <w:r>
        <w:rPr>
          <w:noProof/>
        </w:rPr>
        <w:noBreakHyphen/>
        <w:t>4. Changes in melting temperature of 1 g/L BSA pH 7 (top panel), and 1 g/L Lysozyme pH7 in the presence of Gly-Gdn equimolar mixtures (blue squares) compared to arginine (red circles) and the sum of glycine and GdnHCl separately (green triangles). Arginine and Gly+GdnHCl data sets are taken from Chapter 3. Dotted line shows no change in melting temperature to guide the eye</w:t>
      </w:r>
      <w:r>
        <w:rPr>
          <w:noProof/>
        </w:rPr>
        <w:tab/>
      </w:r>
      <w:r>
        <w:rPr>
          <w:noProof/>
        </w:rPr>
        <w:fldChar w:fldCharType="begin"/>
      </w:r>
      <w:r>
        <w:rPr>
          <w:noProof/>
        </w:rPr>
        <w:instrText xml:space="preserve"> PAGEREF _Toc482633187 \h </w:instrText>
      </w:r>
      <w:r>
        <w:rPr>
          <w:noProof/>
        </w:rPr>
      </w:r>
      <w:r>
        <w:rPr>
          <w:noProof/>
        </w:rPr>
        <w:fldChar w:fldCharType="separate"/>
      </w:r>
      <w:r w:rsidR="00AA6926">
        <w:rPr>
          <w:noProof/>
        </w:rPr>
        <w:t>127</w:t>
      </w:r>
      <w:r>
        <w:rPr>
          <w:noProof/>
        </w:rPr>
        <w:fldChar w:fldCharType="end"/>
      </w:r>
    </w:p>
    <w:p w14:paraId="25693AD9" w14:textId="77777777" w:rsidR="003C67A9" w:rsidRDefault="003C67A9">
      <w:pPr>
        <w:pStyle w:val="TableofFigures"/>
        <w:tabs>
          <w:tab w:val="right" w:leader="dot" w:pos="8494"/>
        </w:tabs>
        <w:rPr>
          <w:rFonts w:eastAsiaTheme="minorEastAsia"/>
          <w:noProof/>
          <w:sz w:val="22"/>
          <w:lang w:eastAsia="en-GB"/>
        </w:rPr>
      </w:pPr>
      <w:r>
        <w:rPr>
          <w:noProof/>
        </w:rPr>
        <w:t>Figure 4</w:t>
      </w:r>
      <w:r>
        <w:rPr>
          <w:noProof/>
        </w:rPr>
        <w:noBreakHyphen/>
        <w:t>5. Deviation of the change in melting temperature of 1 g/L BSA pH 7 (top panel), and 1 g/L Lysozyme pH 7 (bottom panel) in Gly-Gdn mixtures from the changes in melting temperature expected for additivity. Additivity is based on the changes in melting temperature of the two proteins in the presence of glycine and GdnHCl separately seen in Chapter 3. Dotted line shows no deviation from additive effects on thermal stability</w:t>
      </w:r>
      <w:r>
        <w:rPr>
          <w:noProof/>
        </w:rPr>
        <w:tab/>
      </w:r>
      <w:r>
        <w:rPr>
          <w:noProof/>
        </w:rPr>
        <w:fldChar w:fldCharType="begin"/>
      </w:r>
      <w:r>
        <w:rPr>
          <w:noProof/>
        </w:rPr>
        <w:instrText xml:space="preserve"> PAGEREF _Toc482633188 \h </w:instrText>
      </w:r>
      <w:r>
        <w:rPr>
          <w:noProof/>
        </w:rPr>
      </w:r>
      <w:r>
        <w:rPr>
          <w:noProof/>
        </w:rPr>
        <w:fldChar w:fldCharType="separate"/>
      </w:r>
      <w:r w:rsidR="00AA6926">
        <w:rPr>
          <w:noProof/>
        </w:rPr>
        <w:t>131</w:t>
      </w:r>
      <w:r>
        <w:rPr>
          <w:noProof/>
        </w:rPr>
        <w:fldChar w:fldCharType="end"/>
      </w:r>
    </w:p>
    <w:p w14:paraId="51035732" w14:textId="77777777" w:rsidR="003C67A9" w:rsidRDefault="003C67A9">
      <w:pPr>
        <w:pStyle w:val="TableofFigures"/>
        <w:tabs>
          <w:tab w:val="right" w:leader="dot" w:pos="8494"/>
        </w:tabs>
        <w:rPr>
          <w:rFonts w:eastAsiaTheme="minorEastAsia"/>
          <w:noProof/>
          <w:sz w:val="22"/>
          <w:lang w:eastAsia="en-GB"/>
        </w:rPr>
      </w:pPr>
      <w:r>
        <w:rPr>
          <w:noProof/>
        </w:rPr>
        <w:t>Figure 5</w:t>
      </w:r>
      <w:r>
        <w:rPr>
          <w:noProof/>
        </w:rPr>
        <w:noBreakHyphen/>
        <w:t>1. Nanoparticle (&gt;30nm) concentration in arginine solutions at 25 °C and 50 °C</w:t>
      </w:r>
      <w:r>
        <w:rPr>
          <w:noProof/>
        </w:rPr>
        <w:tab/>
      </w:r>
      <w:r>
        <w:rPr>
          <w:noProof/>
        </w:rPr>
        <w:fldChar w:fldCharType="begin"/>
      </w:r>
      <w:r>
        <w:rPr>
          <w:noProof/>
        </w:rPr>
        <w:instrText xml:space="preserve"> PAGEREF _Toc482633189 \h </w:instrText>
      </w:r>
      <w:r>
        <w:rPr>
          <w:noProof/>
        </w:rPr>
      </w:r>
      <w:r>
        <w:rPr>
          <w:noProof/>
        </w:rPr>
        <w:fldChar w:fldCharType="separate"/>
      </w:r>
      <w:r w:rsidR="00AA6926">
        <w:rPr>
          <w:noProof/>
        </w:rPr>
        <w:t>141</w:t>
      </w:r>
      <w:r>
        <w:rPr>
          <w:noProof/>
        </w:rPr>
        <w:fldChar w:fldCharType="end"/>
      </w:r>
    </w:p>
    <w:p w14:paraId="0834F421" w14:textId="77777777" w:rsidR="003C67A9" w:rsidRDefault="003C67A9">
      <w:pPr>
        <w:pStyle w:val="TableofFigures"/>
        <w:tabs>
          <w:tab w:val="right" w:leader="dot" w:pos="8494"/>
        </w:tabs>
        <w:rPr>
          <w:rFonts w:eastAsiaTheme="minorEastAsia"/>
          <w:noProof/>
          <w:sz w:val="22"/>
          <w:lang w:eastAsia="en-GB"/>
        </w:rPr>
      </w:pPr>
      <w:r>
        <w:rPr>
          <w:noProof/>
        </w:rPr>
        <w:t>Figure 5</w:t>
      </w:r>
      <w:r>
        <w:rPr>
          <w:noProof/>
        </w:rPr>
        <w:noBreakHyphen/>
        <w:t>2. NTA images captured from videos of increasing concentrations of arginine at 25 °C, showing the increase in nanoparticle formation. These images are not indicative of absolute size of nanoparticles but purely a representation of the number of particles that scattered light during video capture</w:t>
      </w:r>
      <w:r>
        <w:rPr>
          <w:noProof/>
        </w:rPr>
        <w:tab/>
      </w:r>
      <w:r>
        <w:rPr>
          <w:noProof/>
        </w:rPr>
        <w:fldChar w:fldCharType="begin"/>
      </w:r>
      <w:r>
        <w:rPr>
          <w:noProof/>
        </w:rPr>
        <w:instrText xml:space="preserve"> PAGEREF _Toc482633190 \h </w:instrText>
      </w:r>
      <w:r>
        <w:rPr>
          <w:noProof/>
        </w:rPr>
      </w:r>
      <w:r>
        <w:rPr>
          <w:noProof/>
        </w:rPr>
        <w:fldChar w:fldCharType="separate"/>
      </w:r>
      <w:r w:rsidR="00AA6926">
        <w:rPr>
          <w:noProof/>
        </w:rPr>
        <w:t>142</w:t>
      </w:r>
      <w:r>
        <w:rPr>
          <w:noProof/>
        </w:rPr>
        <w:fldChar w:fldCharType="end"/>
      </w:r>
    </w:p>
    <w:p w14:paraId="72865D18" w14:textId="77777777" w:rsidR="003C67A9" w:rsidRDefault="003C67A9">
      <w:pPr>
        <w:pStyle w:val="TableofFigures"/>
        <w:tabs>
          <w:tab w:val="right" w:leader="dot" w:pos="8494"/>
        </w:tabs>
        <w:rPr>
          <w:rFonts w:eastAsiaTheme="minorEastAsia"/>
          <w:noProof/>
          <w:sz w:val="22"/>
          <w:lang w:eastAsia="en-GB"/>
        </w:rPr>
      </w:pPr>
      <w:r>
        <w:rPr>
          <w:noProof/>
        </w:rPr>
        <w:t>Figure 5</w:t>
      </w:r>
      <w:r>
        <w:rPr>
          <w:noProof/>
        </w:rPr>
        <w:noBreakHyphen/>
        <w:t>3. Average nanoparticle sizes of arginine at 25 °C (upper panel) and 50 °C (lower panel) at various millimolar concentrations</w:t>
      </w:r>
      <w:r>
        <w:rPr>
          <w:noProof/>
        </w:rPr>
        <w:tab/>
      </w:r>
      <w:r>
        <w:rPr>
          <w:noProof/>
        </w:rPr>
        <w:fldChar w:fldCharType="begin"/>
      </w:r>
      <w:r>
        <w:rPr>
          <w:noProof/>
        </w:rPr>
        <w:instrText xml:space="preserve"> PAGEREF _Toc482633191 \h </w:instrText>
      </w:r>
      <w:r>
        <w:rPr>
          <w:noProof/>
        </w:rPr>
      </w:r>
      <w:r>
        <w:rPr>
          <w:noProof/>
        </w:rPr>
        <w:fldChar w:fldCharType="separate"/>
      </w:r>
      <w:r w:rsidR="00AA6926">
        <w:rPr>
          <w:noProof/>
        </w:rPr>
        <w:t>145</w:t>
      </w:r>
      <w:r>
        <w:rPr>
          <w:noProof/>
        </w:rPr>
        <w:fldChar w:fldCharType="end"/>
      </w:r>
    </w:p>
    <w:p w14:paraId="27AE4A05" w14:textId="77777777" w:rsidR="003C67A9" w:rsidRDefault="003C67A9">
      <w:pPr>
        <w:pStyle w:val="TableofFigures"/>
        <w:tabs>
          <w:tab w:val="right" w:leader="dot" w:pos="8494"/>
        </w:tabs>
        <w:rPr>
          <w:rFonts w:eastAsiaTheme="minorEastAsia"/>
          <w:noProof/>
          <w:sz w:val="22"/>
          <w:lang w:eastAsia="en-GB"/>
        </w:rPr>
      </w:pPr>
      <w:r>
        <w:rPr>
          <w:noProof/>
        </w:rPr>
        <w:lastRenderedPageBreak/>
        <w:t>Figure 5</w:t>
      </w:r>
      <w:r>
        <w:rPr>
          <w:noProof/>
        </w:rPr>
        <w:noBreakHyphen/>
        <w:t>4. Nanoparticle size distributions of arginine at 25 °C of increasing concentrations demonstrating the increase in polydispersity. Four concentrations are shown as representative of the concentration range: 0.5 mM (upper left panel); 5 mM (upper right panel); 100 mM (lower left panel); 500 mM (lower right panel)</w:t>
      </w:r>
      <w:r>
        <w:rPr>
          <w:noProof/>
        </w:rPr>
        <w:tab/>
      </w:r>
      <w:r>
        <w:rPr>
          <w:noProof/>
        </w:rPr>
        <w:fldChar w:fldCharType="begin"/>
      </w:r>
      <w:r>
        <w:rPr>
          <w:noProof/>
        </w:rPr>
        <w:instrText xml:space="preserve"> PAGEREF _Toc482633192 \h </w:instrText>
      </w:r>
      <w:r>
        <w:rPr>
          <w:noProof/>
        </w:rPr>
      </w:r>
      <w:r>
        <w:rPr>
          <w:noProof/>
        </w:rPr>
        <w:fldChar w:fldCharType="separate"/>
      </w:r>
      <w:r w:rsidR="00AA6926">
        <w:rPr>
          <w:noProof/>
        </w:rPr>
        <w:t>146</w:t>
      </w:r>
      <w:r>
        <w:rPr>
          <w:noProof/>
        </w:rPr>
        <w:fldChar w:fldCharType="end"/>
      </w:r>
    </w:p>
    <w:p w14:paraId="645A75A9" w14:textId="77777777" w:rsidR="003C67A9" w:rsidRDefault="003C67A9">
      <w:pPr>
        <w:pStyle w:val="TableofFigures"/>
        <w:tabs>
          <w:tab w:val="right" w:leader="dot" w:pos="8494"/>
        </w:tabs>
        <w:rPr>
          <w:rFonts w:eastAsiaTheme="minorEastAsia"/>
          <w:noProof/>
          <w:sz w:val="22"/>
          <w:lang w:eastAsia="en-GB"/>
        </w:rPr>
      </w:pPr>
      <w:r>
        <w:rPr>
          <w:noProof/>
        </w:rPr>
        <w:t>Figure 5</w:t>
      </w:r>
      <w:r>
        <w:rPr>
          <w:noProof/>
        </w:rPr>
        <w:noBreakHyphen/>
        <w:t>5. Nanoparticle size distributions of arginine at 50 °C of increasing concentrations demonstrating the increase in polydispersity. Four concentrations are shown as representative of the concentration range: 0.5 mM (upper left panel); 5 mM (upper right panel); 100 mM (lower left panel); 500 mM (lower right panel)</w:t>
      </w:r>
      <w:r>
        <w:rPr>
          <w:noProof/>
        </w:rPr>
        <w:tab/>
      </w:r>
      <w:r>
        <w:rPr>
          <w:noProof/>
        </w:rPr>
        <w:fldChar w:fldCharType="begin"/>
      </w:r>
      <w:r>
        <w:rPr>
          <w:noProof/>
        </w:rPr>
        <w:instrText xml:space="preserve"> PAGEREF _Toc482633193 \h </w:instrText>
      </w:r>
      <w:r>
        <w:rPr>
          <w:noProof/>
        </w:rPr>
      </w:r>
      <w:r>
        <w:rPr>
          <w:noProof/>
        </w:rPr>
        <w:fldChar w:fldCharType="separate"/>
      </w:r>
      <w:r w:rsidR="00AA6926">
        <w:rPr>
          <w:noProof/>
        </w:rPr>
        <w:t>147</w:t>
      </w:r>
      <w:r>
        <w:rPr>
          <w:noProof/>
        </w:rPr>
        <w:fldChar w:fldCharType="end"/>
      </w:r>
    </w:p>
    <w:p w14:paraId="7D60B80C" w14:textId="77777777" w:rsidR="003C67A9" w:rsidRDefault="003C67A9">
      <w:pPr>
        <w:pStyle w:val="TableofFigures"/>
        <w:tabs>
          <w:tab w:val="right" w:leader="dot" w:pos="8494"/>
        </w:tabs>
        <w:rPr>
          <w:rFonts w:eastAsiaTheme="minorEastAsia"/>
          <w:noProof/>
          <w:sz w:val="22"/>
          <w:lang w:eastAsia="en-GB"/>
        </w:rPr>
      </w:pPr>
      <w:r>
        <w:rPr>
          <w:noProof/>
        </w:rPr>
        <w:t>Figure 5</w:t>
      </w:r>
      <w:r>
        <w:rPr>
          <w:noProof/>
        </w:rPr>
        <w:noBreakHyphen/>
        <w:t>6. Nanoparticle (&gt;30 nm) concentration of a 50 mM arginine sample in the absence (left bars) and the presence (right bars) of 50 mM NaCl at both 25 °C (red bars) and 50 °C (green bars)</w:t>
      </w:r>
      <w:r>
        <w:rPr>
          <w:noProof/>
        </w:rPr>
        <w:tab/>
      </w:r>
      <w:r>
        <w:rPr>
          <w:noProof/>
        </w:rPr>
        <w:fldChar w:fldCharType="begin"/>
      </w:r>
      <w:r>
        <w:rPr>
          <w:noProof/>
        </w:rPr>
        <w:instrText xml:space="preserve"> PAGEREF _Toc482633194 \h </w:instrText>
      </w:r>
      <w:r>
        <w:rPr>
          <w:noProof/>
        </w:rPr>
      </w:r>
      <w:r>
        <w:rPr>
          <w:noProof/>
        </w:rPr>
        <w:fldChar w:fldCharType="separate"/>
      </w:r>
      <w:r w:rsidR="00AA6926">
        <w:rPr>
          <w:noProof/>
        </w:rPr>
        <w:t>149</w:t>
      </w:r>
      <w:r>
        <w:rPr>
          <w:noProof/>
        </w:rPr>
        <w:fldChar w:fldCharType="end"/>
      </w:r>
    </w:p>
    <w:p w14:paraId="02819488" w14:textId="77777777" w:rsidR="003C67A9" w:rsidRDefault="003C67A9">
      <w:pPr>
        <w:pStyle w:val="TableofFigures"/>
        <w:tabs>
          <w:tab w:val="right" w:leader="dot" w:pos="8494"/>
        </w:tabs>
        <w:rPr>
          <w:rFonts w:eastAsiaTheme="minorEastAsia"/>
          <w:noProof/>
          <w:sz w:val="22"/>
          <w:lang w:eastAsia="en-GB"/>
        </w:rPr>
      </w:pPr>
      <w:r>
        <w:rPr>
          <w:noProof/>
        </w:rPr>
        <w:t>Figure 5</w:t>
      </w:r>
      <w:r>
        <w:rPr>
          <w:noProof/>
        </w:rPr>
        <w:noBreakHyphen/>
        <w:t>7. Nanoparticle (&gt;30 nm) concentration of a 500 mM arginine sample in the absence (left bars) and the presence (right bars) of 500 mM NaCl at both 25 °C (red bars) and 50 °C (green bars)</w:t>
      </w:r>
      <w:r>
        <w:rPr>
          <w:noProof/>
        </w:rPr>
        <w:tab/>
      </w:r>
      <w:r>
        <w:rPr>
          <w:noProof/>
        </w:rPr>
        <w:fldChar w:fldCharType="begin"/>
      </w:r>
      <w:r>
        <w:rPr>
          <w:noProof/>
        </w:rPr>
        <w:instrText xml:space="preserve"> PAGEREF _Toc482633195 \h </w:instrText>
      </w:r>
      <w:r>
        <w:rPr>
          <w:noProof/>
        </w:rPr>
      </w:r>
      <w:r>
        <w:rPr>
          <w:noProof/>
        </w:rPr>
        <w:fldChar w:fldCharType="separate"/>
      </w:r>
      <w:r w:rsidR="00AA6926">
        <w:rPr>
          <w:noProof/>
        </w:rPr>
        <w:t>150</w:t>
      </w:r>
      <w:r>
        <w:rPr>
          <w:noProof/>
        </w:rPr>
        <w:fldChar w:fldCharType="end"/>
      </w:r>
    </w:p>
    <w:p w14:paraId="402BD5BC" w14:textId="77777777" w:rsidR="003C67A9" w:rsidRDefault="003C67A9">
      <w:pPr>
        <w:pStyle w:val="TableofFigures"/>
        <w:tabs>
          <w:tab w:val="right" w:leader="dot" w:pos="8494"/>
        </w:tabs>
        <w:rPr>
          <w:rFonts w:eastAsiaTheme="minorEastAsia"/>
          <w:noProof/>
          <w:sz w:val="22"/>
          <w:lang w:eastAsia="en-GB"/>
        </w:rPr>
      </w:pPr>
      <w:r>
        <w:rPr>
          <w:noProof/>
        </w:rPr>
        <w:t>Figure 5</w:t>
      </w:r>
      <w:r>
        <w:rPr>
          <w:noProof/>
        </w:rPr>
        <w:noBreakHyphen/>
        <w:t>8. Nanoparticle (&gt;30 nm) concentration of lysine solutions at 25 °C</w:t>
      </w:r>
      <w:r>
        <w:rPr>
          <w:noProof/>
        </w:rPr>
        <w:tab/>
      </w:r>
      <w:r>
        <w:rPr>
          <w:noProof/>
        </w:rPr>
        <w:fldChar w:fldCharType="begin"/>
      </w:r>
      <w:r>
        <w:rPr>
          <w:noProof/>
        </w:rPr>
        <w:instrText xml:space="preserve"> PAGEREF _Toc482633196 \h </w:instrText>
      </w:r>
      <w:r>
        <w:rPr>
          <w:noProof/>
        </w:rPr>
      </w:r>
      <w:r>
        <w:rPr>
          <w:noProof/>
        </w:rPr>
        <w:fldChar w:fldCharType="separate"/>
      </w:r>
      <w:r w:rsidR="00AA6926">
        <w:rPr>
          <w:noProof/>
        </w:rPr>
        <w:t>151</w:t>
      </w:r>
      <w:r>
        <w:rPr>
          <w:noProof/>
        </w:rPr>
        <w:fldChar w:fldCharType="end"/>
      </w:r>
    </w:p>
    <w:p w14:paraId="6CB36D34" w14:textId="77777777" w:rsidR="003C67A9" w:rsidRDefault="003C67A9">
      <w:pPr>
        <w:pStyle w:val="TableofFigures"/>
        <w:tabs>
          <w:tab w:val="right" w:leader="dot" w:pos="8494"/>
        </w:tabs>
        <w:rPr>
          <w:rFonts w:eastAsiaTheme="minorEastAsia"/>
          <w:noProof/>
          <w:sz w:val="22"/>
          <w:lang w:eastAsia="en-GB"/>
        </w:rPr>
      </w:pPr>
      <w:r>
        <w:rPr>
          <w:noProof/>
        </w:rPr>
        <w:t>Figure 5</w:t>
      </w:r>
      <w:r>
        <w:rPr>
          <w:noProof/>
        </w:rPr>
        <w:noBreakHyphen/>
        <w:t>9. Nanoparticle (&gt;30 nm) concentration in GdnHCl solutions at 25 °C</w:t>
      </w:r>
      <w:r>
        <w:rPr>
          <w:noProof/>
        </w:rPr>
        <w:tab/>
      </w:r>
      <w:r>
        <w:rPr>
          <w:noProof/>
        </w:rPr>
        <w:fldChar w:fldCharType="begin"/>
      </w:r>
      <w:r>
        <w:rPr>
          <w:noProof/>
        </w:rPr>
        <w:instrText xml:space="preserve"> PAGEREF _Toc482633197 \h </w:instrText>
      </w:r>
      <w:r>
        <w:rPr>
          <w:noProof/>
        </w:rPr>
      </w:r>
      <w:r>
        <w:rPr>
          <w:noProof/>
        </w:rPr>
        <w:fldChar w:fldCharType="separate"/>
      </w:r>
      <w:r w:rsidR="00AA6926">
        <w:rPr>
          <w:noProof/>
        </w:rPr>
        <w:t>153</w:t>
      </w:r>
      <w:r>
        <w:rPr>
          <w:noProof/>
        </w:rPr>
        <w:fldChar w:fldCharType="end"/>
      </w:r>
    </w:p>
    <w:p w14:paraId="3A7167EA" w14:textId="77777777" w:rsidR="003C67A9" w:rsidRDefault="003C67A9">
      <w:pPr>
        <w:pStyle w:val="TableofFigures"/>
        <w:tabs>
          <w:tab w:val="right" w:leader="dot" w:pos="8494"/>
        </w:tabs>
        <w:rPr>
          <w:rFonts w:eastAsiaTheme="minorEastAsia"/>
          <w:noProof/>
          <w:sz w:val="22"/>
          <w:lang w:eastAsia="en-GB"/>
        </w:rPr>
      </w:pPr>
      <w:r>
        <w:rPr>
          <w:noProof/>
        </w:rPr>
        <w:t>Figure 6</w:t>
      </w:r>
      <w:r>
        <w:rPr>
          <w:noProof/>
        </w:rPr>
        <w:noBreakHyphen/>
        <w:t>1. Structure of lysine in comparison to two of its functional groups: glycine and methylamine. Glycine and methylamine structures have been rotated from usual representations in order to highlight similarities in structure to lysine</w:t>
      </w:r>
      <w:r>
        <w:rPr>
          <w:noProof/>
        </w:rPr>
        <w:tab/>
      </w:r>
      <w:r>
        <w:rPr>
          <w:noProof/>
        </w:rPr>
        <w:fldChar w:fldCharType="begin"/>
      </w:r>
      <w:r>
        <w:rPr>
          <w:noProof/>
        </w:rPr>
        <w:instrText xml:space="preserve"> PAGEREF _Toc482633198 \h </w:instrText>
      </w:r>
      <w:r>
        <w:rPr>
          <w:noProof/>
        </w:rPr>
      </w:r>
      <w:r>
        <w:rPr>
          <w:noProof/>
        </w:rPr>
        <w:fldChar w:fldCharType="separate"/>
      </w:r>
      <w:r w:rsidR="00AA6926">
        <w:rPr>
          <w:noProof/>
        </w:rPr>
        <w:t>158</w:t>
      </w:r>
      <w:r>
        <w:rPr>
          <w:noProof/>
        </w:rPr>
        <w:fldChar w:fldCharType="end"/>
      </w:r>
    </w:p>
    <w:p w14:paraId="2BAC57CC" w14:textId="77777777" w:rsidR="003C67A9" w:rsidRDefault="003C67A9">
      <w:pPr>
        <w:pStyle w:val="TableofFigures"/>
        <w:tabs>
          <w:tab w:val="right" w:leader="dot" w:pos="8494"/>
        </w:tabs>
        <w:rPr>
          <w:rFonts w:eastAsiaTheme="minorEastAsia"/>
          <w:noProof/>
          <w:sz w:val="22"/>
          <w:lang w:eastAsia="en-GB"/>
        </w:rPr>
      </w:pPr>
      <w:r>
        <w:rPr>
          <w:noProof/>
        </w:rPr>
        <w:t>Figure 6</w:t>
      </w:r>
      <w:r>
        <w:rPr>
          <w:noProof/>
        </w:rPr>
        <w:noBreakHyphen/>
        <w:t>2. Structure of histidine in comparison to two of its functional groups: glycine and imidazole. Glycine and imidazole structures have been rotated from usual representations in order to highlight similarities in structure to histidine</w:t>
      </w:r>
      <w:r>
        <w:rPr>
          <w:noProof/>
        </w:rPr>
        <w:tab/>
      </w:r>
      <w:r>
        <w:rPr>
          <w:noProof/>
        </w:rPr>
        <w:fldChar w:fldCharType="begin"/>
      </w:r>
      <w:r>
        <w:rPr>
          <w:noProof/>
        </w:rPr>
        <w:instrText xml:space="preserve"> PAGEREF _Toc482633199 \h </w:instrText>
      </w:r>
      <w:r>
        <w:rPr>
          <w:noProof/>
        </w:rPr>
      </w:r>
      <w:r>
        <w:rPr>
          <w:noProof/>
        </w:rPr>
        <w:fldChar w:fldCharType="separate"/>
      </w:r>
      <w:r w:rsidR="00AA6926">
        <w:rPr>
          <w:noProof/>
        </w:rPr>
        <w:t>159</w:t>
      </w:r>
      <w:r>
        <w:rPr>
          <w:noProof/>
        </w:rPr>
        <w:fldChar w:fldCharType="end"/>
      </w:r>
    </w:p>
    <w:p w14:paraId="0DB0F425" w14:textId="77777777" w:rsidR="003C67A9" w:rsidRDefault="003C67A9">
      <w:pPr>
        <w:pStyle w:val="TableofFigures"/>
        <w:tabs>
          <w:tab w:val="right" w:leader="dot" w:pos="8494"/>
        </w:tabs>
        <w:rPr>
          <w:rFonts w:eastAsiaTheme="minorEastAsia"/>
          <w:noProof/>
          <w:sz w:val="22"/>
          <w:lang w:eastAsia="en-GB"/>
        </w:rPr>
      </w:pPr>
      <w:r>
        <w:rPr>
          <w:noProof/>
        </w:rPr>
        <w:t>Figure 6</w:t>
      </w:r>
      <w:r>
        <w:rPr>
          <w:noProof/>
        </w:rPr>
        <w:noBreakHyphen/>
        <w:t>3. Change in melting temperature of 1 g/L BSA pH 7 (red circles), 1 g/L lysozyme pH 7 (green triangles), and 0.5 g/L myoglobin pH 8 (blue squares) in the presence of increasing concentrations of lysine (top panel), methylamine hydrochloride (middle panel) and glycine (bottom panel). Dotted line represents no change in melting temperature to guide the eye</w:t>
      </w:r>
      <w:r>
        <w:rPr>
          <w:noProof/>
        </w:rPr>
        <w:tab/>
      </w:r>
      <w:r>
        <w:rPr>
          <w:noProof/>
        </w:rPr>
        <w:fldChar w:fldCharType="begin"/>
      </w:r>
      <w:r>
        <w:rPr>
          <w:noProof/>
        </w:rPr>
        <w:instrText xml:space="preserve"> PAGEREF _Toc482633200 \h </w:instrText>
      </w:r>
      <w:r>
        <w:rPr>
          <w:noProof/>
        </w:rPr>
      </w:r>
      <w:r>
        <w:rPr>
          <w:noProof/>
        </w:rPr>
        <w:fldChar w:fldCharType="separate"/>
      </w:r>
      <w:r w:rsidR="00AA6926">
        <w:rPr>
          <w:noProof/>
        </w:rPr>
        <w:t>163</w:t>
      </w:r>
      <w:r>
        <w:rPr>
          <w:noProof/>
        </w:rPr>
        <w:fldChar w:fldCharType="end"/>
      </w:r>
    </w:p>
    <w:p w14:paraId="5892EA69" w14:textId="77777777" w:rsidR="003C67A9" w:rsidRDefault="003C67A9">
      <w:pPr>
        <w:pStyle w:val="TableofFigures"/>
        <w:tabs>
          <w:tab w:val="right" w:leader="dot" w:pos="8494"/>
        </w:tabs>
        <w:rPr>
          <w:rFonts w:eastAsiaTheme="minorEastAsia"/>
          <w:noProof/>
          <w:sz w:val="22"/>
          <w:lang w:eastAsia="en-GB"/>
        </w:rPr>
      </w:pPr>
      <w:r>
        <w:rPr>
          <w:noProof/>
        </w:rPr>
        <w:lastRenderedPageBreak/>
        <w:t>Figure 6</w:t>
      </w:r>
      <w:r>
        <w:rPr>
          <w:noProof/>
        </w:rPr>
        <w:noBreakHyphen/>
        <w:t>4. The effect of low concentrations (&lt;50 mM) of lysine (top panel) and methylamine HCl (bottom panel) on the thermal stability of BSA, lysozyme and myoglobin demonstrating the protein-specific effects seen at these concentrations. Dotted line represents no change in melting temperature to guide the eye</w:t>
      </w:r>
      <w:r>
        <w:rPr>
          <w:noProof/>
        </w:rPr>
        <w:tab/>
      </w:r>
      <w:r>
        <w:rPr>
          <w:noProof/>
        </w:rPr>
        <w:fldChar w:fldCharType="begin"/>
      </w:r>
      <w:r>
        <w:rPr>
          <w:noProof/>
        </w:rPr>
        <w:instrText xml:space="preserve"> PAGEREF _Toc482633201 \h </w:instrText>
      </w:r>
      <w:r>
        <w:rPr>
          <w:noProof/>
        </w:rPr>
      </w:r>
      <w:r>
        <w:rPr>
          <w:noProof/>
        </w:rPr>
        <w:fldChar w:fldCharType="separate"/>
      </w:r>
      <w:r w:rsidR="00AA6926">
        <w:rPr>
          <w:noProof/>
        </w:rPr>
        <w:t>165</w:t>
      </w:r>
      <w:r>
        <w:rPr>
          <w:noProof/>
        </w:rPr>
        <w:fldChar w:fldCharType="end"/>
      </w:r>
    </w:p>
    <w:p w14:paraId="1737961D" w14:textId="77777777" w:rsidR="003C67A9" w:rsidRDefault="003C67A9">
      <w:pPr>
        <w:pStyle w:val="TableofFigures"/>
        <w:tabs>
          <w:tab w:val="right" w:leader="dot" w:pos="8494"/>
        </w:tabs>
        <w:rPr>
          <w:rFonts w:eastAsiaTheme="minorEastAsia"/>
          <w:noProof/>
          <w:sz w:val="22"/>
          <w:lang w:eastAsia="en-GB"/>
        </w:rPr>
      </w:pPr>
      <w:r>
        <w:rPr>
          <w:noProof/>
        </w:rPr>
        <w:t>Figure 6</w:t>
      </w:r>
      <w:r>
        <w:rPr>
          <w:noProof/>
        </w:rPr>
        <w:noBreakHyphen/>
        <w:t>5. The effect of high concentrations (&gt;50 mM) of lysine (top panel) and methylamine HCl (bottom panel) on the thermal stability of BSA, lysozyme and myoglobin demonstrating the destabilisation of BSA and myoglobin seen at these concentrations. Dotted line represents no change in melting temperature to guide the eye</w:t>
      </w:r>
      <w:r>
        <w:rPr>
          <w:noProof/>
        </w:rPr>
        <w:tab/>
      </w:r>
      <w:r>
        <w:rPr>
          <w:noProof/>
        </w:rPr>
        <w:fldChar w:fldCharType="begin"/>
      </w:r>
      <w:r>
        <w:rPr>
          <w:noProof/>
        </w:rPr>
        <w:instrText xml:space="preserve"> PAGEREF _Toc482633202 \h </w:instrText>
      </w:r>
      <w:r>
        <w:rPr>
          <w:noProof/>
        </w:rPr>
      </w:r>
      <w:r>
        <w:rPr>
          <w:noProof/>
        </w:rPr>
        <w:fldChar w:fldCharType="separate"/>
      </w:r>
      <w:r w:rsidR="00AA6926">
        <w:rPr>
          <w:noProof/>
        </w:rPr>
        <w:t>167</w:t>
      </w:r>
      <w:r>
        <w:rPr>
          <w:noProof/>
        </w:rPr>
        <w:fldChar w:fldCharType="end"/>
      </w:r>
    </w:p>
    <w:p w14:paraId="4A869374" w14:textId="77777777" w:rsidR="003C67A9" w:rsidRDefault="003C67A9">
      <w:pPr>
        <w:pStyle w:val="TableofFigures"/>
        <w:tabs>
          <w:tab w:val="right" w:leader="dot" w:pos="8494"/>
        </w:tabs>
        <w:rPr>
          <w:rFonts w:eastAsiaTheme="minorEastAsia"/>
          <w:noProof/>
          <w:sz w:val="22"/>
          <w:lang w:eastAsia="en-GB"/>
        </w:rPr>
      </w:pPr>
      <w:r>
        <w:rPr>
          <w:noProof/>
        </w:rPr>
        <w:t>Figure 6</w:t>
      </w:r>
      <w:r>
        <w:rPr>
          <w:noProof/>
        </w:rPr>
        <w:noBreakHyphen/>
        <w:t>6. DSC thermograms of 1 g/L BSA pH 7 (top panels), 0.5 g/L myoglobin pH 8 (middle panels) and 1 g/L lysozyme pH 7 (lower panels) in the presence of different concentrations of lysine (left panels) and methylamine HCl (right panels). Black scan shows thermogram of proteins in aqueous solution with no cosolute present for reference</w:t>
      </w:r>
      <w:r>
        <w:rPr>
          <w:noProof/>
        </w:rPr>
        <w:tab/>
      </w:r>
      <w:r>
        <w:rPr>
          <w:noProof/>
        </w:rPr>
        <w:fldChar w:fldCharType="begin"/>
      </w:r>
      <w:r>
        <w:rPr>
          <w:noProof/>
        </w:rPr>
        <w:instrText xml:space="preserve"> PAGEREF _Toc482633203 \h </w:instrText>
      </w:r>
      <w:r>
        <w:rPr>
          <w:noProof/>
        </w:rPr>
      </w:r>
      <w:r>
        <w:rPr>
          <w:noProof/>
        </w:rPr>
        <w:fldChar w:fldCharType="separate"/>
      </w:r>
      <w:r w:rsidR="00AA6926">
        <w:rPr>
          <w:noProof/>
        </w:rPr>
        <w:t>169</w:t>
      </w:r>
      <w:r>
        <w:rPr>
          <w:noProof/>
        </w:rPr>
        <w:fldChar w:fldCharType="end"/>
      </w:r>
    </w:p>
    <w:p w14:paraId="27D39678" w14:textId="77777777" w:rsidR="003C67A9" w:rsidRDefault="003C67A9">
      <w:pPr>
        <w:pStyle w:val="TableofFigures"/>
        <w:tabs>
          <w:tab w:val="right" w:leader="dot" w:pos="8494"/>
        </w:tabs>
        <w:rPr>
          <w:rFonts w:eastAsiaTheme="minorEastAsia"/>
          <w:noProof/>
          <w:sz w:val="22"/>
          <w:lang w:eastAsia="en-GB"/>
        </w:rPr>
      </w:pPr>
      <w:r>
        <w:rPr>
          <w:noProof/>
        </w:rPr>
        <w:t>Figure 6</w:t>
      </w:r>
      <w:r>
        <w:rPr>
          <w:noProof/>
        </w:rPr>
        <w:noBreakHyphen/>
        <w:t>7.Comparison of change in melting temperature of 1 g/L BSA pH 7 (top panel), 1 g/L Lysozyme pH 7 (middle panel), and 0.5 g/L myoglobin pH 8 (bottom panel) caused by increasing concentrations of lysine (red circles) and the summation of the changes in melting temperature caused by equimolar concentrations of glycine and methylamine HCl (blue triangles). Dotted lines represent no change in melting temperature to guide the eye</w:t>
      </w:r>
      <w:r>
        <w:rPr>
          <w:noProof/>
        </w:rPr>
        <w:tab/>
      </w:r>
      <w:r>
        <w:rPr>
          <w:noProof/>
        </w:rPr>
        <w:fldChar w:fldCharType="begin"/>
      </w:r>
      <w:r>
        <w:rPr>
          <w:noProof/>
        </w:rPr>
        <w:instrText xml:space="preserve"> PAGEREF _Toc482633204 \h </w:instrText>
      </w:r>
      <w:r>
        <w:rPr>
          <w:noProof/>
        </w:rPr>
      </w:r>
      <w:r>
        <w:rPr>
          <w:noProof/>
        </w:rPr>
        <w:fldChar w:fldCharType="separate"/>
      </w:r>
      <w:r w:rsidR="00AA6926">
        <w:rPr>
          <w:noProof/>
        </w:rPr>
        <w:t>171</w:t>
      </w:r>
      <w:r>
        <w:rPr>
          <w:noProof/>
        </w:rPr>
        <w:fldChar w:fldCharType="end"/>
      </w:r>
    </w:p>
    <w:p w14:paraId="7B403E73" w14:textId="77777777" w:rsidR="003C67A9" w:rsidRDefault="003C67A9">
      <w:pPr>
        <w:pStyle w:val="TableofFigures"/>
        <w:tabs>
          <w:tab w:val="right" w:leader="dot" w:pos="8494"/>
        </w:tabs>
        <w:rPr>
          <w:rFonts w:eastAsiaTheme="minorEastAsia"/>
          <w:noProof/>
          <w:sz w:val="22"/>
          <w:lang w:eastAsia="en-GB"/>
        </w:rPr>
      </w:pPr>
      <w:r>
        <w:rPr>
          <w:noProof/>
        </w:rPr>
        <w:t>Figure 6</w:t>
      </w:r>
      <w:r>
        <w:rPr>
          <w:noProof/>
        </w:rPr>
        <w:noBreakHyphen/>
        <w:t>8. Change in melting temperature of 1 g/L BSA pH 7 (red circles), 1 g/L lysozyme pH 7 (green triangles), and 0.5 g/L myoglobin pH 8 (blue squares) in the presence of increasing concentrations of histidine(top panel), imidazole (middle panel) and glycine (bottom panel). Dotted line represents no change in melting temperature to guide the eye</w:t>
      </w:r>
      <w:r>
        <w:rPr>
          <w:noProof/>
        </w:rPr>
        <w:tab/>
      </w:r>
      <w:r>
        <w:rPr>
          <w:noProof/>
        </w:rPr>
        <w:fldChar w:fldCharType="begin"/>
      </w:r>
      <w:r>
        <w:rPr>
          <w:noProof/>
        </w:rPr>
        <w:instrText xml:space="preserve"> PAGEREF _Toc482633205 \h </w:instrText>
      </w:r>
      <w:r>
        <w:rPr>
          <w:noProof/>
        </w:rPr>
      </w:r>
      <w:r>
        <w:rPr>
          <w:noProof/>
        </w:rPr>
        <w:fldChar w:fldCharType="separate"/>
      </w:r>
      <w:r w:rsidR="00AA6926">
        <w:rPr>
          <w:noProof/>
        </w:rPr>
        <w:t>173</w:t>
      </w:r>
      <w:r>
        <w:rPr>
          <w:noProof/>
        </w:rPr>
        <w:fldChar w:fldCharType="end"/>
      </w:r>
    </w:p>
    <w:p w14:paraId="6AA8BF34" w14:textId="77777777" w:rsidR="003C67A9" w:rsidRDefault="003C67A9">
      <w:pPr>
        <w:pStyle w:val="TableofFigures"/>
        <w:tabs>
          <w:tab w:val="right" w:leader="dot" w:pos="8494"/>
        </w:tabs>
        <w:rPr>
          <w:rFonts w:eastAsiaTheme="minorEastAsia"/>
          <w:noProof/>
          <w:sz w:val="22"/>
          <w:lang w:eastAsia="en-GB"/>
        </w:rPr>
      </w:pPr>
      <w:r>
        <w:rPr>
          <w:noProof/>
        </w:rPr>
        <w:t>Figure 6</w:t>
      </w:r>
      <w:r>
        <w:rPr>
          <w:noProof/>
        </w:rPr>
        <w:noBreakHyphen/>
        <w:t>9. The effect of low concentrations (&lt;50 mM) of histidine (top panel) and imidazole (bottom panel) on the thermal stability of BSA, lysozyme and myoglobin demonstrating the protein-specific effects seen at these concentrations. Dotted line represents no change in melting temperature to guide the eye</w:t>
      </w:r>
      <w:r>
        <w:rPr>
          <w:noProof/>
        </w:rPr>
        <w:tab/>
      </w:r>
      <w:r>
        <w:rPr>
          <w:noProof/>
        </w:rPr>
        <w:fldChar w:fldCharType="begin"/>
      </w:r>
      <w:r>
        <w:rPr>
          <w:noProof/>
        </w:rPr>
        <w:instrText xml:space="preserve"> PAGEREF _Toc482633206 \h </w:instrText>
      </w:r>
      <w:r>
        <w:rPr>
          <w:noProof/>
        </w:rPr>
      </w:r>
      <w:r>
        <w:rPr>
          <w:noProof/>
        </w:rPr>
        <w:fldChar w:fldCharType="separate"/>
      </w:r>
      <w:r w:rsidR="00AA6926">
        <w:rPr>
          <w:noProof/>
        </w:rPr>
        <w:t>175</w:t>
      </w:r>
      <w:r>
        <w:rPr>
          <w:noProof/>
        </w:rPr>
        <w:fldChar w:fldCharType="end"/>
      </w:r>
    </w:p>
    <w:p w14:paraId="66BC30A3" w14:textId="77777777" w:rsidR="003C67A9" w:rsidRDefault="003C67A9">
      <w:pPr>
        <w:pStyle w:val="TableofFigures"/>
        <w:tabs>
          <w:tab w:val="right" w:leader="dot" w:pos="8494"/>
        </w:tabs>
        <w:rPr>
          <w:rFonts w:eastAsiaTheme="minorEastAsia"/>
          <w:noProof/>
          <w:sz w:val="22"/>
          <w:lang w:eastAsia="en-GB"/>
        </w:rPr>
      </w:pPr>
      <w:r>
        <w:rPr>
          <w:noProof/>
        </w:rPr>
        <w:lastRenderedPageBreak/>
        <w:t>Figure 6</w:t>
      </w:r>
      <w:r>
        <w:rPr>
          <w:noProof/>
        </w:rPr>
        <w:noBreakHyphen/>
        <w:t>10. Comparison of change in melting temperature of 1 g/L BSA pH 7 (top panel), 1 g/L Lysozyme pH 7 (middle panel), and 0.5 g/L myoglobin pH 8 (bottom panel) caused by increasing concentrations of histidine (red circles) and the summation of the changes in melting temperature caused by equimolar concentrations of glycine and imidazole (blue triangles). Dotted lines represent no change in melting temperature to guide the eye</w:t>
      </w:r>
      <w:r>
        <w:rPr>
          <w:noProof/>
        </w:rPr>
        <w:tab/>
      </w:r>
      <w:r>
        <w:rPr>
          <w:noProof/>
        </w:rPr>
        <w:fldChar w:fldCharType="begin"/>
      </w:r>
      <w:r>
        <w:rPr>
          <w:noProof/>
        </w:rPr>
        <w:instrText xml:space="preserve"> PAGEREF _Toc482633207 \h </w:instrText>
      </w:r>
      <w:r>
        <w:rPr>
          <w:noProof/>
        </w:rPr>
      </w:r>
      <w:r>
        <w:rPr>
          <w:noProof/>
        </w:rPr>
        <w:fldChar w:fldCharType="separate"/>
      </w:r>
      <w:r w:rsidR="00AA6926">
        <w:rPr>
          <w:noProof/>
        </w:rPr>
        <w:t>178</w:t>
      </w:r>
      <w:r>
        <w:rPr>
          <w:noProof/>
        </w:rPr>
        <w:fldChar w:fldCharType="end"/>
      </w:r>
    </w:p>
    <w:p w14:paraId="5CA2DBFE" w14:textId="77777777" w:rsidR="003C67A9" w:rsidRDefault="003C67A9">
      <w:pPr>
        <w:pStyle w:val="TableofFigures"/>
        <w:tabs>
          <w:tab w:val="right" w:leader="dot" w:pos="8494"/>
        </w:tabs>
        <w:rPr>
          <w:rFonts w:eastAsiaTheme="minorEastAsia"/>
          <w:noProof/>
          <w:sz w:val="22"/>
          <w:lang w:eastAsia="en-GB"/>
        </w:rPr>
      </w:pPr>
      <w:r>
        <w:rPr>
          <w:noProof/>
        </w:rPr>
        <w:t>Figure 8</w:t>
      </w:r>
      <w:r>
        <w:rPr>
          <w:noProof/>
        </w:rPr>
        <w:noBreakHyphen/>
        <w:t>1. DSC thermograms of 1 g/L BSA pH 7 in the presence of different concentrations of glycine (top panel), GdnHCl (middle panel) and arginine (bottom panel). Black scan shows thermogram of 1 g/L BSA pH 7 in aqueous solution with no cosolute present</w:t>
      </w:r>
      <w:r>
        <w:rPr>
          <w:noProof/>
        </w:rPr>
        <w:tab/>
      </w:r>
      <w:r>
        <w:rPr>
          <w:noProof/>
        </w:rPr>
        <w:fldChar w:fldCharType="begin"/>
      </w:r>
      <w:r>
        <w:rPr>
          <w:noProof/>
        </w:rPr>
        <w:instrText xml:space="preserve"> PAGEREF _Toc482633208 \h </w:instrText>
      </w:r>
      <w:r>
        <w:rPr>
          <w:noProof/>
        </w:rPr>
      </w:r>
      <w:r>
        <w:rPr>
          <w:noProof/>
        </w:rPr>
        <w:fldChar w:fldCharType="separate"/>
      </w:r>
      <w:r w:rsidR="00AA6926">
        <w:rPr>
          <w:noProof/>
        </w:rPr>
        <w:t>ii</w:t>
      </w:r>
      <w:r>
        <w:rPr>
          <w:noProof/>
        </w:rPr>
        <w:fldChar w:fldCharType="end"/>
      </w:r>
    </w:p>
    <w:p w14:paraId="6EDE85FF" w14:textId="77777777" w:rsidR="003C67A9" w:rsidRDefault="003C67A9">
      <w:pPr>
        <w:pStyle w:val="TableofFigures"/>
        <w:tabs>
          <w:tab w:val="right" w:leader="dot" w:pos="8494"/>
        </w:tabs>
        <w:rPr>
          <w:rFonts w:eastAsiaTheme="minorEastAsia"/>
          <w:noProof/>
          <w:sz w:val="22"/>
          <w:lang w:eastAsia="en-GB"/>
        </w:rPr>
      </w:pPr>
      <w:r>
        <w:rPr>
          <w:noProof/>
        </w:rPr>
        <w:t>Figure 8</w:t>
      </w:r>
      <w:r>
        <w:rPr>
          <w:noProof/>
        </w:rPr>
        <w:noBreakHyphen/>
        <w:t>2. DSC thermograms of 1 g/L lysozyme pH 7 in the presence of different concentrations of glycine (top panel), GdnHCl (middle panel) and arginine (bottom panel). Black scans show thermogram of 1 g/L lysozyme pH 7 in aqueous solution with no cosolute present</w:t>
      </w:r>
      <w:r>
        <w:rPr>
          <w:noProof/>
        </w:rPr>
        <w:tab/>
      </w:r>
      <w:r>
        <w:rPr>
          <w:noProof/>
        </w:rPr>
        <w:fldChar w:fldCharType="begin"/>
      </w:r>
      <w:r>
        <w:rPr>
          <w:noProof/>
        </w:rPr>
        <w:instrText xml:space="preserve"> PAGEREF _Toc482633209 \h </w:instrText>
      </w:r>
      <w:r>
        <w:rPr>
          <w:noProof/>
        </w:rPr>
      </w:r>
      <w:r>
        <w:rPr>
          <w:noProof/>
        </w:rPr>
        <w:fldChar w:fldCharType="separate"/>
      </w:r>
      <w:r w:rsidR="00AA6926">
        <w:rPr>
          <w:noProof/>
        </w:rPr>
        <w:t>iii</w:t>
      </w:r>
      <w:r>
        <w:rPr>
          <w:noProof/>
        </w:rPr>
        <w:fldChar w:fldCharType="end"/>
      </w:r>
    </w:p>
    <w:p w14:paraId="69C788F6" w14:textId="77777777" w:rsidR="003C67A9" w:rsidRDefault="003C67A9">
      <w:pPr>
        <w:pStyle w:val="TableofFigures"/>
        <w:tabs>
          <w:tab w:val="right" w:leader="dot" w:pos="8494"/>
        </w:tabs>
        <w:rPr>
          <w:rFonts w:eastAsiaTheme="minorEastAsia"/>
          <w:noProof/>
          <w:sz w:val="22"/>
          <w:lang w:eastAsia="en-GB"/>
        </w:rPr>
      </w:pPr>
      <w:r>
        <w:rPr>
          <w:noProof/>
        </w:rPr>
        <w:t>Figure 8</w:t>
      </w:r>
      <w:r>
        <w:rPr>
          <w:noProof/>
        </w:rPr>
        <w:noBreakHyphen/>
        <w:t>3. NTA images captured from videos of increasing concentrations of arginine at 50 °C, showing the increase in nanoparticle formation. These images are not indicative of absolute size of nanoparticles but purely a representation of the number of particles that scattered light during video capture</w:t>
      </w:r>
      <w:r>
        <w:rPr>
          <w:noProof/>
        </w:rPr>
        <w:tab/>
      </w:r>
      <w:r>
        <w:rPr>
          <w:noProof/>
        </w:rPr>
        <w:fldChar w:fldCharType="begin"/>
      </w:r>
      <w:r>
        <w:rPr>
          <w:noProof/>
        </w:rPr>
        <w:instrText xml:space="preserve"> PAGEREF _Toc482633210 \h </w:instrText>
      </w:r>
      <w:r>
        <w:rPr>
          <w:noProof/>
        </w:rPr>
      </w:r>
      <w:r>
        <w:rPr>
          <w:noProof/>
        </w:rPr>
        <w:fldChar w:fldCharType="separate"/>
      </w:r>
      <w:r w:rsidR="00AA6926">
        <w:rPr>
          <w:noProof/>
        </w:rPr>
        <w:t>xv</w:t>
      </w:r>
      <w:r>
        <w:rPr>
          <w:noProof/>
        </w:rPr>
        <w:fldChar w:fldCharType="end"/>
      </w:r>
    </w:p>
    <w:p w14:paraId="26DE32D7" w14:textId="77777777" w:rsidR="003C67A9" w:rsidRDefault="003C67A9">
      <w:pPr>
        <w:pStyle w:val="TableofFigures"/>
        <w:tabs>
          <w:tab w:val="right" w:leader="dot" w:pos="8494"/>
        </w:tabs>
        <w:rPr>
          <w:rFonts w:eastAsiaTheme="minorEastAsia"/>
          <w:noProof/>
          <w:sz w:val="22"/>
          <w:lang w:eastAsia="en-GB"/>
        </w:rPr>
      </w:pPr>
      <w:r>
        <w:rPr>
          <w:noProof/>
        </w:rPr>
        <w:t>Figure 8</w:t>
      </w:r>
      <w:r>
        <w:rPr>
          <w:noProof/>
        </w:rPr>
        <w:noBreakHyphen/>
        <w:t>4. Nanoparticle (&gt;30 nm) concentration of 500 mM arginine in the presence of increasing concentrations of NaCl at both 25 °C (red bars) and 50 °C (green bars)</w:t>
      </w:r>
      <w:r>
        <w:rPr>
          <w:noProof/>
        </w:rPr>
        <w:tab/>
      </w:r>
      <w:r>
        <w:rPr>
          <w:noProof/>
        </w:rPr>
        <w:fldChar w:fldCharType="begin"/>
      </w:r>
      <w:r>
        <w:rPr>
          <w:noProof/>
        </w:rPr>
        <w:instrText xml:space="preserve"> PAGEREF _Toc482633211 \h </w:instrText>
      </w:r>
      <w:r>
        <w:rPr>
          <w:noProof/>
        </w:rPr>
      </w:r>
      <w:r>
        <w:rPr>
          <w:noProof/>
        </w:rPr>
        <w:fldChar w:fldCharType="separate"/>
      </w:r>
      <w:r w:rsidR="00AA6926">
        <w:rPr>
          <w:noProof/>
        </w:rPr>
        <w:t>xvii</w:t>
      </w:r>
      <w:r>
        <w:rPr>
          <w:noProof/>
        </w:rPr>
        <w:fldChar w:fldCharType="end"/>
      </w:r>
    </w:p>
    <w:p w14:paraId="3551240B" w14:textId="77777777" w:rsidR="003C67A9" w:rsidRDefault="003C67A9">
      <w:pPr>
        <w:pStyle w:val="TableofFigures"/>
        <w:tabs>
          <w:tab w:val="right" w:leader="dot" w:pos="8494"/>
        </w:tabs>
        <w:rPr>
          <w:rFonts w:eastAsiaTheme="minorEastAsia"/>
          <w:noProof/>
          <w:sz w:val="22"/>
          <w:lang w:eastAsia="en-GB"/>
        </w:rPr>
      </w:pPr>
      <w:r>
        <w:rPr>
          <w:noProof/>
        </w:rPr>
        <w:t>Figure 8</w:t>
      </w:r>
      <w:r>
        <w:rPr>
          <w:noProof/>
        </w:rPr>
        <w:noBreakHyphen/>
        <w:t>5. Average nanoparticle size of lysine nanoparticles at various millimolar concentrations</w:t>
      </w:r>
      <w:r>
        <w:rPr>
          <w:noProof/>
        </w:rPr>
        <w:tab/>
      </w:r>
      <w:r>
        <w:rPr>
          <w:noProof/>
        </w:rPr>
        <w:fldChar w:fldCharType="begin"/>
      </w:r>
      <w:r>
        <w:rPr>
          <w:noProof/>
        </w:rPr>
        <w:instrText xml:space="preserve"> PAGEREF _Toc482633212 \h </w:instrText>
      </w:r>
      <w:r>
        <w:rPr>
          <w:noProof/>
        </w:rPr>
      </w:r>
      <w:r>
        <w:rPr>
          <w:noProof/>
        </w:rPr>
        <w:fldChar w:fldCharType="separate"/>
      </w:r>
      <w:r w:rsidR="00AA6926">
        <w:rPr>
          <w:noProof/>
        </w:rPr>
        <w:t>xix</w:t>
      </w:r>
      <w:r>
        <w:rPr>
          <w:noProof/>
        </w:rPr>
        <w:fldChar w:fldCharType="end"/>
      </w:r>
    </w:p>
    <w:p w14:paraId="04E08DD8" w14:textId="77777777" w:rsidR="003C67A9" w:rsidRDefault="003C67A9">
      <w:pPr>
        <w:pStyle w:val="TableofFigures"/>
        <w:tabs>
          <w:tab w:val="right" w:leader="dot" w:pos="8494"/>
        </w:tabs>
        <w:rPr>
          <w:rFonts w:eastAsiaTheme="minorEastAsia"/>
          <w:noProof/>
          <w:sz w:val="22"/>
          <w:lang w:eastAsia="en-GB"/>
        </w:rPr>
      </w:pPr>
      <w:r>
        <w:rPr>
          <w:noProof/>
        </w:rPr>
        <w:t>Figure 8</w:t>
      </w:r>
      <w:r>
        <w:rPr>
          <w:noProof/>
        </w:rPr>
        <w:noBreakHyphen/>
        <w:t>6. Nanoparticle size distributions of lysine at 25 °C of increasing concentrations. Four concentrations are shown as representative of the concentration range: 0.5 mM (upper left panel); 5 mM (upper right panel); 100 mM (lower left panel); 500 mM (lower right panel)</w:t>
      </w:r>
      <w:r>
        <w:rPr>
          <w:noProof/>
        </w:rPr>
        <w:tab/>
      </w:r>
      <w:r>
        <w:rPr>
          <w:noProof/>
        </w:rPr>
        <w:fldChar w:fldCharType="begin"/>
      </w:r>
      <w:r>
        <w:rPr>
          <w:noProof/>
        </w:rPr>
        <w:instrText xml:space="preserve"> PAGEREF _Toc482633213 \h </w:instrText>
      </w:r>
      <w:r>
        <w:rPr>
          <w:noProof/>
        </w:rPr>
      </w:r>
      <w:r>
        <w:rPr>
          <w:noProof/>
        </w:rPr>
        <w:fldChar w:fldCharType="separate"/>
      </w:r>
      <w:r w:rsidR="00AA6926">
        <w:rPr>
          <w:noProof/>
        </w:rPr>
        <w:t>xx</w:t>
      </w:r>
      <w:r>
        <w:rPr>
          <w:noProof/>
        </w:rPr>
        <w:fldChar w:fldCharType="end"/>
      </w:r>
    </w:p>
    <w:p w14:paraId="35AE54C3" w14:textId="77777777" w:rsidR="003C67A9" w:rsidRDefault="003C67A9">
      <w:pPr>
        <w:pStyle w:val="TableofFigures"/>
        <w:tabs>
          <w:tab w:val="right" w:leader="dot" w:pos="8494"/>
        </w:tabs>
        <w:rPr>
          <w:rFonts w:eastAsiaTheme="minorEastAsia"/>
          <w:noProof/>
          <w:sz w:val="22"/>
          <w:lang w:eastAsia="en-GB"/>
        </w:rPr>
      </w:pPr>
      <w:r>
        <w:rPr>
          <w:noProof/>
        </w:rPr>
        <w:t>Figure 8</w:t>
      </w:r>
      <w:r>
        <w:rPr>
          <w:noProof/>
        </w:rPr>
        <w:noBreakHyphen/>
        <w:t xml:space="preserve">7. NTA images captured from videos of increasing concentrations of lysine at 25 °C, showing the increase in nanoparticle formation. These images are not indicative </w:t>
      </w:r>
      <w:r>
        <w:rPr>
          <w:noProof/>
        </w:rPr>
        <w:lastRenderedPageBreak/>
        <w:t>of absolute size of nanoparticles but purely a representation of the number of particles scattering light during video capture</w:t>
      </w:r>
      <w:r>
        <w:rPr>
          <w:noProof/>
        </w:rPr>
        <w:tab/>
      </w:r>
      <w:r>
        <w:rPr>
          <w:noProof/>
        </w:rPr>
        <w:fldChar w:fldCharType="begin"/>
      </w:r>
      <w:r>
        <w:rPr>
          <w:noProof/>
        </w:rPr>
        <w:instrText xml:space="preserve"> PAGEREF _Toc482633214 \h </w:instrText>
      </w:r>
      <w:r>
        <w:rPr>
          <w:noProof/>
        </w:rPr>
      </w:r>
      <w:r>
        <w:rPr>
          <w:noProof/>
        </w:rPr>
        <w:fldChar w:fldCharType="separate"/>
      </w:r>
      <w:r w:rsidR="00AA6926">
        <w:rPr>
          <w:noProof/>
        </w:rPr>
        <w:t>xxi</w:t>
      </w:r>
      <w:r>
        <w:rPr>
          <w:noProof/>
        </w:rPr>
        <w:fldChar w:fldCharType="end"/>
      </w:r>
    </w:p>
    <w:p w14:paraId="7BF686A4" w14:textId="77777777" w:rsidR="003C67A9" w:rsidRDefault="003C67A9">
      <w:pPr>
        <w:pStyle w:val="TableofFigures"/>
        <w:tabs>
          <w:tab w:val="right" w:leader="dot" w:pos="8494"/>
        </w:tabs>
        <w:rPr>
          <w:rFonts w:eastAsiaTheme="minorEastAsia"/>
          <w:noProof/>
          <w:sz w:val="22"/>
          <w:lang w:eastAsia="en-GB"/>
        </w:rPr>
      </w:pPr>
      <w:r>
        <w:rPr>
          <w:noProof/>
        </w:rPr>
        <w:t>Figure 8</w:t>
      </w:r>
      <w:r>
        <w:rPr>
          <w:noProof/>
        </w:rPr>
        <w:noBreakHyphen/>
        <w:t>8. Average nanoparticle sizes of GdnHCl at 25 °C at various millimolar concentrations</w:t>
      </w:r>
      <w:r>
        <w:rPr>
          <w:noProof/>
        </w:rPr>
        <w:tab/>
      </w:r>
      <w:r>
        <w:rPr>
          <w:noProof/>
        </w:rPr>
        <w:fldChar w:fldCharType="begin"/>
      </w:r>
      <w:r>
        <w:rPr>
          <w:noProof/>
        </w:rPr>
        <w:instrText xml:space="preserve"> PAGEREF _Toc482633215 \h </w:instrText>
      </w:r>
      <w:r>
        <w:rPr>
          <w:noProof/>
        </w:rPr>
      </w:r>
      <w:r>
        <w:rPr>
          <w:noProof/>
        </w:rPr>
        <w:fldChar w:fldCharType="separate"/>
      </w:r>
      <w:r w:rsidR="00AA6926">
        <w:rPr>
          <w:noProof/>
        </w:rPr>
        <w:t>xxiii</w:t>
      </w:r>
      <w:r>
        <w:rPr>
          <w:noProof/>
        </w:rPr>
        <w:fldChar w:fldCharType="end"/>
      </w:r>
    </w:p>
    <w:p w14:paraId="3B983E8F" w14:textId="77777777" w:rsidR="003C67A9" w:rsidRDefault="003C67A9">
      <w:pPr>
        <w:pStyle w:val="TableofFigures"/>
        <w:tabs>
          <w:tab w:val="right" w:leader="dot" w:pos="8494"/>
        </w:tabs>
        <w:rPr>
          <w:rFonts w:eastAsiaTheme="minorEastAsia"/>
          <w:noProof/>
          <w:sz w:val="22"/>
          <w:lang w:eastAsia="en-GB"/>
        </w:rPr>
      </w:pPr>
      <w:r>
        <w:rPr>
          <w:noProof/>
        </w:rPr>
        <w:t>Figure 8</w:t>
      </w:r>
      <w:r>
        <w:rPr>
          <w:noProof/>
        </w:rPr>
        <w:noBreakHyphen/>
        <w:t>9. Nanoparticle size distributions of GdnHCl at 25 °C of increasing concentrations. Four concentrations are shown as representative of the concentration range: 0.5 mM (upper left panel); 5 mM (upper right panel); 100 mM (lower left panel); 500 mM (lower right panel)</w:t>
      </w:r>
      <w:r>
        <w:rPr>
          <w:noProof/>
        </w:rPr>
        <w:tab/>
      </w:r>
      <w:r>
        <w:rPr>
          <w:noProof/>
        </w:rPr>
        <w:fldChar w:fldCharType="begin"/>
      </w:r>
      <w:r>
        <w:rPr>
          <w:noProof/>
        </w:rPr>
        <w:instrText xml:space="preserve"> PAGEREF _Toc482633216 \h </w:instrText>
      </w:r>
      <w:r>
        <w:rPr>
          <w:noProof/>
        </w:rPr>
      </w:r>
      <w:r>
        <w:rPr>
          <w:noProof/>
        </w:rPr>
        <w:fldChar w:fldCharType="separate"/>
      </w:r>
      <w:r w:rsidR="00AA6926">
        <w:rPr>
          <w:noProof/>
        </w:rPr>
        <w:t>xxiv</w:t>
      </w:r>
      <w:r>
        <w:rPr>
          <w:noProof/>
        </w:rPr>
        <w:fldChar w:fldCharType="end"/>
      </w:r>
    </w:p>
    <w:p w14:paraId="5AA4CCE3" w14:textId="77777777" w:rsidR="003C67A9" w:rsidRDefault="003C67A9">
      <w:pPr>
        <w:pStyle w:val="TableofFigures"/>
        <w:tabs>
          <w:tab w:val="right" w:leader="dot" w:pos="8494"/>
        </w:tabs>
        <w:rPr>
          <w:rFonts w:eastAsiaTheme="minorEastAsia"/>
          <w:noProof/>
          <w:sz w:val="22"/>
          <w:lang w:eastAsia="en-GB"/>
        </w:rPr>
      </w:pPr>
      <w:r>
        <w:rPr>
          <w:noProof/>
        </w:rPr>
        <w:t>Figure 8</w:t>
      </w:r>
      <w:r>
        <w:rPr>
          <w:noProof/>
        </w:rPr>
        <w:noBreakHyphen/>
        <w:t>10.  NTA images captured from videos of increasing concentrations of GdnHCl, showing the increase in nanoparticle formation. These images are not indicative of absolute size of nanoparticles but purely a representation of the number of particles scattering</w:t>
      </w:r>
      <w:r>
        <w:rPr>
          <w:noProof/>
        </w:rPr>
        <w:tab/>
      </w:r>
      <w:r>
        <w:rPr>
          <w:noProof/>
        </w:rPr>
        <w:fldChar w:fldCharType="begin"/>
      </w:r>
      <w:r>
        <w:rPr>
          <w:noProof/>
        </w:rPr>
        <w:instrText xml:space="preserve"> PAGEREF _Toc482633217 \h </w:instrText>
      </w:r>
      <w:r>
        <w:rPr>
          <w:noProof/>
        </w:rPr>
      </w:r>
      <w:r>
        <w:rPr>
          <w:noProof/>
        </w:rPr>
        <w:fldChar w:fldCharType="separate"/>
      </w:r>
      <w:r w:rsidR="00AA6926">
        <w:rPr>
          <w:noProof/>
        </w:rPr>
        <w:t>xxv</w:t>
      </w:r>
      <w:r>
        <w:rPr>
          <w:noProof/>
        </w:rPr>
        <w:fldChar w:fldCharType="end"/>
      </w:r>
    </w:p>
    <w:p w14:paraId="7F55119A" w14:textId="77777777" w:rsidR="003C67A9" w:rsidRDefault="003C67A9">
      <w:pPr>
        <w:pStyle w:val="TableofFigures"/>
        <w:tabs>
          <w:tab w:val="right" w:leader="dot" w:pos="8494"/>
        </w:tabs>
        <w:rPr>
          <w:rFonts w:eastAsiaTheme="minorEastAsia"/>
          <w:noProof/>
          <w:sz w:val="22"/>
          <w:lang w:eastAsia="en-GB"/>
        </w:rPr>
      </w:pPr>
      <w:r>
        <w:rPr>
          <w:noProof/>
        </w:rPr>
        <w:t>Figure 8</w:t>
      </w:r>
      <w:r>
        <w:rPr>
          <w:noProof/>
        </w:rPr>
        <w:noBreakHyphen/>
        <w:t>11. DSC thermograms of 1 g/L BSA pH 7 (top panels), 0.5 g/L myoglobin pH 8 (middle panels) and 1 g/L lysozyme pH 7 (lower panels) with low medium and high concentrations of histidine (left panels) and imidazole (right panels). Zero cosolute heat capacity scans are shown in each graph for reference</w:t>
      </w:r>
      <w:r>
        <w:rPr>
          <w:noProof/>
        </w:rPr>
        <w:tab/>
      </w:r>
      <w:r>
        <w:rPr>
          <w:noProof/>
        </w:rPr>
        <w:fldChar w:fldCharType="begin"/>
      </w:r>
      <w:r>
        <w:rPr>
          <w:noProof/>
        </w:rPr>
        <w:instrText xml:space="preserve"> PAGEREF _Toc482633218 \h </w:instrText>
      </w:r>
      <w:r>
        <w:rPr>
          <w:noProof/>
        </w:rPr>
      </w:r>
      <w:r>
        <w:rPr>
          <w:noProof/>
        </w:rPr>
        <w:fldChar w:fldCharType="separate"/>
      </w:r>
      <w:r w:rsidR="00AA6926">
        <w:rPr>
          <w:noProof/>
        </w:rPr>
        <w:t>xxxii</w:t>
      </w:r>
      <w:r>
        <w:rPr>
          <w:noProof/>
        </w:rPr>
        <w:fldChar w:fldCharType="end"/>
      </w:r>
    </w:p>
    <w:p w14:paraId="39B48F27" w14:textId="77777777" w:rsidR="009C61A8" w:rsidRPr="0033449D" w:rsidRDefault="009C61A8" w:rsidP="00827DFB">
      <w:pPr>
        <w:rPr>
          <w:szCs w:val="24"/>
        </w:rPr>
      </w:pPr>
      <w:r>
        <w:rPr>
          <w:szCs w:val="24"/>
        </w:rPr>
        <w:fldChar w:fldCharType="end"/>
      </w:r>
    </w:p>
    <w:p w14:paraId="5EE4AE99" w14:textId="77777777" w:rsidR="00CA628E" w:rsidRDefault="00CA628E" w:rsidP="00C82B9F">
      <w:pPr>
        <w:pStyle w:val="Heading1"/>
        <w:sectPr w:rsidR="00CA628E" w:rsidSect="00F05F3E">
          <w:footerReference w:type="default" r:id="rId11"/>
          <w:pgSz w:w="11906" w:h="16838"/>
          <w:pgMar w:top="1440" w:right="1134" w:bottom="1440" w:left="2268" w:header="709" w:footer="709" w:gutter="0"/>
          <w:cols w:space="708"/>
          <w:docGrid w:linePitch="360"/>
        </w:sectPr>
      </w:pPr>
    </w:p>
    <w:p w14:paraId="060AFED9" w14:textId="77777777" w:rsidR="00C82B9F" w:rsidRPr="00C82B9F" w:rsidRDefault="004E20A1" w:rsidP="00C82B9F">
      <w:pPr>
        <w:pStyle w:val="Heading1"/>
      </w:pPr>
      <w:bookmarkStart w:id="1" w:name="_Toc485712735"/>
      <w:r w:rsidRPr="00C82B9F">
        <w:lastRenderedPageBreak/>
        <w:t xml:space="preserve">A </w:t>
      </w:r>
      <w:r w:rsidR="005C4C50" w:rsidRPr="00C82B9F">
        <w:t>literature r</w:t>
      </w:r>
      <w:r w:rsidR="00EC34CC" w:rsidRPr="00C82B9F">
        <w:t xml:space="preserve">eview </w:t>
      </w:r>
      <w:r w:rsidR="005C4C50" w:rsidRPr="00C82B9F">
        <w:t>of the effects of small molecules on the stability of p</w:t>
      </w:r>
      <w:r w:rsidRPr="00C82B9F">
        <w:t>roteins</w:t>
      </w:r>
      <w:bookmarkEnd w:id="1"/>
    </w:p>
    <w:p w14:paraId="6EDF8772" w14:textId="77777777" w:rsidR="00C82B9F" w:rsidRDefault="00C82B9F" w:rsidP="00C82B9F">
      <w:pPr>
        <w:rPr>
          <w:rFonts w:cstheme="majorBidi"/>
          <w:sz w:val="40"/>
          <w:szCs w:val="28"/>
        </w:rPr>
      </w:pPr>
      <w:r>
        <w:br w:type="page"/>
      </w:r>
    </w:p>
    <w:p w14:paraId="105C1E99" w14:textId="77777777" w:rsidR="009773FF" w:rsidRPr="00814E44" w:rsidRDefault="002A226E" w:rsidP="008C2B83">
      <w:pPr>
        <w:pStyle w:val="Heading2"/>
      </w:pPr>
      <w:bookmarkStart w:id="2" w:name="_Ref459044272"/>
      <w:bookmarkStart w:id="3" w:name="_Toc485712736"/>
      <w:r w:rsidRPr="00814E44">
        <w:lastRenderedPageBreak/>
        <w:t>Thermodynamics of protein folding</w:t>
      </w:r>
      <w:r w:rsidR="009524CA" w:rsidRPr="00814E44">
        <w:t xml:space="preserve"> &amp; </w:t>
      </w:r>
      <w:r w:rsidR="005A7FE8" w:rsidRPr="00814E44">
        <w:t>stability</w:t>
      </w:r>
      <w:bookmarkEnd w:id="2"/>
      <w:bookmarkEnd w:id="3"/>
    </w:p>
    <w:p w14:paraId="390E8290" w14:textId="77777777" w:rsidR="007E02D3" w:rsidRPr="00E568C9" w:rsidRDefault="00420203">
      <w:pPr>
        <w:rPr>
          <w:szCs w:val="24"/>
        </w:rPr>
      </w:pPr>
      <w:r w:rsidRPr="00E568C9">
        <w:rPr>
          <w:szCs w:val="24"/>
        </w:rPr>
        <w:t>Proteins have the unique ability</w:t>
      </w:r>
      <w:r w:rsidR="000F101B" w:rsidRPr="00E568C9">
        <w:rPr>
          <w:szCs w:val="24"/>
        </w:rPr>
        <w:t xml:space="preserve"> to </w:t>
      </w:r>
      <w:r w:rsidR="0059728D">
        <w:rPr>
          <w:szCs w:val="24"/>
        </w:rPr>
        <w:t xml:space="preserve">spontaneously </w:t>
      </w:r>
      <w:r w:rsidR="004E20A1">
        <w:rPr>
          <w:szCs w:val="24"/>
        </w:rPr>
        <w:t>form a</w:t>
      </w:r>
      <w:r w:rsidR="000F101B" w:rsidRPr="00E568C9">
        <w:rPr>
          <w:szCs w:val="24"/>
        </w:rPr>
        <w:t xml:space="preserve"> </w:t>
      </w:r>
      <w:r w:rsidRPr="00E568C9">
        <w:rPr>
          <w:szCs w:val="24"/>
        </w:rPr>
        <w:t>highly ordered</w:t>
      </w:r>
      <w:r w:rsidR="000F101B" w:rsidRPr="00E568C9">
        <w:rPr>
          <w:szCs w:val="24"/>
        </w:rPr>
        <w:t xml:space="preserve">, asymmetric and aperiodic </w:t>
      </w:r>
      <w:r w:rsidR="004B1F1D" w:rsidRPr="00E568C9">
        <w:rPr>
          <w:szCs w:val="24"/>
        </w:rPr>
        <w:t>thr</w:t>
      </w:r>
      <w:r w:rsidR="004D0A58">
        <w:rPr>
          <w:szCs w:val="24"/>
        </w:rPr>
        <w:t>ee-dimensional conformation,</w:t>
      </w:r>
      <w:r w:rsidR="004B1F1D" w:rsidRPr="00E568C9">
        <w:rPr>
          <w:szCs w:val="24"/>
        </w:rPr>
        <w:t xml:space="preserve"> known as the native structure, </w:t>
      </w:r>
      <w:r w:rsidRPr="00E568C9">
        <w:rPr>
          <w:szCs w:val="24"/>
        </w:rPr>
        <w:t>which is necessary</w:t>
      </w:r>
      <w:r w:rsidR="004B1F1D" w:rsidRPr="00E568C9">
        <w:rPr>
          <w:szCs w:val="24"/>
        </w:rPr>
        <w:t xml:space="preserve"> to carry out their uniqu</w:t>
      </w:r>
      <w:r w:rsidR="00DA1DFF" w:rsidRPr="00E568C9">
        <w:rPr>
          <w:szCs w:val="24"/>
        </w:rPr>
        <w:t>e functions in the cell</w:t>
      </w:r>
      <w:r w:rsidRPr="00E568C9">
        <w:rPr>
          <w:szCs w:val="24"/>
        </w:rPr>
        <w:t>. This capacity</w:t>
      </w:r>
      <w:r w:rsidR="00DA1DFF" w:rsidRPr="00E568C9">
        <w:rPr>
          <w:szCs w:val="24"/>
        </w:rPr>
        <w:t xml:space="preserve"> </w:t>
      </w:r>
      <w:r w:rsidR="0015644E">
        <w:rPr>
          <w:szCs w:val="24"/>
        </w:rPr>
        <w:t xml:space="preserve">to repeatedly form </w:t>
      </w:r>
      <w:r w:rsidRPr="00E568C9">
        <w:rPr>
          <w:szCs w:val="24"/>
        </w:rPr>
        <w:t xml:space="preserve">a specific structure </w:t>
      </w:r>
      <w:r w:rsidR="00DA1DFF" w:rsidRPr="00E568C9">
        <w:rPr>
          <w:szCs w:val="24"/>
        </w:rPr>
        <w:t>was initially</w:t>
      </w:r>
      <w:r w:rsidR="004B1F1D" w:rsidRPr="00E568C9">
        <w:rPr>
          <w:szCs w:val="24"/>
        </w:rPr>
        <w:t xml:space="preserve"> linked to a thermodynamic hypothesis by</w:t>
      </w:r>
      <w:r w:rsidR="00856980">
        <w:rPr>
          <w:szCs w:val="24"/>
        </w:rPr>
        <w:t xml:space="preserve"> Anfinsen</w:t>
      </w:r>
      <w:r w:rsidR="004B1F1D" w:rsidRPr="00E568C9">
        <w:rPr>
          <w:szCs w:val="24"/>
        </w:rPr>
        <w:t xml:space="preserve"> </w:t>
      </w:r>
      <w:r w:rsidR="009473BE">
        <w:rPr>
          <w:szCs w:val="24"/>
        </w:rPr>
        <w:fldChar w:fldCharType="begin" w:fldLock="1"/>
      </w:r>
      <w:r w:rsidR="00882E4A">
        <w:rPr>
          <w:szCs w:val="24"/>
        </w:rPr>
        <w:instrText>ADDIN CSL_CITATION { "citationItems" : [ { "id" : "ITEM-1", "itemData" : { "ISSN" : "0036-8075", "PMID" : "4124164", "author" : [ { "dropping-particle" : "", "family" : "Anfinsen", "given" : "C B", "non-dropping-particle" : "", "parse-names" : false, "suffix" : "" } ], "container-title" : "Science", "id" : "ITEM-1", "issued" : { "date-parts" : [ [ "1973", "7", "20" ] ] }, "page" : "223-230", "title" : "Principles that govern the folding of protein chains", "type" : "article-journal", "volume" : "181" }, "uris" : [ "http://www.mendeley.com/documents/?uuid=480d939b-f2ed-4a7b-99b2-f8d987a4cf70" ] } ], "mendeley" : { "formattedCitation" : "(Anfinsen 1973)", "plainTextFormattedCitation" : "(Anfinsen 1973)", "previouslyFormattedCitation" : "(Anfinsen 1973)" }, "properties" : { "noteIndex" : 0 }, "schema" : "https://github.com/citation-style-language/schema/raw/master/csl-citation.json" }</w:instrText>
      </w:r>
      <w:r w:rsidR="009473BE">
        <w:rPr>
          <w:szCs w:val="24"/>
        </w:rPr>
        <w:fldChar w:fldCharType="separate"/>
      </w:r>
      <w:r w:rsidR="009473BE" w:rsidRPr="009473BE">
        <w:rPr>
          <w:noProof/>
          <w:szCs w:val="24"/>
        </w:rPr>
        <w:t>(Anfinsen 1973)</w:t>
      </w:r>
      <w:r w:rsidR="009473BE">
        <w:rPr>
          <w:szCs w:val="24"/>
        </w:rPr>
        <w:fldChar w:fldCharType="end"/>
      </w:r>
      <w:r w:rsidR="004B1F1D" w:rsidRPr="00E568C9">
        <w:rPr>
          <w:szCs w:val="24"/>
        </w:rPr>
        <w:t xml:space="preserve">. </w:t>
      </w:r>
      <w:r w:rsidR="0067083D" w:rsidRPr="00E568C9">
        <w:rPr>
          <w:szCs w:val="24"/>
        </w:rPr>
        <w:t xml:space="preserve">He discovered that the native structure was the </w:t>
      </w:r>
      <w:r w:rsidR="009524CA">
        <w:rPr>
          <w:szCs w:val="24"/>
        </w:rPr>
        <w:t xml:space="preserve">protein </w:t>
      </w:r>
      <w:r w:rsidR="0067083D" w:rsidRPr="00E568C9">
        <w:rPr>
          <w:szCs w:val="24"/>
        </w:rPr>
        <w:t>conformation with the lowest Gibbs free energy</w:t>
      </w:r>
      <w:r w:rsidR="0059728D" w:rsidRPr="0059728D">
        <w:rPr>
          <w:szCs w:val="24"/>
        </w:rPr>
        <w:t xml:space="preserve"> </w:t>
      </w:r>
      <w:r w:rsidR="0059728D" w:rsidRPr="00E568C9">
        <w:rPr>
          <w:szCs w:val="24"/>
        </w:rPr>
        <w:t>under normal physiological conditions</w:t>
      </w:r>
      <w:r w:rsidR="0067083D" w:rsidRPr="00E568C9">
        <w:rPr>
          <w:szCs w:val="24"/>
        </w:rPr>
        <w:t xml:space="preserve"> i.e. the most thermodynamically favourable. He also found with experiments involving denatured ribonuclease that</w:t>
      </w:r>
      <w:r w:rsidR="00DA1DFF" w:rsidRPr="00E568C9">
        <w:rPr>
          <w:szCs w:val="24"/>
        </w:rPr>
        <w:t>,</w:t>
      </w:r>
      <w:r w:rsidR="0067083D" w:rsidRPr="00E568C9">
        <w:rPr>
          <w:szCs w:val="24"/>
        </w:rPr>
        <w:t xml:space="preserve"> under the right conditions, the protein would be “unscrambled”</w:t>
      </w:r>
      <w:r w:rsidR="00712B68">
        <w:rPr>
          <w:szCs w:val="24"/>
        </w:rPr>
        <w:t xml:space="preserve"> or refolded</w:t>
      </w:r>
      <w:r w:rsidR="0067083D" w:rsidRPr="00E568C9">
        <w:rPr>
          <w:szCs w:val="24"/>
        </w:rPr>
        <w:t xml:space="preserve">, which demonstrated the reversibility of protein unfolding, </w:t>
      </w:r>
      <w:r w:rsidR="007E02D3" w:rsidRPr="00E568C9">
        <w:rPr>
          <w:szCs w:val="24"/>
        </w:rPr>
        <w:t xml:space="preserve">further </w:t>
      </w:r>
      <w:r w:rsidR="0067083D" w:rsidRPr="00E568C9">
        <w:rPr>
          <w:szCs w:val="24"/>
        </w:rPr>
        <w:t>supporti</w:t>
      </w:r>
      <w:r w:rsidR="00DA1DFF" w:rsidRPr="00E568C9">
        <w:rPr>
          <w:szCs w:val="24"/>
        </w:rPr>
        <w:t>ng the thermodynamic hypothesis</w:t>
      </w:r>
      <w:r w:rsidR="0067083D" w:rsidRPr="00E568C9">
        <w:rPr>
          <w:szCs w:val="24"/>
        </w:rPr>
        <w:t>.</w:t>
      </w:r>
    </w:p>
    <w:p w14:paraId="7CB3A3E1" w14:textId="77777777" w:rsidR="00804E96" w:rsidRPr="00367E59" w:rsidRDefault="003F083E">
      <w:pPr>
        <w:rPr>
          <w:szCs w:val="24"/>
        </w:rPr>
      </w:pPr>
      <w:r w:rsidRPr="00E568C9">
        <w:rPr>
          <w:szCs w:val="24"/>
        </w:rPr>
        <w:t>Proteins are only marginally stable in their native form due to the very small change in free energy (</w:t>
      </w:r>
      <w:r w:rsidRPr="00E568C9">
        <w:rPr>
          <w:rFonts w:cs="Times New Roman"/>
          <w:i/>
          <w:szCs w:val="24"/>
        </w:rPr>
        <w:t>Δ</w:t>
      </w:r>
      <w:r w:rsidRPr="00E568C9">
        <w:rPr>
          <w:i/>
          <w:szCs w:val="24"/>
        </w:rPr>
        <w:t>G</w:t>
      </w:r>
      <w:r w:rsidRPr="00E568C9">
        <w:rPr>
          <w:szCs w:val="24"/>
        </w:rPr>
        <w:t xml:space="preserve">) between the </w:t>
      </w:r>
      <w:r w:rsidR="004F7E3B">
        <w:rPr>
          <w:szCs w:val="24"/>
        </w:rPr>
        <w:t>denatured</w:t>
      </w:r>
      <w:r w:rsidRPr="00E568C9">
        <w:rPr>
          <w:szCs w:val="24"/>
        </w:rPr>
        <w:t xml:space="preserve"> and the </w:t>
      </w:r>
      <w:r w:rsidR="004F7E3B">
        <w:rPr>
          <w:szCs w:val="24"/>
        </w:rPr>
        <w:t>native</w:t>
      </w:r>
      <w:r w:rsidRPr="00E568C9">
        <w:rPr>
          <w:szCs w:val="24"/>
        </w:rPr>
        <w:t xml:space="preserve"> state – around </w:t>
      </w:r>
      <w:r w:rsidR="004F7E3B">
        <w:rPr>
          <w:szCs w:val="24"/>
        </w:rPr>
        <w:t>-</w:t>
      </w:r>
      <w:r w:rsidRPr="00E568C9">
        <w:rPr>
          <w:szCs w:val="24"/>
        </w:rPr>
        <w:t>5.15 kcal mol</w:t>
      </w:r>
      <w:r w:rsidRPr="00E568C9">
        <w:rPr>
          <w:szCs w:val="24"/>
          <w:vertAlign w:val="superscript"/>
        </w:rPr>
        <w:t>-1</w:t>
      </w:r>
      <w:r w:rsidRPr="00E568C9">
        <w:rPr>
          <w:szCs w:val="24"/>
        </w:rPr>
        <w:t xml:space="preserve"> for most naturally occurring proteins </w:t>
      </w:r>
      <w:r w:rsidR="009473BE">
        <w:rPr>
          <w:szCs w:val="24"/>
        </w:rPr>
        <w:fldChar w:fldCharType="begin" w:fldLock="1"/>
      </w:r>
      <w:r w:rsidR="009473BE">
        <w:rPr>
          <w:szCs w:val="24"/>
        </w:rPr>
        <w:instrText>ADDIN CSL_CITATION { "citationItems" : [ { "id" : "ITEM-1", "itemData" : { "author" : [ { "dropping-particle" : "", "family" : "Pace", "given" : "C N", "non-dropping-particle" : "", "parse-names" : false, "suffix" : "" } ], "container-title" : "Trends in Biochemical Sciences", "id" : "ITEM-1", "issued" : { "date-parts" : [ [ "1990" ] ] }, "page" : "14-17", "title" : "Conformational stability of globular proteins", "type" : "article-journal", "volume" : "15" }, "uris" : [ "http://www.mendeley.com/documents/?uuid=947c4cdd-85b4-4cf0-aa8a-3079cea22829" ] } ], "mendeley" : { "formattedCitation" : "(Pace 1990)", "plainTextFormattedCitation" : "(Pace 1990)", "previouslyFormattedCitation" : "(Pace 1990)" }, "properties" : { "noteIndex" : 0 }, "schema" : "https://github.com/citation-style-language/schema/raw/master/csl-citation.json" }</w:instrText>
      </w:r>
      <w:r w:rsidR="009473BE">
        <w:rPr>
          <w:szCs w:val="24"/>
        </w:rPr>
        <w:fldChar w:fldCharType="separate"/>
      </w:r>
      <w:r w:rsidR="009473BE" w:rsidRPr="009473BE">
        <w:rPr>
          <w:noProof/>
          <w:szCs w:val="24"/>
        </w:rPr>
        <w:t>(Pace 1990)</w:t>
      </w:r>
      <w:r w:rsidR="009473BE">
        <w:rPr>
          <w:szCs w:val="24"/>
        </w:rPr>
        <w:fldChar w:fldCharType="end"/>
      </w:r>
      <w:r w:rsidRPr="00E568C9">
        <w:rPr>
          <w:szCs w:val="24"/>
        </w:rPr>
        <w:t xml:space="preserve">. </w:t>
      </w:r>
      <w:r w:rsidR="001D6102">
        <w:rPr>
          <w:szCs w:val="24"/>
        </w:rPr>
        <w:t>The</w:t>
      </w:r>
      <w:r w:rsidRPr="00E568C9">
        <w:rPr>
          <w:szCs w:val="24"/>
        </w:rPr>
        <w:t xml:space="preserve"> change in enthalpy (</w:t>
      </w:r>
      <w:r w:rsidRPr="00E568C9">
        <w:rPr>
          <w:rFonts w:cs="Times New Roman"/>
          <w:i/>
          <w:szCs w:val="24"/>
        </w:rPr>
        <w:t>Δ</w:t>
      </w:r>
      <w:r w:rsidRPr="00E568C9">
        <w:rPr>
          <w:i/>
          <w:szCs w:val="24"/>
        </w:rPr>
        <w:t>H</w:t>
      </w:r>
      <w:r w:rsidRPr="00E568C9">
        <w:rPr>
          <w:szCs w:val="24"/>
        </w:rPr>
        <w:t xml:space="preserve">) </w:t>
      </w:r>
      <w:r w:rsidR="001D6102">
        <w:rPr>
          <w:szCs w:val="24"/>
        </w:rPr>
        <w:t>is</w:t>
      </w:r>
      <w:r w:rsidRPr="00E568C9">
        <w:rPr>
          <w:szCs w:val="24"/>
        </w:rPr>
        <w:t xml:space="preserve"> highly negative due to hydrogen bond formation during folding, </w:t>
      </w:r>
      <w:r w:rsidR="001D6102">
        <w:rPr>
          <w:szCs w:val="24"/>
        </w:rPr>
        <w:t xml:space="preserve">which favours the native state. Although there is a negative, and so favourable, change in entropy </w:t>
      </w:r>
      <w:r w:rsidR="001D6102" w:rsidRPr="00E568C9">
        <w:rPr>
          <w:szCs w:val="24"/>
        </w:rPr>
        <w:t>(</w:t>
      </w:r>
      <w:r w:rsidR="001D6102">
        <w:rPr>
          <w:szCs w:val="24"/>
        </w:rPr>
        <w:t>-T</w:t>
      </w:r>
      <w:r w:rsidR="001D6102" w:rsidRPr="00E568C9">
        <w:rPr>
          <w:rFonts w:cs="Times New Roman"/>
          <w:i/>
          <w:szCs w:val="24"/>
        </w:rPr>
        <w:t>Δ</w:t>
      </w:r>
      <w:r w:rsidR="001D6102" w:rsidRPr="00E568C9">
        <w:rPr>
          <w:i/>
          <w:szCs w:val="24"/>
        </w:rPr>
        <w:t>S</w:t>
      </w:r>
      <w:r w:rsidR="001D6102" w:rsidRPr="00E568C9">
        <w:rPr>
          <w:szCs w:val="24"/>
        </w:rPr>
        <w:t xml:space="preserve">) </w:t>
      </w:r>
      <w:r w:rsidR="001D6102">
        <w:rPr>
          <w:szCs w:val="24"/>
        </w:rPr>
        <w:t>associated with desolvation of the apolar core upon folding, there is also</w:t>
      </w:r>
      <w:r w:rsidRPr="00E568C9">
        <w:rPr>
          <w:szCs w:val="24"/>
        </w:rPr>
        <w:t xml:space="preserve"> </w:t>
      </w:r>
      <w:r w:rsidR="001D6102">
        <w:rPr>
          <w:szCs w:val="24"/>
        </w:rPr>
        <w:t xml:space="preserve">a </w:t>
      </w:r>
      <w:r w:rsidRPr="00E568C9">
        <w:rPr>
          <w:szCs w:val="24"/>
        </w:rPr>
        <w:t>positive</w:t>
      </w:r>
      <w:r w:rsidR="001D6102">
        <w:rPr>
          <w:szCs w:val="24"/>
        </w:rPr>
        <w:t>, and so unfavourable,</w:t>
      </w:r>
      <w:r w:rsidRPr="00E568C9">
        <w:rPr>
          <w:szCs w:val="24"/>
        </w:rPr>
        <w:t xml:space="preserve"> change in entropy (</w:t>
      </w:r>
      <w:r w:rsidR="004F7E3B">
        <w:rPr>
          <w:szCs w:val="24"/>
        </w:rPr>
        <w:t>-T</w:t>
      </w:r>
      <w:r w:rsidRPr="00E568C9">
        <w:rPr>
          <w:rFonts w:cs="Times New Roman"/>
          <w:i/>
          <w:szCs w:val="24"/>
        </w:rPr>
        <w:t>Δ</w:t>
      </w:r>
      <w:r w:rsidRPr="00E568C9">
        <w:rPr>
          <w:i/>
          <w:szCs w:val="24"/>
        </w:rPr>
        <w:t>S</w:t>
      </w:r>
      <w:r w:rsidRPr="00E568C9">
        <w:rPr>
          <w:szCs w:val="24"/>
        </w:rPr>
        <w:t>) of the protein structure</w:t>
      </w:r>
      <w:r w:rsidR="001D6102">
        <w:rPr>
          <w:szCs w:val="24"/>
        </w:rPr>
        <w:t>, which results in an overall change in ent</w:t>
      </w:r>
      <w:r w:rsidR="00CA07B6">
        <w:rPr>
          <w:szCs w:val="24"/>
        </w:rPr>
        <w:t>ropy</w:t>
      </w:r>
      <w:r w:rsidR="001D6102">
        <w:rPr>
          <w:szCs w:val="24"/>
        </w:rPr>
        <w:t xml:space="preserve"> that</w:t>
      </w:r>
      <w:r w:rsidRPr="00E568C9">
        <w:rPr>
          <w:szCs w:val="24"/>
        </w:rPr>
        <w:t xml:space="preserve"> counteract</w:t>
      </w:r>
      <w:r w:rsidR="00CA07B6">
        <w:rPr>
          <w:szCs w:val="24"/>
        </w:rPr>
        <w:t>s and almost equals the enthalpy</w:t>
      </w:r>
      <w:r w:rsidRPr="00E568C9">
        <w:rPr>
          <w:szCs w:val="24"/>
        </w:rPr>
        <w:t xml:space="preserve"> cha</w:t>
      </w:r>
      <w:r w:rsidR="001D6102">
        <w:rPr>
          <w:szCs w:val="24"/>
        </w:rPr>
        <w:t>nge. This means</w:t>
      </w:r>
      <w:r w:rsidR="00F16B50">
        <w:rPr>
          <w:szCs w:val="24"/>
        </w:rPr>
        <w:t xml:space="preserve"> the change in Gibb</w:t>
      </w:r>
      <w:r w:rsidRPr="00E568C9">
        <w:rPr>
          <w:szCs w:val="24"/>
        </w:rPr>
        <w:t>s free energy for folding has a very small negative value</w:t>
      </w:r>
      <w:r w:rsidR="003039D1">
        <w:rPr>
          <w:szCs w:val="24"/>
        </w:rPr>
        <w:t xml:space="preserve"> and as such is only slightly favourable</w:t>
      </w:r>
      <w:r w:rsidR="00553AF6">
        <w:rPr>
          <w:szCs w:val="24"/>
        </w:rPr>
        <w:t xml:space="preserve"> (unfolding will have a slightly positive Δ</w:t>
      </w:r>
      <w:r w:rsidR="00553AF6">
        <w:rPr>
          <w:i/>
          <w:szCs w:val="24"/>
        </w:rPr>
        <w:t>G</w:t>
      </w:r>
      <w:r w:rsidR="00553AF6">
        <w:rPr>
          <w:szCs w:val="24"/>
        </w:rPr>
        <w:t>)</w:t>
      </w:r>
      <w:r w:rsidRPr="00E568C9">
        <w:rPr>
          <w:szCs w:val="24"/>
        </w:rPr>
        <w:t>.</w:t>
      </w:r>
      <w:r w:rsidR="00E568C9">
        <w:rPr>
          <w:szCs w:val="24"/>
        </w:rPr>
        <w:t xml:space="preserve"> This means that both hydrogen bonding and hydration effects have a large role to play in protein stability</w:t>
      </w:r>
      <w:r w:rsidR="009473BE">
        <w:rPr>
          <w:szCs w:val="24"/>
        </w:rPr>
        <w:t xml:space="preserve"> </w:t>
      </w:r>
      <w:r w:rsidR="009473BE">
        <w:rPr>
          <w:szCs w:val="24"/>
        </w:rPr>
        <w:fldChar w:fldCharType="begin" w:fldLock="1"/>
      </w:r>
      <w:r w:rsidR="009473BE">
        <w:rPr>
          <w:szCs w:val="24"/>
        </w:rPr>
        <w:instrText>ADDIN CSL_CITATION { "citationItems" : [ { "id" : "ITEM-1", "itemData" : { "author" : [ { "dropping-particle" : "", "family" : "Pace", "given" : "C N", "non-dropping-particle" : "", "parse-names" : false, "suffix" : "" }, { "dropping-particle" : "", "family" : "Shirley", "given" : "B A", "non-dropping-particle" : "", "parse-names" : false, "suffix" : "" }, { "dropping-particle" : "", "family" : "Mcnutt", "given" : "M", "non-dropping-particle" : "", "parse-names" : false, "suffix" : "" }, { "dropping-particle" : "", "family" : "Gajiwala", "given" : "K", "non-dropping-particle" : "", "parse-names" : false, "suffix" : "" } ], "container-title" : "Journal of the Federation of American Societies for Experimental Biology", "id" : "ITEM-1", "issued" : { "date-parts" : [ [ "1996" ] ] }, "page" : "75-83", "title" : "Forces contributing to the conformational stability of proteins", "type" : "article-journal", "volume" : "10" }, "uris" : [ "http://www.mendeley.com/documents/?uuid=ccff3bec-8a64-4ff4-9b14-368ef2094f32" ] } ], "mendeley" : { "formattedCitation" : "(Pace et al. 1996)", "plainTextFormattedCitation" : "(Pace et al. 1996)", "previouslyFormattedCitation" : "(Pace et al. 1996)" }, "properties" : { "noteIndex" : 0 }, "schema" : "https://github.com/citation-style-language/schema/raw/master/csl-citation.json" }</w:instrText>
      </w:r>
      <w:r w:rsidR="009473BE">
        <w:rPr>
          <w:szCs w:val="24"/>
        </w:rPr>
        <w:fldChar w:fldCharType="separate"/>
      </w:r>
      <w:r w:rsidR="009473BE" w:rsidRPr="009473BE">
        <w:rPr>
          <w:noProof/>
          <w:szCs w:val="24"/>
        </w:rPr>
        <w:t>(Pace et al. 1996)</w:t>
      </w:r>
      <w:r w:rsidR="009473BE">
        <w:rPr>
          <w:szCs w:val="24"/>
        </w:rPr>
        <w:fldChar w:fldCharType="end"/>
      </w:r>
      <w:r w:rsidR="00E568C9">
        <w:rPr>
          <w:szCs w:val="24"/>
        </w:rPr>
        <w:t xml:space="preserve"> </w:t>
      </w:r>
      <w:r w:rsidR="00367E59">
        <w:rPr>
          <w:szCs w:val="24"/>
        </w:rPr>
        <w:t xml:space="preserve">as only small changes in the interactions that </w:t>
      </w:r>
      <w:r w:rsidR="00856980">
        <w:rPr>
          <w:szCs w:val="24"/>
        </w:rPr>
        <w:t>confer</w:t>
      </w:r>
      <w:r w:rsidR="00367E59">
        <w:rPr>
          <w:szCs w:val="24"/>
        </w:rPr>
        <w:t xml:space="preserve"> the marginal stabilisation of the native state will result in denaturation of the protein.</w:t>
      </w:r>
    </w:p>
    <w:p w14:paraId="12A2D937" w14:textId="77777777" w:rsidR="00ED1D6E" w:rsidRPr="004F6B4E" w:rsidRDefault="00ED1D6E" w:rsidP="00C95218">
      <w:pPr>
        <w:pStyle w:val="Heading3"/>
      </w:pPr>
      <w:bookmarkStart w:id="4" w:name="_Toc485712737"/>
      <w:r w:rsidRPr="004F6B4E">
        <w:t>Role of hydration in protein folding</w:t>
      </w:r>
      <w:r w:rsidR="001907D5" w:rsidRPr="004F6B4E">
        <w:t xml:space="preserve"> </w:t>
      </w:r>
      <w:r w:rsidR="008D6ED0">
        <w:t xml:space="preserve">&amp; </w:t>
      </w:r>
      <w:r w:rsidRPr="004F6B4E">
        <w:t>stability</w:t>
      </w:r>
      <w:bookmarkEnd w:id="4"/>
    </w:p>
    <w:p w14:paraId="0C73CACE" w14:textId="77777777" w:rsidR="003F083E" w:rsidRPr="009473BE" w:rsidRDefault="00B80559">
      <w:pPr>
        <w:rPr>
          <w:szCs w:val="24"/>
        </w:rPr>
      </w:pPr>
      <w:r w:rsidRPr="00E568C9">
        <w:rPr>
          <w:szCs w:val="24"/>
        </w:rPr>
        <w:t>The importance of the hydrophobic effect on protein stability was f</w:t>
      </w:r>
      <w:r w:rsidR="007A5C73">
        <w:rPr>
          <w:szCs w:val="24"/>
        </w:rPr>
        <w:t xml:space="preserve">irst suggested by Kauzmann </w:t>
      </w:r>
      <w:r w:rsidR="007A5C73">
        <w:rPr>
          <w:szCs w:val="24"/>
        </w:rPr>
        <w:fldChar w:fldCharType="begin" w:fldLock="1"/>
      </w:r>
      <w:r w:rsidR="00F267E1">
        <w:rPr>
          <w:szCs w:val="24"/>
        </w:rPr>
        <w:instrText>ADDIN CSL_CITATION { "citationItems" : [ { "id" : "ITEM-1", "itemData" : { "author" : [ { "dropping-particle" : "", "family" : "Kauzmann", "given" : "W", "non-dropping-particle" : "", "parse-names" : false, "suffix" : "" } ], "container-title" : "Advances in Protein Chemistry", "id" : "ITEM-1", "issued" : { "date-parts" : [ [ "1959" ] ] }, "page" : "1-63", "title" : "Some factors in the interpretation of protein denaturation", "type" : "article-journal", "volume" : "14" }, "uris" : [ "http://www.mendeley.com/documents/?uuid=f296ebd7-45c6-4943-b68e-4a50f699c034" ] } ], "mendeley" : { "formattedCitation" : "(Kauzmann 1959)", "plainTextFormattedCitation" : "(Kauzmann 1959)", "previouslyFormattedCitation" : "(Kauzmann 1959)" }, "properties" : { "noteIndex" : 0 }, "schema" : "https://github.com/citation-style-language/schema/raw/master/csl-citation.json" }</w:instrText>
      </w:r>
      <w:r w:rsidR="007A5C73">
        <w:rPr>
          <w:szCs w:val="24"/>
        </w:rPr>
        <w:fldChar w:fldCharType="separate"/>
      </w:r>
      <w:r w:rsidR="007A5C73" w:rsidRPr="007A5C73">
        <w:rPr>
          <w:noProof/>
          <w:szCs w:val="24"/>
        </w:rPr>
        <w:t>(Kauzmann 1959)</w:t>
      </w:r>
      <w:r w:rsidR="007A5C73">
        <w:rPr>
          <w:szCs w:val="24"/>
        </w:rPr>
        <w:fldChar w:fldCharType="end"/>
      </w:r>
      <w:r w:rsidRPr="00E568C9">
        <w:rPr>
          <w:szCs w:val="24"/>
        </w:rPr>
        <w:t xml:space="preserve">. </w:t>
      </w:r>
      <w:r w:rsidR="009524CA">
        <w:rPr>
          <w:szCs w:val="24"/>
        </w:rPr>
        <w:t>He suggested that t</w:t>
      </w:r>
      <w:r w:rsidRPr="00E568C9">
        <w:rPr>
          <w:szCs w:val="24"/>
        </w:rPr>
        <w:t>he formation</w:t>
      </w:r>
      <w:r w:rsidR="001907D5" w:rsidRPr="00E568C9">
        <w:rPr>
          <w:szCs w:val="24"/>
        </w:rPr>
        <w:t xml:space="preserve"> of a</w:t>
      </w:r>
      <w:r w:rsidRPr="00E568C9">
        <w:rPr>
          <w:szCs w:val="24"/>
        </w:rPr>
        <w:t xml:space="preserve"> hydrophobic core</w:t>
      </w:r>
      <w:r w:rsidR="001907D5" w:rsidRPr="00E568C9">
        <w:rPr>
          <w:szCs w:val="24"/>
        </w:rPr>
        <w:t xml:space="preserve"> principally consisting of apolar residues</w:t>
      </w:r>
      <w:r w:rsidR="009524CA">
        <w:rPr>
          <w:szCs w:val="24"/>
        </w:rPr>
        <w:t xml:space="preserve"> was</w:t>
      </w:r>
      <w:r w:rsidRPr="00E568C9">
        <w:rPr>
          <w:szCs w:val="24"/>
        </w:rPr>
        <w:t xml:space="preserve"> the major driving force for stabilising the </w:t>
      </w:r>
      <w:r w:rsidRPr="00E568C9">
        <w:rPr>
          <w:szCs w:val="24"/>
        </w:rPr>
        <w:lastRenderedPageBreak/>
        <w:t xml:space="preserve">native state of a protein. </w:t>
      </w:r>
      <w:r w:rsidR="003F083E" w:rsidRPr="00E568C9">
        <w:rPr>
          <w:szCs w:val="24"/>
        </w:rPr>
        <w:t xml:space="preserve">The advent of scanning microcalorimetry developed by </w:t>
      </w:r>
      <w:r w:rsidR="00BA2CA9">
        <w:rPr>
          <w:szCs w:val="24"/>
        </w:rPr>
        <w:t xml:space="preserve">Privalov </w:t>
      </w:r>
      <w:r w:rsidR="009473BE">
        <w:rPr>
          <w:szCs w:val="24"/>
        </w:rPr>
        <w:fldChar w:fldCharType="begin" w:fldLock="1"/>
      </w:r>
      <w:r w:rsidR="009473BE">
        <w:rPr>
          <w:szCs w:val="24"/>
        </w:rPr>
        <w:instrText>ADDIN CSL_CITATION { "citationItems" : [ { "id" : "ITEM-1", "itemData" : { "author" : [ { "dropping-particle" : "", "family" : "Privalov", "given" : "P L", "non-dropping-particle" : "", "parse-names" : false, "suffix" : "" }, { "dropping-particle" : "", "family" : "Potekhin", "given" : "S A", "non-dropping-particle" : "", "parse-names" : false, "suffix" : "" } ], "container-title" : "Methods in Enzymology", "id" : "ITEM-1", "issued" : { "date-parts" : [ [ "1986" ] ] }, "page" : "4-51", "title" : "Scanning microcalorimetry in studying temperature-induced changes in proteins", "type" : "article-journal", "volume" : "131" }, "uris" : [ "http://www.mendeley.com/documents/?uuid=91ebab62-b4df-4cc2-98e4-4d95576dddca" ] } ], "mendeley" : { "formattedCitation" : "(Privalov &amp; Potekhin 1986)", "plainTextFormattedCitation" : "(Privalov &amp; Potekhin 1986)", "previouslyFormattedCitation" : "(Privalov &amp; Potekhin 1986)" }, "properties" : { "noteIndex" : 0 }, "schema" : "https://github.com/citation-style-language/schema/raw/master/csl-citation.json" }</w:instrText>
      </w:r>
      <w:r w:rsidR="009473BE">
        <w:rPr>
          <w:szCs w:val="24"/>
        </w:rPr>
        <w:fldChar w:fldCharType="separate"/>
      </w:r>
      <w:r w:rsidR="009473BE" w:rsidRPr="009473BE">
        <w:rPr>
          <w:noProof/>
          <w:szCs w:val="24"/>
        </w:rPr>
        <w:t>(Privalov &amp; Potekhin 1986)</w:t>
      </w:r>
      <w:r w:rsidR="009473BE">
        <w:rPr>
          <w:szCs w:val="24"/>
        </w:rPr>
        <w:fldChar w:fldCharType="end"/>
      </w:r>
      <w:r w:rsidR="00D76ED1" w:rsidRPr="00E568C9">
        <w:rPr>
          <w:color w:val="FF0000"/>
          <w:szCs w:val="24"/>
        </w:rPr>
        <w:t xml:space="preserve"> </w:t>
      </w:r>
      <w:r w:rsidR="003F083E" w:rsidRPr="00E568C9">
        <w:rPr>
          <w:szCs w:val="24"/>
        </w:rPr>
        <w:t xml:space="preserve">was the turning point for the development of current thermodynamic models of protein folding by discovering the temperature dependence of </w:t>
      </w:r>
      <w:r w:rsidR="003F083E" w:rsidRPr="00E568C9">
        <w:rPr>
          <w:rFonts w:cs="Times New Roman"/>
          <w:i/>
          <w:szCs w:val="24"/>
        </w:rPr>
        <w:t>Δ</w:t>
      </w:r>
      <w:r w:rsidR="003F083E" w:rsidRPr="00E568C9">
        <w:rPr>
          <w:i/>
          <w:szCs w:val="24"/>
        </w:rPr>
        <w:t xml:space="preserve">H </w:t>
      </w:r>
      <w:r w:rsidR="00D76ED1" w:rsidRPr="00E568C9">
        <w:rPr>
          <w:szCs w:val="24"/>
        </w:rPr>
        <w:t>(change in heat capacity of unfolding</w:t>
      </w:r>
      <w:r w:rsidR="003B6732" w:rsidRPr="00E568C9">
        <w:rPr>
          <w:szCs w:val="24"/>
        </w:rPr>
        <w:t xml:space="preserve">, </w:t>
      </w:r>
      <w:r w:rsidR="003B6732" w:rsidRPr="00A953B4">
        <w:rPr>
          <w:rFonts w:cs="Times New Roman"/>
          <w:i/>
          <w:szCs w:val="24"/>
        </w:rPr>
        <w:t>Δ</w:t>
      </w:r>
      <w:r w:rsidR="003B6732" w:rsidRPr="00A953B4">
        <w:rPr>
          <w:i/>
          <w:szCs w:val="24"/>
        </w:rPr>
        <w:t>C</w:t>
      </w:r>
      <w:r w:rsidR="003B6732" w:rsidRPr="00A953B4">
        <w:rPr>
          <w:i/>
          <w:szCs w:val="24"/>
          <w:vertAlign w:val="subscript"/>
        </w:rPr>
        <w:t>p</w:t>
      </w:r>
      <w:r w:rsidR="00D76ED1" w:rsidRPr="00E568C9">
        <w:rPr>
          <w:szCs w:val="24"/>
        </w:rPr>
        <w:t xml:space="preserve">). This demonstrated that a solution containing unfolded protein requires more heat to raise </w:t>
      </w:r>
      <w:r w:rsidR="00FC2576">
        <w:rPr>
          <w:szCs w:val="24"/>
        </w:rPr>
        <w:t>its</w:t>
      </w:r>
      <w:r w:rsidR="00D76ED1" w:rsidRPr="00E568C9">
        <w:rPr>
          <w:szCs w:val="24"/>
        </w:rPr>
        <w:t xml:space="preserve"> temperature than </w:t>
      </w:r>
      <w:r w:rsidR="001559B0">
        <w:rPr>
          <w:szCs w:val="24"/>
        </w:rPr>
        <w:t xml:space="preserve">a </w:t>
      </w:r>
      <w:r w:rsidR="00D76ED1" w:rsidRPr="00E568C9">
        <w:rPr>
          <w:szCs w:val="24"/>
        </w:rPr>
        <w:t>solution containing folded protein</w:t>
      </w:r>
      <w:r w:rsidR="00ED1D6E" w:rsidRPr="00E568C9">
        <w:rPr>
          <w:szCs w:val="24"/>
        </w:rPr>
        <w:t xml:space="preserve">. This </w:t>
      </w:r>
      <w:r w:rsidR="00FC2576">
        <w:rPr>
          <w:szCs w:val="24"/>
        </w:rPr>
        <w:t>is</w:t>
      </w:r>
      <w:r w:rsidR="00ED1D6E" w:rsidRPr="00E568C9">
        <w:rPr>
          <w:szCs w:val="24"/>
        </w:rPr>
        <w:t xml:space="preserve"> due to an increase in hydrogen bonding between the apolar residues exposed during unfolding and the restructured water </w:t>
      </w:r>
      <w:r w:rsidR="00E81CB1">
        <w:rPr>
          <w:szCs w:val="24"/>
        </w:rPr>
        <w:t>– or “icebergs”</w:t>
      </w:r>
      <w:r w:rsidR="009473BE">
        <w:rPr>
          <w:szCs w:val="24"/>
        </w:rPr>
        <w:t xml:space="preserve"> </w:t>
      </w:r>
      <w:r w:rsidR="009473BE">
        <w:rPr>
          <w:szCs w:val="24"/>
        </w:rPr>
        <w:fldChar w:fldCharType="begin" w:fldLock="1"/>
      </w:r>
      <w:r w:rsidR="00BA2CA9">
        <w:rPr>
          <w:szCs w:val="24"/>
        </w:rPr>
        <w:instrText>ADDIN CSL_CITATION { "citationItems" : [ { "id" : "ITEM-1", "itemData" : { "DOI" : "10.1073/pnas.92.19.8926", "ISSN" : "0027-8424", "abstract" : "Although the rates of chemical reactions become faster with increasing temperature, the converse may be observed with protein-folding reactions. The rate constant for folding initially increases with temperature, goes through a maximum, and then decreases. The activation enthalpy is thus highly temperature dependent because of a large change in specific heat (delta Cp). Such a delta Cp term is usually presumed to be a consequence of a large decrease in exposure of hydrophobic surfaces to water as the reaction proceeds from the denatured state to the transition state for folding: the hydrophobic side chains are surrounded by \"icebergs\" of water that melt with increasing temperature, thus making a large contribution to the Cp of the denatured state and a smaller one to the more compact transition state. The rate could also be affected by temperature-induced changes in the conformational population of the ground state: the heat required for the progressive melting of residual structure in the denatured state will contribute to delta Cp. By examining two proteins with different refolding mechanisms, we are able to find both of these two processes; barley chymotrypsin inhibitor 2, which refolds from a highly unfolded state, fits well to a hydrophobic interaction model with a constant delta Cp of activation, whereas barnase, which refolds from a more structured denatured state, deviates from this ideal behavior.", "author" : [ { "dropping-particle" : "", "family" : "Oliveberg", "given" : "M", "non-dropping-particle" : "", "parse-names" : false, "suffix" : "" }, { "dropping-particle" : "", "family" : "Tan", "given" : "Y J", "non-dropping-particle" : "", "parse-names" : false, "suffix" : "" }, { "dropping-particle" : "", "family" : "Fersht", "given" : "A R", "non-dropping-particle" : "", "parse-names" : false, "suffix" : "" } ], "container-title" : "Proceedings of the National Academy of Sciences of the United States of America", "id" : "ITEM-1", "issued" : { "date-parts" : [ [ "1995", "9", "12" ] ] }, "page" : "8926-8929", "title" : "Negative activation enthalpies in the kinetics of protein folding", "type" : "article-journal", "volume" : "92" }, "uris" : [ "http://www.mendeley.com/documents/?uuid=1e3345b3-2f8b-47e9-9d93-46a0f248548d" ] }, { "id" : "ITEM-2", "itemData" : { "DOI" : "10.1063/1.1723985", "ISBN" : "0021-9606", "ISSN" : "00219606", "abstract" : "The ideas of the first and second papers in this series, which make it possible to interpret entropy data in terms of a physical picture, are applied to binary solutions, and equations are derived relating energy and volume changes when a solution is formed to the entropy change for the process. These equations are tested against data obtained by various authors on mixtures of normal liquids, and on solutions of non-polar gases in normal solvents. Good general agreement is found, and it is concluded that in such solutions the physical picture of molecules moving in a \"normal'' manner in each others' force fields is adequate. As would be expected, permanent gases, when dissolved in normal liquids, loosen the forces on neighboring solvent molecules producing a solvent reaction which increases the partial molal entropy of the solute. Entropies of vaporization from aqueous solutions diverge strikingly from the normal behavior established for non-aqueous solutions. The nature of the deviations found for non-polar solutes in water, together with the large effect of temperature upon them, leads to the idea that the water forms frozen patches or microscopic icebergs around such solute molecules, the extent of the iceberg increasing with the size of the solute molecule. Such icebergs are apparently formed also about the non-polar parts of the molecules of polar substances such as alcohols and amines dissolved in water, in agreement with Butler's observation that the increasing insolubility of large non-polar molecules is an entropy effect. The entropies of hydration of ions are discussed from the same point of view, and the conclusion is reached that ions, to an extent which depends on their sizes and charges, may cause a breaking down of water structure as well as a freezing or saturation of the water nearest them. Various phenomena recorded in the literature are interpreted in these terms. The influence of temperature on certain salting out coefficients is interpreted in terms of entropy changes. It appears that the salting out phenomenon is at least partly a structural effect. It is suggested that structural influences modify the distribution of ions in an electrolyte solution, and reasons are given for postulating the existence of a super lattice structure in solutions of LaCl3 and of EuCl3. An example is given of a possible additional influence of structural factors upon reacting tendencies in aqueous solutions.", "author" : [ { "dropping-particle" : "", "family" : "Frank", "given" : "H S", "non-dropping-particle" : "", "parse-names" : false, "suffix" : "" }, { "dropping-particle" : "", "family" : "Evans", "given" : "M W", "non-dropping-particle" : "", "parse-names" : false, "suffix" : "" } ], "container-title" : "Journal of Chemical Physics", "id" : "ITEM-2", "issued" : { "date-parts" : [ [ "1945" ] ] }, "page" : "507-532", "title" : "Free volume and entropy in condensed systems III. Entropy in binary liquid mixtures; partial molal entropy in dilute solutions; structure and thermodynamics in aqueous electrolytes", "type" : "article-journal", "volume" : "13" }, "uris" : [ "http://www.mendeley.com/documents/?uuid=5c61c8e2-a66b-4c89-a7ec-987234221c23" ] } ], "mendeley" : { "formattedCitation" : "(Oliveberg et al. 1995; Frank &amp; Evans 1945)", "plainTextFormattedCitation" : "(Oliveberg et al. 1995; Frank &amp; Evans 1945)", "previouslyFormattedCitation" : "(Oliveberg et al. 1995; Frank &amp; Evans 1945)" }, "properties" : { "noteIndex" : 0 }, "schema" : "https://github.com/citation-style-language/schema/raw/master/csl-citation.json" }</w:instrText>
      </w:r>
      <w:r w:rsidR="009473BE">
        <w:rPr>
          <w:szCs w:val="24"/>
        </w:rPr>
        <w:fldChar w:fldCharType="separate"/>
      </w:r>
      <w:r w:rsidR="00BA2CA9" w:rsidRPr="00BA2CA9">
        <w:rPr>
          <w:noProof/>
          <w:szCs w:val="24"/>
        </w:rPr>
        <w:t>(Oliveberg et al. 1995; Frank &amp; Evans 1945)</w:t>
      </w:r>
      <w:r w:rsidR="009473BE">
        <w:rPr>
          <w:szCs w:val="24"/>
        </w:rPr>
        <w:fldChar w:fldCharType="end"/>
      </w:r>
      <w:r w:rsidR="009473BE">
        <w:rPr>
          <w:color w:val="FF0000"/>
          <w:szCs w:val="24"/>
        </w:rPr>
        <w:t xml:space="preserve"> </w:t>
      </w:r>
      <w:r w:rsidR="00E81CB1">
        <w:rPr>
          <w:szCs w:val="24"/>
        </w:rPr>
        <w:t xml:space="preserve">– </w:t>
      </w:r>
      <w:r w:rsidR="000D1F75">
        <w:rPr>
          <w:szCs w:val="24"/>
        </w:rPr>
        <w:t>in the hy</w:t>
      </w:r>
      <w:r w:rsidR="00294515">
        <w:rPr>
          <w:szCs w:val="24"/>
        </w:rPr>
        <w:t>dration shell</w:t>
      </w:r>
      <w:r w:rsidR="009524CA">
        <w:rPr>
          <w:szCs w:val="24"/>
        </w:rPr>
        <w:t>. M</w:t>
      </w:r>
      <w:r w:rsidR="0022096D">
        <w:rPr>
          <w:szCs w:val="24"/>
        </w:rPr>
        <w:t>ore heat is required to break the more structured water</w:t>
      </w:r>
      <w:r w:rsidR="00294515">
        <w:rPr>
          <w:szCs w:val="24"/>
        </w:rPr>
        <w:t>. This restructuring of</w:t>
      </w:r>
      <w:r w:rsidR="000D1F75">
        <w:rPr>
          <w:szCs w:val="24"/>
        </w:rPr>
        <w:t xml:space="preserve"> water around the newly exposed a</w:t>
      </w:r>
      <w:r w:rsidR="00033D75">
        <w:rPr>
          <w:szCs w:val="24"/>
        </w:rPr>
        <w:t>polar residues upon unfolding provides the</w:t>
      </w:r>
      <w:r w:rsidR="000D1F75">
        <w:rPr>
          <w:szCs w:val="24"/>
        </w:rPr>
        <w:t xml:space="preserve"> entropically unfavourable</w:t>
      </w:r>
      <w:r w:rsidR="00033D75">
        <w:rPr>
          <w:szCs w:val="24"/>
        </w:rPr>
        <w:t xml:space="preserve"> component of protein unfolding,</w:t>
      </w:r>
      <w:r w:rsidR="00ED1D6E" w:rsidRPr="00E568C9">
        <w:rPr>
          <w:szCs w:val="24"/>
        </w:rPr>
        <w:t xml:space="preserve"> </w:t>
      </w:r>
      <w:r w:rsidR="00804E96" w:rsidRPr="00E568C9">
        <w:rPr>
          <w:szCs w:val="24"/>
        </w:rPr>
        <w:t>proving</w:t>
      </w:r>
      <w:r w:rsidR="00294515">
        <w:rPr>
          <w:szCs w:val="24"/>
        </w:rPr>
        <w:t xml:space="preserve"> that the hydrophobic effect has</w:t>
      </w:r>
      <w:r w:rsidR="00804E96" w:rsidRPr="00E568C9">
        <w:rPr>
          <w:szCs w:val="24"/>
        </w:rPr>
        <w:t xml:space="preserve"> a major role in protein stability </w:t>
      </w:r>
      <w:r w:rsidR="009473BE">
        <w:rPr>
          <w:szCs w:val="24"/>
        </w:rPr>
        <w:fldChar w:fldCharType="begin" w:fldLock="1"/>
      </w:r>
      <w:r w:rsidR="009473BE">
        <w:rPr>
          <w:szCs w:val="24"/>
        </w:rPr>
        <w:instrText>ADDIN CSL_CITATION { "citationItems" : [ { "id" : "ITEM-1", "itemData" : { "author" : [ { "dropping-particle" : "", "family" : "Schellman", "given" : "J A", "non-dropping-particle" : "", "parse-names" : false, "suffix" : "" } ], "container-title" : "Annual Review of Biophysics and Biophysical Chemistry", "id" : "ITEM-1", "issued" : { "date-parts" : [ [ "1987" ] ] }, "page" : "115-137", "title" : "The thermodynamic stability of proteins", "type" : "article-journal", "volume" : "16" }, "uris" : [ "http://www.mendeley.com/documents/?uuid=5a8ca94f-b50c-4c0c-a4a5-3dc3f32e9828" ] } ], "mendeley" : { "formattedCitation" : "(Schellman 1987)", "plainTextFormattedCitation" : "(Schellman 1987)", "previouslyFormattedCitation" : "(Schellman 1987)" }, "properties" : { "noteIndex" : 0 }, "schema" : "https://github.com/citation-style-language/schema/raw/master/csl-citation.json" }</w:instrText>
      </w:r>
      <w:r w:rsidR="009473BE">
        <w:rPr>
          <w:szCs w:val="24"/>
        </w:rPr>
        <w:fldChar w:fldCharType="separate"/>
      </w:r>
      <w:r w:rsidR="009473BE" w:rsidRPr="009473BE">
        <w:rPr>
          <w:noProof/>
          <w:szCs w:val="24"/>
        </w:rPr>
        <w:t>(Schellman 1987)</w:t>
      </w:r>
      <w:r w:rsidR="009473BE">
        <w:rPr>
          <w:szCs w:val="24"/>
        </w:rPr>
        <w:fldChar w:fldCharType="end"/>
      </w:r>
      <w:r w:rsidR="009473BE">
        <w:rPr>
          <w:szCs w:val="24"/>
        </w:rPr>
        <w:t>.</w:t>
      </w:r>
    </w:p>
    <w:p w14:paraId="513800AD" w14:textId="77777777" w:rsidR="005A7FE8" w:rsidRPr="00E568C9" w:rsidRDefault="00EB25C9" w:rsidP="004F6B4E">
      <w:pPr>
        <w:pStyle w:val="Heading3"/>
      </w:pPr>
      <w:bookmarkStart w:id="5" w:name="_Toc485712738"/>
      <w:r>
        <w:t>Role of the denatured state</w:t>
      </w:r>
      <w:r w:rsidR="005A7FE8" w:rsidRPr="00E568C9">
        <w:t xml:space="preserve"> in protein stability</w:t>
      </w:r>
      <w:bookmarkEnd w:id="5"/>
    </w:p>
    <w:p w14:paraId="6C7EBD65" w14:textId="77777777" w:rsidR="00000C7B" w:rsidRDefault="00640B90">
      <w:pPr>
        <w:rPr>
          <w:szCs w:val="24"/>
        </w:rPr>
      </w:pPr>
      <w:r w:rsidRPr="00E568C9">
        <w:rPr>
          <w:szCs w:val="24"/>
        </w:rPr>
        <w:t xml:space="preserve">The role of the denatured state in protein stability is one that is important but often ignored. The fact that the denatured state has less structure and is less soluble only adds to the problem </w:t>
      </w:r>
      <w:r w:rsidR="009473BE">
        <w:rPr>
          <w:szCs w:val="24"/>
        </w:rPr>
        <w:fldChar w:fldCharType="begin" w:fldLock="1"/>
      </w:r>
      <w:r w:rsidR="009473BE">
        <w:rPr>
          <w:szCs w:val="24"/>
        </w:rPr>
        <w:instrText>ADDIN CSL_CITATION { "citationItems" : [ { "id" : "ITEM-1", "itemData" : { "author" : [ { "dropping-particle" : "", "family" : "Shortle", "given" : "D", "non-dropping-particle" : "", "parse-names" : false, "suffix" : "" } ], "container-title" : "Journal of the Federation of American Societies for Experimental Biology", "id" : "ITEM-1", "issued" : { "date-parts" : [ [ "1996" ] ] }, "page" : "27-34", "title" : "The denatured state (The other half of the folding equation) and its role in protein stability", "type" : "article-journal", "volume" : "10" }, "uris" : [ "http://www.mendeley.com/documents/?uuid=1ab8dae3-3a1a-4607-aa7a-2b1051ff2767" ] } ], "mendeley" : { "formattedCitation" : "(Shortle 1996)", "plainTextFormattedCitation" : "(Shortle 1996)", "previouslyFormattedCitation" : "(Shortle 1996)" }, "properties" : { "noteIndex" : 0 }, "schema" : "https://github.com/citation-style-language/schema/raw/master/csl-citation.json" }</w:instrText>
      </w:r>
      <w:r w:rsidR="009473BE">
        <w:rPr>
          <w:szCs w:val="24"/>
        </w:rPr>
        <w:fldChar w:fldCharType="separate"/>
      </w:r>
      <w:r w:rsidR="009473BE" w:rsidRPr="009473BE">
        <w:rPr>
          <w:noProof/>
          <w:szCs w:val="24"/>
        </w:rPr>
        <w:t>(Shortle 1996)</w:t>
      </w:r>
      <w:r w:rsidR="009473BE">
        <w:rPr>
          <w:szCs w:val="24"/>
        </w:rPr>
        <w:fldChar w:fldCharType="end"/>
      </w:r>
      <w:r w:rsidR="009473BE">
        <w:rPr>
          <w:szCs w:val="24"/>
        </w:rPr>
        <w:t>.</w:t>
      </w:r>
      <w:r w:rsidRPr="00E568C9">
        <w:rPr>
          <w:szCs w:val="24"/>
        </w:rPr>
        <w:t xml:space="preserve"> </w:t>
      </w:r>
      <w:r w:rsidR="005A7FE8" w:rsidRPr="00E568C9">
        <w:rPr>
          <w:szCs w:val="24"/>
        </w:rPr>
        <w:t xml:space="preserve">Many pathways to protein denaturation work by lowering the free energy of the denatured state </w:t>
      </w:r>
      <w:r w:rsidR="00580AB1">
        <w:rPr>
          <w:szCs w:val="24"/>
        </w:rPr>
        <w:t>as well as</w:t>
      </w:r>
      <w:r w:rsidR="005A7FE8" w:rsidRPr="00E568C9">
        <w:rPr>
          <w:szCs w:val="24"/>
        </w:rPr>
        <w:t xml:space="preserve"> increasing the f</w:t>
      </w:r>
      <w:r w:rsidR="006861C2" w:rsidRPr="00E568C9">
        <w:rPr>
          <w:szCs w:val="24"/>
        </w:rPr>
        <w:t>re</w:t>
      </w:r>
      <w:r w:rsidR="001E2FFB" w:rsidRPr="00E568C9">
        <w:rPr>
          <w:szCs w:val="24"/>
        </w:rPr>
        <w:t>e energy of the native state, resulting in a more thermodynamically favourable denatured state.</w:t>
      </w:r>
    </w:p>
    <w:p w14:paraId="5534AFA5" w14:textId="77777777" w:rsidR="00F2599B" w:rsidRPr="00FE5536" w:rsidRDefault="00F2599B" w:rsidP="00FE5536">
      <w:pPr>
        <w:keepNext/>
        <w:jc w:val="center"/>
        <w:rPr>
          <w:rFonts w:eastAsiaTheme="minorEastAsia"/>
          <w:szCs w:val="24"/>
        </w:rPr>
      </w:pPr>
      <m:oMathPara>
        <m:oMath>
          <m:r>
            <w:rPr>
              <w:rFonts w:ascii="Cambria Math" w:hAnsi="Cambria Math"/>
              <w:szCs w:val="24"/>
            </w:rPr>
            <m:t>∆G=</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N</m:t>
              </m:r>
            </m:sub>
          </m:sSub>
        </m:oMath>
      </m:oMathPara>
    </w:p>
    <w:p w14:paraId="614332C4" w14:textId="77777777" w:rsidR="00FE5536" w:rsidRPr="00FE5536" w:rsidRDefault="00FE5536" w:rsidP="006B257F">
      <w:pPr>
        <w:pStyle w:val="Caption"/>
        <w:jc w:val="left"/>
        <w:rPr>
          <w:rFonts w:eastAsiaTheme="minorEastAsia"/>
        </w:rPr>
      </w:pPr>
      <w:bookmarkStart w:id="6" w:name="_Ref465688742"/>
      <w:r>
        <w:t xml:space="preserve">Equation </w:t>
      </w:r>
      <w:fldSimple w:instr=" STYLEREF 1 \s ">
        <w:r w:rsidR="00AA6926">
          <w:rPr>
            <w:noProof/>
          </w:rPr>
          <w:t>1</w:t>
        </w:r>
      </w:fldSimple>
      <w:r>
        <w:noBreakHyphen/>
      </w:r>
      <w:fldSimple w:instr=" SEQ Equation \* ARABIC \s 1 ">
        <w:r w:rsidR="00AA6926">
          <w:rPr>
            <w:noProof/>
          </w:rPr>
          <w:t>1</w:t>
        </w:r>
      </w:fldSimple>
      <w:bookmarkEnd w:id="6"/>
      <w:r>
        <w:t xml:space="preserve">. </w:t>
      </w:r>
      <w:r w:rsidRPr="006A179F">
        <w:t>Dependence of change in Gibbs free energy of unfolding (Δ</w:t>
      </w:r>
      <w:r w:rsidRPr="00FE5536">
        <w:rPr>
          <w:i/>
        </w:rPr>
        <w:t>G</w:t>
      </w:r>
      <w:r w:rsidRPr="006A179F">
        <w:t>) on both the free energy of the denatured (</w:t>
      </w:r>
      <w:r w:rsidRPr="00FE5536">
        <w:rPr>
          <w:i/>
        </w:rPr>
        <w:t>G</w:t>
      </w:r>
      <w:r w:rsidRPr="00FE5536">
        <w:rPr>
          <w:i/>
          <w:vertAlign w:val="subscript"/>
        </w:rPr>
        <w:t>D</w:t>
      </w:r>
      <w:r w:rsidRPr="006A179F">
        <w:t>) and the free energy of the native state (</w:t>
      </w:r>
      <w:r w:rsidRPr="00FE5536">
        <w:rPr>
          <w:i/>
        </w:rPr>
        <w:t>G</w:t>
      </w:r>
      <w:r w:rsidRPr="00FE5536">
        <w:rPr>
          <w:i/>
          <w:vertAlign w:val="subscript"/>
        </w:rPr>
        <w:t>N</w:t>
      </w:r>
      <w:r w:rsidRPr="006A179F">
        <w:t>)</w:t>
      </w:r>
    </w:p>
    <w:p w14:paraId="69FF83A2" w14:textId="77777777" w:rsidR="00B9708D" w:rsidRDefault="002651BF">
      <w:pPr>
        <w:rPr>
          <w:szCs w:val="24"/>
        </w:rPr>
      </w:pPr>
      <w:r w:rsidRPr="002651BF">
        <w:rPr>
          <w:szCs w:val="24"/>
        </w:rPr>
        <w:t xml:space="preserve"> </w:t>
      </w:r>
      <w:r>
        <w:rPr>
          <w:szCs w:val="24"/>
        </w:rPr>
        <w:t xml:space="preserve">Based on </w:t>
      </w:r>
      <w:r w:rsidR="00FE5536">
        <w:rPr>
          <w:szCs w:val="24"/>
        </w:rPr>
        <w:fldChar w:fldCharType="begin"/>
      </w:r>
      <w:r w:rsidR="00FE5536">
        <w:rPr>
          <w:szCs w:val="24"/>
        </w:rPr>
        <w:instrText xml:space="preserve"> REF _Ref465688742 \h </w:instrText>
      </w:r>
      <w:r w:rsidR="00FE5536">
        <w:rPr>
          <w:szCs w:val="24"/>
        </w:rPr>
      </w:r>
      <w:r w:rsidR="00FE5536">
        <w:rPr>
          <w:szCs w:val="24"/>
        </w:rPr>
        <w:fldChar w:fldCharType="separate"/>
      </w:r>
      <w:r w:rsidR="00AA6926">
        <w:t xml:space="preserve">Equation </w:t>
      </w:r>
      <w:r w:rsidR="00AA6926">
        <w:rPr>
          <w:noProof/>
        </w:rPr>
        <w:t>1</w:t>
      </w:r>
      <w:r w:rsidR="00AA6926">
        <w:noBreakHyphen/>
      </w:r>
      <w:r w:rsidR="00AA6926">
        <w:rPr>
          <w:noProof/>
        </w:rPr>
        <w:t>1</w:t>
      </w:r>
      <w:r w:rsidR="00FE5536">
        <w:rPr>
          <w:szCs w:val="24"/>
        </w:rPr>
        <w:fldChar w:fldCharType="end"/>
      </w:r>
      <w:r w:rsidR="00FE5536">
        <w:rPr>
          <w:szCs w:val="24"/>
        </w:rPr>
        <w:t xml:space="preserve"> </w:t>
      </w:r>
      <w:r>
        <w:rPr>
          <w:szCs w:val="24"/>
        </w:rPr>
        <w:t xml:space="preserve">either an increase in the free energy of the native state or a decrease in the free energy of the denatured state can destabilise the protein. Equally a decrease in the free energy of the native state or an increase in the free energy of the denatured state can stabilise the protein. The </w:t>
      </w:r>
      <w:r w:rsidR="00E43778">
        <w:rPr>
          <w:szCs w:val="24"/>
        </w:rPr>
        <w:t xml:space="preserve">possible </w:t>
      </w:r>
      <w:r>
        <w:rPr>
          <w:szCs w:val="24"/>
        </w:rPr>
        <w:t>actions on both native and denatured states are demon</w:t>
      </w:r>
      <w:r w:rsidR="00580AB1">
        <w:rPr>
          <w:szCs w:val="24"/>
        </w:rPr>
        <w:t>strated in the schematics below for both protein destabilisation (</w:t>
      </w:r>
      <w:r w:rsidR="00580AB1">
        <w:rPr>
          <w:szCs w:val="24"/>
        </w:rPr>
        <w:fldChar w:fldCharType="begin"/>
      </w:r>
      <w:r w:rsidR="00580AB1">
        <w:rPr>
          <w:szCs w:val="24"/>
        </w:rPr>
        <w:instrText xml:space="preserve"> REF _Ref458611065 \h </w:instrText>
      </w:r>
      <w:r w:rsidR="00580AB1">
        <w:rPr>
          <w:szCs w:val="24"/>
        </w:rPr>
      </w:r>
      <w:r w:rsidR="00580AB1">
        <w:rPr>
          <w:szCs w:val="24"/>
        </w:rPr>
        <w:fldChar w:fldCharType="separate"/>
      </w:r>
      <w:r w:rsidR="00AA6926">
        <w:t xml:space="preserve">Figure </w:t>
      </w:r>
      <w:r w:rsidR="00AA6926">
        <w:rPr>
          <w:noProof/>
        </w:rPr>
        <w:t>1</w:t>
      </w:r>
      <w:r w:rsidR="00AA6926">
        <w:noBreakHyphen/>
      </w:r>
      <w:r w:rsidR="00AA6926">
        <w:rPr>
          <w:noProof/>
        </w:rPr>
        <w:t>1</w:t>
      </w:r>
      <w:r w:rsidR="00580AB1">
        <w:rPr>
          <w:szCs w:val="24"/>
        </w:rPr>
        <w:fldChar w:fldCharType="end"/>
      </w:r>
      <w:r w:rsidR="00580AB1">
        <w:rPr>
          <w:szCs w:val="24"/>
        </w:rPr>
        <w:t>) and stabilisation (</w:t>
      </w:r>
      <w:r w:rsidR="00580AB1">
        <w:rPr>
          <w:szCs w:val="24"/>
        </w:rPr>
        <w:fldChar w:fldCharType="begin"/>
      </w:r>
      <w:r w:rsidR="00580AB1">
        <w:rPr>
          <w:szCs w:val="24"/>
        </w:rPr>
        <w:instrText xml:space="preserve"> REF _Ref460077509 \h </w:instrText>
      </w:r>
      <w:r w:rsidR="00580AB1">
        <w:rPr>
          <w:szCs w:val="24"/>
        </w:rPr>
      </w:r>
      <w:r w:rsidR="00580AB1">
        <w:rPr>
          <w:szCs w:val="24"/>
        </w:rPr>
        <w:fldChar w:fldCharType="separate"/>
      </w:r>
      <w:r w:rsidR="00AA6926">
        <w:t xml:space="preserve">Figure </w:t>
      </w:r>
      <w:r w:rsidR="00AA6926">
        <w:rPr>
          <w:noProof/>
        </w:rPr>
        <w:t>1</w:t>
      </w:r>
      <w:r w:rsidR="00AA6926">
        <w:noBreakHyphen/>
      </w:r>
      <w:r w:rsidR="00AA6926">
        <w:rPr>
          <w:noProof/>
        </w:rPr>
        <w:t>2</w:t>
      </w:r>
      <w:r w:rsidR="00580AB1">
        <w:rPr>
          <w:szCs w:val="24"/>
        </w:rPr>
        <w:fldChar w:fldCharType="end"/>
      </w:r>
      <w:r w:rsidR="00580AB1">
        <w:rPr>
          <w:szCs w:val="24"/>
        </w:rPr>
        <w:t>).</w:t>
      </w:r>
    </w:p>
    <w:p w14:paraId="0A69D66A" w14:textId="77777777" w:rsidR="00B9708D" w:rsidRDefault="00DF7252" w:rsidP="00B9708D">
      <w:pPr>
        <w:keepNext/>
      </w:pPr>
      <w:r>
        <w:rPr>
          <w:szCs w:val="24"/>
        </w:rPr>
        <w:object w:dxaOrig="10800" w:dyaOrig="8100" w14:anchorId="395A7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25.5pt" o:ole="">
            <v:imagedata r:id="rId12" o:title=""/>
          </v:shape>
          <o:OLEObject Type="Embed" ProgID="Acrobat.Document.DC" ShapeID="_x0000_i1025" DrawAspect="Content" ObjectID="_1559454679" r:id="rId13"/>
        </w:object>
      </w:r>
    </w:p>
    <w:p w14:paraId="19535DF4" w14:textId="77777777" w:rsidR="00B9708D" w:rsidRDefault="00B9708D" w:rsidP="00B9708D">
      <w:pPr>
        <w:pStyle w:val="Caption"/>
        <w:jc w:val="left"/>
      </w:pPr>
      <w:bookmarkStart w:id="7" w:name="_Ref458611065"/>
      <w:bookmarkStart w:id="8" w:name="_Ref460077489"/>
      <w:bookmarkStart w:id="9" w:name="_Toc482633159"/>
      <w:r>
        <w:t xml:space="preserve">Figure </w:t>
      </w:r>
      <w:fldSimple w:instr=" STYLEREF 1 \s ">
        <w:r w:rsidR="00AA6926">
          <w:rPr>
            <w:noProof/>
          </w:rPr>
          <w:t>1</w:t>
        </w:r>
      </w:fldSimple>
      <w:r w:rsidR="00BA082C">
        <w:noBreakHyphen/>
      </w:r>
      <w:fldSimple w:instr=" SEQ Figure \* ARABIC \s 1 ">
        <w:r w:rsidR="00AA6926">
          <w:rPr>
            <w:noProof/>
          </w:rPr>
          <w:t>1</w:t>
        </w:r>
      </w:fldSimple>
      <w:bookmarkEnd w:id="7"/>
      <w:r w:rsidR="00DF7252">
        <w:rPr>
          <w:noProof/>
        </w:rPr>
        <w:t>. Schematic depicting how destabilisation of a protein can result from an increase in free energy of the native state (left), or a decrease in free energy</w:t>
      </w:r>
      <w:r w:rsidR="006269B7">
        <w:rPr>
          <w:noProof/>
        </w:rPr>
        <w:t xml:space="preserve"> of the denatured state (right)</w:t>
      </w:r>
      <w:r w:rsidR="00FF4829">
        <w:rPr>
          <w:noProof/>
        </w:rPr>
        <w:t>. Circle represents fully folded protein and line r</w:t>
      </w:r>
      <w:r w:rsidR="00C46546">
        <w:rPr>
          <w:noProof/>
        </w:rPr>
        <w:t>epresents the denatured protein</w:t>
      </w:r>
      <w:bookmarkEnd w:id="8"/>
      <w:bookmarkEnd w:id="9"/>
    </w:p>
    <w:p w14:paraId="2E480B05" w14:textId="77777777" w:rsidR="00B9708D" w:rsidRDefault="00DF7252" w:rsidP="00B9708D">
      <w:pPr>
        <w:keepNext/>
      </w:pPr>
      <w:r>
        <w:object w:dxaOrig="10800" w:dyaOrig="8100" w14:anchorId="5F9E2D5D">
          <v:shape id="_x0000_i1026" type="#_x0000_t75" style="width:442.5pt;height:333pt" o:ole="">
            <v:imagedata r:id="rId14" o:title=""/>
          </v:shape>
          <o:OLEObject Type="Embed" ProgID="Acrobat.Document.DC" ShapeID="_x0000_i1026" DrawAspect="Content" ObjectID="_1559454680" r:id="rId15"/>
        </w:object>
      </w:r>
    </w:p>
    <w:p w14:paraId="1CDB8D32" w14:textId="77777777" w:rsidR="00B9708D" w:rsidRPr="00B9708D" w:rsidRDefault="00B9708D" w:rsidP="00B9708D">
      <w:pPr>
        <w:pStyle w:val="Caption"/>
        <w:jc w:val="left"/>
      </w:pPr>
      <w:bookmarkStart w:id="10" w:name="_Ref460077509"/>
      <w:bookmarkStart w:id="11" w:name="_Toc482633160"/>
      <w:r>
        <w:t xml:space="preserve">Figure </w:t>
      </w:r>
      <w:fldSimple w:instr=" STYLEREF 1 \s ">
        <w:r w:rsidR="00AA6926">
          <w:rPr>
            <w:noProof/>
          </w:rPr>
          <w:t>1</w:t>
        </w:r>
      </w:fldSimple>
      <w:r w:rsidR="00BA082C">
        <w:noBreakHyphen/>
      </w:r>
      <w:fldSimple w:instr=" SEQ Figure \* ARABIC \s 1 ">
        <w:r w:rsidR="00AA6926">
          <w:rPr>
            <w:noProof/>
          </w:rPr>
          <w:t>2</w:t>
        </w:r>
      </w:fldSimple>
      <w:bookmarkEnd w:id="10"/>
      <w:r w:rsidR="00DF7252">
        <w:rPr>
          <w:noProof/>
        </w:rPr>
        <w:t>. Schematic depicting how stabilisation of a protein can result from a decrease in free energy of the native state (left), or an increase in free energy of the denatured state (right)</w:t>
      </w:r>
      <w:r w:rsidR="00FF4829">
        <w:rPr>
          <w:noProof/>
        </w:rPr>
        <w:t>. Circle represents fully folded protein and line r</w:t>
      </w:r>
      <w:r w:rsidR="00C46546">
        <w:rPr>
          <w:noProof/>
        </w:rPr>
        <w:t>epresents the denatured protein</w:t>
      </w:r>
      <w:bookmarkEnd w:id="11"/>
    </w:p>
    <w:p w14:paraId="2DC46A7E" w14:textId="77777777" w:rsidR="00654F8D" w:rsidRPr="00B9708D" w:rsidRDefault="00640B90">
      <w:pPr>
        <w:rPr>
          <w:szCs w:val="24"/>
        </w:rPr>
      </w:pPr>
      <w:r w:rsidRPr="00E568C9">
        <w:rPr>
          <w:szCs w:val="24"/>
        </w:rPr>
        <w:t xml:space="preserve"> In fact, detergents such as </w:t>
      </w:r>
      <w:r w:rsidR="00E47AE5">
        <w:rPr>
          <w:szCs w:val="24"/>
        </w:rPr>
        <w:t>sodium dodecyl sulphate (</w:t>
      </w:r>
      <w:r w:rsidRPr="00E568C9">
        <w:rPr>
          <w:szCs w:val="24"/>
        </w:rPr>
        <w:t>SDS</w:t>
      </w:r>
      <w:r w:rsidR="00E47AE5">
        <w:rPr>
          <w:szCs w:val="24"/>
        </w:rPr>
        <w:t>)</w:t>
      </w:r>
      <w:r w:rsidRPr="00E568C9">
        <w:rPr>
          <w:szCs w:val="24"/>
        </w:rPr>
        <w:t xml:space="preserve"> </w:t>
      </w:r>
      <w:r w:rsidR="009524CA">
        <w:rPr>
          <w:szCs w:val="24"/>
        </w:rPr>
        <w:t xml:space="preserve">are thought to </w:t>
      </w:r>
      <w:r w:rsidRPr="00E568C9">
        <w:rPr>
          <w:szCs w:val="24"/>
        </w:rPr>
        <w:t xml:space="preserve">destabilise proteins purely through their action on the denatured state i.e. their interactions with the hydrophobic core </w:t>
      </w:r>
      <w:r w:rsidR="00DD6047">
        <w:rPr>
          <w:szCs w:val="24"/>
        </w:rPr>
        <w:fldChar w:fldCharType="begin" w:fldLock="1"/>
      </w:r>
      <w:r w:rsidR="0034217E">
        <w:rPr>
          <w:szCs w:val="24"/>
        </w:rPr>
        <w:instrText>ADDIN CSL_CITATION { "citationItems" : [ { "id" : "ITEM-1", "itemData" : { "DOI" : "10.1002/bip.21318", "ISBN" : "9789172649972", "ISSN" : "00063525", "PMID" : "19802818", "abstract" : "To understand the mechanism of ionic detergent-induced protein denaturation, this study examines the action of sodium dodecyl sulfate on ferrocytochrome c conformation under neutral and strongly alkaline conditions. Equilibrium and stopped-flow kinetic results consistently suggest that tertiary structure unfolding in the submicellar and chain expansion in the micellar range of SDS concentrations are the two major and discrete events in the perturbation of protein structure. The nature of interaction between the detergent and the protein is predominantly hydrophobic in the submicellar and exclusively hydrophobic at micellar levels of SDS concentration. The observation that SDS also interacts with a highly denatured and negatively charged form of ferrocytochrome c suggests that the interaction is independent of structure, conformation, and ionization state of the protein. The expansion of the protein chain at micellar concentration of SDS is driven by coulombic repulsion between the protein-bound micelles, and the micelles and anionic amino acid side chains.", "author" : [ { "dropping-particle" : "", "family" : "Bhuyan", "given" : "A K", "non-dropping-particle" : "", "parse-names" : false, "suffix" : "" } ], "container-title" : "Biopolymers", "id" : "ITEM-1", "issued" : { "date-parts" : [ [ "2010" ] ] }, "page" : "186-199", "title" : "On the mechanism of SDS-induced protein denaturation", "type" : "article-journal", "volume" : "93" }, "uris" : [ "http://www.mendeley.com/documents/?uuid=4913e11f-adb8-48c1-a190-36a39e2a9c89" ] } ], "mendeley" : { "formattedCitation" : "(Bhuyan 2010)", "plainTextFormattedCitation" : "(Bhuyan 2010)", "previouslyFormattedCitation" : "(Bhuyan 2010)" }, "properties" : { "noteIndex" : 0 }, "schema" : "https://github.com/citation-style-language/schema/raw/master/csl-citation.json" }</w:instrText>
      </w:r>
      <w:r w:rsidR="00DD6047">
        <w:rPr>
          <w:szCs w:val="24"/>
        </w:rPr>
        <w:fldChar w:fldCharType="separate"/>
      </w:r>
      <w:r w:rsidR="00DD6047" w:rsidRPr="00DD6047">
        <w:rPr>
          <w:noProof/>
          <w:szCs w:val="24"/>
        </w:rPr>
        <w:t>(Bhuyan 2010)</w:t>
      </w:r>
      <w:r w:rsidR="00DD6047">
        <w:rPr>
          <w:szCs w:val="24"/>
        </w:rPr>
        <w:fldChar w:fldCharType="end"/>
      </w:r>
      <w:r w:rsidR="00DD6047">
        <w:rPr>
          <w:szCs w:val="24"/>
        </w:rPr>
        <w:t>.</w:t>
      </w:r>
      <w:r w:rsidR="001E2FFB" w:rsidRPr="00E568C9">
        <w:rPr>
          <w:color w:val="FF0000"/>
          <w:szCs w:val="24"/>
        </w:rPr>
        <w:t xml:space="preserve"> </w:t>
      </w:r>
      <w:r w:rsidR="001E2FFB" w:rsidRPr="00E568C9">
        <w:rPr>
          <w:szCs w:val="24"/>
        </w:rPr>
        <w:t>C</w:t>
      </w:r>
      <w:r w:rsidR="006861C2" w:rsidRPr="00E568C9">
        <w:rPr>
          <w:szCs w:val="24"/>
        </w:rPr>
        <w:t xml:space="preserve">onversely stabilisation can </w:t>
      </w:r>
      <w:r w:rsidR="009524CA">
        <w:rPr>
          <w:szCs w:val="24"/>
        </w:rPr>
        <w:t>occur</w:t>
      </w:r>
      <w:r w:rsidR="006861C2" w:rsidRPr="00E568C9">
        <w:rPr>
          <w:szCs w:val="24"/>
        </w:rPr>
        <w:t xml:space="preserve"> by increasing the free energy of the denatured state</w:t>
      </w:r>
      <w:r w:rsidR="001E2FFB" w:rsidRPr="00E568C9">
        <w:rPr>
          <w:szCs w:val="24"/>
        </w:rPr>
        <w:t>, making the native state more favourable</w:t>
      </w:r>
      <w:r w:rsidR="006861C2" w:rsidRPr="00E568C9">
        <w:rPr>
          <w:szCs w:val="24"/>
        </w:rPr>
        <w:t xml:space="preserve"> </w:t>
      </w:r>
      <w:r w:rsidR="009473BE">
        <w:rPr>
          <w:szCs w:val="24"/>
        </w:rPr>
        <w:fldChar w:fldCharType="begin" w:fldLock="1"/>
      </w:r>
      <w:r w:rsidR="009473BE">
        <w:rPr>
          <w:szCs w:val="24"/>
        </w:rPr>
        <w:instrText>ADDIN CSL_CITATION { "citationItems" : [ { "id" : "ITEM-1", "itemData" : { "author" : [ { "dropping-particle" : "", "family" : "Pace", "given" : "C N", "non-dropping-particle" : "", "parse-names" : false, "suffix" : "" } ], "container-title" : "Trends in Biochemical Sciences", "id" : "ITEM-1", "issued" : { "date-parts" : [ [ "1990" ] ] }, "page" : "14-17", "title" : "Conformational stability of globular proteins", "type" : "article-journal", "volume" : "15" }, "uris" : [ "http://www.mendeley.com/documents/?uuid=947c4cdd-85b4-4cf0-aa8a-3079cea22829" ] } ], "mendeley" : { "formattedCitation" : "(Pace 1990)", "plainTextFormattedCitation" : "(Pace 1990)", "previouslyFormattedCitation" : "(Pace 1990)" }, "properties" : { "noteIndex" : 0 }, "schema" : "https://github.com/citation-style-language/schema/raw/master/csl-citation.json" }</w:instrText>
      </w:r>
      <w:r w:rsidR="009473BE">
        <w:rPr>
          <w:szCs w:val="24"/>
        </w:rPr>
        <w:fldChar w:fldCharType="separate"/>
      </w:r>
      <w:r w:rsidR="009473BE" w:rsidRPr="009473BE">
        <w:rPr>
          <w:noProof/>
          <w:szCs w:val="24"/>
        </w:rPr>
        <w:t>(Pace 1990)</w:t>
      </w:r>
      <w:r w:rsidR="009473BE">
        <w:rPr>
          <w:szCs w:val="24"/>
        </w:rPr>
        <w:fldChar w:fldCharType="end"/>
      </w:r>
      <w:r w:rsidR="009473BE">
        <w:rPr>
          <w:szCs w:val="24"/>
        </w:rPr>
        <w:t xml:space="preserve">. </w:t>
      </w:r>
    </w:p>
    <w:p w14:paraId="63362782" w14:textId="77777777" w:rsidR="005A7FE8" w:rsidRPr="00E568C9" w:rsidRDefault="005A7FE8">
      <w:pPr>
        <w:rPr>
          <w:szCs w:val="24"/>
        </w:rPr>
      </w:pPr>
      <w:r w:rsidRPr="00E568C9">
        <w:rPr>
          <w:szCs w:val="24"/>
        </w:rPr>
        <w:t xml:space="preserve">Many models and calculations make the assumption that the denatured state is one void of any secondary structure (i.e. a random coil) with extensive </w:t>
      </w:r>
      <w:r w:rsidR="007010F3" w:rsidRPr="00E568C9">
        <w:rPr>
          <w:szCs w:val="24"/>
        </w:rPr>
        <w:t>solvation</w:t>
      </w:r>
      <w:r w:rsidR="002864CA">
        <w:rPr>
          <w:szCs w:val="24"/>
        </w:rPr>
        <w:t xml:space="preserve"> </w:t>
      </w:r>
      <w:r w:rsidR="002864CA">
        <w:rPr>
          <w:szCs w:val="24"/>
        </w:rPr>
        <w:fldChar w:fldCharType="begin" w:fldLock="1"/>
      </w:r>
      <w:r w:rsidR="00DD6047">
        <w:rPr>
          <w:szCs w:val="24"/>
        </w:rPr>
        <w:instrText>ADDIN CSL_CITATION { "citationItems" : [ { "id" : "ITEM-1", "itemData" : { "DOI" : "10.1146/annurev-physchem-032210-103531.Role", "author" : [ { "dropping-particle" : "", "family" : "England", "given" : "J L", "non-dropping-particle" : "", "parse-names" : false, "suffix" : "" }, { "dropping-particle" : "", "family" : "Haran", "given" : "G", "non-dropping-particle" : "", "parse-names" : false, "suffix" : "" } ], "container-title" : "Annual Review of Physical Chemistry", "id" : "ITEM-1", "issued" : { "date-parts" : [ [ "2011" ] ] }, "page" : "257-277", "title" : "Role of solvation effects in protein denaturation: From thermodynamics to single molecules and back", "type" : "article-journal", "volume" : "62" }, "uris" : [ "http://www.mendeley.com/documents/?uuid=76f205d3-b547-4ca4-9989-85a3463c9941" ] } ], "mendeley" : { "formattedCitation" : "(England &amp; Haran 2011)", "plainTextFormattedCitation" : "(England &amp; Haran 2011)", "previouslyFormattedCitation" : "(England &amp; Haran 2011)" }, "properties" : { "noteIndex" : 0 }, "schema" : "https://github.com/citation-style-language/schema/raw/master/csl-citation.json" }</w:instrText>
      </w:r>
      <w:r w:rsidR="002864CA">
        <w:rPr>
          <w:szCs w:val="24"/>
        </w:rPr>
        <w:fldChar w:fldCharType="separate"/>
      </w:r>
      <w:r w:rsidR="002864CA" w:rsidRPr="002864CA">
        <w:rPr>
          <w:noProof/>
          <w:szCs w:val="24"/>
        </w:rPr>
        <w:t>(England &amp; Haran 2011)</w:t>
      </w:r>
      <w:r w:rsidR="002864CA">
        <w:rPr>
          <w:szCs w:val="24"/>
        </w:rPr>
        <w:fldChar w:fldCharType="end"/>
      </w:r>
      <w:r w:rsidR="007010F3" w:rsidRPr="00E568C9">
        <w:rPr>
          <w:szCs w:val="24"/>
        </w:rPr>
        <w:t>. However,</w:t>
      </w:r>
      <w:r w:rsidR="0059728D">
        <w:rPr>
          <w:szCs w:val="24"/>
        </w:rPr>
        <w:t xml:space="preserve"> a more</w:t>
      </w:r>
      <w:r w:rsidR="00027A99" w:rsidRPr="00E568C9">
        <w:rPr>
          <w:szCs w:val="24"/>
        </w:rPr>
        <w:t xml:space="preserve"> accurate description of the denatured state is simply one that does not effectively carry out the function of the native</w:t>
      </w:r>
      <w:r w:rsidR="001559B0">
        <w:rPr>
          <w:szCs w:val="24"/>
        </w:rPr>
        <w:t xml:space="preserve"> state</w:t>
      </w:r>
      <w:r w:rsidR="00027A99" w:rsidRPr="00E568C9">
        <w:rPr>
          <w:szCs w:val="24"/>
        </w:rPr>
        <w:t xml:space="preserve"> due to unfolding, but will </w:t>
      </w:r>
      <w:r w:rsidR="009524CA">
        <w:rPr>
          <w:szCs w:val="24"/>
        </w:rPr>
        <w:t xml:space="preserve">likely </w:t>
      </w:r>
      <w:r w:rsidR="00027A99" w:rsidRPr="00E568C9">
        <w:rPr>
          <w:szCs w:val="24"/>
        </w:rPr>
        <w:t>still retain at least some parts of the native structure i.e. some side ch</w:t>
      </w:r>
      <w:r w:rsidR="007010F3" w:rsidRPr="00E568C9">
        <w:rPr>
          <w:szCs w:val="24"/>
        </w:rPr>
        <w:t>ain interactions are maintained and</w:t>
      </w:r>
      <w:r w:rsidR="00027A99" w:rsidRPr="00E568C9">
        <w:rPr>
          <w:szCs w:val="24"/>
        </w:rPr>
        <w:t xml:space="preserve"> some </w:t>
      </w:r>
      <w:r w:rsidR="009524CA">
        <w:rPr>
          <w:szCs w:val="24"/>
        </w:rPr>
        <w:t>elements</w:t>
      </w:r>
      <w:r w:rsidR="00027A99" w:rsidRPr="00E568C9">
        <w:rPr>
          <w:szCs w:val="24"/>
        </w:rPr>
        <w:t xml:space="preserve"> of secondary structure can </w:t>
      </w:r>
      <w:r w:rsidR="00027A99" w:rsidRPr="00E568C9">
        <w:rPr>
          <w:szCs w:val="24"/>
        </w:rPr>
        <w:lastRenderedPageBreak/>
        <w:t xml:space="preserve">be maintained. </w:t>
      </w:r>
      <w:r w:rsidR="00B9638C" w:rsidRPr="00E568C9">
        <w:rPr>
          <w:szCs w:val="24"/>
        </w:rPr>
        <w:t>E</w:t>
      </w:r>
      <w:r w:rsidR="00027A99" w:rsidRPr="00E568C9">
        <w:rPr>
          <w:szCs w:val="24"/>
        </w:rPr>
        <w:t xml:space="preserve">xperiments by </w:t>
      </w:r>
      <w:r w:rsidR="00027A99" w:rsidRPr="007A5C73">
        <w:rPr>
          <w:szCs w:val="24"/>
        </w:rPr>
        <w:t>Tanford</w:t>
      </w:r>
      <w:r w:rsidR="00027A99" w:rsidRPr="00E568C9">
        <w:rPr>
          <w:color w:val="FF0000"/>
          <w:szCs w:val="24"/>
        </w:rPr>
        <w:t xml:space="preserve"> </w:t>
      </w:r>
      <w:r w:rsidR="007A5C73" w:rsidRPr="007A5C73">
        <w:rPr>
          <w:szCs w:val="24"/>
        </w:rPr>
        <w:fldChar w:fldCharType="begin" w:fldLock="1"/>
      </w:r>
      <w:r w:rsidR="00F267E1">
        <w:rPr>
          <w:szCs w:val="24"/>
        </w:rPr>
        <w:instrText>ADDIN CSL_CITATION { "citationItems" : [ { "id" : "ITEM-1", "itemData" : { "author" : [ { "dropping-particle" : "", "family" : "Tanford", "given" : "C", "non-dropping-particle" : "", "parse-names" : false, "suffix" : "" } ], "container-title" : "Advances in Protein Chemistry", "id" : "ITEM-1", "issued" : { "date-parts" : [ [ "1968" ] ] }, "page" : "121-282", "title" : "Protein denaturation", "type" : "article-journal", "volume" : "23" }, "uris" : [ "http://www.mendeley.com/documents/?uuid=c42ee297-5bd3-4070-a399-370f7acac61b" ] } ], "mendeley" : { "formattedCitation" : "(Tanford 1968)", "plainTextFormattedCitation" : "(Tanford 1968)", "previouslyFormattedCitation" : "(Tanford 1968)" }, "properties" : { "noteIndex" : 0 }, "schema" : "https://github.com/citation-style-language/schema/raw/master/csl-citation.json" }</w:instrText>
      </w:r>
      <w:r w:rsidR="007A5C73" w:rsidRPr="007A5C73">
        <w:rPr>
          <w:szCs w:val="24"/>
        </w:rPr>
        <w:fldChar w:fldCharType="separate"/>
      </w:r>
      <w:r w:rsidR="007A5C73" w:rsidRPr="007A5C73">
        <w:rPr>
          <w:noProof/>
          <w:szCs w:val="24"/>
        </w:rPr>
        <w:t>(Tanford 1968)</w:t>
      </w:r>
      <w:r w:rsidR="007A5C73" w:rsidRPr="007A5C73">
        <w:rPr>
          <w:szCs w:val="24"/>
        </w:rPr>
        <w:fldChar w:fldCharType="end"/>
      </w:r>
      <w:r w:rsidR="00F26B45">
        <w:rPr>
          <w:szCs w:val="24"/>
        </w:rPr>
        <w:t xml:space="preserve"> </w:t>
      </w:r>
      <w:r w:rsidR="00027A99" w:rsidRPr="00E568C9">
        <w:rPr>
          <w:szCs w:val="24"/>
        </w:rPr>
        <w:t>show</w:t>
      </w:r>
      <w:r w:rsidR="009524CA">
        <w:rPr>
          <w:szCs w:val="24"/>
        </w:rPr>
        <w:t>ed</w:t>
      </w:r>
      <w:r w:rsidR="00027A99" w:rsidRPr="00E568C9">
        <w:rPr>
          <w:szCs w:val="24"/>
        </w:rPr>
        <w:t xml:space="preserve"> that i</w:t>
      </w:r>
      <w:r w:rsidR="0033053C">
        <w:rPr>
          <w:szCs w:val="24"/>
        </w:rPr>
        <w:t>n 6 M guanidine</w:t>
      </w:r>
      <w:r w:rsidR="007010F3" w:rsidRPr="00E568C9">
        <w:rPr>
          <w:szCs w:val="24"/>
        </w:rPr>
        <w:t xml:space="preserve"> hydrochloride</w:t>
      </w:r>
      <w:r w:rsidR="00027A99" w:rsidRPr="00E568C9">
        <w:rPr>
          <w:szCs w:val="24"/>
        </w:rPr>
        <w:t xml:space="preserve"> the denatured state demonstrates </w:t>
      </w:r>
      <w:r w:rsidR="007010F3" w:rsidRPr="00E568C9">
        <w:rPr>
          <w:szCs w:val="24"/>
        </w:rPr>
        <w:t>a</w:t>
      </w:r>
      <w:r w:rsidR="00027A99" w:rsidRPr="00E568C9">
        <w:rPr>
          <w:szCs w:val="24"/>
        </w:rPr>
        <w:t xml:space="preserve"> hydrodynamic radius very close to that of a random coil, although other methods have shown the retention of some sort of native conformation</w:t>
      </w:r>
      <w:r w:rsidR="002864CA">
        <w:rPr>
          <w:szCs w:val="24"/>
        </w:rPr>
        <w:t xml:space="preserve"> </w:t>
      </w:r>
      <w:r w:rsidR="002864CA">
        <w:rPr>
          <w:szCs w:val="24"/>
        </w:rPr>
        <w:fldChar w:fldCharType="begin" w:fldLock="1"/>
      </w:r>
      <w:r w:rsidR="00F267E1">
        <w:rPr>
          <w:szCs w:val="24"/>
        </w:rPr>
        <w:instrText>ADDIN CSL_CITATION { "citationItems" : [ { "id" : "ITEM-1", "itemData" : { "author" : [ { "dropping-particle" : "", "family" : "Dyson", "given" : "H J", "non-dropping-particle" : "", "parse-names" : false, "suffix" : "" }, { "dropping-particle" : "", "family" : "Wright", "given" : "P E", "non-dropping-particle" : "", "parse-names" : false, "suffix" : "" } ], "container-title" : "Advances in Protein Chemistry", "id" : "ITEM-1", "issued" : { "date-parts" : [ [ "2002" ] ] }, "page" : "311-340", "title" : "Insights into the structure and dynamics of unfolded proteins from nuclear magnetic resonance", "type" : "article-journal", "volume" : "62" }, "uris" : [ "http://www.mendeley.com/documents/?uuid=545792e0-ad22-4190-83be-b1d0ae59738f" ] } ], "mendeley" : { "formattedCitation" : "(Dyson &amp; Wright 2002)", "plainTextFormattedCitation" : "(Dyson &amp; Wright 2002)", "previouslyFormattedCitation" : "(Dyson &amp; Wright 2002)" }, "properties" : { "noteIndex" : 0 }, "schema" : "https://github.com/citation-style-language/schema/raw/master/csl-citation.json" }</w:instrText>
      </w:r>
      <w:r w:rsidR="002864CA">
        <w:rPr>
          <w:szCs w:val="24"/>
        </w:rPr>
        <w:fldChar w:fldCharType="separate"/>
      </w:r>
      <w:r w:rsidR="002864CA" w:rsidRPr="002864CA">
        <w:rPr>
          <w:noProof/>
          <w:szCs w:val="24"/>
        </w:rPr>
        <w:t>(Dyson &amp; Wright 2002)</w:t>
      </w:r>
      <w:r w:rsidR="002864CA">
        <w:rPr>
          <w:szCs w:val="24"/>
        </w:rPr>
        <w:fldChar w:fldCharType="end"/>
      </w:r>
      <w:r w:rsidR="00B9638C" w:rsidRPr="00E568C9">
        <w:rPr>
          <w:szCs w:val="24"/>
        </w:rPr>
        <w:t xml:space="preserve">. </w:t>
      </w:r>
      <w:r w:rsidR="0059728D">
        <w:rPr>
          <w:szCs w:val="24"/>
        </w:rPr>
        <w:t>Despite</w:t>
      </w:r>
      <w:r w:rsidR="00B9638C" w:rsidRPr="00E568C9">
        <w:rPr>
          <w:szCs w:val="24"/>
        </w:rPr>
        <w:t xml:space="preserve"> this, </w:t>
      </w:r>
      <w:r w:rsidR="00B9638C" w:rsidRPr="007A5C73">
        <w:rPr>
          <w:szCs w:val="24"/>
        </w:rPr>
        <w:t>Privalov</w:t>
      </w:r>
      <w:r w:rsidR="007A5C73">
        <w:rPr>
          <w:color w:val="FF0000"/>
          <w:szCs w:val="24"/>
        </w:rPr>
        <w:t xml:space="preserve"> </w:t>
      </w:r>
      <w:r w:rsidR="007A5C73" w:rsidRPr="007A5C73">
        <w:rPr>
          <w:szCs w:val="24"/>
        </w:rPr>
        <w:fldChar w:fldCharType="begin" w:fldLock="1"/>
      </w:r>
      <w:r w:rsidR="007A5C73">
        <w:rPr>
          <w:szCs w:val="24"/>
        </w:rPr>
        <w:instrText>ADDIN CSL_CITATION { "citationItems" : [ { "id" : "ITEM-1", "itemData" : { "DOI" : "10.1006/jcht.1996.0178", "ISSN" : "00219614", "author" : [ { "dropping-particle" : "", "family" : "Privalov", "given" : "P L", "non-dropping-particle" : "", "parse-names" : false, "suffix" : "" } ], "container-title" : "Journal of Chemical Thermodynamics", "id" : "ITEM-1", "issued" : { "date-parts" : [ [ "1997", "4" ] ] }, "page" : "447-474", "title" : "Thermodynamics of protein folding", "type" : "article-journal", "volume" : "29" }, "uris" : [ "http://www.mendeley.com/documents/?uuid=c16993fe-10a7-4518-af5d-b70d605b9633" ] } ], "mendeley" : { "formattedCitation" : "(Privalov 1997)", "plainTextFormattedCitation" : "(Privalov 1997)", "previouslyFormattedCitation" : "(Privalov 1997)" }, "properties" : { "noteIndex" : 0 }, "schema" : "https://github.com/citation-style-language/schema/raw/master/csl-citation.json" }</w:instrText>
      </w:r>
      <w:r w:rsidR="007A5C73" w:rsidRPr="007A5C73">
        <w:rPr>
          <w:szCs w:val="24"/>
        </w:rPr>
        <w:fldChar w:fldCharType="separate"/>
      </w:r>
      <w:r w:rsidR="007A5C73" w:rsidRPr="007A5C73">
        <w:rPr>
          <w:noProof/>
          <w:szCs w:val="24"/>
        </w:rPr>
        <w:t>(Privalov 1997)</w:t>
      </w:r>
      <w:r w:rsidR="007A5C73" w:rsidRPr="007A5C73">
        <w:rPr>
          <w:szCs w:val="24"/>
        </w:rPr>
        <w:fldChar w:fldCharType="end"/>
      </w:r>
      <w:r w:rsidR="00B9638C" w:rsidRPr="007A5C73">
        <w:rPr>
          <w:szCs w:val="24"/>
        </w:rPr>
        <w:t xml:space="preserve"> </w:t>
      </w:r>
      <w:r w:rsidR="00580AB1">
        <w:rPr>
          <w:szCs w:val="24"/>
        </w:rPr>
        <w:t>demonstrated</w:t>
      </w:r>
      <w:r w:rsidR="00B9638C" w:rsidRPr="00E568C9">
        <w:rPr>
          <w:szCs w:val="24"/>
        </w:rPr>
        <w:t xml:space="preserve"> that regardless of the method of</w:t>
      </w:r>
      <w:r w:rsidR="00580AB1">
        <w:rPr>
          <w:szCs w:val="24"/>
        </w:rPr>
        <w:t xml:space="preserve"> </w:t>
      </w:r>
      <w:r w:rsidR="00B9638C" w:rsidRPr="00E568C9">
        <w:rPr>
          <w:szCs w:val="24"/>
        </w:rPr>
        <w:t>unfolding of the protein and the amount of residual structure present, denatured states do not appear to differ enthalpically.</w:t>
      </w:r>
      <w:r w:rsidR="002864CA">
        <w:rPr>
          <w:szCs w:val="24"/>
        </w:rPr>
        <w:t xml:space="preserve"> Attempts have been made to model the two ‘extremes’ of denatured state, and an average of these two often appear</w:t>
      </w:r>
      <w:r w:rsidR="009E3161">
        <w:rPr>
          <w:szCs w:val="24"/>
        </w:rPr>
        <w:t>s</w:t>
      </w:r>
      <w:r w:rsidR="002864CA">
        <w:rPr>
          <w:szCs w:val="24"/>
        </w:rPr>
        <w:t xml:space="preserve"> to give an accurat</w:t>
      </w:r>
      <w:r w:rsidR="009E3161">
        <w:rPr>
          <w:szCs w:val="24"/>
        </w:rPr>
        <w:t xml:space="preserve">e estimate of the thermodynamically denatured state </w:t>
      </w:r>
      <w:r w:rsidR="009E3161">
        <w:rPr>
          <w:szCs w:val="24"/>
        </w:rPr>
        <w:fldChar w:fldCharType="begin" w:fldLock="1"/>
      </w:r>
      <w:r w:rsidR="00924827">
        <w:rPr>
          <w:szCs w:val="24"/>
        </w:rPr>
        <w:instrText>ADDIN CSL_CITATION { "citationItems" : [ { "id" : "ITEM-1", "itemData" : { "DOI" : "10.1021/bi962819o", "ISBN" : "0006-2960", "ISSN" : "00062960", "PMID" : "9062111", "abstract" : "Buried surface area is often used as a measure of the contribution to protein folding from the hydrophobic effect. Quantitatively, the surface buried upon folding is reckoned as the difference in area between the native and unfolded states. This calculation is well defined for a known structure but model-dependent for the unfolded state. In a previous paper [Creamer, T. P., Srinivasan, R., &amp; Rose, G. D. (1995) Biochemistry 34, 16245-16250], we developed two models that bracket the surface area of the unfolded state between limiting extremes. Using these extrema, it was shown that earlier models, such as an extended tripeptide, overestimate the surface area of side chains in the unfolded state. In this sequel to our previous paper, we focus on backbone surface in the unfolded state, again adopting the strategy of trapping the area between limiting extrema. A principal conclusion of this present study is that most backbone surface in proteins is buried within local structure.", "author" : [ { "dropping-particle" : "", "family" : "Creamer", "given" : "T P", "non-dropping-particle" : "", "parse-names" : false, "suffix" : "" }, { "dropping-particle" : "", "family" : "Srinivasan", "given" : "R", "non-dropping-particle" : "", "parse-names" : false, "suffix" : "" }, { "dropping-particle" : "", "family" : "Rose", "given" : "G D", "non-dropping-particle" : "", "parse-names" : false, "suffix" : "" } ], "container-title" : "Biochemistry", "id" : "ITEM-1", "issued" : { "date-parts" : [ [ "1997" ] ] }, "page" : "2832-2835", "title" : "Modeling unfolded states of proteins and peptides. II. Backbone solvent accessibility", "type" : "article-journal", "volume" : "36" }, "uris" : [ "http://www.mendeley.com/documents/?uuid=74a64fd2-9278-4bb3-a7f0-a08a9bbb7acf" ] } ], "mendeley" : { "formattedCitation" : "(Creamer et al. 1997)", "plainTextFormattedCitation" : "(Creamer et al. 1997)", "previouslyFormattedCitation" : "(Creamer et al. 1997)" }, "properties" : { "noteIndex" : 0 }, "schema" : "https://github.com/citation-style-language/schema/raw/master/csl-citation.json" }</w:instrText>
      </w:r>
      <w:r w:rsidR="009E3161">
        <w:rPr>
          <w:szCs w:val="24"/>
        </w:rPr>
        <w:fldChar w:fldCharType="separate"/>
      </w:r>
      <w:r w:rsidR="009E3161" w:rsidRPr="009E3161">
        <w:rPr>
          <w:noProof/>
          <w:szCs w:val="24"/>
        </w:rPr>
        <w:t>(Creamer et al. 1997)</w:t>
      </w:r>
      <w:r w:rsidR="009E3161">
        <w:rPr>
          <w:szCs w:val="24"/>
        </w:rPr>
        <w:fldChar w:fldCharType="end"/>
      </w:r>
      <w:r w:rsidR="009E3161">
        <w:rPr>
          <w:szCs w:val="24"/>
        </w:rPr>
        <w:t>. It is more difficult to obtain structural information of the denatured state</w:t>
      </w:r>
      <w:r w:rsidR="00B9638C" w:rsidRPr="00E568C9">
        <w:rPr>
          <w:szCs w:val="24"/>
        </w:rPr>
        <w:t xml:space="preserve"> </w:t>
      </w:r>
      <w:r w:rsidR="009E3161">
        <w:rPr>
          <w:szCs w:val="24"/>
        </w:rPr>
        <w:t>than the native state, but it is important to know this information in order to understand its contribution to thermodynamic</w:t>
      </w:r>
      <w:r w:rsidR="005573DE">
        <w:rPr>
          <w:szCs w:val="24"/>
        </w:rPr>
        <w:t xml:space="preserve"> values of protein denaturation.</w:t>
      </w:r>
    </w:p>
    <w:p w14:paraId="2F9687DC" w14:textId="77777777" w:rsidR="002D6225" w:rsidRDefault="002D6225" w:rsidP="00F9500C">
      <w:pPr>
        <w:pStyle w:val="Heading2"/>
      </w:pPr>
      <w:bookmarkStart w:id="12" w:name="_Ref453082230"/>
      <w:bookmarkStart w:id="13" w:name="_Toc485712739"/>
      <w:r w:rsidRPr="00E568C9">
        <w:t>Factors affecting protein stability</w:t>
      </w:r>
      <w:bookmarkEnd w:id="12"/>
      <w:bookmarkEnd w:id="13"/>
    </w:p>
    <w:p w14:paraId="3CE6D066" w14:textId="77777777" w:rsidR="00E568C9" w:rsidRPr="00E568C9" w:rsidRDefault="00E568C9">
      <w:pPr>
        <w:rPr>
          <w:szCs w:val="24"/>
        </w:rPr>
      </w:pPr>
      <w:r>
        <w:rPr>
          <w:szCs w:val="24"/>
        </w:rPr>
        <w:t>Due to the marginal difference between the thermodynamic stability of the native state compared to the denatured state in physiological conditions, any deviations of the environment from the physiological state may alter the stability of the protein</w:t>
      </w:r>
      <w:r w:rsidR="00000C7B">
        <w:rPr>
          <w:szCs w:val="24"/>
        </w:rPr>
        <w:t xml:space="preserve"> through perturbations of the change in free energy of the native and denatured states</w:t>
      </w:r>
      <w:r>
        <w:rPr>
          <w:szCs w:val="24"/>
        </w:rPr>
        <w:t xml:space="preserve">. These include changes in temperature, pH, pressure and solvent </w:t>
      </w:r>
      <w:r w:rsidR="007A5C73">
        <w:rPr>
          <w:szCs w:val="24"/>
        </w:rPr>
        <w:fldChar w:fldCharType="begin" w:fldLock="1"/>
      </w:r>
      <w:r w:rsidR="00DD6047">
        <w:rPr>
          <w:szCs w:val="24"/>
        </w:rPr>
        <w:instrText>ADDIN CSL_CITATION { "citationItems" : [ { "id" : "ITEM-1", "itemData" : { "DOI" : "10.1016/j.bbapap.2005.03.002", "ISSN" : "0006-3002", "PMID" : "15893966", "abstract" : "We focus on the various aspects of the physics related to the stability of proteins. We review the pure thermodynamic aspects of the response of a protein to pressure and temperature variations and discuss the respective stability phase diagram. We relate the experimentally observed shape of this diagram to the low degree of correlation between the fluctuations of enthalpy and volume changes associated with the folding-denaturing transition and draw attention to the fact that one order parameter is not enough to characterize the transition. We discuss in detail microscopic aspects of the various contributions to the free energy gap of proteins and put emphasis on how a cosolvent may either enlarge or diminish this gap. We review briefly the various experimental approaches to measure changes in protein stability induced by cosolvents, denaturants, but also by pressure and temperature. Finally, we discuss in detail our own molecular dynamics simulations on cytochrome c and show what happens under high pressure, how glycerol influences structure and volume fluctuations, and how all this compares with experiments.", "author" : [ { "dropping-particle" : "", "family" : "Scharnagl", "given" : "C", "non-dropping-particle" : "", "parse-names" : false, "suffix" : "" }, { "dropping-particle" : "", "family" : "Reif", "given" : "M", "non-dropping-particle" : "", "parse-names" : false, "suffix" : "" }, { "dropping-particle" : "", "family" : "Friedrich", "given" : "J", "non-dropping-particle" : "", "parse-names" : false, "suffix" : "" } ], "container-title" : "Biochimica et Biophysica Acta", "id" : "ITEM-1", "issued" : { "date-parts" : [ [ "2005", "6", "1" ] ] }, "page" : "187-213", "title" : "Stability of proteins: Temperature, pressure and the role of the solvent", "type" : "article-journal", "volume" : "1749" }, "uris" : [ "http://www.mendeley.com/documents/?uuid=c3aa9655-c1e7-40f4-9ff1-673eea6b1fd8" ] } ], "mendeley" : { "formattedCitation" : "(Scharnagl et al. 2005)", "plainTextFormattedCitation" : "(Scharnagl et al. 2005)", "previouslyFormattedCitation" : "(Scharnagl et al. 2005)" }, "properties" : { "noteIndex" : 0 }, "schema" : "https://github.com/citation-style-language/schema/raw/master/csl-citation.json" }</w:instrText>
      </w:r>
      <w:r w:rsidR="007A5C73">
        <w:rPr>
          <w:szCs w:val="24"/>
        </w:rPr>
        <w:fldChar w:fldCharType="separate"/>
      </w:r>
      <w:r w:rsidR="007A5C73" w:rsidRPr="007A5C73">
        <w:rPr>
          <w:noProof/>
          <w:szCs w:val="24"/>
        </w:rPr>
        <w:t>(Scharnagl et al. 2005)</w:t>
      </w:r>
      <w:r w:rsidR="007A5C73">
        <w:rPr>
          <w:szCs w:val="24"/>
        </w:rPr>
        <w:fldChar w:fldCharType="end"/>
      </w:r>
      <w:r w:rsidR="007A5C73">
        <w:rPr>
          <w:szCs w:val="24"/>
        </w:rPr>
        <w:t>,</w:t>
      </w:r>
      <w:r w:rsidRPr="00E568C9">
        <w:rPr>
          <w:color w:val="FF0000"/>
          <w:szCs w:val="24"/>
        </w:rPr>
        <w:t xml:space="preserve"> </w:t>
      </w:r>
      <w:r>
        <w:rPr>
          <w:szCs w:val="24"/>
        </w:rPr>
        <w:t>particularly with the addition of coso</w:t>
      </w:r>
      <w:r w:rsidR="00580AB1">
        <w:rPr>
          <w:szCs w:val="24"/>
        </w:rPr>
        <w:t>lutes</w:t>
      </w:r>
      <w:r>
        <w:rPr>
          <w:szCs w:val="24"/>
        </w:rPr>
        <w:t>. The effects these changes have are discussed below.</w:t>
      </w:r>
    </w:p>
    <w:p w14:paraId="7DD5ABD9" w14:textId="77777777" w:rsidR="008E34D2" w:rsidRPr="008E34D2" w:rsidRDefault="007958E7" w:rsidP="008E34D2">
      <w:pPr>
        <w:pStyle w:val="Heading3"/>
        <w:rPr>
          <w:rStyle w:val="Heading3Char"/>
          <w:b/>
        </w:rPr>
      </w:pPr>
      <w:bookmarkStart w:id="14" w:name="_Toc485712740"/>
      <w:r w:rsidRPr="008E34D2">
        <w:rPr>
          <w:rStyle w:val="Heading3Char"/>
          <w:b/>
        </w:rPr>
        <w:t>Temperature</w:t>
      </w:r>
      <w:bookmarkEnd w:id="14"/>
      <w:r w:rsidR="00B14604" w:rsidRPr="008E34D2">
        <w:rPr>
          <w:rStyle w:val="Heading3Char"/>
          <w:b/>
        </w:rPr>
        <w:t xml:space="preserve"> </w:t>
      </w:r>
    </w:p>
    <w:p w14:paraId="092E9906" w14:textId="77777777" w:rsidR="00B14604" w:rsidRDefault="00B14604">
      <w:pPr>
        <w:rPr>
          <w:szCs w:val="24"/>
        </w:rPr>
      </w:pPr>
      <w:r>
        <w:rPr>
          <w:szCs w:val="24"/>
        </w:rPr>
        <w:t>Proteins have an optimum stability at a certain tem</w:t>
      </w:r>
      <w:r w:rsidR="00DA3973">
        <w:rPr>
          <w:szCs w:val="24"/>
        </w:rPr>
        <w:t xml:space="preserve">perature, normally around </w:t>
      </w:r>
      <w:r w:rsidR="00B4219E">
        <w:rPr>
          <w:szCs w:val="24"/>
        </w:rPr>
        <w:t>physiological</w:t>
      </w:r>
      <w:r w:rsidR="00DA3973">
        <w:rPr>
          <w:szCs w:val="24"/>
        </w:rPr>
        <w:t xml:space="preserve"> </w:t>
      </w:r>
      <w:r>
        <w:rPr>
          <w:szCs w:val="24"/>
        </w:rPr>
        <w:t xml:space="preserve">temperature, and as such can denature at temperatures much higher or lower than this </w:t>
      </w:r>
      <w:r w:rsidR="00DA3973">
        <w:rPr>
          <w:szCs w:val="24"/>
        </w:rPr>
        <w:t xml:space="preserve">if the </w:t>
      </w:r>
      <w:r w:rsidR="00DA3973" w:rsidRPr="00E47AE5">
        <w:rPr>
          <w:rFonts w:ascii="Times New Roman" w:hAnsi="Times New Roman" w:cs="Times New Roman"/>
          <w:szCs w:val="24"/>
        </w:rPr>
        <w:t>Δ</w:t>
      </w:r>
      <w:r w:rsidR="00DA3973" w:rsidRPr="00E47AE5">
        <w:rPr>
          <w:i/>
          <w:szCs w:val="24"/>
        </w:rPr>
        <w:t>G</w:t>
      </w:r>
      <w:r w:rsidR="00DA3973">
        <w:rPr>
          <w:szCs w:val="24"/>
        </w:rPr>
        <w:t xml:space="preserve"> of unfolding decreases </w:t>
      </w:r>
      <w:r w:rsidR="0059728D">
        <w:rPr>
          <w:szCs w:val="24"/>
        </w:rPr>
        <w:t xml:space="preserve">to a value </w:t>
      </w:r>
      <w:r w:rsidR="00DA3973">
        <w:rPr>
          <w:szCs w:val="24"/>
        </w:rPr>
        <w:t xml:space="preserve">below zero </w:t>
      </w:r>
      <w:r w:rsidR="007A5C73">
        <w:rPr>
          <w:szCs w:val="24"/>
        </w:rPr>
        <w:fldChar w:fldCharType="begin" w:fldLock="1"/>
      </w:r>
      <w:r w:rsidR="007A5C73">
        <w:rPr>
          <w:szCs w:val="24"/>
        </w:rPr>
        <w:instrText>ADDIN CSL_CITATION { "citationItems" : [ { "id" : "ITEM-1", "itemData" : { "author" : [ { "dropping-particle" : "", "family" : "Becktel", "given" : "W J", "non-dropping-particle" : "", "parse-names" : false, "suffix" : "" }, { "dropping-particle" : "", "family" : "Schellman", "given" : "J A", "non-dropping-particle" : "", "parse-names" : false, "suffix" : "" } ], "container-title" : "Biopolymers", "id" : "ITEM-1", "issued" : { "date-parts" : [ [ "1987" ] ] }, "page" : "1859-1877", "title" : "Protein stability curves", "type" : "article-journal", "volume" : "26" }, "uris" : [ "http://www.mendeley.com/documents/?uuid=d645dbba-a30a-48aa-8f8d-595f958ecfad" ] } ], "mendeley" : { "formattedCitation" : "(Becktel &amp; Schellman 1987)", "plainTextFormattedCitation" : "(Becktel &amp; Schellman 1987)", "previouslyFormattedCitation" : "(Becktel &amp; Schellman 1987)" }, "properties" : { "noteIndex" : 0 }, "schema" : "https://github.com/citation-style-language/schema/raw/master/csl-citation.json" }</w:instrText>
      </w:r>
      <w:r w:rsidR="007A5C73">
        <w:rPr>
          <w:szCs w:val="24"/>
        </w:rPr>
        <w:fldChar w:fldCharType="separate"/>
      </w:r>
      <w:r w:rsidR="007A5C73" w:rsidRPr="007A5C73">
        <w:rPr>
          <w:noProof/>
          <w:szCs w:val="24"/>
        </w:rPr>
        <w:t>(Becktel &amp; Schellman 1987)</w:t>
      </w:r>
      <w:r w:rsidR="007A5C73">
        <w:rPr>
          <w:szCs w:val="24"/>
        </w:rPr>
        <w:fldChar w:fldCharType="end"/>
      </w:r>
      <w:r w:rsidR="007A5C73">
        <w:rPr>
          <w:szCs w:val="24"/>
        </w:rPr>
        <w:t>.</w:t>
      </w:r>
      <w:r w:rsidR="00DA3973">
        <w:rPr>
          <w:color w:val="FF0000"/>
          <w:szCs w:val="24"/>
        </w:rPr>
        <w:t xml:space="preserve"> </w:t>
      </w:r>
      <w:r w:rsidR="00A953B4">
        <w:rPr>
          <w:szCs w:val="24"/>
        </w:rPr>
        <w:t>The change in enthalpy of unfolding (</w:t>
      </w:r>
      <w:r w:rsidR="00A953B4" w:rsidRPr="00E47AE5">
        <w:rPr>
          <w:rFonts w:cs="Times New Roman"/>
          <w:szCs w:val="24"/>
        </w:rPr>
        <w:t>Δ</w:t>
      </w:r>
      <w:r w:rsidR="00A953B4" w:rsidRPr="00E568C9">
        <w:rPr>
          <w:i/>
          <w:szCs w:val="24"/>
        </w:rPr>
        <w:t>H</w:t>
      </w:r>
      <w:r w:rsidR="00A953B4">
        <w:rPr>
          <w:i/>
          <w:szCs w:val="24"/>
        </w:rPr>
        <w:t xml:space="preserve">) </w:t>
      </w:r>
      <w:r w:rsidR="00A953B4">
        <w:rPr>
          <w:szCs w:val="24"/>
        </w:rPr>
        <w:t>increases with increasing temperature, denoted by a positive change in heat capacity (</w:t>
      </w:r>
      <w:r w:rsidR="00A953B4" w:rsidRPr="00E47AE5">
        <w:rPr>
          <w:rFonts w:cs="Times New Roman"/>
          <w:szCs w:val="24"/>
        </w:rPr>
        <w:t>Δ</w:t>
      </w:r>
      <w:r w:rsidR="00A953B4" w:rsidRPr="00A953B4">
        <w:rPr>
          <w:i/>
          <w:szCs w:val="24"/>
        </w:rPr>
        <w:t>C</w:t>
      </w:r>
      <w:r w:rsidR="00A953B4" w:rsidRPr="00A953B4">
        <w:rPr>
          <w:i/>
          <w:szCs w:val="24"/>
          <w:vertAlign w:val="subscript"/>
        </w:rPr>
        <w:t>p</w:t>
      </w:r>
      <w:r w:rsidR="00A953B4" w:rsidRPr="00A953B4">
        <w:rPr>
          <w:szCs w:val="24"/>
        </w:rPr>
        <w:t>)</w:t>
      </w:r>
      <w:r w:rsidR="00A953B4">
        <w:rPr>
          <w:szCs w:val="24"/>
        </w:rPr>
        <w:t>.  The change in entropy of unfolding (</w:t>
      </w:r>
      <w:r w:rsidR="00A953B4" w:rsidRPr="00E47AE5">
        <w:rPr>
          <w:rFonts w:ascii="Times New Roman" w:hAnsi="Times New Roman" w:cs="Times New Roman"/>
          <w:szCs w:val="24"/>
        </w:rPr>
        <w:t>Δ</w:t>
      </w:r>
      <w:r w:rsidR="00A953B4" w:rsidRPr="00A953B4">
        <w:rPr>
          <w:i/>
          <w:szCs w:val="24"/>
        </w:rPr>
        <w:t>S</w:t>
      </w:r>
      <w:r w:rsidR="00A953B4">
        <w:rPr>
          <w:i/>
          <w:szCs w:val="24"/>
        </w:rPr>
        <w:t xml:space="preserve">) </w:t>
      </w:r>
      <w:r w:rsidR="00A953B4" w:rsidRPr="00A953B4">
        <w:rPr>
          <w:szCs w:val="24"/>
        </w:rPr>
        <w:t>also increases</w:t>
      </w:r>
      <w:r w:rsidR="00A953B4">
        <w:rPr>
          <w:szCs w:val="24"/>
        </w:rPr>
        <w:t xml:space="preserve"> with temperature due to the melting of ordered solvent.</w:t>
      </w:r>
      <w:r w:rsidR="00AF3AE1">
        <w:rPr>
          <w:szCs w:val="24"/>
        </w:rPr>
        <w:t xml:space="preserve"> A</w:t>
      </w:r>
      <w:r w:rsidR="00A953B4">
        <w:rPr>
          <w:szCs w:val="24"/>
        </w:rPr>
        <w:t>t a certain temperature, often called the melting temperature</w:t>
      </w:r>
      <w:r w:rsidR="00C323A6">
        <w:rPr>
          <w:szCs w:val="24"/>
        </w:rPr>
        <w:t>,</w:t>
      </w:r>
      <w:r w:rsidR="00A953B4">
        <w:rPr>
          <w:szCs w:val="24"/>
        </w:rPr>
        <w:t xml:space="preserve"> the </w:t>
      </w:r>
      <w:r w:rsidR="00A953B4" w:rsidRPr="00E47AE5">
        <w:rPr>
          <w:rFonts w:cs="Times New Roman"/>
          <w:szCs w:val="24"/>
        </w:rPr>
        <w:lastRenderedPageBreak/>
        <w:t>Δ</w:t>
      </w:r>
      <w:r w:rsidR="00A953B4" w:rsidRPr="00E568C9">
        <w:rPr>
          <w:i/>
          <w:szCs w:val="24"/>
        </w:rPr>
        <w:t>H</w:t>
      </w:r>
      <w:r w:rsidR="00A953B4">
        <w:rPr>
          <w:i/>
          <w:szCs w:val="24"/>
        </w:rPr>
        <w:t xml:space="preserve"> </w:t>
      </w:r>
      <w:r w:rsidR="00A953B4">
        <w:rPr>
          <w:szCs w:val="24"/>
        </w:rPr>
        <w:t>and –</w:t>
      </w:r>
      <w:r w:rsidR="00A953B4" w:rsidRPr="00A953B4">
        <w:rPr>
          <w:i/>
          <w:szCs w:val="24"/>
        </w:rPr>
        <w:t>T</w:t>
      </w:r>
      <w:r w:rsidR="00A953B4" w:rsidRPr="00E47AE5">
        <w:rPr>
          <w:rFonts w:ascii="Times New Roman" w:hAnsi="Times New Roman" w:cs="Times New Roman"/>
          <w:szCs w:val="24"/>
        </w:rPr>
        <w:t>Δ</w:t>
      </w:r>
      <w:r w:rsidR="00A953B4" w:rsidRPr="00A953B4">
        <w:rPr>
          <w:i/>
          <w:szCs w:val="24"/>
        </w:rPr>
        <w:t>S</w:t>
      </w:r>
      <w:r w:rsidR="00A953B4">
        <w:rPr>
          <w:i/>
          <w:szCs w:val="24"/>
        </w:rPr>
        <w:t xml:space="preserve"> </w:t>
      </w:r>
      <w:r w:rsidR="00AF3AE1">
        <w:rPr>
          <w:szCs w:val="24"/>
        </w:rPr>
        <w:t xml:space="preserve">values cancel each other out, and so according to </w:t>
      </w:r>
      <w:r w:rsidR="00580AB1">
        <w:rPr>
          <w:szCs w:val="24"/>
        </w:rPr>
        <w:fldChar w:fldCharType="begin"/>
      </w:r>
      <w:r w:rsidR="00580AB1">
        <w:rPr>
          <w:szCs w:val="24"/>
        </w:rPr>
        <w:instrText xml:space="preserve"> REF _Ref460077675 \h </w:instrText>
      </w:r>
      <w:r w:rsidR="00580AB1">
        <w:rPr>
          <w:szCs w:val="24"/>
        </w:rPr>
      </w:r>
      <w:r w:rsidR="00580AB1">
        <w:rPr>
          <w:szCs w:val="24"/>
        </w:rPr>
        <w:fldChar w:fldCharType="separate"/>
      </w:r>
      <w:r w:rsidR="00AA6926">
        <w:t xml:space="preserve">Equation </w:t>
      </w:r>
      <w:r w:rsidR="00AA6926">
        <w:rPr>
          <w:noProof/>
        </w:rPr>
        <w:t>1</w:t>
      </w:r>
      <w:r w:rsidR="00AA6926">
        <w:noBreakHyphen/>
      </w:r>
      <w:r w:rsidR="00AA6926">
        <w:rPr>
          <w:noProof/>
        </w:rPr>
        <w:t>2</w:t>
      </w:r>
      <w:r w:rsidR="00580AB1">
        <w:rPr>
          <w:szCs w:val="24"/>
        </w:rPr>
        <w:fldChar w:fldCharType="end"/>
      </w:r>
      <w:r w:rsidR="00580AB1">
        <w:rPr>
          <w:szCs w:val="24"/>
        </w:rPr>
        <w:t xml:space="preserve"> </w:t>
      </w:r>
      <w:r w:rsidR="00AF3AE1">
        <w:rPr>
          <w:szCs w:val="24"/>
        </w:rPr>
        <w:t xml:space="preserve">the </w:t>
      </w:r>
      <w:r w:rsidR="00AF3AE1">
        <w:rPr>
          <w:rFonts w:ascii="Times New Roman" w:hAnsi="Times New Roman" w:cs="Times New Roman"/>
          <w:szCs w:val="24"/>
        </w:rPr>
        <w:t>Δ</w:t>
      </w:r>
      <w:r w:rsidR="00AF3AE1" w:rsidRPr="00E47AE5">
        <w:rPr>
          <w:i/>
          <w:szCs w:val="24"/>
        </w:rPr>
        <w:t>G</w:t>
      </w:r>
      <w:r w:rsidR="00AF3AE1">
        <w:rPr>
          <w:szCs w:val="24"/>
        </w:rPr>
        <w:t xml:space="preserve"> of unfolding will be zero and the protein will proceed to unfold.</w:t>
      </w:r>
    </w:p>
    <w:p w14:paraId="5BB131F3" w14:textId="77777777" w:rsidR="002910B8" w:rsidRDefault="001B6B15" w:rsidP="002910B8">
      <w:pPr>
        <w:keepNext/>
      </w:pPr>
      <m:oMathPara>
        <m:oMath>
          <m:r>
            <w:rPr>
              <w:rFonts w:ascii="Cambria Math" w:hAnsi="Cambria Math"/>
              <w:szCs w:val="24"/>
            </w:rPr>
            <m:t>∆G=∆H-T∆S</m:t>
          </m:r>
        </m:oMath>
      </m:oMathPara>
    </w:p>
    <w:p w14:paraId="37D62F03" w14:textId="77777777" w:rsidR="008E34D2" w:rsidRDefault="002910B8" w:rsidP="006B257F">
      <w:pPr>
        <w:pStyle w:val="Caption"/>
        <w:jc w:val="left"/>
        <w:rPr>
          <w:sz w:val="24"/>
          <w:szCs w:val="24"/>
        </w:rPr>
      </w:pPr>
      <w:bookmarkStart w:id="15" w:name="_Ref460077675"/>
      <w:r>
        <w:t xml:space="preserve">Equation </w:t>
      </w:r>
      <w:fldSimple w:instr=" STYLEREF 1 \s ">
        <w:r w:rsidR="00AA6926">
          <w:rPr>
            <w:noProof/>
          </w:rPr>
          <w:t>1</w:t>
        </w:r>
      </w:fldSimple>
      <w:r w:rsidR="00FE5536">
        <w:noBreakHyphen/>
      </w:r>
      <w:fldSimple w:instr=" SEQ Equation \* ARABIC \s 1 ">
        <w:r w:rsidR="00AA6926">
          <w:rPr>
            <w:noProof/>
          </w:rPr>
          <w:t>2</w:t>
        </w:r>
      </w:fldSimple>
      <w:bookmarkEnd w:id="15"/>
      <w:r w:rsidR="00DF7252">
        <w:rPr>
          <w:noProof/>
        </w:rPr>
        <w:t>.</w:t>
      </w:r>
      <w:r w:rsidR="006269B7">
        <w:rPr>
          <w:noProof/>
        </w:rPr>
        <w:t xml:space="preserve"> Gibbs free energy of unfolding</w:t>
      </w:r>
      <w:r w:rsidR="00DF7252">
        <w:rPr>
          <w:noProof/>
        </w:rPr>
        <w:t xml:space="preserve"> </w:t>
      </w:r>
      <w:r w:rsidR="00B365A7">
        <w:rPr>
          <w:noProof/>
        </w:rPr>
        <w:t>related to enthalpy and entropy changes</w:t>
      </w:r>
    </w:p>
    <w:p w14:paraId="2ED669F8" w14:textId="77777777" w:rsidR="00AF3AE1" w:rsidRPr="00AF3AE1" w:rsidRDefault="00AF3AE1">
      <w:pPr>
        <w:rPr>
          <w:szCs w:val="24"/>
        </w:rPr>
      </w:pPr>
      <w:r>
        <w:rPr>
          <w:szCs w:val="24"/>
        </w:rPr>
        <w:t xml:space="preserve">Under the same principles if temperature is decreased enough cold denaturation of the protein can occur as the </w:t>
      </w:r>
      <w:r>
        <w:rPr>
          <w:rFonts w:ascii="Times New Roman" w:hAnsi="Times New Roman" w:cs="Times New Roman"/>
          <w:szCs w:val="24"/>
        </w:rPr>
        <w:t>Δ</w:t>
      </w:r>
      <w:r w:rsidRPr="00E47AE5">
        <w:rPr>
          <w:i/>
          <w:szCs w:val="24"/>
        </w:rPr>
        <w:t>G</w:t>
      </w:r>
      <w:r>
        <w:rPr>
          <w:szCs w:val="24"/>
        </w:rPr>
        <w:t xml:space="preserve"> once again approaches zero. However, this temperature is often below 0 </w:t>
      </w:r>
      <w:r>
        <w:rPr>
          <w:rFonts w:ascii="Times New Roman" w:hAnsi="Times New Roman" w:cs="Times New Roman"/>
          <w:szCs w:val="24"/>
        </w:rPr>
        <w:t>°</w:t>
      </w:r>
      <w:r>
        <w:rPr>
          <w:szCs w:val="24"/>
        </w:rPr>
        <w:t xml:space="preserve">C and so is very difficult to monitor experimentally due to water around the protein being frozen </w:t>
      </w:r>
      <w:r w:rsidR="007A5C73">
        <w:rPr>
          <w:szCs w:val="24"/>
        </w:rPr>
        <w:fldChar w:fldCharType="begin" w:fldLock="1"/>
      </w:r>
      <w:r w:rsidR="00DD6047">
        <w:rPr>
          <w:szCs w:val="24"/>
        </w:rPr>
        <w:instrText>ADDIN CSL_CITATION { "citationItems" : [ { "id" : "ITEM-1", "itemData" : { "DOI" : "10.1016/j.bbapap.2005.03.002", "ISSN" : "0006-3002", "PMID" : "15893966", "abstract" : "We focus on the various aspects of the physics related to the stability of proteins. We review the pure thermodynamic aspects of the response of a protein to pressure and temperature variations and discuss the respective stability phase diagram. We relate the experimentally observed shape of this diagram to the low degree of correlation between the fluctuations of enthalpy and volume changes associated with the folding-denaturing transition and draw attention to the fact that one order parameter is not enough to characterize the transition. We discuss in detail microscopic aspects of the various contributions to the free energy gap of proteins and put emphasis on how a cosolvent may either enlarge or diminish this gap. We review briefly the various experimental approaches to measure changes in protein stability induced by cosolvents, denaturants, but also by pressure and temperature. Finally, we discuss in detail our own molecular dynamics simulations on cytochrome c and show what happens under high pressure, how glycerol influences structure and volume fluctuations, and how all this compares with experiments.", "author" : [ { "dropping-particle" : "", "family" : "Scharnagl", "given" : "C", "non-dropping-particle" : "", "parse-names" : false, "suffix" : "" }, { "dropping-particle" : "", "family" : "Reif", "given" : "M", "non-dropping-particle" : "", "parse-names" : false, "suffix" : "" }, { "dropping-particle" : "", "family" : "Friedrich", "given" : "J", "non-dropping-particle" : "", "parse-names" : false, "suffix" : "" } ], "container-title" : "Biochimica et Biophysica Acta", "id" : "ITEM-1", "issued" : { "date-parts" : [ [ "2005", "6", "1" ] ] }, "page" : "187-213", "title" : "Stability of proteins: Temperature, pressure and the role of the solvent", "type" : "article-journal", "volume" : "1749" }, "uris" : [ "http://www.mendeley.com/documents/?uuid=c3aa9655-c1e7-40f4-9ff1-673eea6b1fd8" ] } ], "mendeley" : { "formattedCitation" : "(Scharnagl et al. 2005)", "plainTextFormattedCitation" : "(Scharnagl et al. 2005)", "previouslyFormattedCitation" : "(Scharnagl et al. 2005)" }, "properties" : { "noteIndex" : 0 }, "schema" : "https://github.com/citation-style-language/schema/raw/master/csl-citation.json" }</w:instrText>
      </w:r>
      <w:r w:rsidR="007A5C73">
        <w:rPr>
          <w:szCs w:val="24"/>
        </w:rPr>
        <w:fldChar w:fldCharType="separate"/>
      </w:r>
      <w:r w:rsidR="007A5C73" w:rsidRPr="007A5C73">
        <w:rPr>
          <w:noProof/>
          <w:szCs w:val="24"/>
        </w:rPr>
        <w:t>(Scharnagl et al. 2005)</w:t>
      </w:r>
      <w:r w:rsidR="007A5C73">
        <w:rPr>
          <w:szCs w:val="24"/>
        </w:rPr>
        <w:fldChar w:fldCharType="end"/>
      </w:r>
      <w:r w:rsidR="007A5C73">
        <w:rPr>
          <w:szCs w:val="24"/>
        </w:rPr>
        <w:t>.</w:t>
      </w:r>
      <w:r>
        <w:rPr>
          <w:szCs w:val="24"/>
        </w:rPr>
        <w:t xml:space="preserve"> </w:t>
      </w:r>
    </w:p>
    <w:p w14:paraId="72AC2DCD" w14:textId="77777777" w:rsidR="007958E7" w:rsidRDefault="007958E7" w:rsidP="00F45FAF">
      <w:pPr>
        <w:pStyle w:val="Heading3"/>
      </w:pPr>
      <w:bookmarkStart w:id="16" w:name="_Toc485712741"/>
      <w:r w:rsidRPr="00E568C9">
        <w:t>pH</w:t>
      </w:r>
      <w:bookmarkEnd w:id="16"/>
    </w:p>
    <w:p w14:paraId="52660217" w14:textId="77777777" w:rsidR="0046749A" w:rsidRPr="003A025A" w:rsidRDefault="0046749A">
      <w:pPr>
        <w:rPr>
          <w:szCs w:val="24"/>
        </w:rPr>
      </w:pPr>
      <w:r>
        <w:rPr>
          <w:szCs w:val="24"/>
        </w:rPr>
        <w:t>Extreme pH conditions far from the optimum pH under which the protein normally acts (usually physiological pH close t</w:t>
      </w:r>
      <w:r w:rsidR="007302D9">
        <w:rPr>
          <w:szCs w:val="24"/>
        </w:rPr>
        <w:t xml:space="preserve">o 7) will denature the protein. </w:t>
      </w:r>
      <w:commentRangeStart w:id="17"/>
      <w:r w:rsidR="007302D9">
        <w:rPr>
          <w:szCs w:val="24"/>
        </w:rPr>
        <w:t>U</w:t>
      </w:r>
      <w:r w:rsidR="00615BEB">
        <w:rPr>
          <w:szCs w:val="24"/>
        </w:rPr>
        <w:t xml:space="preserve">nder these extreme </w:t>
      </w:r>
      <w:r w:rsidR="007302D9">
        <w:rPr>
          <w:szCs w:val="24"/>
        </w:rPr>
        <w:t>conditions</w:t>
      </w:r>
      <w:r w:rsidR="00615BEB">
        <w:rPr>
          <w:szCs w:val="24"/>
        </w:rPr>
        <w:t xml:space="preserve"> the pKa of exposed acidic and basic amino acid residues</w:t>
      </w:r>
      <w:r w:rsidR="00B365A7">
        <w:rPr>
          <w:szCs w:val="24"/>
        </w:rPr>
        <w:t xml:space="preserve"> may be surpassed and their charges altered</w:t>
      </w:r>
      <w:r w:rsidR="007302D9">
        <w:rPr>
          <w:szCs w:val="24"/>
        </w:rPr>
        <w:t>, resulting in denaturation</w:t>
      </w:r>
      <w:commentRangeEnd w:id="17"/>
      <w:r w:rsidR="007302D9">
        <w:rPr>
          <w:rStyle w:val="CommentReference"/>
        </w:rPr>
        <w:commentReference w:id="17"/>
      </w:r>
      <w:r w:rsidR="00615BEB">
        <w:rPr>
          <w:szCs w:val="24"/>
        </w:rPr>
        <w:t xml:space="preserve">. In the denatured state additional protons bind or are lost to the newly exposed residues. In order to refold the protein needs to lose or rebind these protons which means the free energy of refolding increases making the denatured state more favourable </w:t>
      </w:r>
      <w:r w:rsidR="003A025A">
        <w:rPr>
          <w:szCs w:val="24"/>
        </w:rPr>
        <w:fldChar w:fldCharType="begin" w:fldLock="1"/>
      </w:r>
      <w:r w:rsidR="003A025A">
        <w:rPr>
          <w:szCs w:val="24"/>
        </w:rPr>
        <w:instrText>ADDIN CSL_CITATION { "citationItems" : [ { "id" : "ITEM-1", "itemData" : { "author" : [ { "dropping-particle" : "", "family" : "Shortle", "given" : "D", "non-dropping-particle" : "", "parse-names" : false, "suffix" : "" } ], "container-title" : "Journal of the Federation of American Societies for Experimental Biology", "id" : "ITEM-1", "issued" : { "date-parts" : [ [ "1996" ] ] }, "page" : "27-34", "title" : "The denatured state (The other half of the folding equation) and its role in protein stability", "type" : "article-journal", "volume" : "10" }, "uris" : [ "http://www.mendeley.com/documents/?uuid=1ab8dae3-3a1a-4607-aa7a-2b1051ff2767" ] } ], "mendeley" : { "formattedCitation" : "(Shortle 1996)", "plainTextFormattedCitation" : "(Shortle 1996)", "previouslyFormattedCitation" : "(Shortle 1996)" }, "properties" : { "noteIndex" : 0 }, "schema" : "https://github.com/citation-style-language/schema/raw/master/csl-citation.json" }</w:instrText>
      </w:r>
      <w:r w:rsidR="003A025A">
        <w:rPr>
          <w:szCs w:val="24"/>
        </w:rPr>
        <w:fldChar w:fldCharType="separate"/>
      </w:r>
      <w:r w:rsidR="003A025A" w:rsidRPr="003A025A">
        <w:rPr>
          <w:noProof/>
          <w:szCs w:val="24"/>
        </w:rPr>
        <w:t>(Shortle 1996)</w:t>
      </w:r>
      <w:r w:rsidR="003A025A">
        <w:rPr>
          <w:szCs w:val="24"/>
        </w:rPr>
        <w:fldChar w:fldCharType="end"/>
      </w:r>
      <w:r w:rsidR="003A025A">
        <w:rPr>
          <w:szCs w:val="24"/>
        </w:rPr>
        <w:t>.</w:t>
      </w:r>
    </w:p>
    <w:p w14:paraId="2E6B067F" w14:textId="77777777" w:rsidR="007010F3" w:rsidRDefault="007010F3" w:rsidP="00F45FAF">
      <w:pPr>
        <w:pStyle w:val="Heading3"/>
      </w:pPr>
      <w:bookmarkStart w:id="18" w:name="_Toc485712742"/>
      <w:r w:rsidRPr="00E568C9">
        <w:t>Pressure</w:t>
      </w:r>
      <w:bookmarkEnd w:id="18"/>
    </w:p>
    <w:p w14:paraId="5AE4FD51" w14:textId="77777777" w:rsidR="0007417B" w:rsidRPr="0007417B" w:rsidRDefault="0007417B">
      <w:pPr>
        <w:rPr>
          <w:szCs w:val="24"/>
        </w:rPr>
      </w:pPr>
      <w:r>
        <w:rPr>
          <w:szCs w:val="24"/>
        </w:rPr>
        <w:t>An increase in pressure will stabilise whichever state of the protein has a lower volume. As the native state generally has void areas within its hydrophobic</w:t>
      </w:r>
      <w:r w:rsidR="00B365A7">
        <w:rPr>
          <w:szCs w:val="24"/>
        </w:rPr>
        <w:t xml:space="preserve"> core, the denatured state is usually</w:t>
      </w:r>
      <w:r>
        <w:rPr>
          <w:szCs w:val="24"/>
        </w:rPr>
        <w:t xml:space="preserve"> the state with the lowest volume and as such as pressure increases the free energy of </w:t>
      </w:r>
      <w:r w:rsidR="006C4F3F">
        <w:rPr>
          <w:szCs w:val="24"/>
        </w:rPr>
        <w:t xml:space="preserve">the unfolded state decreases </w:t>
      </w:r>
      <w:r w:rsidR="003A025A">
        <w:rPr>
          <w:szCs w:val="24"/>
        </w:rPr>
        <w:fldChar w:fldCharType="begin" w:fldLock="1"/>
      </w:r>
      <w:r w:rsidR="00DD6047">
        <w:rPr>
          <w:szCs w:val="24"/>
        </w:rPr>
        <w:instrText>ADDIN CSL_CITATION { "citationItems" : [ { "id" : "ITEM-1", "itemData" : { "DOI" : "10.1016/j.bbapap.2005.03.002", "ISSN" : "0006-3002", "PMID" : "15893966", "abstract" : "We focus on the various aspects of the physics related to the stability of proteins. We review the pure thermodynamic aspects of the response of a protein to pressure and temperature variations and discuss the respective stability phase diagram. We relate the experimentally observed shape of this diagram to the low degree of correlation between the fluctuations of enthalpy and volume changes associated with the folding-denaturing transition and draw attention to the fact that one order parameter is not enough to characterize the transition. We discuss in detail microscopic aspects of the various contributions to the free energy gap of proteins and put emphasis on how a cosolvent may either enlarge or diminish this gap. We review briefly the various experimental approaches to measure changes in protein stability induced by cosolvents, denaturants, but also by pressure and temperature. Finally, we discuss in detail our own molecular dynamics simulations on cytochrome c and show what happens under high pressure, how glycerol influences structure and volume fluctuations, and how all this compares with experiments.", "author" : [ { "dropping-particle" : "", "family" : "Scharnagl", "given" : "C", "non-dropping-particle" : "", "parse-names" : false, "suffix" : "" }, { "dropping-particle" : "", "family" : "Reif", "given" : "M", "non-dropping-particle" : "", "parse-names" : false, "suffix" : "" }, { "dropping-particle" : "", "family" : "Friedrich", "given" : "J", "non-dropping-particle" : "", "parse-names" : false, "suffix" : "" } ], "container-title" : "Biochimica et Biophysica Acta", "id" : "ITEM-1", "issued" : { "date-parts" : [ [ "2005", "6", "1" ] ] }, "page" : "187-213", "title" : "Stability of proteins: Temperature, pressure and the role of the solvent", "type" : "article-journal", "volume" : "1749" }, "uris" : [ "http://www.mendeley.com/documents/?uuid=c3aa9655-c1e7-40f4-9ff1-673eea6b1fd8" ] } ], "mendeley" : { "formattedCitation" : "(Scharnagl et al. 2005)", "plainTextFormattedCitation" : "(Scharnagl et al. 2005)", "previouslyFormattedCitation" : "(Scharnagl et al. 2005)" }, "properties" : { "noteIndex" : 0 }, "schema" : "https://github.com/citation-style-language/schema/raw/master/csl-citation.json" }</w:instrText>
      </w:r>
      <w:r w:rsidR="003A025A">
        <w:rPr>
          <w:szCs w:val="24"/>
        </w:rPr>
        <w:fldChar w:fldCharType="separate"/>
      </w:r>
      <w:r w:rsidR="003A025A" w:rsidRPr="003A025A">
        <w:rPr>
          <w:noProof/>
          <w:szCs w:val="24"/>
        </w:rPr>
        <w:t>(Scharnagl et al. 2005)</w:t>
      </w:r>
      <w:r w:rsidR="003A025A">
        <w:rPr>
          <w:szCs w:val="24"/>
        </w:rPr>
        <w:fldChar w:fldCharType="end"/>
      </w:r>
      <w:r w:rsidR="003A025A">
        <w:rPr>
          <w:szCs w:val="24"/>
        </w:rPr>
        <w:t>.</w:t>
      </w:r>
      <w:r w:rsidR="006C4F3F" w:rsidRPr="006C4F3F">
        <w:rPr>
          <w:color w:val="FF0000"/>
          <w:szCs w:val="24"/>
        </w:rPr>
        <w:t xml:space="preserve"> </w:t>
      </w:r>
      <w:r w:rsidR="006C4F3F">
        <w:rPr>
          <w:szCs w:val="24"/>
        </w:rPr>
        <w:t>When a certain pressure is reached the change in free energy of unfolding will be zero and the protein will begin to unfold.</w:t>
      </w:r>
    </w:p>
    <w:p w14:paraId="1DD6FBB2" w14:textId="77777777" w:rsidR="007958E7" w:rsidRDefault="00DE5CC3" w:rsidP="00F45FAF">
      <w:pPr>
        <w:pStyle w:val="Heading3"/>
      </w:pPr>
      <w:bookmarkStart w:id="19" w:name="_Toc485712743"/>
      <w:r>
        <w:lastRenderedPageBreak/>
        <w:t>Chemical composition of the solvent</w:t>
      </w:r>
      <w:bookmarkEnd w:id="19"/>
    </w:p>
    <w:p w14:paraId="5B82AB63" w14:textId="77777777" w:rsidR="00E81CB1" w:rsidRPr="00F45F7A" w:rsidRDefault="00E81CB1">
      <w:pPr>
        <w:rPr>
          <w:color w:val="FF0000"/>
          <w:szCs w:val="24"/>
        </w:rPr>
      </w:pPr>
      <w:r>
        <w:rPr>
          <w:szCs w:val="24"/>
        </w:rPr>
        <w:t xml:space="preserve">Changes in the solvent </w:t>
      </w:r>
      <w:r w:rsidR="003C3871">
        <w:rPr>
          <w:szCs w:val="24"/>
        </w:rPr>
        <w:t>surrounding the protein</w:t>
      </w:r>
      <w:r>
        <w:rPr>
          <w:szCs w:val="24"/>
        </w:rPr>
        <w:t xml:space="preserve"> can have major effects on protein stability. In </w:t>
      </w:r>
      <w:r w:rsidR="00580AB1">
        <w:rPr>
          <w:szCs w:val="24"/>
        </w:rPr>
        <w:t>an</w:t>
      </w:r>
      <w:r>
        <w:rPr>
          <w:szCs w:val="24"/>
        </w:rPr>
        <w:t xml:space="preserve"> aqueous environment exposed residues interact with the hydration shell and </w:t>
      </w:r>
      <w:r w:rsidR="003C3871">
        <w:rPr>
          <w:szCs w:val="24"/>
        </w:rPr>
        <w:t xml:space="preserve">proteins </w:t>
      </w:r>
      <w:r>
        <w:rPr>
          <w:szCs w:val="24"/>
        </w:rPr>
        <w:t xml:space="preserve">have been shown to </w:t>
      </w:r>
      <w:r w:rsidR="00857013">
        <w:rPr>
          <w:szCs w:val="24"/>
        </w:rPr>
        <w:t xml:space="preserve">potentially </w:t>
      </w:r>
      <w:r>
        <w:rPr>
          <w:szCs w:val="24"/>
        </w:rPr>
        <w:t xml:space="preserve">affect water structure at much longer ranges </w:t>
      </w:r>
      <w:r w:rsidR="00857013" w:rsidRPr="00857013">
        <w:rPr>
          <w:szCs w:val="24"/>
        </w:rPr>
        <w:fldChar w:fldCharType="begin" w:fldLock="1"/>
      </w:r>
      <w:r w:rsidR="00924827">
        <w:rPr>
          <w:szCs w:val="24"/>
        </w:rPr>
        <w:instrText>ADDIN CSL_CITATION { "citationItems" : [ { "id" : "ITEM-1", "itemData" : { "DOI" : "10.1073/pnas.0709207104", "ISSN" : "1091-6490", "PMID" : "18093918", "abstract" : "The focus in protein folding has been very much on the protein backbone and sidechains. However, hydration waters make comparable contributions to the structure and energy of proteins. The coupling between fast hydration dynamics and protein dynamics is considered to play an important role in protein folding. Fundamental questions of protein hydration include, how far out into the solvent does the influence of the biomolecule reach, how is the water affected, and how are the properties of the hydration water influenced by the separation between protein molecules in solution? We show here that Terahertz spectroscopy directly probes such solvation dynamics around proteins, and determines the width of the dynamical hydration layer. We also investigate the dependence of solvation dynamics on protein concentration. We observe an unexpected nonmonotonic trend in the measured terahertz absorbance of the five helix bundle protein lambda(6-85)* as a function of the protein: water molar ratio. The trend can be explained by overlapping solvation layers around the proteins. Molecular dynamics simulations indicate water dynamics in the solvation layer around one protein to be distinct from bulk water out to approximately 10 A. At higher protein concentrations such that solvation layers overlap, the calculated absorption spectrum varies nonmonotonically, qualitatively consistent with the experimental observations. The experimental data suggest an influence on the correlated water network motion beyond 20 A, greater than the pure structural correlation length usually observed.", "author" : [ { "dropping-particle" : "", "family" : "Ebbinghaus", "given" : "S", "non-dropping-particle" : "", "parse-names" : false, "suffix" : "" }, { "dropping-particle" : "", "family" : "Kim", "given" : "S J", "non-dropping-particle" : "", "parse-names" : false, "suffix" : "" }, { "dropping-particle" : "", "family" : "Heyden", "given" : "M", "non-dropping-particle" : "", "parse-names" : false, "suffix" : "" }, { "dropping-particle" : "", "family" : "Yu", "given" : "X", "non-dropping-particle" : "", "parse-names" : false, "suffix" : "" }, { "dropping-particle" : "", "family" : "Heugen", "given" : "U", "non-dropping-particle" : "", "parse-names" : false, "suffix" : "" }, { "dropping-particle" : "", "family" : "Gruebele", "given" : "M", "non-dropping-particle" : "", "parse-names" : false, "suffix" : "" }, { "dropping-particle" : "", "family" : "Leitner", "given" : "D M", "non-dropping-particle" : "", "parse-names" : false, "suffix" : "" }, { "dropping-particle" : "", "family" : "Havenith", "given" : "M", "non-dropping-particle" : "", "parse-names" : false, "suffix" : "" } ], "container-title" : "Proceedings of the National Academy of Sciences of the United States of America", "id" : "ITEM-1", "issued" : { "date-parts" : [ [ "2007", "12", "26" ] ] }, "page" : "20749-20752", "title" : "An extended dynamical hydration shell around proteins", "type" : "article-journal", "volume" : "104" }, "uris" : [ "http://www.mendeley.com/documents/?uuid=f24017c3-cc75-4363-933b-730b5ffe25f2" ] }, { "id" : "ITEM-2", "itemData" : { "DOI" : "10.1021/jp407410g", "ISBN" : "1520-5215 (Electronic)\\r1089-5639 (Linking)", "ISSN" : "10895639", "PMID" : "24328100", "abstract" : "Terahertz spectroscopy was used to study the absorption of bovine serum albumin (BSA) in water. The Diamond Light Source operating in a low alpha mode generated coherent synchrotron radiation that covered a useable spectral bandwidth of 0.3-3.3 THz (10-110 cm(-1)). As the BSA concentration was raised, there was a nonlinear change in absorption inconsistent with Beer's law. At low BSA concentrations (0-1 mM), the absorption remained constant or rose slightly. Above a concentration of 1 mM BSA, a steady decrease in absorption was observed, which was followed by a plateau that started at 2.5 mM. Using a overlapping hydration layer model, the hydration layer was estimated to extend 15 \u00c5 from the protein. Calculation of the corrected absorption coefficient (\u03b1corr) for the water around BSA by subtracting the excluded volume of the protein provides an alternative approach to studying the hydration layer that provides evidence for complexity in the population of water around BSA.", "author" : [ { "dropping-particle" : "", "family" : "Bye", "given" : "J W", "non-dropping-particle" : "", "parse-names" : false, "suffix" : "" }, { "dropping-particle" : "", "family" : "Meliga", "given" : "S", "non-dropping-particle" : "", "parse-names" : false, "suffix" : "" }, { "dropping-particle" : "", "family" : "Ferachou", "given" : "D", "non-dropping-particle" : "", "parse-names" : false, "suffix" : "" }, { "dropping-particle" : "", "family" : "Cinque", "given" : "G", "non-dropping-particle" : "", "parse-names" : false, "suffix" : "" }, { "dropping-particle" : "", "family" : "Zeitler", "given" : "J A", "non-dropping-particle" : "", "parse-names" : false, "suffix" : "" }, { "dropping-particle" : "", "family" : "Falconer", "given" : "R J", "non-dropping-particle" : "", "parse-names" : false, "suffix" : "" } ], "container-title" : "Journal of Physical Chemistry A", "id" : "ITEM-2", "issued" : { "date-parts" : [ [ "2014" ] ] }, "page" : "83-88", "title" : "Analysis of the hydration water around bovine serum albumin using terahertz coherent synchrotron radiation", "type" : "article-journal", "volume" : "118" }, "uris" : [ "http://www.mendeley.com/documents/?uuid=b45e85ae-5a60-43bd-9c26-d107dde52954" ] } ], "mendeley" : { "formattedCitation" : "(Ebbinghaus et al. 2007; Bye, Meliga, et al. 2014)", "plainTextFormattedCitation" : "(Ebbinghaus et al. 2007; Bye, Meliga, et al. 2014)", "previouslyFormattedCitation" : "(Ebbinghaus et al. 2007; Bye, Meliga, et al. 2014)" }, "properties" : { "noteIndex" : 0 }, "schema" : "https://github.com/citation-style-language/schema/raw/master/csl-citation.json" }</w:instrText>
      </w:r>
      <w:r w:rsidR="00857013" w:rsidRPr="00857013">
        <w:rPr>
          <w:szCs w:val="24"/>
        </w:rPr>
        <w:fldChar w:fldCharType="separate"/>
      </w:r>
      <w:r w:rsidR="00F30AC3" w:rsidRPr="00F30AC3">
        <w:rPr>
          <w:noProof/>
          <w:szCs w:val="24"/>
        </w:rPr>
        <w:t>(Ebbinghaus et al. 2007; Bye, Meliga, et al. 2014)</w:t>
      </w:r>
      <w:r w:rsidR="00857013" w:rsidRPr="00857013">
        <w:rPr>
          <w:szCs w:val="24"/>
        </w:rPr>
        <w:fldChar w:fldCharType="end"/>
      </w:r>
      <w:r w:rsidR="00857013">
        <w:rPr>
          <w:color w:val="FF0000"/>
          <w:szCs w:val="24"/>
        </w:rPr>
        <w:t>.</w:t>
      </w:r>
      <w:r>
        <w:rPr>
          <w:color w:val="FF0000"/>
          <w:szCs w:val="24"/>
        </w:rPr>
        <w:t xml:space="preserve"> </w:t>
      </w:r>
      <w:r w:rsidR="00580AB1">
        <w:rPr>
          <w:szCs w:val="24"/>
        </w:rPr>
        <w:t>Any</w:t>
      </w:r>
      <w:r>
        <w:rPr>
          <w:szCs w:val="24"/>
        </w:rPr>
        <w:t xml:space="preserve"> deviations in solvent, in particular the </w:t>
      </w:r>
      <w:r w:rsidR="00857013">
        <w:rPr>
          <w:szCs w:val="24"/>
        </w:rPr>
        <w:t>addition of small molecules, have the potential to</w:t>
      </w:r>
      <w:r>
        <w:rPr>
          <w:szCs w:val="24"/>
        </w:rPr>
        <w:t xml:space="preserve"> change these interactions with the hydration shell</w:t>
      </w:r>
      <w:r w:rsidR="00857013">
        <w:rPr>
          <w:szCs w:val="24"/>
        </w:rPr>
        <w:t xml:space="preserve"> </w:t>
      </w:r>
      <w:r w:rsidR="00857013">
        <w:rPr>
          <w:szCs w:val="24"/>
        </w:rPr>
        <w:fldChar w:fldCharType="begin" w:fldLock="1"/>
      </w:r>
      <w:r w:rsidR="00924827">
        <w:rPr>
          <w:szCs w:val="24"/>
        </w:rPr>
        <w:instrText>ADDIN CSL_CITATION { "citationItems" : [ { "id" : "ITEM-1", "itemData" : { "DOI" : "10.1021/ja039335h", "ISSN" : "0002-7863", "PMID" : "14971928", "abstract" : "It is of great interest to determine how solutes such as urea, sugars, guanidinium salts, and trimethylamine N-oxide affect the stability, solubility, and solvation of globular proteins. A key hypothesis in this field states that solutes affect protein stability indirectly by making or breaking water structure. We used a new technique, pressure perturbation calorimetry, to measure the temperature dependence of a solute's partial compressibility. Using fundamental thermodynamic relations, we converted these data to the pressure dependence of the partial heat capacity to examine the impact of protein stabilizing and denaturing solutes on water structure by applying the classic two-state mixture model for water. Contrary to widely held expectations, we found no correlation between a solute's impact on water structure and its effect on protein stability. Our results indicate that efforts to explain solute effects should focus on other hypotheses, including those based on preferential interaction and excluded volume.", "author" : [ { "dropping-particle" : "", "family" : "Batchelor", "given" : "J D", "non-dropping-particle" : "", "parse-names" : false, "suffix" : "" }, { "dropping-particle" : "", "family" : "Olteanu", "given" : "A", "non-dropping-particle" : "", "parse-names" : false, "suffix" : "" }, { "dropping-particle" : "", "family" : "Tripathy", "given" : "A", "non-dropping-particle" : "", "parse-names" : false, "suffix" : "" }, { "dropping-particle" : "", "family" : "Pielak", "given" : "G J", "non-dropping-particle" : "", "parse-names" : false, "suffix" : "" } ], "container-title" : "Journal of the American Chemical Society", "id" : "ITEM-1", "issued" : { "date-parts" : [ [ "2004", "2", "25" ] ] }, "page" : "1958-61", "title" : "Impact of protein denaturants and stabilizers on water structure", "type" : "article-journal", "volume" : "126" }, "uris" : [ "http://www.mendeley.com/documents/?uuid=0bc8f594-df11-4d8e-828e-9c47eef7f9cb" ] }, { "id" : "ITEM-2", "itemData" : { "DOI" : "10.1002/jps.24630", "ISSN" : "00223549", "author" : [ { "dropping-particle" : "", "family" : "Wallace", "given" : "V P", "non-dropping-particle" : "", "parse-names" : false, "suffix" : "" }, { "dropping-particle" : "", "family" : "Ferachou", "given" : "D", "non-dropping-particle" : "", "parse-names" : false, "suffix" : "" }, { "dropping-particle" : "", "family" : "Ke", "given" : "P", "non-dropping-particle" : "", "parse-names" : false, "suffix" : "" }, { "dropping-particle" : "", "family" : "Day", "given" : "K", "non-dropping-particle" : "", "parse-names" : false, "suffix" : "" }, { "dropping-particle" : "", "family" : "Uddin", "given" : "S", "non-dropping-particle" : "", "parse-names" : false, "suffix" : "" }, { "dropping-particle" : "", "family" : "Casas-Finet", "given" : "J", "non-dropping-particle" : "", "parse-names" : false, "suffix" : "" }, { "dropping-particle" : "", "family" : "Walle", "given" : "C F", "non-dropping-particle" : "Van Der", "parse-names" : false, "suffix" : "" }, { "dropping-particle" : "", "family" : "Falconer", "given" : "R J", "non-dropping-particle" : "", "parse-names" : false, "suffix" : "" }, { "dropping-particle" : "", "family" : "Zeitler", "given" : "J A", "non-dropping-particle" : "", "parse-names" : false, "suffix" : "" } ], "container-title" : "Journal of Pharmaceutical Sciences", "id" : "ITEM-2", "issued" : { "date-parts" : [ [ "2015" ] ] }, "page" : "4025-4033", "title" : "Modulation of the hydration water around monoclonal antibodies on addition of excipients detected by terahertz time-domain spectroscopy", "type" : "article-journal", "volume" : "104" }, "uris" : [ "http://www.mendeley.com/documents/?uuid=ac3f3a07-e87f-4a2e-98a1-079ba19717b6" ] } ], "mendeley" : { "formattedCitation" : "(Batchelor et al. 2004; Wallace et al. 2015)", "plainTextFormattedCitation" : "(Batchelor et al. 2004; Wallace et al. 2015)", "previouslyFormattedCitation" : "(Batchelor et al. 2004; Wallace et al. 2015)" }, "properties" : { "noteIndex" : 0 }, "schema" : "https://github.com/citation-style-language/schema/raw/master/csl-citation.json" }</w:instrText>
      </w:r>
      <w:r w:rsidR="00857013">
        <w:rPr>
          <w:szCs w:val="24"/>
        </w:rPr>
        <w:fldChar w:fldCharType="separate"/>
      </w:r>
      <w:r w:rsidR="00857013" w:rsidRPr="00857013">
        <w:rPr>
          <w:noProof/>
          <w:szCs w:val="24"/>
        </w:rPr>
        <w:t>(Batchelor et al. 2004; Wallace et al. 2015)</w:t>
      </w:r>
      <w:r w:rsidR="00857013">
        <w:rPr>
          <w:szCs w:val="24"/>
        </w:rPr>
        <w:fldChar w:fldCharType="end"/>
      </w:r>
      <w:r>
        <w:rPr>
          <w:szCs w:val="24"/>
        </w:rPr>
        <w:t>. Depending on the small molecule added this can have the ability to stabilise or destabilise the protein structure and can act via direct interactions with the protein or via changes in the solvent structure as a whole</w:t>
      </w:r>
      <w:r w:rsidR="00F45F7A" w:rsidRPr="00F45F7A">
        <w:rPr>
          <w:color w:val="FF0000"/>
          <w:szCs w:val="24"/>
        </w:rPr>
        <w:t xml:space="preserve"> </w:t>
      </w:r>
      <w:r w:rsidR="003A025A" w:rsidRPr="003A025A">
        <w:rPr>
          <w:szCs w:val="24"/>
        </w:rPr>
        <w:fldChar w:fldCharType="begin" w:fldLock="1"/>
      </w:r>
      <w:r w:rsidR="003A025A">
        <w:rPr>
          <w:szCs w:val="24"/>
        </w:rPr>
        <w:instrText>ADDIN CSL_CITATION { "citationItems" : [ { "id" : "ITEM-1", "itemData" : { "author" : [ { "dropping-particle" : "", "family" : "Schellman", "given" : "J A", "non-dropping-particle" : "", "parse-names" : false, "suffix" : "" } ], "container-title" : "Biopolymers", "id" : "ITEM-1", "issued" : { "date-parts" : [ [ "1978" ] ] }, "page" : "1305-1322", "title" : "Solvent denaturation", "type" : "article-journal", "volume" : "17" }, "uris" : [ "http://www.mendeley.com/documents/?uuid=ccff156c-2cca-4b22-a895-57e7a554d342" ] } ], "mendeley" : { "formattedCitation" : "(Schellman 1978)", "plainTextFormattedCitation" : "(Schellman 1978)", "previouslyFormattedCitation" : "(Schellman 1978)" }, "properties" : { "noteIndex" : 0 }, "schema" : "https://github.com/citation-style-language/schema/raw/master/csl-citation.json" }</w:instrText>
      </w:r>
      <w:r w:rsidR="003A025A" w:rsidRPr="003A025A">
        <w:rPr>
          <w:szCs w:val="24"/>
        </w:rPr>
        <w:fldChar w:fldCharType="separate"/>
      </w:r>
      <w:r w:rsidR="003A025A" w:rsidRPr="003A025A">
        <w:rPr>
          <w:noProof/>
          <w:szCs w:val="24"/>
        </w:rPr>
        <w:t>(Schellman 1978)</w:t>
      </w:r>
      <w:r w:rsidR="003A025A" w:rsidRPr="003A025A">
        <w:rPr>
          <w:szCs w:val="24"/>
        </w:rPr>
        <w:fldChar w:fldCharType="end"/>
      </w:r>
      <w:r>
        <w:rPr>
          <w:szCs w:val="24"/>
        </w:rPr>
        <w:t xml:space="preserve">. </w:t>
      </w:r>
      <w:r w:rsidR="00F45F7A">
        <w:rPr>
          <w:szCs w:val="24"/>
        </w:rPr>
        <w:t xml:space="preserve">The plethora of studies exploring the effects of small molecules on protein stability is reviewed below. </w:t>
      </w:r>
      <w:r>
        <w:rPr>
          <w:szCs w:val="24"/>
        </w:rPr>
        <w:t xml:space="preserve"> </w:t>
      </w:r>
    </w:p>
    <w:p w14:paraId="3EF5D8FF" w14:textId="77777777" w:rsidR="003F2BCD" w:rsidRPr="00E568C9" w:rsidRDefault="008D5285" w:rsidP="000A3469">
      <w:pPr>
        <w:pStyle w:val="Heading2"/>
      </w:pPr>
      <w:bookmarkStart w:id="20" w:name="_Toc485712744"/>
      <w:r>
        <w:t>Small molecule</w:t>
      </w:r>
      <w:r w:rsidR="007455EA">
        <w:t xml:space="preserve"> effects on protein stability</w:t>
      </w:r>
      <w:bookmarkEnd w:id="20"/>
    </w:p>
    <w:p w14:paraId="789274EB" w14:textId="77777777" w:rsidR="005F4F0D" w:rsidRDefault="00F71153">
      <w:pPr>
        <w:rPr>
          <w:szCs w:val="24"/>
        </w:rPr>
      </w:pPr>
      <w:r w:rsidRPr="00E568C9">
        <w:rPr>
          <w:szCs w:val="24"/>
        </w:rPr>
        <w:t xml:space="preserve">In a study in 1890 on invertase it was noted that the enzyme </w:t>
      </w:r>
      <w:r w:rsidR="00150C9A">
        <w:rPr>
          <w:szCs w:val="24"/>
        </w:rPr>
        <w:t>continued to function at</w:t>
      </w:r>
      <w:r w:rsidRPr="00E568C9">
        <w:rPr>
          <w:szCs w:val="24"/>
        </w:rPr>
        <w:t xml:space="preserve"> temperatures up to 25 </w:t>
      </w:r>
      <w:r w:rsidRPr="00E568C9">
        <w:rPr>
          <w:rFonts w:cs="Times New Roman"/>
          <w:szCs w:val="24"/>
        </w:rPr>
        <w:t>°</w:t>
      </w:r>
      <w:r w:rsidRPr="00E568C9">
        <w:rPr>
          <w:szCs w:val="24"/>
        </w:rPr>
        <w:t xml:space="preserve">C higher in the presence of cane sugar, which is probably the first time the occurrence of a stabilising small molecule was recorded </w:t>
      </w:r>
      <w:r w:rsidR="0089372F">
        <w:rPr>
          <w:szCs w:val="24"/>
        </w:rPr>
        <w:t>experimentally</w:t>
      </w:r>
      <w:r w:rsidR="003A025A">
        <w:rPr>
          <w:szCs w:val="24"/>
        </w:rPr>
        <w:t xml:space="preserve"> </w:t>
      </w:r>
      <w:r w:rsidR="003A025A">
        <w:rPr>
          <w:szCs w:val="24"/>
        </w:rPr>
        <w:fldChar w:fldCharType="begin" w:fldLock="1"/>
      </w:r>
      <w:r w:rsidR="00DD6047">
        <w:rPr>
          <w:szCs w:val="24"/>
        </w:rPr>
        <w:instrText>ADDIN CSL_CITATION { "citationItems" : [ { "id" : "ITEM-1", "itemData" : { "author" : [ { "dropping-particle" : "", "family" : "O' Sullivan", "given" : "C", "non-dropping-particle" : "", "parse-names" : false, "suffix" : "" }, { "dropping-particle" : "", "family" : "Tompson", "given" : "F W", "non-dropping-particle" : "", "parse-names" : false, "suffix" : "" } ], "container-title" : "Journal of Chemical Society", "id" : "ITEM-1", "issued" : { "date-parts" : [ [ "1890" ] ] }, "page" : "834-931", "title" : "Invertase: A contribution to the history of an enzyme or unorganised ferment", "type" : "article-journal", "volume" : "57" }, "uris" : [ "http://www.mendeley.com/documents/?uuid=05f95c6f-956a-4e0a-b2fc-063b7cf54168" ] } ], "mendeley" : { "formattedCitation" : "(O\u2019 Sullivan &amp; Tompson 1890)", "plainTextFormattedCitation" : "(O\u2019 Sullivan &amp; Tompson 1890)", "previouslyFormattedCitation" : "(O\u2019 Sullivan &amp; Tompson 1890)" }, "properties" : { "noteIndex" : 0 }, "schema" : "https://github.com/citation-style-language/schema/raw/master/csl-citation.json" }</w:instrText>
      </w:r>
      <w:r w:rsidR="003A025A">
        <w:rPr>
          <w:szCs w:val="24"/>
        </w:rPr>
        <w:fldChar w:fldCharType="separate"/>
      </w:r>
      <w:r w:rsidR="003A025A" w:rsidRPr="003A025A">
        <w:rPr>
          <w:noProof/>
          <w:szCs w:val="24"/>
        </w:rPr>
        <w:t>(O’ Sullivan &amp; Tompson 1890)</w:t>
      </w:r>
      <w:r w:rsidR="003A025A">
        <w:rPr>
          <w:szCs w:val="24"/>
        </w:rPr>
        <w:fldChar w:fldCharType="end"/>
      </w:r>
      <w:r w:rsidR="003A025A">
        <w:rPr>
          <w:szCs w:val="24"/>
        </w:rPr>
        <w:t>.</w:t>
      </w:r>
      <w:r w:rsidR="0089372F">
        <w:rPr>
          <w:color w:val="FF0000"/>
          <w:szCs w:val="24"/>
        </w:rPr>
        <w:t xml:space="preserve"> </w:t>
      </w:r>
      <w:r w:rsidR="0089372F">
        <w:rPr>
          <w:szCs w:val="24"/>
        </w:rPr>
        <w:t xml:space="preserve">Since then the effects </w:t>
      </w:r>
      <w:r w:rsidR="00731A59">
        <w:rPr>
          <w:szCs w:val="24"/>
        </w:rPr>
        <w:t xml:space="preserve">on protein stability </w:t>
      </w:r>
      <w:r w:rsidR="0089372F">
        <w:rPr>
          <w:szCs w:val="24"/>
        </w:rPr>
        <w:t>of a vast number of small molecules, ranging from salts to naturally occurring small molecules to synthetic small molecules, have been documented.</w:t>
      </w:r>
      <w:r w:rsidR="0095179A">
        <w:rPr>
          <w:szCs w:val="24"/>
        </w:rPr>
        <w:t xml:space="preserve"> There have been many attempts to group or order these molecules based on their abilities to </w:t>
      </w:r>
      <w:r w:rsidR="003A025A">
        <w:rPr>
          <w:szCs w:val="24"/>
        </w:rPr>
        <w:t>affect</w:t>
      </w:r>
      <w:r w:rsidR="0095179A">
        <w:rPr>
          <w:szCs w:val="24"/>
        </w:rPr>
        <w:t xml:space="preserve"> protein stability</w:t>
      </w:r>
      <w:r w:rsidR="00B24491">
        <w:rPr>
          <w:szCs w:val="24"/>
        </w:rPr>
        <w:t xml:space="preserve">, including correlating effects on stability </w:t>
      </w:r>
      <w:r w:rsidR="000C1A43">
        <w:rPr>
          <w:szCs w:val="24"/>
        </w:rPr>
        <w:t>with</w:t>
      </w:r>
      <w:r w:rsidR="00B24491">
        <w:rPr>
          <w:szCs w:val="24"/>
        </w:rPr>
        <w:t xml:space="preserve"> degree of methylation </w:t>
      </w:r>
      <w:r w:rsidR="00B24491">
        <w:rPr>
          <w:szCs w:val="24"/>
        </w:rPr>
        <w:fldChar w:fldCharType="begin" w:fldLock="1"/>
      </w:r>
      <w:r w:rsidR="00054313">
        <w:rPr>
          <w:szCs w:val="24"/>
        </w:rPr>
        <w:instrText>ADDIN CSL_CITATION { "citationItems" : [ { "id" : "ITEM-1", "itemData" : { "ISSN" : "0006-2960", "PMID" : "1376620", "abstract" : "Organisms and cellular systems which have adapted to stresses such as high temperature, desiccation, and urea-concentrating environments have responded by concentrating particular organic solutes known as osmolytes. These osmolytes are believed to confer protection to enzyme and other macromolecular systems against such denaturing stresses. Differential scanning calorimetric (DSC) experiments were performed on ribonuclease A and hen egg white lysozyme in the presence of varying concentrations of the osmolytes glycine, sarcosine, N,N-dimethylglycine, and betaine. Solutions containing up to several molar concentrations of these solutes were found to result in considerable increases in the thermal unfolding transition temperature (Tm) for these proteins. DSC scans of ribonuclease A in the presence of up to 8.2 M sarcosine resulted in reversible two-state unfolding transitions with Tm increases of up to 22 degrees C and unfolding enthalpy changes which were independent of Tm. On the basis of the thermodynamic parameters observed, 8.2 M sarcosine results in a stabilization free energy increase of 7.2 kcal/mol for ribonuclease A at 65 degrees C. This translates into more than a 45,000-fold increase in stability of the native form of ribonuclease A over that in the absence of sarcosine at this temperature. Catalytic activity measurements in the presence of 4 M sarcosine give kcat and Km values that are largely unchanged from those in the absence of sarcosine. DSC of lysozyme unfolding in the presence of these osmolytes also results in Tm increases of up to 23 degrees C; however, significant irreversibly occurs with this protein.(ABSTRACT TRUNCATED AT 250 WORDS)", "author" : [ { "dropping-particle" : "", "family" : "Santoro", "given" : "M M", "non-dropping-particle" : "", "parse-names" : false, "suffix" : "" }, { "dropping-particle" : "", "family" : "Liu", "given" : "Y", "non-dropping-particle" : "", "parse-names" : false, "suffix" : "" }, { "dropping-particle" : "", "family" : "Khan", "given" : "S M A", "non-dropping-particle" : "", "parse-names" : false, "suffix" : "" }, { "dropping-particle" : "", "family" : "Hou", "given" : "L X", "non-dropping-particle" : "", "parse-names" : false, "suffix" : "" }, { "dropping-particle" : "", "family" : "Bolen", "given" : "D W", "non-dropping-particle" : "", "parse-names" : false, "suffix" : "" } ], "container-title" : "Biochemistry", "id" : "ITEM-1", "issued" : { "date-parts" : [ [ "1992", "6", "16" ] ] }, "page" : "5278-5283", "title" : "Increased thermal stability of proteins in the presence of naturally occurring osmolytes", "type" : "article-journal", "volume" : "31" }, "uris" : [ "http://www.mendeley.com/documents/?uuid=43f8c6ce-f911-44c3-88ac-ffd899b1fb4f" ] } ], "mendeley" : { "formattedCitation" : "(Santoro et al. 1992)", "plainTextFormattedCitation" : "(Santoro et al. 1992)", "previouslyFormattedCitation" : "(Santoro et al. 1992)" }, "properties" : { "noteIndex" : 0 }, "schema" : "https://github.com/citation-style-language/schema/raw/master/csl-citation.json" }</w:instrText>
      </w:r>
      <w:r w:rsidR="00B24491">
        <w:rPr>
          <w:szCs w:val="24"/>
        </w:rPr>
        <w:fldChar w:fldCharType="separate"/>
      </w:r>
      <w:r w:rsidR="00B24491" w:rsidRPr="00B24491">
        <w:rPr>
          <w:noProof/>
          <w:szCs w:val="24"/>
        </w:rPr>
        <w:t>(Santoro et al. 1992)</w:t>
      </w:r>
      <w:r w:rsidR="00B24491">
        <w:rPr>
          <w:szCs w:val="24"/>
        </w:rPr>
        <w:fldChar w:fldCharType="end"/>
      </w:r>
      <w:r w:rsidR="00B24491">
        <w:rPr>
          <w:szCs w:val="24"/>
        </w:rPr>
        <w:t xml:space="preserve">, size </w:t>
      </w:r>
      <w:r w:rsidR="00B24491">
        <w:rPr>
          <w:szCs w:val="24"/>
        </w:rPr>
        <w:fldChar w:fldCharType="begin" w:fldLock="1"/>
      </w:r>
      <w:r w:rsidR="00B24491">
        <w:rPr>
          <w:szCs w:val="24"/>
        </w:rPr>
        <w:instrText>ADDIN CSL_CITATION { "citationItems" : [ { "id" : "ITEM-1", "itemData" : { "DOI" : "10.1016/j.bpc.2008.09.013", "ISBN" : "1873-4200 (Electronic) 0301-4622 (Linking)", "ISSN" : "03014622", "PMID" : "18835508", "abstract" : "Thermal denaturation curves of ribonuclease-A were measured by monitoring changes in the far-UV circular dichroism (CD) spectra in the presence of different concentrations of six sugars (glucose, fructose, galactose, sucrose, raffinose and stachyose) and mixture of monosaccharide constituents of each oligosaccharide at various pH values in the range of 6.0-2.0. These measurements gave values of Tm (midpoint of denaturation), ??Hm (enthalpy change at Tm), ??Cp (constant-pressure heat capacity change) under a given solvent condition. Using these values of ??Hm, Tm and ??Cp in appropriate thermodynamic relations, thermodynamic parameters at 25????C, namely, ??GD o (Gibbs energy change), ??HD o (enthalpy change), and ??SD o (entropy change) were determined at a given pH and concentration of each sugar (including its mixture of monosaccharide constituents). Our main conclusions are: (i) each sugar stabilizes the protein in terms of Tm and ??GD o, and this stabilization is under enthalpic control, (ii) the protein stabilization by the oligosaccharide is significantly less than that by the equimolar concentration of the constituent monosaccharides, and (iii) the stabilization by monosaccharides in a mixture is fully additive. Furthermore, measurements of the far- and near-UV CD spectra suggested that secondary and tertiary structures of protein in their native and denatured states are not perturbed on the addition of sugars. ?? 2008 Elsevier B.V. All rights reserved.", "author" : [ { "dropping-particle" : "", "family" : "Poddar", "given" : "N K", "non-dropping-particle" : "", "parse-names" : false, "suffix" : "" }, { "dropping-particle" : "", "family" : "Ansari", "given" : "Z A", "non-dropping-particle" : "", "parse-names" : false, "suffix" : "" }, { "dropping-particle" : "", "family" : "Brojen Singh", "given" : "R K", "non-dropping-particle" : "", "parse-names" : false, "suffix" : "" }, { "dropping-particle" : "", "family" : "Moosavi-Movahedi", "given" : "A A", "non-dropping-particle" : "", "parse-names" : false, "suffix" : "" }, { "dropping-particle" : "", "family" : "Ahmad", "given" : "F", "non-dropping-particle" : "", "parse-names" : false, "suffix" : "" } ], "container-title" : "Biophysical Chemistry", "id" : "ITEM-1", "issued" : { "date-parts" : [ [ "2008" ] ] }, "page" : "120-129", "publisher" : "Elsevier B.V.", "title" : "Effect of monomeric and oligomeric sugar osmolytes on deltaGD, the Gibbs energy of stabilization of the protein at different pH values: Is the sum effect of monosaccharide individually additive in a mixture?", "type" : "article-journal", "volume" : "138" }, "uris" : [ "http://www.mendeley.com/documents/?uuid=569eff96-0841-4709-83b9-a2fdcc3f9203" ] } ], "mendeley" : { "formattedCitation" : "(Poddar et al. 2008)", "plainTextFormattedCitation" : "(Poddar et al. 2008)", "previouslyFormattedCitation" : "(Poddar et al. 2008)" }, "properties" : { "noteIndex" : 0 }, "schema" : "https://github.com/citation-style-language/schema/raw/master/csl-citation.json" }</w:instrText>
      </w:r>
      <w:r w:rsidR="00B24491">
        <w:rPr>
          <w:szCs w:val="24"/>
        </w:rPr>
        <w:fldChar w:fldCharType="separate"/>
      </w:r>
      <w:r w:rsidR="00B24491" w:rsidRPr="00B24491">
        <w:rPr>
          <w:noProof/>
          <w:szCs w:val="24"/>
        </w:rPr>
        <w:t>(Poddar et al. 2008)</w:t>
      </w:r>
      <w:r w:rsidR="00B24491">
        <w:rPr>
          <w:szCs w:val="24"/>
        </w:rPr>
        <w:fldChar w:fldCharType="end"/>
      </w:r>
      <w:r w:rsidR="00F126C8">
        <w:rPr>
          <w:szCs w:val="24"/>
        </w:rPr>
        <w:t xml:space="preserve"> </w:t>
      </w:r>
      <w:r w:rsidR="00B24491">
        <w:rPr>
          <w:szCs w:val="24"/>
        </w:rPr>
        <w:t xml:space="preserve">and hydrophobicity </w:t>
      </w:r>
      <w:r w:rsidR="00B24491">
        <w:rPr>
          <w:szCs w:val="24"/>
        </w:rPr>
        <w:fldChar w:fldCharType="begin" w:fldLock="1"/>
      </w:r>
      <w:r w:rsidR="00054313">
        <w:rPr>
          <w:szCs w:val="24"/>
        </w:rPr>
        <w:instrText>ADDIN CSL_CITATION { "citationItems" : [ { "id" : "ITEM-1", "itemData" : { "ISSN" : "0264-6021", "PMID" : "7945233", "abstract" : "This study is a systematic attempt to understand the roles of osmolytes in protecting proteins against denaturing stress. Thermal denaturation of cytochrome c has been studied in the presence of various concentrations of all L-amino acids that are more hydrophobic than glycine and have a solubility of 0.1 M or higher in water at 25 degrees C. The basic observations are as follows. (1) Arginine and histidine destabilize the native protein; both Tm (the midpoint of thermal transition) and delta GDH2O (25 degrees C) (the Gibbs energy of stabilization) decrease with increasing amino acid concentration. (2) Isoleucine, leucine and phenylalanine have no effect on Tm and deltaGDH2O (25 degrees C). (3) Valine and less hydrophobic amino acids stabilize the protein in terms of Tm but deltaGDH2O (25 degrees C) is unchanged. This observation was confirmed by the study of isothermal denaturation of cytochrome c by guanidinium chloride which suggested that delta GDH2O is independent of osmolyte concentration, but Cm (the midpoint of transition) is increased in their presence. (4) In the case of stabilizers, change in Tm/mol of amino acid decreases with increasing hydrophobicity of these osmolytes.", "author" : [ { "dropping-particle" : "", "family" : "Taneja", "given" : "S", "non-dropping-particle" : "", "parse-names" : false, "suffix" : "" }, { "dropping-particle" : "", "family" : "Ahmad", "given" : "F", "non-dropping-particle" : "", "parse-names" : false, "suffix" : "" } ], "container-title" : "Biochemical Journal", "id" : "ITEM-1", "issued" : { "date-parts" : [ [ "1994", "10", "1" ] ] }, "page" : "147-153", "title" : "Increased thermal stability of proteins in the presence of amino acids", "type" : "article-journal", "volume" : "303" }, "uris" : [ "http://www.mendeley.com/documents/?uuid=58de2c9a-4375-44f3-b3b7-972049f9dc42" ] } ], "mendeley" : { "formattedCitation" : "(Taneja &amp; Ahmad 1994)", "plainTextFormattedCitation" : "(Taneja &amp; Ahmad 1994)", "previouslyFormattedCitation" : "(Taneja &amp; Ahmad 1994)" }, "properties" : { "noteIndex" : 0 }, "schema" : "https://github.com/citation-style-language/schema/raw/master/csl-citation.json" }</w:instrText>
      </w:r>
      <w:r w:rsidR="00B24491">
        <w:rPr>
          <w:szCs w:val="24"/>
        </w:rPr>
        <w:fldChar w:fldCharType="separate"/>
      </w:r>
      <w:r w:rsidR="00B24491" w:rsidRPr="00B24491">
        <w:rPr>
          <w:noProof/>
          <w:szCs w:val="24"/>
        </w:rPr>
        <w:t>(Taneja &amp; Ahmad 1994)</w:t>
      </w:r>
      <w:r w:rsidR="00B24491">
        <w:rPr>
          <w:szCs w:val="24"/>
        </w:rPr>
        <w:fldChar w:fldCharType="end"/>
      </w:r>
      <w:r w:rsidR="007A345A">
        <w:rPr>
          <w:szCs w:val="24"/>
        </w:rPr>
        <w:t xml:space="preserve">. </w:t>
      </w:r>
      <w:r w:rsidR="00842E53">
        <w:rPr>
          <w:szCs w:val="24"/>
        </w:rPr>
        <w:t xml:space="preserve">The major groups of small molecules that affect protein stability </w:t>
      </w:r>
      <w:r w:rsidR="00B2218D">
        <w:rPr>
          <w:szCs w:val="24"/>
        </w:rPr>
        <w:t xml:space="preserve">and their </w:t>
      </w:r>
      <w:r w:rsidR="00A00806">
        <w:rPr>
          <w:szCs w:val="24"/>
        </w:rPr>
        <w:t>effects on proteins</w:t>
      </w:r>
      <w:r w:rsidR="00B2218D">
        <w:rPr>
          <w:szCs w:val="24"/>
        </w:rPr>
        <w:t xml:space="preserve"> </w:t>
      </w:r>
      <w:r w:rsidR="00842E53">
        <w:rPr>
          <w:szCs w:val="24"/>
        </w:rPr>
        <w:t>are outlined below</w:t>
      </w:r>
      <w:r w:rsidR="00B2218D">
        <w:rPr>
          <w:szCs w:val="24"/>
        </w:rPr>
        <w:t xml:space="preserve"> in </w:t>
      </w:r>
      <w:r w:rsidR="00A00806">
        <w:rPr>
          <w:szCs w:val="24"/>
        </w:rPr>
        <w:fldChar w:fldCharType="begin"/>
      </w:r>
      <w:r w:rsidR="00A00806" w:rsidRPr="003C3871">
        <w:rPr>
          <w:szCs w:val="24"/>
        </w:rPr>
        <w:instrText xml:space="preserve"> REF _Ref453332271 \h </w:instrText>
      </w:r>
      <w:r w:rsidR="003C3871">
        <w:rPr>
          <w:szCs w:val="24"/>
        </w:rPr>
        <w:instrText xml:space="preserve"> \* MERGEFORMAT </w:instrText>
      </w:r>
      <w:r w:rsidR="00A00806">
        <w:rPr>
          <w:szCs w:val="24"/>
        </w:rPr>
      </w:r>
      <w:r w:rsidR="00A00806">
        <w:rPr>
          <w:szCs w:val="24"/>
        </w:rPr>
        <w:fldChar w:fldCharType="separate"/>
      </w:r>
      <w:r w:rsidR="00AA6926" w:rsidRPr="00AA6926">
        <w:rPr>
          <w:szCs w:val="24"/>
        </w:rPr>
        <w:t xml:space="preserve">Table </w:t>
      </w:r>
      <w:r w:rsidR="00AA6926" w:rsidRPr="00AA6926">
        <w:rPr>
          <w:noProof/>
          <w:szCs w:val="24"/>
        </w:rPr>
        <w:t>1</w:t>
      </w:r>
      <w:r w:rsidR="00AA6926" w:rsidRPr="00AA6926">
        <w:rPr>
          <w:noProof/>
          <w:szCs w:val="24"/>
        </w:rPr>
        <w:noBreakHyphen/>
        <w:t>1</w:t>
      </w:r>
      <w:r w:rsidR="00A00806">
        <w:rPr>
          <w:szCs w:val="24"/>
        </w:rPr>
        <w:fldChar w:fldCharType="end"/>
      </w:r>
      <w:r w:rsidR="00B2218D" w:rsidRPr="00F37B19">
        <w:rPr>
          <w:szCs w:val="24"/>
        </w:rPr>
        <w:t>.</w:t>
      </w:r>
      <w:r w:rsidR="00B2218D">
        <w:rPr>
          <w:color w:val="FF0000"/>
          <w:szCs w:val="24"/>
        </w:rPr>
        <w:t xml:space="preserve"> </w:t>
      </w:r>
      <w:r w:rsidR="000A75DC">
        <w:rPr>
          <w:szCs w:val="24"/>
        </w:rPr>
        <w:t>The effects of both small organic molecules and salts</w:t>
      </w:r>
      <w:r w:rsidR="00B2218D" w:rsidRPr="00B2218D">
        <w:rPr>
          <w:szCs w:val="24"/>
        </w:rPr>
        <w:t xml:space="preserve"> are also discussed in more detail in the following sections.</w:t>
      </w:r>
      <w:r w:rsidR="00CC6F52">
        <w:rPr>
          <w:szCs w:val="24"/>
        </w:rPr>
        <w:t xml:space="preserve"> Small molecules that stabilise proteins tend to decrease solubility and increase aggregation because they favour states of the protein where less of its surface is exposed to the solvent. Small molecules that destabilise proteins tend to increase solubility and decrease aggregation because they favour states of the protein where more of its surface is exposed to the solvent.</w:t>
      </w:r>
    </w:p>
    <w:p w14:paraId="259C43C0" w14:textId="77777777" w:rsidR="00B04D22" w:rsidRPr="005F4F0D" w:rsidRDefault="00B04D22"/>
    <w:p w14:paraId="76DFD146" w14:textId="77777777" w:rsidR="00A00806" w:rsidRDefault="00A00806" w:rsidP="006B257F">
      <w:pPr>
        <w:pStyle w:val="Caption"/>
        <w:keepNext/>
        <w:jc w:val="left"/>
      </w:pPr>
      <w:bookmarkStart w:id="21" w:name="_Ref453332271"/>
      <w:bookmarkStart w:id="22" w:name="_Ref453332213"/>
      <w:r>
        <w:t xml:space="preserve">Table </w:t>
      </w:r>
      <w:fldSimple w:instr=" STYLEREF 1 \s ">
        <w:r w:rsidR="00AA6926">
          <w:rPr>
            <w:noProof/>
          </w:rPr>
          <w:t>1</w:t>
        </w:r>
      </w:fldSimple>
      <w:r w:rsidR="00D6574D">
        <w:noBreakHyphen/>
      </w:r>
      <w:fldSimple w:instr=" SEQ Table \* ARABIC \s 1 ">
        <w:r w:rsidR="00AA6926">
          <w:rPr>
            <w:noProof/>
          </w:rPr>
          <w:t>1</w:t>
        </w:r>
      </w:fldSimple>
      <w:bookmarkEnd w:id="21"/>
      <w:r>
        <w:t>. Two major groupings of small molecules based on their effects on proteins in solution</w:t>
      </w:r>
      <w:bookmarkEnd w:id="22"/>
    </w:p>
    <w:tbl>
      <w:tblPr>
        <w:tblStyle w:val="LightShading"/>
        <w:tblW w:w="0" w:type="auto"/>
        <w:tblLook w:val="04A0" w:firstRow="1" w:lastRow="0" w:firstColumn="1" w:lastColumn="0" w:noHBand="0" w:noVBand="1"/>
      </w:tblPr>
      <w:tblGrid>
        <w:gridCol w:w="1668"/>
        <w:gridCol w:w="2409"/>
        <w:gridCol w:w="1701"/>
        <w:gridCol w:w="2942"/>
      </w:tblGrid>
      <w:tr w:rsidR="00A20A7D" w14:paraId="7E83BB21" w14:textId="77777777" w:rsidTr="00585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36C50F0" w14:textId="77777777" w:rsidR="00A20A7D" w:rsidRDefault="00A20A7D">
            <w:pPr>
              <w:rPr>
                <w:szCs w:val="24"/>
              </w:rPr>
            </w:pPr>
          </w:p>
        </w:tc>
        <w:tc>
          <w:tcPr>
            <w:tcW w:w="2409" w:type="dxa"/>
          </w:tcPr>
          <w:p w14:paraId="6D69A6E1" w14:textId="77777777" w:rsidR="00A20A7D" w:rsidRDefault="00A20A7D">
            <w:pPr>
              <w:cnfStyle w:val="100000000000" w:firstRow="1" w:lastRow="0" w:firstColumn="0" w:lastColumn="0" w:oddVBand="0" w:evenVBand="0" w:oddHBand="0" w:evenHBand="0" w:firstRowFirstColumn="0" w:firstRowLastColumn="0" w:lastRowFirstColumn="0" w:lastRowLastColumn="0"/>
              <w:rPr>
                <w:szCs w:val="24"/>
              </w:rPr>
            </w:pPr>
            <w:r>
              <w:rPr>
                <w:szCs w:val="24"/>
              </w:rPr>
              <w:t>Stabilisers/ Osmolytes/ Chemical chaperones/ Kosmotropes</w:t>
            </w:r>
          </w:p>
        </w:tc>
        <w:tc>
          <w:tcPr>
            <w:tcW w:w="1701" w:type="dxa"/>
          </w:tcPr>
          <w:p w14:paraId="0933FF93" w14:textId="77777777" w:rsidR="00A20A7D" w:rsidRDefault="00A20A7D">
            <w:pPr>
              <w:cnfStyle w:val="100000000000" w:firstRow="1" w:lastRow="0" w:firstColumn="0" w:lastColumn="0" w:oddVBand="0" w:evenVBand="0" w:oddHBand="0" w:evenHBand="0" w:firstRowFirstColumn="0" w:firstRowLastColumn="0" w:lastRowFirstColumn="0" w:lastRowLastColumn="0"/>
              <w:rPr>
                <w:szCs w:val="24"/>
              </w:rPr>
            </w:pPr>
            <w:r>
              <w:rPr>
                <w:szCs w:val="24"/>
              </w:rPr>
              <w:t>Denaturants/ Destabilisers/ Chaotropes</w:t>
            </w:r>
          </w:p>
        </w:tc>
        <w:tc>
          <w:tcPr>
            <w:tcW w:w="2942" w:type="dxa"/>
          </w:tcPr>
          <w:p w14:paraId="2AE06B5E" w14:textId="77777777" w:rsidR="00A20A7D" w:rsidRDefault="00A20A7D">
            <w:pPr>
              <w:cnfStyle w:val="100000000000" w:firstRow="1" w:lastRow="0" w:firstColumn="0" w:lastColumn="0" w:oddVBand="0" w:evenVBand="0" w:oddHBand="0" w:evenHBand="0" w:firstRowFirstColumn="0" w:firstRowLastColumn="0" w:lastRowFirstColumn="0" w:lastRowLastColumn="0"/>
              <w:rPr>
                <w:szCs w:val="24"/>
              </w:rPr>
            </w:pPr>
            <w:r>
              <w:rPr>
                <w:szCs w:val="24"/>
              </w:rPr>
              <w:t>References</w:t>
            </w:r>
          </w:p>
        </w:tc>
      </w:tr>
      <w:tr w:rsidR="00A20A7D" w14:paraId="47CB6F39" w14:textId="77777777" w:rsidTr="0058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EAED3DB" w14:textId="77777777" w:rsidR="00A20A7D" w:rsidRPr="009D78ED" w:rsidRDefault="00A20A7D">
            <w:pPr>
              <w:rPr>
                <w:sz w:val="20"/>
                <w:szCs w:val="20"/>
              </w:rPr>
            </w:pPr>
            <w:r w:rsidRPr="009D78ED">
              <w:rPr>
                <w:sz w:val="20"/>
                <w:szCs w:val="20"/>
              </w:rPr>
              <w:t>Effect on Protein Stability</w:t>
            </w:r>
          </w:p>
        </w:tc>
        <w:tc>
          <w:tcPr>
            <w:tcW w:w="2409" w:type="dxa"/>
            <w:shd w:val="clear" w:color="auto" w:fill="auto"/>
          </w:tcPr>
          <w:p w14:paraId="34023D92" w14:textId="77777777" w:rsidR="00A20A7D" w:rsidRPr="009D78ED" w:rsidRDefault="00A20A7D">
            <w:pP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Increase</w:t>
            </w:r>
          </w:p>
        </w:tc>
        <w:tc>
          <w:tcPr>
            <w:tcW w:w="1701" w:type="dxa"/>
            <w:shd w:val="clear" w:color="auto" w:fill="auto"/>
          </w:tcPr>
          <w:p w14:paraId="5500C8AE" w14:textId="77777777" w:rsidR="00A20A7D" w:rsidRPr="009D78ED" w:rsidRDefault="00A20A7D">
            <w:pP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Decrease</w:t>
            </w:r>
          </w:p>
        </w:tc>
        <w:tc>
          <w:tcPr>
            <w:tcW w:w="2942" w:type="dxa"/>
            <w:shd w:val="clear" w:color="auto" w:fill="auto"/>
          </w:tcPr>
          <w:p w14:paraId="1A1F8F5C" w14:textId="77777777" w:rsidR="00A20A7D" w:rsidRPr="00E205A3" w:rsidRDefault="00A20A7D">
            <w:pPr>
              <w:cnfStyle w:val="000000100000" w:firstRow="0" w:lastRow="0" w:firstColumn="0" w:lastColumn="0" w:oddVBand="0" w:evenVBand="0" w:oddHBand="1" w:evenHBand="0" w:firstRowFirstColumn="0" w:firstRowLastColumn="0" w:lastRowFirstColumn="0" w:lastRowLastColumn="0"/>
              <w:rPr>
                <w:sz w:val="20"/>
                <w:szCs w:val="20"/>
              </w:rPr>
            </w:pPr>
            <w:r w:rsidRPr="00E205A3">
              <w:rPr>
                <w:sz w:val="20"/>
                <w:szCs w:val="20"/>
              </w:rPr>
              <w:fldChar w:fldCharType="begin" w:fldLock="1"/>
            </w:r>
            <w:r w:rsidR="00924827">
              <w:rPr>
                <w:sz w:val="20"/>
                <w:szCs w:val="20"/>
              </w:rPr>
              <w:instrText>ADDIN CSL_CITATION { "citationItems" : [ { "id" : "ITEM-1", "itemData" : { "DOI" : "10.1016/S0006-3495(85)83932-1", "ISSN" : "0006-3495", "PMID" : "3978211", "abstract" : "The preferential interactions of lysozyme with solvent components and the effects of solvent additives on its stability were examined for several neutral osmolytes: L-proline, L-serine, gamma-aminobutyric acid, sarcosine, taurine, alpha-alanine, beta-alanine, glycine, betaine, and trimethylamine N-oxide. It was shown that all these substances stabilize the protein structure against thermal denaturation and (except for trimethylamine N-oxide for which interaction measurements could not be made) are strongly excluded from the protein domain, rendering unlikely their direct binding to proteins. On the other hand, valine, not known as an osmolyte, had no stabilizing effect, although it induced a large protein-preferential hydration. A possible explanation is given for the use of these substances as osmotic-pressure-regulating agents in organisms living under high osmotic pressure.", "author" : [ { "dropping-particle" : "", "family" : "Arakawa", "given" : "T", "non-dropping-particle" : "", "parse-names" : false, "suffix" : "" }, { "dropping-particle" : "", "family" : "Timasheff", "given" : "S N", "non-dropping-particle" : "", "parse-names" : false, "suffix" : "" } ], "container-title" : "Biophysical Journal", "id" : "ITEM-1", "issued" : { "date-parts" : [ [ "1985", "3" ] ] }, "page" : "411-414", "title" : "The stabilization of proteins by osmolytes", "type" : "article-journal", "volume" : "47" }, "uris" : [ "http://www.mendeley.com/documents/?uuid=a1e19a58-b0d0-4a61-ada1-8d4bd546989a" ] }, { "id" : "ITEM-2", "itemData" : { "DOI" : "10.1074/jbc.R700042200", "ISBN" : "0021-9258", "ISSN" : "00219258", "PMID" : "18256030", "abstract" : "Cells of almost all organisms accumulate organic osmolytes when exposed to hyperosmolality, most often in the form of high salt or urea. In this review, we discuss 1) how the organic osmolytes protect; 2) the identity of osmolytes in Archaea, bacteria, yeast, plants, marine animals, and mammals; 3) the mechanisms by which they are accumulated; 4) sensors of osmolality; 5) the signaling pathways involved; and 6) mutual counteraction by urea and methylamines.", "author" : [ { "dropping-particle" : "", "family" : "Burg", "given" : "M B", "non-dropping-particle" : "", "parse-names" : false, "suffix" : "" }, { "dropping-particle" : "", "family" : "Ferraris", "given" : "J D", "non-dropping-particle" : "", "parse-names" : false, "suffix" : "" } ], "container-title" : "Journal of Biological Chemistry", "id" : "ITEM-2", "issued" : { "date-parts" : [ [ "2008" ] ] }, "page" : "7309-7313", "title" : "Intracellular organic osmolytes: Function and regulation", "type" : "article-journal", "volume" : "283" }, "uris" : [ "http://www.mendeley.com/documents/?uuid=c06074c7-7ba3-49da-a92f-f1089cde6864" ] }, { "id" : "ITEM-3", "itemData" : { "DOI" : "10.1146/annurev-physchem-040412-110156", "ISBN" : "0404121101", "ISSN" : "1545-1593", "PMID" : "23298246", "abstract" : "Proteins are marginally stable, and the folding/unfolding equilibrium of proteins in aqueous solution can easily be altered by the addition of small organic molecules known as cosolvents. Cosolvents that shift the equilibrium toward the unfolded ensemble are termed denaturants, whereas those that favor the folded ensemble are known as protecting osmolytes. Urea is a widely used denaturant in protein folding studies, and the molecular mechanism of its action has been vigorously debated in the literature. Here we review recent experimental as well as computational studies that show an emerging consensus in this problem. Urea has been shown to denature proteins through a direct mechanism, by interacting favorably with the peptide backbone as well as the amino acid side chains. In contrast, the molecular mechanism by which the naturally occurring protecting osmolyte trimethylamine N-oxide (TMAO) stabilizes proteins is not clear. Recent studies have established the strong interaction of TMAO with water. Detailed molecular simulations, when used with force fields that incorporate these interactions, can provide insight into this problem. We present the development of a model for TMAO that is consistent with experimental observations and that provides physical insight into the role of cosolvent-cosolvent interaction in determining its preferential interaction with proteins.", "author" : [ { "dropping-particle" : "", "family" : "Canchi", "given" : "D R", "non-dropping-particle" : "", "parse-names" : false, "suffix" : "" }, { "dropping-particle" : "", "family" : "Garc\u00eda", "given" : "A E", "non-dropping-particle" : "", "parse-names" : false, "suffix" : "" } ], "container-title" : "Annual Review of Physical Chemistry", "id" : "ITEM-3", "issued" : { "date-parts" : [ [ "2013", "1" ] ] }, "page" : "273-293", "title" : "Cosolvent effects on protein stability", "type" : "article-journal", "volume" : "64" }, "uris" : [ "http://www.mendeley.com/documents/?uuid=c94e0bc8-fff1-45a1-963c-43c51d64d686" ] } ], "mendeley" : { "formattedCitation" : "(Arakawa &amp; Timasheff 1985; Burg &amp; Ferraris 2008; Canchi &amp; Garc\u00eda 2013)", "plainTextFormattedCitation" : "(Arakawa &amp; Timasheff 1985; Burg &amp; Ferraris 2008; Canchi &amp; Garc\u00eda 2013)", "previouslyFormattedCitation" : "(Arakawa &amp; Timasheff 1985; Burg &amp; Ferraris 2008; Canchi &amp; Garc\u00eda 2013)" }, "properties" : { "noteIndex" : 0 }, "schema" : "https://github.com/citation-style-language/schema/raw/master/csl-citation.json" }</w:instrText>
            </w:r>
            <w:r w:rsidRPr="00E205A3">
              <w:rPr>
                <w:sz w:val="20"/>
                <w:szCs w:val="20"/>
              </w:rPr>
              <w:fldChar w:fldCharType="separate"/>
            </w:r>
            <w:r w:rsidRPr="00E205A3">
              <w:rPr>
                <w:noProof/>
                <w:sz w:val="20"/>
                <w:szCs w:val="20"/>
              </w:rPr>
              <w:t>(Arakawa &amp; Timasheff 1985; Burg &amp; Ferraris 2008; Canchi &amp; García 2013)</w:t>
            </w:r>
            <w:r w:rsidRPr="00E205A3">
              <w:rPr>
                <w:sz w:val="20"/>
                <w:szCs w:val="20"/>
              </w:rPr>
              <w:fldChar w:fldCharType="end"/>
            </w:r>
          </w:p>
        </w:tc>
      </w:tr>
      <w:tr w:rsidR="00A20A7D" w14:paraId="239B2925" w14:textId="77777777" w:rsidTr="00585CA3">
        <w:tc>
          <w:tcPr>
            <w:cnfStyle w:val="001000000000" w:firstRow="0" w:lastRow="0" w:firstColumn="1" w:lastColumn="0" w:oddVBand="0" w:evenVBand="0" w:oddHBand="0" w:evenHBand="0" w:firstRowFirstColumn="0" w:firstRowLastColumn="0" w:lastRowFirstColumn="0" w:lastRowLastColumn="0"/>
            <w:tcW w:w="1668" w:type="dxa"/>
          </w:tcPr>
          <w:p w14:paraId="6276BD64" w14:textId="77777777" w:rsidR="00A20A7D" w:rsidRPr="009D78ED" w:rsidRDefault="00A20A7D">
            <w:pPr>
              <w:rPr>
                <w:sz w:val="20"/>
                <w:szCs w:val="20"/>
              </w:rPr>
            </w:pPr>
            <w:r w:rsidRPr="009D78ED">
              <w:rPr>
                <w:sz w:val="20"/>
                <w:szCs w:val="20"/>
              </w:rPr>
              <w:t>Effect on Protein Solubility</w:t>
            </w:r>
          </w:p>
        </w:tc>
        <w:tc>
          <w:tcPr>
            <w:tcW w:w="2409" w:type="dxa"/>
          </w:tcPr>
          <w:p w14:paraId="004C7D73" w14:textId="77777777" w:rsidR="00A20A7D" w:rsidRPr="009D78ED" w:rsidRDefault="00A20A7D">
            <w:pP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Decrease</w:t>
            </w:r>
          </w:p>
        </w:tc>
        <w:tc>
          <w:tcPr>
            <w:tcW w:w="1701" w:type="dxa"/>
          </w:tcPr>
          <w:p w14:paraId="11754945" w14:textId="77777777" w:rsidR="00A20A7D" w:rsidRPr="009D78ED" w:rsidRDefault="00A20A7D">
            <w:pP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Increase</w:t>
            </w:r>
          </w:p>
        </w:tc>
        <w:tc>
          <w:tcPr>
            <w:tcW w:w="2942" w:type="dxa"/>
          </w:tcPr>
          <w:p w14:paraId="5B88A127" w14:textId="77777777" w:rsidR="00A20A7D" w:rsidRPr="00E205A3" w:rsidRDefault="00A20A7D">
            <w:pPr>
              <w:cnfStyle w:val="000000000000" w:firstRow="0" w:lastRow="0" w:firstColumn="0" w:lastColumn="0" w:oddVBand="0" w:evenVBand="0" w:oddHBand="0" w:evenHBand="0" w:firstRowFirstColumn="0" w:firstRowLastColumn="0" w:lastRowFirstColumn="0" w:lastRowLastColumn="0"/>
              <w:rPr>
                <w:sz w:val="20"/>
                <w:szCs w:val="20"/>
              </w:rPr>
            </w:pPr>
            <w:r w:rsidRPr="00E205A3">
              <w:rPr>
                <w:sz w:val="20"/>
                <w:szCs w:val="20"/>
              </w:rPr>
              <w:fldChar w:fldCharType="begin" w:fldLock="1"/>
            </w:r>
            <w:r w:rsidR="0034217E">
              <w:rPr>
                <w:sz w:val="20"/>
                <w:szCs w:val="20"/>
              </w:rPr>
              <w:instrText>ADDIN CSL_CITATION { "citationItems" : [ { "id" : "ITEM-1", "itemData" : { "DOI" : "10.1021/ja049297h", "ISSN" : "0002-7863", "PMID" : "15264823", "abstract" : "Increasing a protein concentration in solution to the required level, without causing aggregation and precipitation is often a challenging but important task, especially in the field of structural biology; as little as 20% of nonmembrane proteins have been found to be suitable candidates for structural studies predominantly due to poor protein solubility. We demonstrate here that simultaneous addition of charged amino acids L-Arg and L-Glu at 50 mM to the buffer can dramatically increase the maximum achievable concentration of soluble protein (up to 8.7 times). These amino acids are effective in preventing protein aggregation and precipitation, and they dramatically increase the long-term stability of the sample; additionally, they protect protein samples from proteolytic degradation. Specific protein-protein and protein-RNA interactions are not adversely affected by the presence of these amino acids. These additives are particularly suitable for situations where high protein concentration and long-term stability are required, including solution-state studies of isotopically labeled proteins by NMR.", "author" : [ { "dropping-particle" : "", "family" : "Golovanov", "given" : "A P", "non-dropping-particle" : "", "parse-names" : false, "suffix" : "" }, { "dropping-particle" : "", "family" : "Hautbergue", "given" : "G M", "non-dropping-particle" : "", "parse-names" : false, "suffix" : "" }, { "dropping-particle" : "", "family" : "Wilson", "given" : "S A", "non-dropping-particle" : "", "parse-names" : false, "suffix" : "" }, { "dropping-particle" : "", "family" : "Lian", "given" : "L Y", "non-dropping-particle" : "", "parse-names" : false, "suffix" : "" } ], "container-title" : "Journal of the American Chemical Society", "id" : "ITEM-1", "issued" : { "date-parts" : [ [ "2004", "7", "28" ] ] }, "page" : "8933-8939", "title" : "A simple method for improving protein solubility and long-term stability", "type" : "article-journal", "volume" : "126" }, "uris" : [ "http://www.mendeley.com/documents/?uuid=d38188f2-f8d0-460f-9b60-e5c25aadba0c" ] }, { "id" : "ITEM-2", "itemData" : { "DOI" : "10.1007/s10529-013-1445-6", "ISSN" : "1573-6776", "PMID" : "24557073", "abstract" : "Formulation scientists employed in the biopharmaceutical industry face the challenge of creating liquid aqueous formulations for proteins that never had evolutionary pressure to be exceptionally stable or soluble. Yet commercial products usually need a shelf life of 2 years to be economically viable. The research done in this field is dominated by physical chemists who have developed theories like preferential interaction, preferential hydration and excluded volume to explain the mechanisms for the interaction between salt, small organic molecules and proteins. This review aims to translate the research findings on protein stability and solubility produced by the physical chemists and make it accessible to formulation scientists working within the biopharmaceutical industry.", "author" : [ { "dropping-particle" : "", "family" : "Bye", "given" : "J W", "non-dropping-particle" : "", "parse-names" : false, "suffix" : "" }, { "dropping-particle" : "", "family" : "Platts", "given" : "L", "non-dropping-particle" : "", "parse-names" : false, "suffix" : "" }, { "dropping-particle" : "", "family" : "Falconer", "given" : "R J", "non-dropping-particle" : "", "parse-names" : false, "suffix" : "" } ], "container-title" : "Biotechnology Letters", "id" : "ITEM-2", "issued" : { "date-parts" : [ [ "2014", "5" ] ] }, "page" : "869-875", "title" : "Biopharmaceutical liquid formulation: a review of the science of protein stability and solubility in aqueous environments", "type" : "article-journal", "volume" : "36" }, "uris" : [ "http://www.mendeley.com/documents/?uuid=cec86dc4-3d6c-44e2-8daa-aad86a45087b" ] } ], "mendeley" : { "formattedCitation" : "(Golovanov et al. 2004; Bye, Platts, et al. 2014)", "plainTextFormattedCitation" : "(Golovanov et al. 2004; Bye, Platts, et al. 2014)", "previouslyFormattedCitation" : "(Golovanov et al. 2004; Bye, Platts, et al. 2014)" }, "properties" : { "noteIndex" : 0 }, "schema" : "https://github.com/citation-style-language/schema/raw/master/csl-citation.json" }</w:instrText>
            </w:r>
            <w:r w:rsidRPr="00E205A3">
              <w:rPr>
                <w:sz w:val="20"/>
                <w:szCs w:val="20"/>
              </w:rPr>
              <w:fldChar w:fldCharType="separate"/>
            </w:r>
            <w:r w:rsidR="00F30AC3" w:rsidRPr="00F30AC3">
              <w:rPr>
                <w:noProof/>
                <w:sz w:val="20"/>
                <w:szCs w:val="20"/>
              </w:rPr>
              <w:t>(Golovanov et al. 2004; Bye, Platts, et al. 2014)</w:t>
            </w:r>
            <w:r w:rsidRPr="00E205A3">
              <w:rPr>
                <w:sz w:val="20"/>
                <w:szCs w:val="20"/>
              </w:rPr>
              <w:fldChar w:fldCharType="end"/>
            </w:r>
          </w:p>
        </w:tc>
      </w:tr>
      <w:tr w:rsidR="00A20A7D" w14:paraId="204E3446" w14:textId="77777777" w:rsidTr="0058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286438A" w14:textId="77777777" w:rsidR="00A20A7D" w:rsidRPr="009D78ED" w:rsidRDefault="00A20A7D">
            <w:pPr>
              <w:rPr>
                <w:sz w:val="20"/>
                <w:szCs w:val="20"/>
              </w:rPr>
            </w:pPr>
            <w:r w:rsidRPr="009D78ED">
              <w:rPr>
                <w:sz w:val="20"/>
                <w:szCs w:val="20"/>
              </w:rPr>
              <w:t>Effect on Protein Aggregation</w:t>
            </w:r>
          </w:p>
        </w:tc>
        <w:tc>
          <w:tcPr>
            <w:tcW w:w="2409" w:type="dxa"/>
            <w:shd w:val="clear" w:color="auto" w:fill="auto"/>
          </w:tcPr>
          <w:p w14:paraId="43D9C978" w14:textId="77777777" w:rsidR="00A20A7D" w:rsidRPr="009D78ED" w:rsidRDefault="00A20A7D">
            <w:pP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Increase</w:t>
            </w:r>
          </w:p>
        </w:tc>
        <w:tc>
          <w:tcPr>
            <w:tcW w:w="1701" w:type="dxa"/>
            <w:shd w:val="clear" w:color="auto" w:fill="auto"/>
          </w:tcPr>
          <w:p w14:paraId="1512CD40" w14:textId="77777777" w:rsidR="00A20A7D" w:rsidRPr="009D78ED" w:rsidRDefault="00A20A7D">
            <w:pP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Decrease</w:t>
            </w:r>
          </w:p>
        </w:tc>
        <w:tc>
          <w:tcPr>
            <w:tcW w:w="2942" w:type="dxa"/>
            <w:shd w:val="clear" w:color="auto" w:fill="auto"/>
          </w:tcPr>
          <w:p w14:paraId="0D58BCC3" w14:textId="77777777" w:rsidR="00A20A7D" w:rsidRPr="00E205A3" w:rsidRDefault="00A20A7D">
            <w:pPr>
              <w:cnfStyle w:val="000000100000" w:firstRow="0" w:lastRow="0" w:firstColumn="0" w:lastColumn="0" w:oddVBand="0" w:evenVBand="0" w:oddHBand="1" w:evenHBand="0" w:firstRowFirstColumn="0" w:firstRowLastColumn="0" w:lastRowFirstColumn="0" w:lastRowLastColumn="0"/>
              <w:rPr>
                <w:sz w:val="20"/>
                <w:szCs w:val="20"/>
              </w:rPr>
            </w:pPr>
            <w:r w:rsidRPr="00E205A3">
              <w:rPr>
                <w:sz w:val="20"/>
                <w:szCs w:val="20"/>
              </w:rPr>
              <w:fldChar w:fldCharType="begin" w:fldLock="1"/>
            </w:r>
            <w:r w:rsidR="002764B5">
              <w:rPr>
                <w:sz w:val="20"/>
                <w:szCs w:val="20"/>
              </w:rPr>
              <w:instrText>ADDIN CSL_CITATION { "citationItems" : [ { "id" : "ITEM-1", "itemData" : { "abstract" : "In order to develop protein formulations that limit aggregation, researchers heuristi- cally screen potential solution additives (excipients). Such screening is necessary be- cause current understanding of mechanisms of aggregation and molecular-level effects of additives on aggregation is limited. In this study, we developed a statistical- mechanical method in order to model the thermodynamic effects of additives in molecular-level detail. This method uses no adjustable parameters and was vali- dated by quantitative comparison with experimental data on proteins in glycerol and urea solutions. We then applied our molecular simulation technique to study the mechanism by which arginine, a common refolding buffer additive, deters protein aggregation. We find that arginine acts as a weak surfactant at the protein-solvent interface, with its guanidino group tending to face the protein. We propose that arginine is a member of a class of anti-aggregation additives, which we term \"neutral crowders,\" characterized by their (1) negligible effect on the free energy of isolated protein molecules and (2) large size relative to water. With a simplified statistical- mechanical model, we have shown that such additives selectively increase the free energy of protein-protein encounter complexes by being preferentially-excluded from the gap between the protein molecules in such complexes. This \"gap effect\" will therefore slow protein association reactions. We showed experimentally that, in ac- cordance with the gap effect model predictions, arginine slows association of model globular proteins (antibody+antigen) and of folding intermediates and aggregates of carbonic anhydrase II. We predict that neutral crowders larger than arginine will be superior anti-aggregation additives.", "author" : [ { "dropping-particle" : "", "family" : "Baynes", "given" : "B M", "non-dropping-particle" : "", "parse-names" : false, "suffix" : "" } ], "container-title" : "Massachusetts Institute of Technology, USA", "id" : "ITEM-1", "issued" : { "date-parts" : [ [ "2004" ] ] }, "title" : "Stabilization of proteins against aggregation by solution additives. PhD Thesis", "type" : "article-journal" }, "uris" : [ "http://www.mendeley.com/documents/?uuid=584aba10-3923-4573-ba53-272ca760cad7" ] }, { "id" : "ITEM-2", "itemData" : { "DOI" : "10.1016/j.ijpharm.2004.11.014", "ISSN" : "0378-5173", "PMID" : "15652195", "abstract" : "Protein aggregation is arguably the most common and troubling manifestation of protein instability, encountered in almost all stages of protein drug development. Protein aggregation, along with other physical and/or chemical instabilities of proteins, remains to be one of the major road barriers hindering rapid commercialization of potential protein drug candidates. Although a variety of methods have been used/designed to prevent/inhibit protein aggregation, the end results are often unsatisfactory for many proteins. The limited success is partly due to our lack of a clear understanding of the protein aggregation process. This article intends to discuss protein aggregation and its related mechanisms, methods characterizing protein aggregation, factors affecting protein aggregation, and possible venues in aggregation prevention/inhibition in various stages of protein drug development.", "author" : [ { "dropping-particle" : "", "family" : "Wang", "given" : "W", "non-dropping-particle" : "", "parse-names" : false, "suffix" : "" } ], "container-title" : "International Journal of Pharmaceutics", "id" : "ITEM-2", "issued" : { "date-parts" : [ [ "2005", "1", "31" ] ] }, "page" : "1-30", "title" : "Protein aggregation and its inhibition in biopharmaceutics", "type" : "article-journal", "volume" : "289" }, "uris" : [ "http://www.mendeley.com/documents/?uuid=0fdb5144-86a3-41bd-81a2-7b3646f6a8e2" ] } ], "mendeley" : { "formattedCitation" : "(Baynes 2004; Wang 2005)", "plainTextFormattedCitation" : "(Baynes 2004; Wang 2005)", "previouslyFormattedCitation" : "(Baynes 2004; Wang 2005)" }, "properties" : { "noteIndex" : 0 }, "schema" : "https://github.com/citation-style-language/schema/raw/master/csl-citation.json" }</w:instrText>
            </w:r>
            <w:r w:rsidRPr="00E205A3">
              <w:rPr>
                <w:sz w:val="20"/>
                <w:szCs w:val="20"/>
              </w:rPr>
              <w:fldChar w:fldCharType="separate"/>
            </w:r>
            <w:r w:rsidR="00D1209E" w:rsidRPr="00E205A3">
              <w:rPr>
                <w:noProof/>
                <w:sz w:val="20"/>
                <w:szCs w:val="20"/>
              </w:rPr>
              <w:t>(Baynes 2004; Wang 2005)</w:t>
            </w:r>
            <w:r w:rsidRPr="00E205A3">
              <w:rPr>
                <w:sz w:val="20"/>
                <w:szCs w:val="20"/>
              </w:rPr>
              <w:fldChar w:fldCharType="end"/>
            </w:r>
          </w:p>
        </w:tc>
      </w:tr>
    </w:tbl>
    <w:p w14:paraId="73381414" w14:textId="77777777" w:rsidR="00B2218D" w:rsidRDefault="00B2218D">
      <w:pPr>
        <w:rPr>
          <w:szCs w:val="24"/>
        </w:rPr>
      </w:pPr>
    </w:p>
    <w:p w14:paraId="49673B60" w14:textId="77777777" w:rsidR="007010F3" w:rsidRDefault="002566EF" w:rsidP="00F45FAF">
      <w:pPr>
        <w:pStyle w:val="Heading3"/>
      </w:pPr>
      <w:bookmarkStart w:id="23" w:name="_Ref459106206"/>
      <w:bookmarkStart w:id="24" w:name="_Toc485712745"/>
      <w:r>
        <w:t>Hofmeister s</w:t>
      </w:r>
      <w:r w:rsidR="007010F3" w:rsidRPr="00E568C9">
        <w:t>alts</w:t>
      </w:r>
      <w:bookmarkEnd w:id="23"/>
      <w:bookmarkEnd w:id="24"/>
    </w:p>
    <w:p w14:paraId="185DB24F" w14:textId="77777777" w:rsidR="00ED3BE9" w:rsidRDefault="000F17AA">
      <w:pPr>
        <w:rPr>
          <w:szCs w:val="24"/>
        </w:rPr>
      </w:pPr>
      <w:r>
        <w:rPr>
          <w:szCs w:val="24"/>
        </w:rPr>
        <w:t xml:space="preserve">In 1888 Franz Hofmeister discovered that different salts had different effects on the precipitation of proteins found in hen egg white </w:t>
      </w:r>
      <w:r>
        <w:rPr>
          <w:szCs w:val="24"/>
        </w:rPr>
        <w:fldChar w:fldCharType="begin" w:fldLock="1"/>
      </w:r>
      <w:r w:rsidR="00E13DB2">
        <w:rPr>
          <w:szCs w:val="24"/>
        </w:rPr>
        <w:instrText>ADDIN CSL_CITATION { "citationItems" : [ { "id" : "ITEM-1", "itemData" : { "DOI" : "10.1016/j.cocis.2004.05.005", "ISSN" : "13590294", "author" : [ { "dropping-particle" : "", "family" : "Kunz", "given" : "W", "non-dropping-particle" : "", "parse-names" : false, "suffix" : "" }, { "dropping-particle" : "", "family" : "Henle", "given" : "J", "non-dropping-particle" : "", "parse-names" : false, "suffix" : "" }, { "dropping-particle" : "", "family" : "Ninham", "given" : "B W", "non-dropping-particle" : "", "parse-names" : false, "suffix" : "" } ], "container-title" : "Current Opinion in Colloid &amp; Interface Science", "id" : "ITEM-1", "issued" : { "date-parts" : [ [ "2004", "8" ] ] }, "page" : "19-37", "title" : "\u2018Zur Lehre von der Wirkung der Salze\u2019 (about the science of the effect of salts): Franz Hofmeister's historical papers", "type" : "article-journal", "volume" : "9" }, "uris" : [ "http://www.mendeley.com/documents/?uuid=2d397724-78c0-4d3e-9716-c98cbf1a1214" ] } ], "mendeley" : { "formattedCitation" : "(Kunz, Henle, et al. 2004)", "manualFormatting" : "(translated in Kunz et al. 2004)", "plainTextFormattedCitation" : "(Kunz, Henle, et al. 2004)", "previouslyFormattedCitation" : "(Kunz, Henle, et al. 2004)" }, "properties" : { "noteIndex" : 0 }, "schema" : "https://github.com/citation-style-language/schema/raw/master/csl-citation.json" }</w:instrText>
      </w:r>
      <w:r>
        <w:rPr>
          <w:szCs w:val="24"/>
        </w:rPr>
        <w:fldChar w:fldCharType="separate"/>
      </w:r>
      <w:r w:rsidRPr="000F17AA">
        <w:rPr>
          <w:noProof/>
          <w:szCs w:val="24"/>
        </w:rPr>
        <w:t>(</w:t>
      </w:r>
      <w:r>
        <w:rPr>
          <w:noProof/>
          <w:szCs w:val="24"/>
        </w:rPr>
        <w:t xml:space="preserve">translated in </w:t>
      </w:r>
      <w:r w:rsidRPr="000F17AA">
        <w:rPr>
          <w:noProof/>
          <w:szCs w:val="24"/>
        </w:rPr>
        <w:t>Kunz et al. 2004)</w:t>
      </w:r>
      <w:r>
        <w:rPr>
          <w:szCs w:val="24"/>
        </w:rPr>
        <w:fldChar w:fldCharType="end"/>
      </w:r>
      <w:r>
        <w:rPr>
          <w:szCs w:val="24"/>
        </w:rPr>
        <w:t xml:space="preserve">. The </w:t>
      </w:r>
      <w:r w:rsidR="00B61C28">
        <w:rPr>
          <w:szCs w:val="24"/>
        </w:rPr>
        <w:t xml:space="preserve">rank </w:t>
      </w:r>
      <w:r>
        <w:rPr>
          <w:szCs w:val="24"/>
        </w:rPr>
        <w:t xml:space="preserve">ordering of these salts, referred to as the ‘Hofmeister series’, was later found to hold true for a plethora of different biochemical processes including protein stability, </w:t>
      </w:r>
      <w:r w:rsidR="009A47D0">
        <w:rPr>
          <w:szCs w:val="24"/>
        </w:rPr>
        <w:t>enzyme activity</w:t>
      </w:r>
      <w:r>
        <w:rPr>
          <w:szCs w:val="24"/>
        </w:rPr>
        <w:t>, polymer cloud points,</w:t>
      </w:r>
      <w:r w:rsidR="009A47D0">
        <w:rPr>
          <w:szCs w:val="24"/>
        </w:rPr>
        <w:t xml:space="preserve"> and crystallisation</w:t>
      </w:r>
      <w:r>
        <w:rPr>
          <w:szCs w:val="24"/>
        </w:rPr>
        <w:t xml:space="preserve"> to name a few </w:t>
      </w:r>
      <w:r>
        <w:rPr>
          <w:szCs w:val="24"/>
        </w:rPr>
        <w:fldChar w:fldCharType="begin" w:fldLock="1"/>
      </w:r>
      <w:r w:rsidR="00924827">
        <w:rPr>
          <w:szCs w:val="24"/>
        </w:rPr>
        <w:instrText>ADDIN CSL_CITATION { "citationItems" : [ { "id" : "ITEM-1", "itemData" : { "DOI" : "10.1017/S0033583500005369", "ISBN" : "0033-5835", "ISSN" : "0033-5835", "PMID" : "3916340", "abstract" : "Starting from known properties of non-specific salt effects on the surface tension at an air-water interface, we propose the first general, detailed qualitative molecular mechanism for the origins of ion-specific (Hofmeister) effects on the surface potential difference at an air-water interface; this mechanism suggests a simple model for the behaviour of water at all interfaces (including water-solute interfaces), regardless of whether the non-aqueous component is neutral or charged, polar or non-polar. Specifically, water near an isolated interface is conceptually divided into three layers, each layer being I water-molecule thick. We propose that the solute determines the behaviour of the adjacent first interfacial water layer (I1); that the bulk solution determines the behaviour of the third interfacial water layer (I3), and that both I1 and I3 compete for hydrogen-bonding interactions with the intervening water layer (I2), which can be thought of as a transition layer. The model requires that a polar kosmotrope (polar water-structure maker) interact with I1 more strongly than would bulk water in its place; that a chaotrope (water-structure breaker) interact with I1 somewhat less strongly than would bulk water in its place; and that a non-polar kosmotrope (non-polar water-structure maker) interact with I1 much less strongly than would bulk water in its place. We introduce two simple new postulates to describe the behaviour of I1 water molecules in aqueous solution. The first, the 'relative competition' postulate, states that an I1 water molecule, in maximizing its free energy (--delta G), will favour those of its highly directional polar (hydrogen-bonding) interactions with its immediate neighbours for which the maximum pairwise enthalpy of interaction (--delta H) is greatest; that is, it will favour the strongest interactions. We describe such behaviour as 'compliant', since an I1 water molecule will continually adjust its position to maximize these strong interactions. Its behaviour towards its remaining immediate neighbours, with whom it interacts relatively weakly (but still favourably), we describe as 'recalcitrant', since it will be unable to adjust its position to maximize simultaneously these interactions.", "author" : [ { "dropping-particle" : "", "family" : "Collins", "given" : "K D", "non-dropping-particle" : "", "parse-names" : false, "suffix" : "" }, { "dropping-particle" : "", "family" : "Washabaugh", "given" : "M W", "non-dropping-particle" : "", "parse-names" : false, "suffix" : "" } ], "container-title" : "Quarterly Review of Biophysics", "id" : "ITEM-1", "issued" : { "date-parts" : [ [ "1985" ] ] }, "page" : "323-422", "title" : "The Hofmeister effect and the behaviour of water at interfaces", "type" : "article-journal", "volume" : "18" }, "uris" : [ "http://www.mendeley.com/documents/?uuid=4be9efad-d471-4baa-833f-5f6c0e09cb72" ] } ], "mendeley" : { "formattedCitation" : "(Collins &amp; Washabaugh 1985)", "plainTextFormattedCitation" : "(Collins &amp; Washabaugh 1985)", "previouslyFormattedCitation" : "(Collins &amp; Washabaugh 1985)" }, "properties" : { "noteIndex" : 0 }, "schema" : "https://github.com/citation-style-language/schema/raw/master/csl-citation.json" }</w:instrText>
      </w:r>
      <w:r>
        <w:rPr>
          <w:szCs w:val="24"/>
        </w:rPr>
        <w:fldChar w:fldCharType="separate"/>
      </w:r>
      <w:r w:rsidRPr="000F17AA">
        <w:rPr>
          <w:noProof/>
          <w:szCs w:val="24"/>
        </w:rPr>
        <w:t>(Collins &amp; Washabaugh 1985)</w:t>
      </w:r>
      <w:r>
        <w:rPr>
          <w:szCs w:val="24"/>
        </w:rPr>
        <w:fldChar w:fldCharType="end"/>
      </w:r>
      <w:r>
        <w:rPr>
          <w:szCs w:val="24"/>
        </w:rPr>
        <w:t xml:space="preserve">. </w:t>
      </w:r>
    </w:p>
    <w:p w14:paraId="5D8E51C5" w14:textId="349F10E5" w:rsidR="000D5119" w:rsidRDefault="000F17AA">
      <w:pPr>
        <w:rPr>
          <w:szCs w:val="24"/>
        </w:rPr>
      </w:pPr>
      <w:r>
        <w:rPr>
          <w:szCs w:val="24"/>
        </w:rPr>
        <w:lastRenderedPageBreak/>
        <w:t xml:space="preserve">The generally accepted order of the salts </w:t>
      </w:r>
      <w:r w:rsidR="004A1680">
        <w:rPr>
          <w:szCs w:val="24"/>
        </w:rPr>
        <w:t>can be seen below</w:t>
      </w:r>
      <w:r>
        <w:rPr>
          <w:szCs w:val="24"/>
        </w:rPr>
        <w:t xml:space="preserve"> </w:t>
      </w:r>
      <w:r w:rsidR="004A1680">
        <w:rPr>
          <w:szCs w:val="24"/>
        </w:rPr>
        <w:t xml:space="preserve">in Figure 1-3 </w:t>
      </w:r>
      <w:r>
        <w:rPr>
          <w:szCs w:val="24"/>
        </w:rPr>
        <w:t>for anions</w:t>
      </w:r>
      <w:r w:rsidR="007302D9">
        <w:rPr>
          <w:szCs w:val="24"/>
        </w:rPr>
        <w:t xml:space="preserve"> and cations</w:t>
      </w:r>
    </w:p>
    <w:p w14:paraId="37E3E0F0" w14:textId="77777777" w:rsidR="000F17AA" w:rsidRPr="00ED3BE9" w:rsidRDefault="000F17AA" w:rsidP="000A263E">
      <w:pPr>
        <w:jc w:val="center"/>
        <w:rPr>
          <w:b/>
          <w:szCs w:val="24"/>
          <w:lang w:val="it-IT"/>
        </w:rPr>
      </w:pPr>
      <w:r w:rsidRPr="00ED3BE9">
        <w:rPr>
          <w:b/>
          <w:szCs w:val="24"/>
          <w:lang w:val="it-IT"/>
        </w:rPr>
        <w:t>PO</w:t>
      </w:r>
      <w:r w:rsidRPr="00ED3BE9">
        <w:rPr>
          <w:b/>
          <w:szCs w:val="24"/>
          <w:vertAlign w:val="subscript"/>
          <w:lang w:val="it-IT"/>
        </w:rPr>
        <w:t>4</w:t>
      </w:r>
      <w:r w:rsidRPr="00ED3BE9">
        <w:rPr>
          <w:b/>
          <w:szCs w:val="24"/>
          <w:vertAlign w:val="superscript"/>
          <w:lang w:val="it-IT"/>
        </w:rPr>
        <w:t>3-</w:t>
      </w:r>
      <w:r w:rsidRPr="00ED3BE9">
        <w:rPr>
          <w:b/>
          <w:szCs w:val="24"/>
          <w:lang w:val="it-IT"/>
        </w:rPr>
        <w:t xml:space="preserve"> &gt; SO</w:t>
      </w:r>
      <w:r w:rsidRPr="00ED3BE9">
        <w:rPr>
          <w:b/>
          <w:szCs w:val="24"/>
          <w:vertAlign w:val="subscript"/>
          <w:lang w:val="it-IT"/>
        </w:rPr>
        <w:t>4</w:t>
      </w:r>
      <w:r w:rsidRPr="00ED3BE9">
        <w:rPr>
          <w:b/>
          <w:szCs w:val="24"/>
          <w:vertAlign w:val="superscript"/>
          <w:lang w:val="it-IT"/>
        </w:rPr>
        <w:t>2-</w:t>
      </w:r>
      <w:r w:rsidRPr="00ED3BE9">
        <w:rPr>
          <w:b/>
          <w:szCs w:val="24"/>
          <w:lang w:val="it-IT"/>
        </w:rPr>
        <w:t xml:space="preserve"> &gt; HPO</w:t>
      </w:r>
      <w:r w:rsidRPr="00ED3BE9">
        <w:rPr>
          <w:b/>
          <w:szCs w:val="24"/>
          <w:vertAlign w:val="subscript"/>
          <w:lang w:val="it-IT"/>
        </w:rPr>
        <w:t>4</w:t>
      </w:r>
      <w:r w:rsidRPr="00ED3BE9">
        <w:rPr>
          <w:b/>
          <w:szCs w:val="24"/>
          <w:vertAlign w:val="superscript"/>
          <w:lang w:val="it-IT"/>
        </w:rPr>
        <w:t>2-</w:t>
      </w:r>
      <w:r w:rsidRPr="00ED3BE9">
        <w:rPr>
          <w:b/>
          <w:szCs w:val="24"/>
          <w:lang w:val="it-IT"/>
        </w:rPr>
        <w:t xml:space="preserve"> &gt; F</w:t>
      </w:r>
      <w:r w:rsidRPr="00ED3BE9">
        <w:rPr>
          <w:b/>
          <w:szCs w:val="24"/>
          <w:vertAlign w:val="superscript"/>
          <w:lang w:val="it-IT"/>
        </w:rPr>
        <w:t>-</w:t>
      </w:r>
      <w:r w:rsidRPr="00ED3BE9">
        <w:rPr>
          <w:b/>
          <w:szCs w:val="24"/>
          <w:lang w:val="it-IT"/>
        </w:rPr>
        <w:t xml:space="preserve"> &gt; Cl</w:t>
      </w:r>
      <w:r w:rsidRPr="00ED3BE9">
        <w:rPr>
          <w:b/>
          <w:szCs w:val="24"/>
          <w:vertAlign w:val="superscript"/>
          <w:lang w:val="it-IT"/>
        </w:rPr>
        <w:t>-</w:t>
      </w:r>
      <w:r w:rsidRPr="00ED3BE9">
        <w:rPr>
          <w:b/>
          <w:szCs w:val="24"/>
          <w:lang w:val="it-IT"/>
        </w:rPr>
        <w:t xml:space="preserve"> &gt; NO</w:t>
      </w:r>
      <w:r w:rsidRPr="00ED3BE9">
        <w:rPr>
          <w:b/>
          <w:szCs w:val="24"/>
          <w:vertAlign w:val="subscript"/>
          <w:lang w:val="it-IT"/>
        </w:rPr>
        <w:t>3</w:t>
      </w:r>
      <w:r w:rsidRPr="00ED3BE9">
        <w:rPr>
          <w:b/>
          <w:szCs w:val="24"/>
          <w:vertAlign w:val="superscript"/>
          <w:lang w:val="it-IT"/>
        </w:rPr>
        <w:t>-</w:t>
      </w:r>
      <w:r w:rsidR="000A263E" w:rsidRPr="00ED3BE9">
        <w:rPr>
          <w:b/>
          <w:szCs w:val="24"/>
          <w:lang w:val="it-IT"/>
        </w:rPr>
        <w:t xml:space="preserve"> &gt; Br</w:t>
      </w:r>
      <w:r w:rsidRPr="00ED3BE9">
        <w:rPr>
          <w:b/>
          <w:szCs w:val="24"/>
          <w:vertAlign w:val="superscript"/>
          <w:lang w:val="it-IT"/>
        </w:rPr>
        <w:t>-</w:t>
      </w:r>
      <w:r w:rsidRPr="00ED3BE9">
        <w:rPr>
          <w:b/>
          <w:szCs w:val="24"/>
          <w:lang w:val="it-IT"/>
        </w:rPr>
        <w:t xml:space="preserve"> &gt; ClO</w:t>
      </w:r>
      <w:r w:rsidRPr="00ED3BE9">
        <w:rPr>
          <w:b/>
          <w:szCs w:val="24"/>
          <w:vertAlign w:val="subscript"/>
          <w:lang w:val="it-IT"/>
        </w:rPr>
        <w:t>3</w:t>
      </w:r>
      <w:r w:rsidRPr="00ED3BE9">
        <w:rPr>
          <w:b/>
          <w:szCs w:val="24"/>
          <w:vertAlign w:val="superscript"/>
          <w:lang w:val="it-IT"/>
        </w:rPr>
        <w:t>-</w:t>
      </w:r>
      <w:r w:rsidRPr="00ED3BE9">
        <w:rPr>
          <w:b/>
          <w:szCs w:val="24"/>
          <w:lang w:val="it-IT"/>
        </w:rPr>
        <w:t xml:space="preserve"> &gt; I</w:t>
      </w:r>
      <w:r w:rsidRPr="00ED3BE9">
        <w:rPr>
          <w:b/>
          <w:szCs w:val="24"/>
          <w:vertAlign w:val="superscript"/>
          <w:lang w:val="it-IT"/>
        </w:rPr>
        <w:t>-</w:t>
      </w:r>
      <w:r w:rsidRPr="00ED3BE9">
        <w:rPr>
          <w:b/>
          <w:szCs w:val="24"/>
          <w:lang w:val="it-IT"/>
        </w:rPr>
        <w:t xml:space="preserve"> &gt; ClO</w:t>
      </w:r>
      <w:r w:rsidRPr="00ED3BE9">
        <w:rPr>
          <w:b/>
          <w:szCs w:val="24"/>
          <w:vertAlign w:val="subscript"/>
          <w:lang w:val="it-IT"/>
        </w:rPr>
        <w:t>4</w:t>
      </w:r>
      <w:r w:rsidRPr="00ED3BE9">
        <w:rPr>
          <w:b/>
          <w:szCs w:val="24"/>
          <w:vertAlign w:val="superscript"/>
          <w:lang w:val="it-IT"/>
        </w:rPr>
        <w:t>-</w:t>
      </w:r>
    </w:p>
    <w:p w14:paraId="3C392005" w14:textId="77777777" w:rsidR="000A263E" w:rsidRPr="00E3274E" w:rsidRDefault="000A263E" w:rsidP="007302D9">
      <w:pPr>
        <w:keepNext/>
        <w:jc w:val="center"/>
        <w:rPr>
          <w:b/>
          <w:szCs w:val="24"/>
          <w:lang w:val="it-IT"/>
        </w:rPr>
      </w:pPr>
      <w:r w:rsidRPr="00E3274E">
        <w:rPr>
          <w:b/>
          <w:szCs w:val="24"/>
          <w:lang w:val="it-IT"/>
        </w:rPr>
        <w:t>Phosphate &gt; Sulphate &gt; Hydrogen Phosphate &gt; Fluoride &gt; Chloride &gt; Nitrate &gt; Bromide &gt; Chlorate &gt; Iodide &gt; Perchlorate</w:t>
      </w:r>
    </w:p>
    <w:p w14:paraId="768E2892" w14:textId="77777777" w:rsidR="000A263E" w:rsidRPr="00ED3BE9" w:rsidRDefault="000A263E" w:rsidP="000A263E">
      <w:pPr>
        <w:jc w:val="center"/>
        <w:rPr>
          <w:b/>
          <w:szCs w:val="24"/>
          <w:lang w:val="it-IT"/>
        </w:rPr>
      </w:pPr>
      <w:r w:rsidRPr="00ED3BE9">
        <w:rPr>
          <w:b/>
          <w:szCs w:val="24"/>
          <w:lang w:val="it-IT"/>
        </w:rPr>
        <w:t>Cs</w:t>
      </w:r>
      <w:r w:rsidRPr="00ED3BE9">
        <w:rPr>
          <w:b/>
          <w:szCs w:val="24"/>
          <w:vertAlign w:val="superscript"/>
          <w:lang w:val="it-IT"/>
        </w:rPr>
        <w:t>+</w:t>
      </w:r>
      <w:r w:rsidRPr="00ED3BE9">
        <w:rPr>
          <w:b/>
          <w:szCs w:val="24"/>
          <w:lang w:val="it-IT"/>
        </w:rPr>
        <w:t xml:space="preserve"> &gt; Rb</w:t>
      </w:r>
      <w:r w:rsidRPr="00ED3BE9">
        <w:rPr>
          <w:b/>
          <w:szCs w:val="24"/>
          <w:vertAlign w:val="superscript"/>
          <w:lang w:val="it-IT"/>
        </w:rPr>
        <w:t>+</w:t>
      </w:r>
      <w:r w:rsidRPr="00ED3BE9">
        <w:rPr>
          <w:b/>
          <w:szCs w:val="24"/>
          <w:lang w:val="it-IT"/>
        </w:rPr>
        <w:t xml:space="preserve"> &gt; NH</w:t>
      </w:r>
      <w:r w:rsidRPr="00ED3BE9">
        <w:rPr>
          <w:b/>
          <w:szCs w:val="24"/>
          <w:vertAlign w:val="subscript"/>
          <w:lang w:val="it-IT"/>
        </w:rPr>
        <w:t>4</w:t>
      </w:r>
      <w:r w:rsidRPr="00ED3BE9">
        <w:rPr>
          <w:b/>
          <w:szCs w:val="24"/>
          <w:vertAlign w:val="superscript"/>
          <w:lang w:val="it-IT"/>
        </w:rPr>
        <w:t>+</w:t>
      </w:r>
      <w:r w:rsidRPr="00ED3BE9">
        <w:rPr>
          <w:b/>
          <w:szCs w:val="24"/>
          <w:lang w:val="it-IT"/>
        </w:rPr>
        <w:t xml:space="preserve"> &gt; K</w:t>
      </w:r>
      <w:r w:rsidRPr="00ED3BE9">
        <w:rPr>
          <w:b/>
          <w:szCs w:val="24"/>
          <w:vertAlign w:val="superscript"/>
          <w:lang w:val="it-IT"/>
        </w:rPr>
        <w:t>+</w:t>
      </w:r>
      <w:r w:rsidRPr="00ED3BE9">
        <w:rPr>
          <w:b/>
          <w:szCs w:val="24"/>
          <w:lang w:val="it-IT"/>
        </w:rPr>
        <w:t xml:space="preserve"> &gt; Na</w:t>
      </w:r>
      <w:r w:rsidRPr="00ED3BE9">
        <w:rPr>
          <w:b/>
          <w:szCs w:val="24"/>
          <w:vertAlign w:val="superscript"/>
          <w:lang w:val="it-IT"/>
        </w:rPr>
        <w:t>+</w:t>
      </w:r>
      <w:r w:rsidRPr="00ED3BE9">
        <w:rPr>
          <w:b/>
          <w:szCs w:val="24"/>
          <w:lang w:val="it-IT"/>
        </w:rPr>
        <w:t xml:space="preserve"> &gt; Li</w:t>
      </w:r>
      <w:r w:rsidRPr="00ED3BE9">
        <w:rPr>
          <w:b/>
          <w:szCs w:val="24"/>
          <w:vertAlign w:val="superscript"/>
          <w:lang w:val="it-IT"/>
        </w:rPr>
        <w:t>+</w:t>
      </w:r>
      <w:r w:rsidRPr="00ED3BE9">
        <w:rPr>
          <w:b/>
          <w:szCs w:val="24"/>
          <w:lang w:val="it-IT"/>
        </w:rPr>
        <w:t xml:space="preserve"> &gt; Ca</w:t>
      </w:r>
      <w:r w:rsidRPr="00ED3BE9">
        <w:rPr>
          <w:b/>
          <w:szCs w:val="24"/>
          <w:vertAlign w:val="superscript"/>
          <w:lang w:val="it-IT"/>
        </w:rPr>
        <w:t>2+</w:t>
      </w:r>
      <w:r w:rsidRPr="00ED3BE9">
        <w:rPr>
          <w:b/>
          <w:szCs w:val="24"/>
          <w:lang w:val="it-IT"/>
        </w:rPr>
        <w:t xml:space="preserve"> &gt; Mg</w:t>
      </w:r>
      <w:r w:rsidRPr="00ED3BE9">
        <w:rPr>
          <w:b/>
          <w:szCs w:val="24"/>
          <w:vertAlign w:val="superscript"/>
          <w:lang w:val="it-IT"/>
        </w:rPr>
        <w:t>2+</w:t>
      </w:r>
    </w:p>
    <w:p w14:paraId="46B75130" w14:textId="77777777" w:rsidR="00ED3BE9" w:rsidRPr="00ED3BE9" w:rsidRDefault="000A263E" w:rsidP="00A20A7D">
      <w:pPr>
        <w:keepNext/>
        <w:jc w:val="center"/>
        <w:rPr>
          <w:b/>
          <w:szCs w:val="24"/>
          <w:lang w:val="it-IT"/>
        </w:rPr>
      </w:pPr>
      <w:r w:rsidRPr="00ED3BE9">
        <w:rPr>
          <w:b/>
          <w:szCs w:val="24"/>
          <w:lang w:val="it-IT"/>
        </w:rPr>
        <w:t>Caesium &gt; Rubidium &gt; Ammonium &gt; Potassium &gt; Sodium &gt; Lithium &gt; Calcium &gt; Magnesium</w:t>
      </w:r>
    </w:p>
    <w:p w14:paraId="01B28ADD" w14:textId="77777777" w:rsidR="00A20A7D" w:rsidRDefault="00A20A7D" w:rsidP="006B257F">
      <w:pPr>
        <w:pStyle w:val="Caption"/>
        <w:jc w:val="left"/>
      </w:pPr>
      <w:bookmarkStart w:id="25" w:name="_Toc482633161"/>
      <w:r>
        <w:t xml:space="preserve">Figure </w:t>
      </w:r>
      <w:fldSimple w:instr=" STYLEREF 1 \s ">
        <w:r w:rsidR="00AA6926">
          <w:rPr>
            <w:noProof/>
          </w:rPr>
          <w:t>1</w:t>
        </w:r>
      </w:fldSimple>
      <w:r w:rsidR="00BA082C">
        <w:noBreakHyphen/>
      </w:r>
      <w:fldSimple w:instr=" SEQ Figure \* ARABIC \s 1 ">
        <w:r w:rsidR="00AA6926">
          <w:rPr>
            <w:noProof/>
          </w:rPr>
          <w:t>3</w:t>
        </w:r>
      </w:fldSimple>
      <w:r w:rsidR="00EE471E">
        <w:t>. Ho</w:t>
      </w:r>
      <w:r w:rsidR="007302D9">
        <w:t xml:space="preserve">fmeister series of anions (upper list) and cations (lower </w:t>
      </w:r>
      <w:commentRangeStart w:id="26"/>
      <w:r w:rsidR="007302D9">
        <w:t>list</w:t>
      </w:r>
      <w:commentRangeEnd w:id="26"/>
      <w:r w:rsidR="007302D9">
        <w:rPr>
          <w:rStyle w:val="CommentReference"/>
          <w:b w:val="0"/>
          <w:bCs w:val="0"/>
        </w:rPr>
        <w:commentReference w:id="26"/>
      </w:r>
      <w:r w:rsidR="007302D9">
        <w:t>)</w:t>
      </w:r>
      <w:bookmarkEnd w:id="25"/>
    </w:p>
    <w:p w14:paraId="3985ED65" w14:textId="77777777" w:rsidR="00ED3BE9" w:rsidRDefault="00ED3BE9" w:rsidP="00ED3BE9">
      <w:pPr>
        <w:rPr>
          <w:szCs w:val="24"/>
        </w:rPr>
      </w:pPr>
      <w:r w:rsidRPr="00ED3BE9">
        <w:rPr>
          <w:szCs w:val="24"/>
        </w:rPr>
        <w:t xml:space="preserve">This ranking </w:t>
      </w:r>
      <w:r>
        <w:rPr>
          <w:szCs w:val="24"/>
        </w:rPr>
        <w:t>tends to hold true for most measured effects</w:t>
      </w:r>
      <w:r w:rsidR="00583BAB">
        <w:rPr>
          <w:szCs w:val="24"/>
        </w:rPr>
        <w:t xml:space="preserve"> at moderate </w:t>
      </w:r>
      <w:r w:rsidR="00DA3B16">
        <w:rPr>
          <w:szCs w:val="24"/>
        </w:rPr>
        <w:t xml:space="preserve">to high </w:t>
      </w:r>
      <w:r w:rsidR="00583BAB">
        <w:rPr>
          <w:szCs w:val="24"/>
        </w:rPr>
        <w:t>concentrations</w:t>
      </w:r>
      <w:r w:rsidR="00DA3B16">
        <w:rPr>
          <w:szCs w:val="24"/>
        </w:rPr>
        <w:t xml:space="preserve"> (0.1-2 M)</w:t>
      </w:r>
      <w:r w:rsidR="00583BAB">
        <w:rPr>
          <w:szCs w:val="24"/>
        </w:rPr>
        <w:t xml:space="preserve"> at</w:t>
      </w:r>
      <w:r>
        <w:rPr>
          <w:szCs w:val="24"/>
        </w:rPr>
        <w:t xml:space="preserve"> neutral pH. There tends to be a switch in effect at chloride for the anions i.e. those to the left of chloride have a lower charge density </w:t>
      </w:r>
      <w:r w:rsidR="008927E7">
        <w:rPr>
          <w:szCs w:val="24"/>
        </w:rPr>
        <w:t xml:space="preserve">and </w:t>
      </w:r>
      <w:r>
        <w:rPr>
          <w:szCs w:val="24"/>
        </w:rPr>
        <w:t>have a tendency to increase precipitation and increase</w:t>
      </w:r>
      <w:r w:rsidR="00DA3B16">
        <w:rPr>
          <w:szCs w:val="24"/>
        </w:rPr>
        <w:t xml:space="preserve"> thermal</w:t>
      </w:r>
      <w:r>
        <w:rPr>
          <w:szCs w:val="24"/>
        </w:rPr>
        <w:t xml:space="preserve"> stability of proteins </w:t>
      </w:r>
      <w:r>
        <w:rPr>
          <w:szCs w:val="24"/>
        </w:rPr>
        <w:fldChar w:fldCharType="begin" w:fldLock="1"/>
      </w:r>
      <w:r w:rsidR="00924827">
        <w:rPr>
          <w:szCs w:val="24"/>
        </w:rPr>
        <w:instrText>ADDIN CSL_CITATION { "citationItems" : [ { "id" : "ITEM-1", "itemData" : { "author" : [ { "dropping-particle" : "", "family" : "Hippel", "given" : "P H", "non-dropping-particle" : "von", "parse-names" : false, "suffix" : "" }, { "dropping-particle" : "", "family" : "Schleich", "given" : "T", "non-dropping-particle" : "", "parse-names" : false, "suffix" : "" } ], "container-title" : "Accounts of Chemical Research", "id" : "ITEM-1", "issued" : { "date-parts" : [ [ "1969" ] ] }, "page" : "257-265", "title" : "Ion effects on the solution structure of biological macromolecules", "type" : "article-journal", "volume" : "2" }, "uris" : [ "http://www.mendeley.com/documents/?uuid=46285292-27fe-43e1-9c1c-a5fdf1072522" ] } ], "mendeley" : { "formattedCitation" : "(von Hippel &amp; Schleich 1969)", "plainTextFormattedCitation" : "(von Hippel &amp; Schleich 1969)", "previouslyFormattedCitation" : "(von Hippel &amp; Schleich 1969)" }, "properties" : { "noteIndex" : 0 }, "schema" : "https://github.com/citation-style-language/schema/raw/master/csl-citation.json" }</w:instrText>
      </w:r>
      <w:r>
        <w:rPr>
          <w:szCs w:val="24"/>
        </w:rPr>
        <w:fldChar w:fldCharType="separate"/>
      </w:r>
      <w:r w:rsidRPr="00ED3BE9">
        <w:rPr>
          <w:noProof/>
          <w:szCs w:val="24"/>
        </w:rPr>
        <w:t>(von Hippel &amp; Schleich 1969)</w:t>
      </w:r>
      <w:r>
        <w:rPr>
          <w:szCs w:val="24"/>
        </w:rPr>
        <w:fldChar w:fldCharType="end"/>
      </w:r>
      <w:r>
        <w:rPr>
          <w:szCs w:val="24"/>
        </w:rPr>
        <w:t xml:space="preserve">. </w:t>
      </w:r>
      <w:r w:rsidR="00B61C28">
        <w:rPr>
          <w:szCs w:val="24"/>
        </w:rPr>
        <w:t xml:space="preserve">Those to the right of chloride </w:t>
      </w:r>
      <w:r>
        <w:rPr>
          <w:szCs w:val="24"/>
        </w:rPr>
        <w:t xml:space="preserve">have a higher charge density and tend to have the opposite effects on protein precipitation and stability. </w:t>
      </w:r>
      <w:r w:rsidR="00153383">
        <w:rPr>
          <w:szCs w:val="24"/>
        </w:rPr>
        <w:t>A similar change in effect is seen with the cations at sodium, although cation e</w:t>
      </w:r>
      <w:r w:rsidR="00DA3B16">
        <w:rPr>
          <w:szCs w:val="24"/>
        </w:rPr>
        <w:t xml:space="preserve">ffects are much less pronounced </w:t>
      </w:r>
      <w:r w:rsidR="00DA3B16">
        <w:rPr>
          <w:szCs w:val="24"/>
        </w:rPr>
        <w:fldChar w:fldCharType="begin" w:fldLock="1"/>
      </w:r>
      <w:r w:rsidR="00A76BBE">
        <w:rPr>
          <w:szCs w:val="24"/>
        </w:rPr>
        <w:instrText>ADDIN CSL_CITATION { "citationItems" : [ { "id" : "ITEM-1", "itemData" : { "DOI" : "10.1002/pro.2355", "ISSN" : "1469-896X", "PMID" : "24038575", "abstract" : "Anion and cation effects on the structural stability of lysozyme were investigated using differential scanning calorimetry. At low concentrations (&lt;5 mM) anions and cations alter the stability of lysozyme but they do not follow the Hofmeister (or inverse Hofmeister) series. At higher concentrations protein stabilization follows the well-established Hofmeister series. Our hypothesis is that there are three mechanisms at work. At low concentrations the anions interact with charged side chains where the presence of the ion can alter the structural stability of the protein. At higher concentrations the low charge density anions perchlorate and iodide interact weakly with the protein. Their presence however reduces the Gibbs free energy required to hydrate the core of the protein that is exposed during unfolding therefore destabilizing the structure. At higher concentrations the high charge density anions phosphate and sulfate compete for water with the protein as it unfolds increasing the Gibbs free energy required to hydrate the newly exposed core of the protein therefore stabilizing the structure.", "author" : [ { "dropping-particle" : "", "family" : "Bye", "given" : "J W", "non-dropping-particle" : "", "parse-names" : false, "suffix" : "" }, { "dropping-particle" : "", "family" : "Falconer", "given" : "R J", "non-dropping-particle" : "", "parse-names" : false, "suffix" : "" } ], "container-title" : "Protein Science", "id" : "ITEM-1", "issued" : { "date-parts" : [ [ "2013", "11" ] ] }, "page" : "1563-1570", "title" : "Thermal stability of lysozyme as a function of ion concentration: A reappraisal of the relationship between the Hofmeister series and protein stability", "type" : "article-journal", "volume" : "22" }, "uris" : [ "http://www.mendeley.com/documents/?uuid=cdce46dc-4ab2-44de-8184-be6984bc4e9d" ] } ], "mendeley" : { "formattedCitation" : "(Bye &amp; Falconer 2013)", "plainTextFormattedCitation" : "(Bye &amp; Falconer 2013)", "previouslyFormattedCitation" : "(Bye &amp; Falconer 2013)" }, "properties" : { "noteIndex" : 0 }, "schema" : "https://github.com/citation-style-language/schema/raw/master/csl-citation.json" }</w:instrText>
      </w:r>
      <w:r w:rsidR="00DA3B16">
        <w:rPr>
          <w:szCs w:val="24"/>
        </w:rPr>
        <w:fldChar w:fldCharType="separate"/>
      </w:r>
      <w:r w:rsidR="00DA3B16" w:rsidRPr="00DA3B16">
        <w:rPr>
          <w:noProof/>
          <w:szCs w:val="24"/>
        </w:rPr>
        <w:t>(Bye &amp; Falconer 2013)</w:t>
      </w:r>
      <w:r w:rsidR="00DA3B16">
        <w:rPr>
          <w:szCs w:val="24"/>
        </w:rPr>
        <w:fldChar w:fldCharType="end"/>
      </w:r>
      <w:r w:rsidR="00DA3B16">
        <w:rPr>
          <w:szCs w:val="24"/>
        </w:rPr>
        <w:t>.</w:t>
      </w:r>
    </w:p>
    <w:p w14:paraId="61F0FC81" w14:textId="77777777" w:rsidR="00B61C28" w:rsidRDefault="00B61C28" w:rsidP="00ED3BE9">
      <w:pPr>
        <w:rPr>
          <w:color w:val="FF0000"/>
          <w:szCs w:val="24"/>
        </w:rPr>
      </w:pPr>
      <w:r>
        <w:rPr>
          <w:szCs w:val="24"/>
        </w:rPr>
        <w:t xml:space="preserve">Traditionally the anions and cations to the left of chloride and sodium respectively have been termed </w:t>
      </w:r>
      <w:r w:rsidR="009A47D0">
        <w:rPr>
          <w:szCs w:val="24"/>
        </w:rPr>
        <w:t>‘</w:t>
      </w:r>
      <w:r>
        <w:rPr>
          <w:szCs w:val="24"/>
        </w:rPr>
        <w:t>kosmotropes</w:t>
      </w:r>
      <w:r w:rsidR="009A47D0">
        <w:rPr>
          <w:szCs w:val="24"/>
        </w:rPr>
        <w:t xml:space="preserve">’ or water-structure makers, and anions and cations to the right of chloride and sodium have been named ‘chaotropes’ or water-structure breakers. </w:t>
      </w:r>
      <w:r w:rsidR="00592C28">
        <w:rPr>
          <w:szCs w:val="24"/>
        </w:rPr>
        <w:t xml:space="preserve">Although these terms persist, whether their effects on water structure hold true is open to conjecture and is </w:t>
      </w:r>
      <w:r w:rsidR="00592C28" w:rsidRPr="00A4499B">
        <w:rPr>
          <w:szCs w:val="24"/>
        </w:rPr>
        <w:t>discussed in more detail in section</w:t>
      </w:r>
      <w:r w:rsidR="00A4499B">
        <w:rPr>
          <w:szCs w:val="24"/>
        </w:rPr>
        <w:t xml:space="preserve"> </w:t>
      </w:r>
      <w:r w:rsidR="00636A1C">
        <w:rPr>
          <w:szCs w:val="24"/>
        </w:rPr>
        <w:fldChar w:fldCharType="begin"/>
      </w:r>
      <w:r w:rsidR="00636A1C">
        <w:rPr>
          <w:szCs w:val="24"/>
        </w:rPr>
        <w:instrText xml:space="preserve"> REF _Ref456083118 \r \h </w:instrText>
      </w:r>
      <w:r w:rsidR="00636A1C">
        <w:rPr>
          <w:szCs w:val="24"/>
        </w:rPr>
      </w:r>
      <w:r w:rsidR="00636A1C">
        <w:rPr>
          <w:szCs w:val="24"/>
        </w:rPr>
        <w:fldChar w:fldCharType="separate"/>
      </w:r>
      <w:r w:rsidR="00AA6926">
        <w:rPr>
          <w:szCs w:val="24"/>
        </w:rPr>
        <w:t>1.4.3.1</w:t>
      </w:r>
      <w:r w:rsidR="00636A1C">
        <w:rPr>
          <w:szCs w:val="24"/>
        </w:rPr>
        <w:fldChar w:fldCharType="end"/>
      </w:r>
      <w:r w:rsidR="00636A1C">
        <w:rPr>
          <w:szCs w:val="24"/>
        </w:rPr>
        <w:t>.</w:t>
      </w:r>
    </w:p>
    <w:p w14:paraId="7513D646" w14:textId="77777777" w:rsidR="00CC4296" w:rsidRPr="00CC4296" w:rsidRDefault="00CC4296" w:rsidP="00ED3BE9">
      <w:pPr>
        <w:rPr>
          <w:szCs w:val="24"/>
        </w:rPr>
      </w:pPr>
      <w:r>
        <w:rPr>
          <w:szCs w:val="24"/>
        </w:rPr>
        <w:t xml:space="preserve">More recently studies on the Hofmeister salts have discovered and explored the existence of an ‘inverse Hofmeister </w:t>
      </w:r>
      <w:r w:rsidR="00426FC7">
        <w:rPr>
          <w:szCs w:val="24"/>
        </w:rPr>
        <w:t xml:space="preserve">effect’ </w:t>
      </w:r>
      <w:r w:rsidR="00426FC7">
        <w:rPr>
          <w:szCs w:val="24"/>
        </w:rPr>
        <w:fldChar w:fldCharType="begin" w:fldLock="1"/>
      </w:r>
      <w:r w:rsidR="00426FC7">
        <w:rPr>
          <w:szCs w:val="24"/>
        </w:rPr>
        <w:instrText>ADDIN CSL_CITATION { "citationItems" : [ { "id" : "ITEM-1", "itemData" : { "DOI" : "10.1146/annurev.physchem.59.032607.093635", "ISSN" : "1545-1593", "PMID" : "20055667", "abstract" : "The study of the interactions of salts and osmolytes with macromolecules in aqueous solution originated with experiments concerning protein precipitation more than 100 years ago. Today, these solutes are known to display recurring behavior for myriad biological and chemical processes. Such behavior depends both on the nature and concentration of the species in solution. Despite the generality of these effects, our understanding of the molecular-level details of ion and osmolyte specificity is still quite limited. Here, we review recent studies of the interactions between anions and urea with model macromolecular systems. A mechanism for specific ion effects is elucidated for aqueous systems containing charged and uncharged polymers, polypeptides, and proteins. The results clearly show that the effects of the anions are local and involve direct interactions with macromolecules and their first hydration shell. Also, a hydrogen-bonding mechanism is tested for the urea denaturation of proteins with some of these same systems. In that case, direct hydrogen bonding can be largely discounted as the key mechanism for urea stabilization of uncollapsed and/or unfolded structures.", "author" : [ { "dropping-particle" : "", "family" : "Zhang", "given" : "Y", "non-dropping-particle" : "", "parse-names" : false, "suffix" : "" }, { "dropping-particle" : "", "family" : "Cremer", "given" : "P S", "non-dropping-particle" : "", "parse-names" : false, "suffix" : "" } ], "container-title" : "Annual Review of Physical Chemistry", "id" : "ITEM-1", "issued" : { "date-parts" : [ [ "2010", "1" ] ] }, "page" : "63-83", "title" : "Chemistry of Hofmeister anions and osmolytes", "type" : "article-journal", "volume" : "61" }, "uris" : [ "http://www.mendeley.com/documents/?uuid=9751f8c7-a047-4e0b-acde-ca3763892664" ] } ], "mendeley" : { "formattedCitation" : "(Zhang &amp; Cremer 2010)", "plainTextFormattedCitation" : "(Zhang &amp; Cremer 2010)", "previouslyFormattedCitation" : "(Zhang &amp; Cremer 2010)" }, "properties" : { "noteIndex" : 0 }, "schema" : "https://github.com/citation-style-language/schema/raw/master/csl-citation.json" }</w:instrText>
      </w:r>
      <w:r w:rsidR="00426FC7">
        <w:rPr>
          <w:szCs w:val="24"/>
        </w:rPr>
        <w:fldChar w:fldCharType="separate"/>
      </w:r>
      <w:r w:rsidR="00426FC7" w:rsidRPr="00426FC7">
        <w:rPr>
          <w:noProof/>
          <w:szCs w:val="24"/>
        </w:rPr>
        <w:t>(Zhang &amp; Cremer 2010)</w:t>
      </w:r>
      <w:r w:rsidR="00426FC7">
        <w:rPr>
          <w:szCs w:val="24"/>
        </w:rPr>
        <w:fldChar w:fldCharType="end"/>
      </w:r>
      <w:r>
        <w:rPr>
          <w:szCs w:val="24"/>
        </w:rPr>
        <w:t xml:space="preserve">. </w:t>
      </w:r>
      <w:r w:rsidR="00F07CCA">
        <w:rPr>
          <w:szCs w:val="24"/>
        </w:rPr>
        <w:t xml:space="preserve">The inverse </w:t>
      </w:r>
      <w:r w:rsidR="00F07CCA">
        <w:rPr>
          <w:szCs w:val="24"/>
        </w:rPr>
        <w:lastRenderedPageBreak/>
        <w:t>Hofmeister effect is a well-documented phenomenon whereby kosmotropes destabilise and solubilise proteins and chaotropes stabilise and precipitate out proteins, the opposite effects of those usually seen. It has been seen to occur in systems containing positively charged proteins</w:t>
      </w:r>
      <w:r w:rsidR="003C6DD1">
        <w:rPr>
          <w:szCs w:val="24"/>
        </w:rPr>
        <w:t xml:space="preserve"> </w:t>
      </w:r>
      <w:r w:rsidR="00426FC7">
        <w:rPr>
          <w:szCs w:val="24"/>
        </w:rPr>
        <w:fldChar w:fldCharType="begin" w:fldLock="1"/>
      </w:r>
      <w:r w:rsidR="00924827">
        <w:rPr>
          <w:szCs w:val="24"/>
        </w:rPr>
        <w:instrText>ADDIN CSL_CITATION { "citationItems" : [ { "id" : "ITEM-1", "itemData" : { "DOI" : "10.1016/j.bpc.2005.05.010", "ISBN" : "0301-4622", "ISSN" : "03014622", "PMID" : "15963625", "abstract" : "The relative effectiveness of different anions in crystallizing proteins follows a reversed Hofmeister sequence for pH &lt; pI and a direct Hofmeister sequence for pH &gt; pI. The phenomenon has been known almost since Hofmeister's original work but it has not been understood. It is here given a theoretical explanation. Classical electrolyte and double layer theory deals only with electrostatic forces acting between ions and proteins. Hydration and hydration interactions are dealt with usually only in terms of assumed hard core models. But there are, at and above biological salt concentrations, other non-electrostatic (NES) ion-specific forces acting that are ignored in such modeling. Such electrodynamic fluctuation forces are also responsible for ion-specific hydration. These missing forces are variously comprehended under familiar but generally unquantified terms, typically, hydration, hydrogen bonding, \u03c0-electron-cation interactions, dipole-dipole, dipole-induced dipole and induced dipole-induced dipole forces and so on. The many important body electrodynamic fluctuation force contributions are accessible from extensions of Lifshitz theory from which, with relevant dielectric susceptibility data on solutions as a function of frequency, the forces can be extracted quantitatively, at least in principle. The classical theories of colloid science that miss such contributions do not account for a whole variety of ion-specific phenomena. Numerical results that include these non-electrostatic forces are given here for model calculations of the force between two model charge-regulated hen-egg-white protein surfaces. The surfaces are chosen to carry the same charge groups and charge density as the protein. What emerges is that for pH &lt; pI (where the anions are counter-ions) the repulsive double layer forces increase in the order NaSCN &lt; NaI &lt; NaCl, while at higher pH &gt; pI (where anions are co-ions) the forces increase in the order NaCl &lt; NaI &lt; NaSCN. This is in excellent agreement with both solubility experiments and experiments using SAXS. The results are also consistent with cation effects observed in protein solutions. Our results may provide some insights into a long-standing problem in solution chemistry and biology. \u00a9 2005 Elsevier B.V. All rights reserved.", "author" : [ { "dropping-particle" : "", "family" : "Bostr\u00f6m", "given" : "M", "non-dropping-particle" : "", "parse-names" : false, "suffix" : "" }, { "dropping-particle" : "", "family" : "Tavares", "given" : "F W", "non-dropping-particle" : "", "parse-names" : false, "suffix" : "" }, { "dropping-particle" : "", "family" : "Finet", "given" : "S", "non-dropping-particle" : "", "parse-names" : false, "suffix" : "" }, { "dropping-particle" : "", "family" : "Skouri-Panet", "given" : "F", "non-dropping-particle" : "", "parse-names" : false, "suffix" : "" }, { "dropping-particle" : "", "family" : "Tardieu", "given" : "A", "non-dropping-particle" : "", "parse-names" : false, "suffix" : "" }, { "dropping-particle" : "", "family" : "Ninham", "given" : "B W", "non-dropping-particle" : "", "parse-names" : false, "suffix" : "" } ], "container-title" : "Biophysical Chemistry", "id" : "ITEM-1", "issued" : { "date-parts" : [ [ "2005" ] ] }, "page" : "217-224", "title" : "Why forces between proteins follow different Hofmeister series for pH above and below pI", "type" : "article-journal", "volume" : "117" }, "uris" : [ "http://www.mendeley.com/documents/?uuid=fa3cd76d-248a-4867-982e-5120bb592780" ] }, { "id" : "ITEM-2", "itemData" : { "DOI" : "10.1016/j.cocis.2004.05.014", "ISBN" : "1359-0294", "ISSN" : "13590294", "abstract" : "Protein interactions in solution are conveniently analysed with small angle X-ray scattering (SAXS). Such an analysis has shown that the addition of monovalent salt induces an additional attraction between macromolecules. A differential effect of the anions is observed, which follows the order of the Hofmeister series. Such experimental observations should be helpful to test the adequacy of theoretical models. \u00a9 2004 Elsevier Ltd. All rights reserved.", "author" : [ { "dropping-particle" : "", "family" : "Finet", "given" : "S", "non-dropping-particle" : "", "parse-names" : false, "suffix" : "" }, { "dropping-particle" : "", "family" : "Skouri-Panet", "given" : "F", "non-dropping-particle" : "", "parse-names" : false, "suffix" : "" }, { "dropping-particle" : "", "family" : "Casselyn", "given" : "M", "non-dropping-particle" : "", "parse-names" : false, "suffix" : "" }, { "dropping-particle" : "", "family" : "Bonnet\u00e9", "given" : "F", "non-dropping-particle" : "", "parse-names" : false, "suffix" : "" }, { "dropping-particle" : "", "family" : "Tardieu", "given" : "A", "non-dropping-particle" : "", "parse-names" : false, "suffix" : "" } ], "container-title" : "Current Opinion in Colloid &amp; Interface Science", "id" : "ITEM-2", "issued" : { "date-parts" : [ [ "2004" ] ] }, "page" : "112-116", "title" : "The hofmeister effect as seen by SAXS in protein solutions", "type" : "article-journal", "volume" : "9" }, "uris" : [ "http://www.mendeley.com/documents/?uuid=c4a327a2-c4a1-4a86-a8ca-b0f2233836e0" ] }, { "id" : "ITEM-3", "itemData" : { "DOI" : "10.1021/jp3029352", "ISSN" : "1932-7447", "author" : [ { "dropping-particle" : "", "family" : "Flores", "given" : "S C", "non-dropping-particle" : "", "parse-names" : false, "suffix" : "" }, { "dropping-particle" : "", "family" : "Kherb", "given" : "J", "non-dropping-particle" : "", "parse-names" : false, "suffix" : "" }, { "dropping-particle" : "", "family" : "Cremer", "given" : "P S", "non-dropping-particle" : "", "parse-names" : false, "suffix" : "" } ], "container-title" : "Journal of Physical Chemistry C", "id" : "ITEM-3", "issued" : { "date-parts" : [ [ "2012", "7", "12" ] ] }, "page" : "14408-14413", "title" : "Direct and reverse Hofmeister effects on interfacial water structure", "type" : "article-journal", "volume" : "116" }, "uris" : [ "http://www.mendeley.com/documents/?uuid=28dfc6f4-8cd4-42ba-807f-e6a7a1201fec" ] } ], "mendeley" : { "formattedCitation" : "(Bostr\u00f6m et al. 2005; Finet et al. 2004; Flores et al. 2012)", "plainTextFormattedCitation" : "(Bostr\u00f6m et al. 2005; Finet et al. 2004; Flores et al. 2012)", "previouslyFormattedCitation" : "(Bostr\u00f6m et al. 2005; Finet et al. 2004; Flores et al. 2012)" }, "properties" : { "noteIndex" : 0 }, "schema" : "https://github.com/citation-style-language/schema/raw/master/csl-citation.json" }</w:instrText>
      </w:r>
      <w:r w:rsidR="00426FC7">
        <w:rPr>
          <w:szCs w:val="24"/>
        </w:rPr>
        <w:fldChar w:fldCharType="separate"/>
      </w:r>
      <w:r w:rsidR="00426FC7" w:rsidRPr="00426FC7">
        <w:rPr>
          <w:noProof/>
          <w:szCs w:val="24"/>
        </w:rPr>
        <w:t>(Boström et al. 2005; Finet et al. 2004; Flores et al. 2012)</w:t>
      </w:r>
      <w:r w:rsidR="00426FC7">
        <w:rPr>
          <w:szCs w:val="24"/>
        </w:rPr>
        <w:fldChar w:fldCharType="end"/>
      </w:r>
      <w:r w:rsidR="00F07CCA">
        <w:rPr>
          <w:szCs w:val="24"/>
        </w:rPr>
        <w:t xml:space="preserve"> i.e. when the solution pH is below the </w:t>
      </w:r>
      <w:r w:rsidR="00E47AE5">
        <w:rPr>
          <w:szCs w:val="24"/>
        </w:rPr>
        <w:t>isoelectric point (</w:t>
      </w:r>
      <w:r w:rsidR="00F07CCA">
        <w:rPr>
          <w:szCs w:val="24"/>
        </w:rPr>
        <w:t>pI</w:t>
      </w:r>
      <w:r w:rsidR="00E47AE5">
        <w:rPr>
          <w:szCs w:val="24"/>
        </w:rPr>
        <w:t>)</w:t>
      </w:r>
      <w:r w:rsidR="00F07CCA">
        <w:rPr>
          <w:szCs w:val="24"/>
        </w:rPr>
        <w:t xml:space="preserve"> of the protein; the most common and wel</w:t>
      </w:r>
      <w:r w:rsidR="00426FC7">
        <w:rPr>
          <w:szCs w:val="24"/>
        </w:rPr>
        <w:t>l characterised of these being l</w:t>
      </w:r>
      <w:r w:rsidR="00F07CCA">
        <w:rPr>
          <w:szCs w:val="24"/>
        </w:rPr>
        <w:t xml:space="preserve">ysozyme as it has a particularly alkaline pI. </w:t>
      </w:r>
      <w:r w:rsidR="00426FC7">
        <w:rPr>
          <w:szCs w:val="24"/>
        </w:rPr>
        <w:t>Cloud point testing by liquid-liquid phase separation of lysozyme further clarified that this inverse Hofmeister series is seen at low salt concentrations in positively</w:t>
      </w:r>
      <w:r w:rsidR="003C6DD1">
        <w:rPr>
          <w:szCs w:val="24"/>
        </w:rPr>
        <w:t xml:space="preserve"> charged systems but that</w:t>
      </w:r>
      <w:r w:rsidR="00426FC7">
        <w:rPr>
          <w:szCs w:val="24"/>
        </w:rPr>
        <w:t xml:space="preserve"> direct Hofmeister behaviour is adopted once again at salt concentrations above 200-300</w:t>
      </w:r>
      <w:r w:rsidR="00E47AE5">
        <w:rPr>
          <w:szCs w:val="24"/>
        </w:rPr>
        <w:t xml:space="preserve"> </w:t>
      </w:r>
      <w:r w:rsidR="00426FC7">
        <w:rPr>
          <w:szCs w:val="24"/>
        </w:rPr>
        <w:t xml:space="preserve">mM </w:t>
      </w:r>
      <w:r w:rsidR="00426FC7">
        <w:rPr>
          <w:szCs w:val="24"/>
        </w:rPr>
        <w:fldChar w:fldCharType="begin" w:fldLock="1"/>
      </w:r>
      <w:r w:rsidR="007A5CD3">
        <w:rPr>
          <w:szCs w:val="24"/>
        </w:rPr>
        <w:instrText>ADDIN CSL_CITATION { "citationItems" : [ { "id" : "ITEM-1", "itemData" : { "DOI" : "10.1073/pnas.0907616106", "ISSN" : "1091-6490", "PMID" : "19706429", "abstract" : "Anion effects on the cloud-point temperature for the liquid-liquid phase transition of lysozyme were investigated by temperature gradient microfluidics under a dark field microscope. It was found that protein aggregation in salt solutions followed 2 distinct Hofmeister series depending on salt concentration. Namely, under low salt conditions the association of anions with the positively charged lysozyme surface dominated the process and the phase transition temperature followed an inverse Hofmeister series. This inverse series could be directly correlated to the size and hydration thermodynamics of the anions. At higher salt concentrations, the liquid-liquid phase transition displayed a direct Hofmeister series that correlated with the polarizability of the anions. A simple model was derived to take both charge screening and surface tension effects into account at the protein/water interface. Fitting the thermodynamic data to this model equation demonstrated its validity in both the high and low salt regimes. These results suggest that in general positively charged macromolecular systems should show inverse Hofmeister behavior only at relatively low salt concentrations, but revert to a direct Hofmeister series as the salt concentration is increased.", "author" : [ { "dropping-particle" : "", "family" : "Zhang", "given" : "Y", "non-dropping-particle" : "", "parse-names" : false, "suffix" : "" }, { "dropping-particle" : "", "family" : "Cremer", "given" : "P S", "non-dropping-particle" : "", "parse-names" : false, "suffix" : "" } ], "container-title" : "Proceedings of the National Academy of Sciences of the United States of America", "id" : "ITEM-1", "issue" : "36", "issued" : { "date-parts" : [ [ "2009", "9", "8" ] ] }, "page" : "15249-53", "title" : "The inverse and direct Hofmeister series for lysozyme", "type" : "article-journal", "volume" : "106" }, "uris" : [ "http://www.mendeley.com/documents/?uuid=3d28ab1d-fa8f-4f13-a6cc-7aaa1f84ff32" ] } ], "mendeley" : { "formattedCitation" : "(Zhang &amp; Cremer 2009)", "plainTextFormattedCitation" : "(Zhang &amp; Cremer 2009)", "previouslyFormattedCitation" : "(Zhang &amp; Cremer 2009)" }, "properties" : { "noteIndex" : 0 }, "schema" : "https://github.com/citation-style-language/schema/raw/master/csl-citation.json" }</w:instrText>
      </w:r>
      <w:r w:rsidR="00426FC7">
        <w:rPr>
          <w:szCs w:val="24"/>
        </w:rPr>
        <w:fldChar w:fldCharType="separate"/>
      </w:r>
      <w:r w:rsidR="00426FC7" w:rsidRPr="00426FC7">
        <w:rPr>
          <w:noProof/>
          <w:szCs w:val="24"/>
        </w:rPr>
        <w:t>(Zhang &amp; Cremer 2009)</w:t>
      </w:r>
      <w:r w:rsidR="00426FC7">
        <w:rPr>
          <w:szCs w:val="24"/>
        </w:rPr>
        <w:fldChar w:fldCharType="end"/>
      </w:r>
      <w:r w:rsidR="00426FC7">
        <w:rPr>
          <w:szCs w:val="24"/>
        </w:rPr>
        <w:t>. This led to the conclusion that the inverse Hofmeister series correlates with the size and hydration of the anions with larger anions having a lower hydration free energy, meaning they are more able to shed their hydration shell and interact with positively charged proteins. It was also extrapolated that the return to the direct Hofmeister series at higher salt c</w:t>
      </w:r>
      <w:r w:rsidR="00571397">
        <w:rPr>
          <w:szCs w:val="24"/>
        </w:rPr>
        <w:t>oncentrations was due to polaris</w:t>
      </w:r>
      <w:r w:rsidR="00426FC7">
        <w:rPr>
          <w:szCs w:val="24"/>
        </w:rPr>
        <w:t>ability of the anions.</w:t>
      </w:r>
    </w:p>
    <w:p w14:paraId="15102D79" w14:textId="77777777" w:rsidR="00583BAB" w:rsidRPr="00583BAB" w:rsidRDefault="007A5CD3" w:rsidP="00ED3BE9">
      <w:pPr>
        <w:rPr>
          <w:szCs w:val="24"/>
        </w:rPr>
      </w:pPr>
      <w:r>
        <w:rPr>
          <w:szCs w:val="24"/>
        </w:rPr>
        <w:t xml:space="preserve">Generally the effects that salts have on both the solubility and the stability of proteins are thought to be inherently linked </w:t>
      </w:r>
      <w:r>
        <w:rPr>
          <w:szCs w:val="24"/>
        </w:rPr>
        <w:fldChar w:fldCharType="begin" w:fldLock="1"/>
      </w:r>
      <w:r>
        <w:rPr>
          <w:szCs w:val="24"/>
        </w:rPr>
        <w:instrText>ADDIN CSL_CITATION { "citationItems" : [ { "id" : "ITEM-1", "itemData" : { "author" : [ { "dropping-particle" : "", "family" : "Hippel", "given" : "P H", "non-dropping-particle" : "von", "parse-names" : false, "suffix" : "" }, { "dropping-particle" : "", "family" : "Wong", "given" : "K Y", "non-dropping-particle" : "", "parse-names" : false, "suffix" : "" } ], "container-title" : "Journal of Biological Chemistry", "id" : "ITEM-1", "issued" : { "date-parts" : [ [ "1965" ] ] }, "page" : "3909-3923", "title" : "On the conformational stability of globular proteins", "type" : "article-journal", "volume" : "240" }, "uris" : [ "http://www.mendeley.com/documents/?uuid=53ef3c9c-0016-4c53-b5f8-d70c3413e937" ] } ], "mendeley" : { "formattedCitation" : "(von Hippel &amp; Wong 1965)", "plainTextFormattedCitation" : "(von Hippel &amp; Wong 1965)", "previouslyFormattedCitation" : "(von Hippel &amp; Wong 1965)" }, "properties" : { "noteIndex" : 0 }, "schema" : "https://github.com/citation-style-language/schema/raw/master/csl-citation.json" }</w:instrText>
      </w:r>
      <w:r>
        <w:rPr>
          <w:szCs w:val="24"/>
        </w:rPr>
        <w:fldChar w:fldCharType="separate"/>
      </w:r>
      <w:r w:rsidRPr="007A5CD3">
        <w:rPr>
          <w:noProof/>
          <w:szCs w:val="24"/>
        </w:rPr>
        <w:t>(von Hippel &amp; Wong 1965)</w:t>
      </w:r>
      <w:r>
        <w:rPr>
          <w:szCs w:val="24"/>
        </w:rPr>
        <w:fldChar w:fldCharType="end"/>
      </w:r>
      <w:r>
        <w:rPr>
          <w:szCs w:val="24"/>
        </w:rPr>
        <w:t xml:space="preserve"> and therefore similar mechanisms are believed to confer the two. However recent stability measurements using lysozyme at pH 7 as a positively charged system and a variety of Hofmeister anions demonstrated that at low salt concentrations (&lt; 2</w:t>
      </w:r>
      <w:r w:rsidR="00F609B2">
        <w:rPr>
          <w:szCs w:val="24"/>
        </w:rPr>
        <w:t xml:space="preserve"> </w:t>
      </w:r>
      <w:r>
        <w:rPr>
          <w:szCs w:val="24"/>
        </w:rPr>
        <w:t xml:space="preserve">mM) neither the direct nor the inverse Hofmeister series was followed but a more anion-specific behaviour was observed </w:t>
      </w:r>
      <w:r>
        <w:rPr>
          <w:szCs w:val="24"/>
        </w:rPr>
        <w:fldChar w:fldCharType="begin" w:fldLock="1"/>
      </w:r>
      <w:r w:rsidR="00DD6047">
        <w:rPr>
          <w:szCs w:val="24"/>
        </w:rPr>
        <w:instrText>ADDIN CSL_CITATION { "citationItems" : [ { "id" : "ITEM-1", "itemData" : { "DOI" : "10.1002/pro.2355", "ISSN" : "1469-896X", "PMID" : "24038575", "abstract" : "Anion and cation effects on the structural stability of lysozyme were investigated using differential scanning calorimetry. At low concentrations (&lt;5 mM) anions and cations alter the stability of lysozyme but they do not follow the Hofmeister (or inverse Hofmeister) series. At higher concentrations protein stabilization follows the well-established Hofmeister series. Our hypothesis is that there are three mechanisms at work. At low concentrations the anions interact with charged side chains where the presence of the ion can alter the structural stability of the protein. At higher concentrations the low charge density anions perchlorate and iodide interact weakly with the protein. Their presence however reduces the Gibbs free energy required to hydrate the core of the protein that is exposed during unfolding therefore destabilizing the structure. At higher concentrations the high charge density anions phosphate and sulfate compete for water with the protein as it unfolds increasing the Gibbs free energy required to hydrate the newly exposed core of the protein therefore stabilizing the structure.", "author" : [ { "dropping-particle" : "", "family" : "Bye", "given" : "J W", "non-dropping-particle" : "", "parse-names" : false, "suffix" : "" }, { "dropping-particle" : "", "family" : "Falconer", "given" : "R J", "non-dropping-particle" : "", "parse-names" : false, "suffix" : "" } ], "container-title" : "Protein Science", "id" : "ITEM-1", "issued" : { "date-parts" : [ [ "2013", "11" ] ] }, "page" : "1563-1570", "title" : "Thermal stability of lysozyme as a function of ion concentration: A reappraisal of the relationship between the Hofmeister series and protein stability", "type" : "article-journal", "volume" : "22" }, "uris" : [ "http://www.mendeley.com/documents/?uuid=cdce46dc-4ab2-44de-8184-be6984bc4e9d" ] } ], "mendeley" : { "formattedCitation" : "(Bye &amp; Falconer 2013)", "plainTextFormattedCitation" : "(Bye &amp; Falconer 2013)", "previouslyFormattedCitation" : "(Bye &amp; Falconer 2013)" }, "properties" : { "noteIndex" : 0 }, "schema" : "https://github.com/citation-style-language/schema/raw/master/csl-citation.json" }</w:instrText>
      </w:r>
      <w:r>
        <w:rPr>
          <w:szCs w:val="24"/>
        </w:rPr>
        <w:fldChar w:fldCharType="separate"/>
      </w:r>
      <w:r w:rsidRPr="007A5CD3">
        <w:rPr>
          <w:noProof/>
          <w:szCs w:val="24"/>
        </w:rPr>
        <w:t>(Bye &amp; Falconer 2013)</w:t>
      </w:r>
      <w:r>
        <w:rPr>
          <w:szCs w:val="24"/>
        </w:rPr>
        <w:fldChar w:fldCharType="end"/>
      </w:r>
      <w:r>
        <w:rPr>
          <w:szCs w:val="24"/>
        </w:rPr>
        <w:t xml:space="preserve">. This was attributed to specific binding interactions between the negatively charged anions and positively charged exposed side chains on the protein, which can result in either stabilisation or destabilisation of the protein depending on the </w:t>
      </w:r>
      <w:r w:rsidR="00BE24D4">
        <w:rPr>
          <w:szCs w:val="24"/>
        </w:rPr>
        <w:t xml:space="preserve">local </w:t>
      </w:r>
      <w:r>
        <w:rPr>
          <w:szCs w:val="24"/>
        </w:rPr>
        <w:t xml:space="preserve">environment in which the side chain exists. At higher concentrations a direct Hofmeister series was resumed and attributed to a further two mechanisms: chaotropes are weakly hydrated and so bind to apolar regions of the protein therefore reducing the </w:t>
      </w:r>
      <w:r w:rsidR="00C27D8D">
        <w:rPr>
          <w:szCs w:val="24"/>
        </w:rPr>
        <w:t>energy required to hydrate the apolar core</w:t>
      </w:r>
      <w:r w:rsidR="00DD5FB0">
        <w:rPr>
          <w:szCs w:val="24"/>
        </w:rPr>
        <w:t xml:space="preserve"> (see section </w:t>
      </w:r>
      <w:r w:rsidR="00DD5FB0">
        <w:rPr>
          <w:szCs w:val="24"/>
        </w:rPr>
        <w:fldChar w:fldCharType="begin"/>
      </w:r>
      <w:r w:rsidR="00DD5FB0">
        <w:rPr>
          <w:szCs w:val="24"/>
        </w:rPr>
        <w:instrText xml:space="preserve"> REF _Ref456105943 \r \h </w:instrText>
      </w:r>
      <w:r w:rsidR="00DD5FB0">
        <w:rPr>
          <w:szCs w:val="24"/>
        </w:rPr>
      </w:r>
      <w:r w:rsidR="00DD5FB0">
        <w:rPr>
          <w:szCs w:val="24"/>
        </w:rPr>
        <w:fldChar w:fldCharType="separate"/>
      </w:r>
      <w:r w:rsidR="00AA6926">
        <w:rPr>
          <w:szCs w:val="24"/>
        </w:rPr>
        <w:t>1.4.3.4</w:t>
      </w:r>
      <w:r w:rsidR="00DD5FB0">
        <w:rPr>
          <w:szCs w:val="24"/>
        </w:rPr>
        <w:fldChar w:fldCharType="end"/>
      </w:r>
      <w:r w:rsidR="00DD5FB0">
        <w:rPr>
          <w:szCs w:val="24"/>
        </w:rPr>
        <w:t>)</w:t>
      </w:r>
      <w:r w:rsidR="00C27D8D">
        <w:rPr>
          <w:szCs w:val="24"/>
        </w:rPr>
        <w:t>; kosmotropes, due to their strong hydration, compete with the protein’s hydration shell for water therefore increasing the energy required to hydrate the apolar core</w:t>
      </w:r>
      <w:r w:rsidR="00DD5FB0">
        <w:rPr>
          <w:szCs w:val="24"/>
        </w:rPr>
        <w:t xml:space="preserve"> (see section </w:t>
      </w:r>
      <w:r w:rsidR="00DD5FB0">
        <w:rPr>
          <w:szCs w:val="24"/>
        </w:rPr>
        <w:fldChar w:fldCharType="begin"/>
      </w:r>
      <w:r w:rsidR="00DD5FB0">
        <w:rPr>
          <w:szCs w:val="24"/>
        </w:rPr>
        <w:instrText xml:space="preserve"> REF _Ref458443031 \r \h </w:instrText>
      </w:r>
      <w:r w:rsidR="00DD5FB0">
        <w:rPr>
          <w:szCs w:val="24"/>
        </w:rPr>
      </w:r>
      <w:r w:rsidR="00DD5FB0">
        <w:rPr>
          <w:szCs w:val="24"/>
        </w:rPr>
        <w:fldChar w:fldCharType="separate"/>
      </w:r>
      <w:r w:rsidR="00AA6926">
        <w:rPr>
          <w:szCs w:val="24"/>
        </w:rPr>
        <w:t>1.4.3.5</w:t>
      </w:r>
      <w:r w:rsidR="00DD5FB0">
        <w:rPr>
          <w:szCs w:val="24"/>
        </w:rPr>
        <w:fldChar w:fldCharType="end"/>
      </w:r>
      <w:r w:rsidR="00DD5FB0">
        <w:rPr>
          <w:szCs w:val="24"/>
        </w:rPr>
        <w:t>)</w:t>
      </w:r>
      <w:r w:rsidR="0001325E">
        <w:rPr>
          <w:szCs w:val="24"/>
        </w:rPr>
        <w:t>.</w:t>
      </w:r>
      <w:r w:rsidR="0038589C">
        <w:rPr>
          <w:szCs w:val="24"/>
        </w:rPr>
        <w:t xml:space="preserve"> </w:t>
      </w:r>
      <w:r w:rsidR="0064368A">
        <w:rPr>
          <w:szCs w:val="24"/>
        </w:rPr>
        <w:t xml:space="preserve">As the studies above suggest different mechanisms </w:t>
      </w:r>
      <w:r w:rsidR="0064368A">
        <w:rPr>
          <w:szCs w:val="24"/>
        </w:rPr>
        <w:lastRenderedPageBreak/>
        <w:t>for solubility effects it may be that the Hofmeister salts affect protein stability and solubility via distinct interactions.</w:t>
      </w:r>
    </w:p>
    <w:p w14:paraId="28AD401E" w14:textId="77777777" w:rsidR="00B24D6E" w:rsidRDefault="00B24D6E" w:rsidP="00F45FAF">
      <w:pPr>
        <w:pStyle w:val="Heading3"/>
      </w:pPr>
      <w:bookmarkStart w:id="27" w:name="_Ref453082183"/>
      <w:bookmarkStart w:id="28" w:name="_Toc485712746"/>
      <w:r w:rsidRPr="00E568C9">
        <w:t>Denaturants</w:t>
      </w:r>
      <w:bookmarkEnd w:id="27"/>
      <w:bookmarkEnd w:id="28"/>
    </w:p>
    <w:p w14:paraId="19818B7A" w14:textId="77777777" w:rsidR="005C43BA" w:rsidRDefault="00FD7C28" w:rsidP="005C43BA">
      <w:pPr>
        <w:rPr>
          <w:szCs w:val="24"/>
        </w:rPr>
      </w:pPr>
      <w:r w:rsidRPr="00FD7C28">
        <w:rPr>
          <w:szCs w:val="24"/>
        </w:rPr>
        <w:t xml:space="preserve">The two best documented </w:t>
      </w:r>
      <w:r w:rsidR="000A1818">
        <w:rPr>
          <w:szCs w:val="24"/>
        </w:rPr>
        <w:t>denaturants</w:t>
      </w:r>
      <w:r>
        <w:rPr>
          <w:szCs w:val="24"/>
        </w:rPr>
        <w:t>, which have been extensively studied over a long period of time due to their usefulness in folding exper</w:t>
      </w:r>
      <w:r w:rsidR="0033053C">
        <w:rPr>
          <w:szCs w:val="24"/>
        </w:rPr>
        <w:t>iments, are urea and guanidine</w:t>
      </w:r>
      <w:r>
        <w:rPr>
          <w:szCs w:val="24"/>
        </w:rPr>
        <w:t xml:space="preserve"> hydrochloride</w:t>
      </w:r>
      <w:r w:rsidR="00E47AE5">
        <w:rPr>
          <w:szCs w:val="24"/>
        </w:rPr>
        <w:t xml:space="preserve"> (GdnHCl)</w:t>
      </w:r>
      <w:r w:rsidR="00DD5FB0">
        <w:rPr>
          <w:szCs w:val="24"/>
        </w:rPr>
        <w:t xml:space="preserve"> (</w:t>
      </w:r>
      <w:r w:rsidR="00DD5FB0">
        <w:rPr>
          <w:szCs w:val="24"/>
        </w:rPr>
        <w:fldChar w:fldCharType="begin"/>
      </w:r>
      <w:r w:rsidR="00DD5FB0">
        <w:rPr>
          <w:szCs w:val="24"/>
        </w:rPr>
        <w:instrText xml:space="preserve"> REF _Ref459983926 \h </w:instrText>
      </w:r>
      <w:r w:rsidR="00DD5FB0">
        <w:rPr>
          <w:szCs w:val="24"/>
        </w:rPr>
      </w:r>
      <w:r w:rsidR="00DD5FB0">
        <w:rPr>
          <w:szCs w:val="24"/>
        </w:rPr>
        <w:fldChar w:fldCharType="separate"/>
      </w:r>
      <w:r w:rsidR="00AA6926">
        <w:t xml:space="preserve">Figure </w:t>
      </w:r>
      <w:r w:rsidR="00AA6926">
        <w:rPr>
          <w:noProof/>
        </w:rPr>
        <w:t>1</w:t>
      </w:r>
      <w:r w:rsidR="00AA6926">
        <w:noBreakHyphen/>
      </w:r>
      <w:r w:rsidR="00AA6926">
        <w:rPr>
          <w:noProof/>
        </w:rPr>
        <w:t>4</w:t>
      </w:r>
      <w:r w:rsidR="00DD5FB0">
        <w:rPr>
          <w:szCs w:val="24"/>
        </w:rPr>
        <w:fldChar w:fldCharType="end"/>
      </w:r>
      <w:r w:rsidR="00DD5FB0">
        <w:rPr>
          <w:szCs w:val="24"/>
        </w:rPr>
        <w:t>)</w:t>
      </w:r>
      <w:r>
        <w:rPr>
          <w:szCs w:val="24"/>
        </w:rPr>
        <w:t>. Not only</w:t>
      </w:r>
      <w:r w:rsidR="005D05B6">
        <w:rPr>
          <w:szCs w:val="24"/>
        </w:rPr>
        <w:t xml:space="preserve"> do they destabilise proteins </w:t>
      </w:r>
      <w:r w:rsidR="00B71FE9">
        <w:rPr>
          <w:szCs w:val="24"/>
        </w:rPr>
        <w:t xml:space="preserve">in terms of thermal stability </w:t>
      </w:r>
      <w:r w:rsidR="005D05B6">
        <w:rPr>
          <w:szCs w:val="24"/>
        </w:rPr>
        <w:t>when present at</w:t>
      </w:r>
      <w:r>
        <w:rPr>
          <w:szCs w:val="24"/>
        </w:rPr>
        <w:t xml:space="preserve"> low concentrations, bu</w:t>
      </w:r>
      <w:r w:rsidR="00957A05">
        <w:rPr>
          <w:szCs w:val="24"/>
        </w:rPr>
        <w:t xml:space="preserve">t at high enough concentrations – 8 </w:t>
      </w:r>
      <w:r>
        <w:rPr>
          <w:szCs w:val="24"/>
        </w:rPr>
        <w:t xml:space="preserve">M urea </w:t>
      </w:r>
      <w:r w:rsidR="009C5B3E">
        <w:rPr>
          <w:szCs w:val="24"/>
        </w:rPr>
        <w:fldChar w:fldCharType="begin" w:fldLock="1"/>
      </w:r>
      <w:r w:rsidR="009C5B3E">
        <w:rPr>
          <w:szCs w:val="24"/>
        </w:rPr>
        <w:instrText>ADDIN CSL_CITATION { "citationItems" : [ { "id" : "ITEM-1", "itemData" : { "author" : [ { "dropping-particle" : "", "family" : "Sachar", "given" : "K", "non-dropping-particle" : "", "parse-names" : false, "suffix" : "" }, { "dropping-particle" : "", "family" : "Sadoff", "given" : "H L", "non-dropping-particle" : "", "parse-names" : false, "suffix" : "" } ], "container-title" : "Nature", "id" : "ITEM-1", "issued" : { "date-parts" : [ [ "1966" ] ] }, "page" : "983-984", "title" : "Effect of glucose on the denaturation of glucose dehydrogenase by urea", "type" : "article-journal", "volume" : "211" }, "uris" : [ "http://www.mendeley.com/documents/?uuid=c2bc1648-1e43-40d2-93ef-54c91e04f6dd" ] } ], "mendeley" : { "formattedCitation" : "(Sachar &amp; Sadoff 1966)", "plainTextFormattedCitation" : "(Sachar &amp; Sadoff 1966)", "previouslyFormattedCitation" : "(Sachar &amp; Sadoff 1966)" }, "properties" : { "noteIndex" : 0 }, "schema" : "https://github.com/citation-style-language/schema/raw/master/csl-citation.json" }</w:instrText>
      </w:r>
      <w:r w:rsidR="009C5B3E">
        <w:rPr>
          <w:szCs w:val="24"/>
        </w:rPr>
        <w:fldChar w:fldCharType="separate"/>
      </w:r>
      <w:r w:rsidR="009C5B3E" w:rsidRPr="009C5B3E">
        <w:rPr>
          <w:noProof/>
          <w:szCs w:val="24"/>
        </w:rPr>
        <w:t>(Sachar &amp; Sadoff 1966)</w:t>
      </w:r>
      <w:r w:rsidR="009C5B3E">
        <w:rPr>
          <w:szCs w:val="24"/>
        </w:rPr>
        <w:fldChar w:fldCharType="end"/>
      </w:r>
      <w:r w:rsidR="0033053C">
        <w:rPr>
          <w:szCs w:val="24"/>
        </w:rPr>
        <w:t xml:space="preserve"> and 2-4 M guanidine </w:t>
      </w:r>
      <w:r w:rsidR="00F609B2">
        <w:rPr>
          <w:szCs w:val="24"/>
        </w:rPr>
        <w:t>hydrochloride</w:t>
      </w:r>
      <w:r w:rsidR="009C5B3E">
        <w:rPr>
          <w:szCs w:val="24"/>
        </w:rPr>
        <w:t xml:space="preserve"> </w:t>
      </w:r>
      <w:r w:rsidR="009C5B3E">
        <w:rPr>
          <w:szCs w:val="24"/>
        </w:rPr>
        <w:fldChar w:fldCharType="begin" w:fldLock="1"/>
      </w:r>
      <w:r w:rsidR="007D54F7">
        <w:rPr>
          <w:szCs w:val="24"/>
        </w:rPr>
        <w:instrText>ADDIN CSL_CITATION { "citationItems" : [ { "id" : "ITEM-1", "itemData" : { "ISBN" : "0264-6021", "ISSN" : "0264-6021", "PMID" : "1445206", "abstract" : "The guanidinium chloride (GdmCl) denaturation of RNAase A, lysozyme and metmyoglobin was investigated at several pH values by using absorbance measurements at 287, 300 and 409 nm respectively. From these measurements the free-energy change on denaturation, delta Gapp., was calculated, assuming a two-state mechanism, and values of delta Gapp. at zero concentration of the denaturant were measured. For each protein all delta Gapp. values were adjusted to pH 7.00 by using the appropriate relationship between delta Gapp. and pH. Dependence of the adjusted delta Gapp. value on GdmCl concentration increases for metmyoglobin and decreases for the other two proteins as the denaturant concentration decreases. It has been shown that these are expected results if the presence of the acid-denatured state during the GdmCl denaturation of proteins is considered.", "author" : [ { "dropping-particle" : "", "family" : "Ahmad", "given" : "F", "non-dropping-particle" : "", "parse-names" : false, "suffix" : "" }, { "dropping-particle" : "", "family" : "Yadav", "given" : "S", "non-dropping-particle" : "", "parse-names" : false, "suffix" : "" }, { "dropping-particle" : "", "family" : "Taneja", "given" : "S", "non-dropping-particle" : "", "parse-names" : false, "suffix" : "" } ], "container-title" : "Biochemical Journal", "id" : "ITEM-1", "issued" : { "date-parts" : [ [ "1992" ] ] }, "page" : "481-485", "title" : "Determining stability of proteins from guanidinium chloride transition curves", "type" : "article-journal", "volume" : "287" }, "uris" : [ "http://www.mendeley.com/documents/?uuid=b9a7ecfc-5c04-44f4-a56f-4e2e9dcdd37a" ] } ], "mendeley" : { "formattedCitation" : "(Ahmad et al. 1992)", "plainTextFormattedCitation" : "(Ahmad et al. 1992)", "previouslyFormattedCitation" : "(Ahmad et al. 1992)" }, "properties" : { "noteIndex" : 0 }, "schema" : "https://github.com/citation-style-language/schema/raw/master/csl-citation.json" }</w:instrText>
      </w:r>
      <w:r w:rsidR="009C5B3E">
        <w:rPr>
          <w:szCs w:val="24"/>
        </w:rPr>
        <w:fldChar w:fldCharType="separate"/>
      </w:r>
      <w:r w:rsidR="009C5B3E" w:rsidRPr="009C5B3E">
        <w:rPr>
          <w:noProof/>
          <w:szCs w:val="24"/>
        </w:rPr>
        <w:t>(Ahmad et al. 1992)</w:t>
      </w:r>
      <w:r w:rsidR="009C5B3E">
        <w:rPr>
          <w:szCs w:val="24"/>
        </w:rPr>
        <w:fldChar w:fldCharType="end"/>
      </w:r>
      <w:r w:rsidR="00563AAA">
        <w:rPr>
          <w:szCs w:val="24"/>
        </w:rPr>
        <w:t xml:space="preserve"> –</w:t>
      </w:r>
      <w:r w:rsidR="009C5B3E">
        <w:rPr>
          <w:szCs w:val="24"/>
        </w:rPr>
        <w:t xml:space="preserve"> </w:t>
      </w:r>
      <w:r w:rsidR="00563AAA">
        <w:rPr>
          <w:szCs w:val="24"/>
        </w:rPr>
        <w:t>they</w:t>
      </w:r>
      <w:r>
        <w:rPr>
          <w:szCs w:val="24"/>
        </w:rPr>
        <w:t xml:space="preserve"> create conditio</w:t>
      </w:r>
      <w:r w:rsidR="007D54F7">
        <w:rPr>
          <w:szCs w:val="24"/>
        </w:rPr>
        <w:t>ns that fully denature proteins</w:t>
      </w:r>
      <w:r w:rsidR="00F37B19">
        <w:rPr>
          <w:szCs w:val="24"/>
        </w:rPr>
        <w:t>,</w:t>
      </w:r>
      <w:r w:rsidR="00B71FE9">
        <w:rPr>
          <w:szCs w:val="24"/>
        </w:rPr>
        <w:t xml:space="preserve"> termed chemical denaturation</w:t>
      </w:r>
      <w:r w:rsidR="007D54F7">
        <w:rPr>
          <w:szCs w:val="24"/>
        </w:rPr>
        <w:t>.</w:t>
      </w:r>
    </w:p>
    <w:p w14:paraId="19D0933A" w14:textId="77777777" w:rsidR="00B95B15" w:rsidRDefault="007544E3" w:rsidP="00B95B15">
      <w:pPr>
        <w:keepNext/>
      </w:pPr>
      <w:r>
        <w:rPr>
          <w:szCs w:val="24"/>
        </w:rPr>
        <w:object w:dxaOrig="6885" w:dyaOrig="2115" w14:anchorId="523F2612">
          <v:shape id="_x0000_i1027" type="#_x0000_t75" style="width:344.25pt;height:105.75pt" o:ole="">
            <v:imagedata r:id="rId17" o:title=""/>
          </v:shape>
          <o:OLEObject Type="Embed" ProgID="ACD.ChemSketch.20" ShapeID="_x0000_i1027" DrawAspect="Content" ObjectID="_1559454681" r:id="rId18"/>
        </w:object>
      </w:r>
    </w:p>
    <w:p w14:paraId="71ACCB9E" w14:textId="77777777" w:rsidR="007544E3" w:rsidRDefault="00B95B15" w:rsidP="00B95B15">
      <w:pPr>
        <w:pStyle w:val="Caption"/>
        <w:jc w:val="left"/>
        <w:rPr>
          <w:sz w:val="24"/>
          <w:szCs w:val="24"/>
        </w:rPr>
      </w:pPr>
      <w:bookmarkStart w:id="29" w:name="_Ref459983926"/>
      <w:bookmarkStart w:id="30" w:name="_Toc482633162"/>
      <w:r>
        <w:t xml:space="preserve">Figure </w:t>
      </w:r>
      <w:fldSimple w:instr=" STYLEREF 1 \s ">
        <w:r w:rsidR="00AA6926">
          <w:rPr>
            <w:noProof/>
          </w:rPr>
          <w:t>1</w:t>
        </w:r>
      </w:fldSimple>
      <w:r w:rsidR="00BA082C">
        <w:noBreakHyphen/>
      </w:r>
      <w:fldSimple w:instr=" SEQ Figure \* ARABIC \s 1 ">
        <w:r w:rsidR="00AA6926">
          <w:rPr>
            <w:noProof/>
          </w:rPr>
          <w:t>4</w:t>
        </w:r>
      </w:fldSimple>
      <w:bookmarkEnd w:id="29"/>
      <w:r>
        <w:t>. Chemical structures of the denaturants urea (left) and guanidinium (right)</w:t>
      </w:r>
      <w:bookmarkEnd w:id="30"/>
    </w:p>
    <w:p w14:paraId="0D0C6B68" w14:textId="77777777" w:rsidR="007D54F7" w:rsidRDefault="0033053C" w:rsidP="005C43BA">
      <w:pPr>
        <w:rPr>
          <w:szCs w:val="24"/>
        </w:rPr>
      </w:pPr>
      <w:r>
        <w:rPr>
          <w:szCs w:val="24"/>
        </w:rPr>
        <w:t>Urea and guanidine</w:t>
      </w:r>
      <w:r w:rsidR="007D54F7">
        <w:rPr>
          <w:szCs w:val="24"/>
        </w:rPr>
        <w:t xml:space="preserve"> hydrochloride effects on protein stability have long been studied due to the fact that they were thought to affect the free energy of unfolding in a linear fashion </w:t>
      </w:r>
      <w:r w:rsidR="007D54F7">
        <w:rPr>
          <w:szCs w:val="24"/>
        </w:rPr>
        <w:fldChar w:fldCharType="begin" w:fldLock="1"/>
      </w:r>
      <w:r w:rsidR="00570275">
        <w:rPr>
          <w:szCs w:val="24"/>
        </w:rPr>
        <w:instrText>ADDIN CSL_CITATION { "citationItems" : [ { "id" : "ITEM-1", "itemData" : { "author" : [ { "dropping-particle" : "", "family" : "Tanford", "given" : "C", "non-dropping-particle" : "", "parse-names" : false, "suffix" : "" } ], "container-title" : "Journal of the American Chemical Society", "id" : "ITEM-1", "issued" : { "date-parts" : [ [ "1964" ] ] }, "page" : "2050-2059", "title" : "Isothermal unfolding of globular proteins in aqueous urea solutions", "type" : "article-journal", "volume" : "86" }, "uris" : [ "http://www.mendeley.com/documents/?uuid=2236770a-1da3-4037-b4b6-613329db7ff7" ] }, { "id" : "ITEM-2", "itemData" : { "author" : [ { "dropping-particle" : "", "family" : "Aune", "given" : "K C", "non-dropping-particle" : "", "parse-names" : false, "suffix" : "" }, { "dropping-particle" : "", "family" : "Tanford", "given" : "C", "non-dropping-particle" : "", "parse-names" : false, "suffix" : "" } ], "container-title" : "Biochemistry", "id" : "ITEM-2", "issued" : { "date-parts" : [ [ "1969" ] ] }, "page" : "4586-4590", "title" : "Thermodynamics of the denaturation of lysozyme by guanidine hydrochloride II. Dependence on denaturant concentration at 25 \u00b0C", "type" : "article-journal", "volume" : "8" }, "uris" : [ "http://www.mendeley.com/documents/?uuid=fc1b7010-916a-4475-8dde-5a85bc3534a1" ] }, { "id" : "ITEM-3", "itemData" : { "DOI" : "10.1385/0-89603-301-5:177", "ISBN" : "978-1-59259-527-3", "ISSN" : "1064-3745", "PMID" : "7633522", "author" : [ { "dropping-particle" : "", "family" : "Greene Jr", "given" : "R F", "non-dropping-particle" : "", "parse-names" : false, "suffix" : "" }, { "dropping-particle" : "", "family" : "Pace", "given" : "C N", "non-dropping-particle" : "", "parse-names" : false, "suffix" : "" } ], "container-title" : "Journal of Biological Chemistry", "id" : "ITEM-3", "issued" : { "date-parts" : [ [ "1974" ] ] }, "page" : "5388-5393", "title" : "Urea and guanidine hydrochloride denaturation of ribonuclease, lysozyme, a-chymotrypsin, and B-lactoglobulin", "type" : "article-journal", "volume" : "249" }, "uris" : [ "http://www.mendeley.com/documents/?uuid=686cd33b-f459-459a-acf0-24eefea5cf4a" ] } ], "mendeley" : { "formattedCitation" : "(Tanford 1964; Aune &amp; Tanford 1969b; Greene Jr &amp; Pace 1974)", "plainTextFormattedCitation" : "(Tanford 1964; Aune &amp; Tanford 1969b; Greene Jr &amp; Pace 1974)", "previouslyFormattedCitation" : "(Tanford 1964; Aune &amp; Tanford 1969b; Greene Jr &amp; Pace 1974)" }, "properties" : { "noteIndex" : 0 }, "schema" : "https://github.com/citation-style-language/schema/raw/master/csl-citation.json" }</w:instrText>
      </w:r>
      <w:r w:rsidR="007D54F7">
        <w:rPr>
          <w:szCs w:val="24"/>
        </w:rPr>
        <w:fldChar w:fldCharType="separate"/>
      </w:r>
      <w:r w:rsidR="0064368A" w:rsidRPr="0064368A">
        <w:rPr>
          <w:noProof/>
          <w:szCs w:val="24"/>
        </w:rPr>
        <w:t>(Tanford 1964; Aune &amp; Tanford 1969b; Greene Jr &amp; Pace 1974)</w:t>
      </w:r>
      <w:r w:rsidR="007D54F7">
        <w:rPr>
          <w:szCs w:val="24"/>
        </w:rPr>
        <w:fldChar w:fldCharType="end"/>
      </w:r>
      <w:r w:rsidR="007D54F7">
        <w:rPr>
          <w:szCs w:val="24"/>
        </w:rPr>
        <w:t xml:space="preserve">. This meant that using the Linear Extrapolation Model (LEM) </w:t>
      </w:r>
      <w:r w:rsidR="00DA0B0D">
        <w:rPr>
          <w:szCs w:val="24"/>
        </w:rPr>
        <w:fldChar w:fldCharType="begin" w:fldLock="1"/>
      </w:r>
      <w:r w:rsidR="00527C94">
        <w:rPr>
          <w:szCs w:val="24"/>
        </w:rPr>
        <w:instrText>ADDIN CSL_CITATION { "citationItems" : [ { "id" : "ITEM-1", "itemData" : { "DOI" : "10.1016/0076-6879(86)31045-0", "ISBN" : "9780121820312", "ISSN" : "00766879", "PMID" : "6855570", "abstract" : "This chapter describes methods for sodium dodecyl sulfate (SDS) gel electrophoresis and the characterization of proteins separated on SDS gels. SDS dissociates proteins into their constituent polypeptide chains. Polyacrylamide gel electrophoresis in the presence of SDS separates polypeptide chains according to their molecular weights. Thus, the size of the polypeptide chains of a given protein can be determined by comparing their electrophoretic mobilities on SDS gels to the mobilities of marker proteins with well-characterized polypeptide chain molecular weights. SDS-polyacrylamide gel electrophoresis is easily and rapidly performed, requires only inexpensive equipment, and can be used with microgram amounts of protein. The technique is both reliable and reproducible, and the results are easy to interpret. The procedure described in the chapter is designed to alkylate various functional groups of the proteins so as to maximize the likelihood of irreversible denaturation. Small changes in electrophoretic mobility may occur after such extensive alkylation.", "author" : [ { "dropping-particle" : "", "family" : "Pace", "given" : "C N", "non-dropping-particle" : "", "parse-names" : false, "suffix" : "" } ], "container-title" : "Methods in Enzymology", "id" : "ITEM-1", "issued" : { "date-parts" : [ [ "1986" ] ] }, "page" : "266-280", "title" : "Determination and analysis of urea and guanidine hydrochloride denaturation curves", "type" : "article-journal", "volume" : "131" }, "uris" : [ "http://www.mendeley.com/documents/?uuid=f2200fa3-b332-44f4-ab9d-59ea9d8939de" ] } ], "mendeley" : { "formattedCitation" : "(Pace 1986)", "plainTextFormattedCitation" : "(Pace 1986)", "previouslyFormattedCitation" : "(Pace 1986)" }, "properties" : { "noteIndex" : 0 }, "schema" : "https://github.com/citation-style-language/schema/raw/master/csl-citation.json" }</w:instrText>
      </w:r>
      <w:r w:rsidR="00DA0B0D">
        <w:rPr>
          <w:szCs w:val="24"/>
        </w:rPr>
        <w:fldChar w:fldCharType="separate"/>
      </w:r>
      <w:r w:rsidR="00DA0B0D" w:rsidRPr="00DA0B0D">
        <w:rPr>
          <w:noProof/>
          <w:szCs w:val="24"/>
        </w:rPr>
        <w:t>(Pace 1986)</w:t>
      </w:r>
      <w:r w:rsidR="00DA0B0D">
        <w:rPr>
          <w:szCs w:val="24"/>
        </w:rPr>
        <w:fldChar w:fldCharType="end"/>
      </w:r>
      <w:r w:rsidR="00DA0B0D">
        <w:rPr>
          <w:szCs w:val="24"/>
        </w:rPr>
        <w:t xml:space="preserve"> </w:t>
      </w:r>
      <w:r w:rsidR="007D54F7">
        <w:rPr>
          <w:szCs w:val="24"/>
        </w:rPr>
        <w:t xml:space="preserve">it was possible to estimate the </w:t>
      </w:r>
      <w:r w:rsidR="00373089">
        <w:rPr>
          <w:szCs w:val="24"/>
        </w:rPr>
        <w:t>stability of protein</w:t>
      </w:r>
      <w:r w:rsidR="00957A05">
        <w:rPr>
          <w:szCs w:val="24"/>
        </w:rPr>
        <w:t>s</w:t>
      </w:r>
      <w:r w:rsidR="00373089">
        <w:rPr>
          <w:szCs w:val="24"/>
        </w:rPr>
        <w:t xml:space="preserve"> in water by extrapolating to zero concentration of denaturant based on the equation below where the ‘</w:t>
      </w:r>
      <w:r w:rsidR="00373089">
        <w:rPr>
          <w:i/>
          <w:szCs w:val="24"/>
        </w:rPr>
        <w:t>m</w:t>
      </w:r>
      <w:r w:rsidR="00373089">
        <w:rPr>
          <w:szCs w:val="24"/>
        </w:rPr>
        <w:t xml:space="preserve"> value’ is the slope of free energy of unfolding against denaturant concentration</w:t>
      </w:r>
      <w:r w:rsidR="00A4499B">
        <w:rPr>
          <w:szCs w:val="24"/>
        </w:rPr>
        <w:t>, Δ</w:t>
      </w:r>
      <w:r w:rsidR="00A4499B" w:rsidRPr="00A76BBE">
        <w:rPr>
          <w:i/>
          <w:szCs w:val="24"/>
        </w:rPr>
        <w:t>G</w:t>
      </w:r>
      <w:r w:rsidR="00A4499B" w:rsidRPr="00A76BBE">
        <w:rPr>
          <w:i/>
          <w:szCs w:val="24"/>
          <w:vertAlign w:val="superscript"/>
        </w:rPr>
        <w:t>denaturant</w:t>
      </w:r>
      <w:r w:rsidR="00A4499B">
        <w:rPr>
          <w:szCs w:val="24"/>
        </w:rPr>
        <w:t xml:space="preserve"> is the change in Gibbs free energy of unfolding in denaturant and Δ</w:t>
      </w:r>
      <w:r w:rsidR="00A4499B" w:rsidRPr="00A76BBE">
        <w:rPr>
          <w:i/>
          <w:szCs w:val="24"/>
        </w:rPr>
        <w:t>G</w:t>
      </w:r>
      <w:r w:rsidR="00A4499B" w:rsidRPr="00A76BBE">
        <w:rPr>
          <w:i/>
          <w:szCs w:val="24"/>
          <w:vertAlign w:val="superscript"/>
        </w:rPr>
        <w:t>water</w:t>
      </w:r>
      <w:r w:rsidR="00A4499B">
        <w:rPr>
          <w:szCs w:val="24"/>
        </w:rPr>
        <w:t xml:space="preserve"> is the change in Gibbs free energy of unfolding in pure water</w:t>
      </w:r>
      <w:r w:rsidR="00641447">
        <w:rPr>
          <w:szCs w:val="24"/>
        </w:rPr>
        <w:t xml:space="preserve"> (</w:t>
      </w:r>
      <w:commentRangeStart w:id="31"/>
      <w:r w:rsidR="00641447">
        <w:rPr>
          <w:szCs w:val="24"/>
        </w:rPr>
        <w:fldChar w:fldCharType="begin"/>
      </w:r>
      <w:r w:rsidR="00641447">
        <w:rPr>
          <w:szCs w:val="24"/>
        </w:rPr>
        <w:instrText xml:space="preserve"> REF _Ref465842056 \h </w:instrText>
      </w:r>
      <w:r w:rsidR="00641447">
        <w:rPr>
          <w:szCs w:val="24"/>
        </w:rPr>
      </w:r>
      <w:r w:rsidR="00641447">
        <w:rPr>
          <w:szCs w:val="24"/>
        </w:rPr>
        <w:fldChar w:fldCharType="separate"/>
      </w:r>
      <w:r w:rsidR="00AA6926">
        <w:t xml:space="preserve">Equation </w:t>
      </w:r>
      <w:r w:rsidR="00AA6926">
        <w:rPr>
          <w:noProof/>
        </w:rPr>
        <w:t>1</w:t>
      </w:r>
      <w:r w:rsidR="00AA6926">
        <w:noBreakHyphen/>
      </w:r>
      <w:r w:rsidR="00AA6926">
        <w:rPr>
          <w:noProof/>
        </w:rPr>
        <w:t>3</w:t>
      </w:r>
      <w:r w:rsidR="00641447">
        <w:rPr>
          <w:szCs w:val="24"/>
        </w:rPr>
        <w:fldChar w:fldCharType="end"/>
      </w:r>
      <w:commentRangeEnd w:id="31"/>
      <w:r w:rsidR="007302D9">
        <w:rPr>
          <w:rStyle w:val="CommentReference"/>
        </w:rPr>
        <w:commentReference w:id="31"/>
      </w:r>
      <w:r w:rsidR="00641447">
        <w:rPr>
          <w:szCs w:val="24"/>
        </w:rPr>
        <w:t>)</w:t>
      </w:r>
      <w:r w:rsidR="007302D9">
        <w:rPr>
          <w:szCs w:val="24"/>
        </w:rPr>
        <w:t xml:space="preserve">. </w:t>
      </w:r>
    </w:p>
    <w:p w14:paraId="308123C3" w14:textId="77777777" w:rsidR="00417DB4" w:rsidRDefault="00EA3787" w:rsidP="00417DB4">
      <w:pPr>
        <w:keepNext/>
      </w:pPr>
      <m:oMathPara>
        <m:oMath>
          <m:r>
            <w:rPr>
              <w:rFonts w:ascii="Cambria Math" w:hAnsi="Cambria Math"/>
              <w:szCs w:val="24"/>
            </w:rPr>
            <w:lastRenderedPageBreak/>
            <m:t>∆</m:t>
          </m:r>
          <m:sSup>
            <m:sSupPr>
              <m:ctrlPr>
                <w:rPr>
                  <w:rFonts w:ascii="Cambria Math" w:hAnsi="Cambria Math"/>
                  <w:i/>
                  <w:szCs w:val="24"/>
                </w:rPr>
              </m:ctrlPr>
            </m:sSupPr>
            <m:e>
              <m:r>
                <w:rPr>
                  <w:rFonts w:ascii="Cambria Math" w:hAnsi="Cambria Math"/>
                  <w:szCs w:val="24"/>
                </w:rPr>
                <m:t>G</m:t>
              </m:r>
            </m:e>
            <m:sup>
              <m:r>
                <w:rPr>
                  <w:rFonts w:ascii="Cambria Math" w:hAnsi="Cambria Math"/>
                  <w:szCs w:val="24"/>
                </w:rPr>
                <m:t>denaturant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G</m:t>
              </m:r>
            </m:e>
            <m:sup>
              <m:r>
                <w:rPr>
                  <w:rFonts w:ascii="Cambria Math" w:hAnsi="Cambria Math"/>
                  <w:szCs w:val="24"/>
                </w:rPr>
                <m:t>water</m:t>
              </m:r>
            </m:sup>
          </m:sSup>
          <m:r>
            <w:rPr>
              <w:rFonts w:ascii="Cambria Math" w:hAnsi="Cambria Math"/>
              <w:szCs w:val="24"/>
            </w:rPr>
            <m:t>-m</m:t>
          </m:r>
          <m:d>
            <m:dPr>
              <m:begChr m:val="["/>
              <m:endChr m:val="]"/>
              <m:ctrlPr>
                <w:rPr>
                  <w:rFonts w:ascii="Cambria Math" w:hAnsi="Cambria Math"/>
                  <w:i/>
                  <w:szCs w:val="24"/>
                </w:rPr>
              </m:ctrlPr>
            </m:dPr>
            <m:e>
              <m:r>
                <w:rPr>
                  <w:rFonts w:ascii="Cambria Math" w:hAnsi="Cambria Math"/>
                  <w:szCs w:val="24"/>
                </w:rPr>
                <m:t>C</m:t>
              </m:r>
            </m:e>
          </m:d>
        </m:oMath>
      </m:oMathPara>
    </w:p>
    <w:p w14:paraId="6545C568" w14:textId="77777777" w:rsidR="00EA3787" w:rsidRPr="00373089" w:rsidRDefault="00417DB4" w:rsidP="006B257F">
      <w:pPr>
        <w:pStyle w:val="Caption"/>
        <w:jc w:val="left"/>
        <w:rPr>
          <w:sz w:val="24"/>
          <w:szCs w:val="24"/>
        </w:rPr>
      </w:pPr>
      <w:bookmarkStart w:id="32" w:name="_Ref465842056"/>
      <w:r>
        <w:t xml:space="preserve">Equation </w:t>
      </w:r>
      <w:fldSimple w:instr=" STYLEREF 1 \s ">
        <w:r w:rsidR="00AA6926">
          <w:rPr>
            <w:noProof/>
          </w:rPr>
          <w:t>1</w:t>
        </w:r>
      </w:fldSimple>
      <w:r w:rsidR="00FE5536">
        <w:noBreakHyphen/>
      </w:r>
      <w:fldSimple w:instr=" SEQ Equation \* ARABIC \s 1 ">
        <w:r w:rsidR="00AA6926">
          <w:rPr>
            <w:noProof/>
          </w:rPr>
          <w:t>3</w:t>
        </w:r>
      </w:fldSimple>
      <w:bookmarkEnd w:id="32"/>
      <w:r w:rsidR="00A4499B">
        <w:rPr>
          <w:noProof/>
        </w:rPr>
        <w:t>. Linear Extrapolation Model</w:t>
      </w:r>
      <w:r w:rsidR="00B262A1">
        <w:rPr>
          <w:noProof/>
        </w:rPr>
        <w:t xml:space="preserve"> (LEM)</w:t>
      </w:r>
      <w:r w:rsidR="00A4499B">
        <w:rPr>
          <w:noProof/>
        </w:rPr>
        <w:t xml:space="preserve"> used by</w:t>
      </w:r>
      <w:commentRangeStart w:id="33"/>
      <w:r w:rsidR="00A4499B">
        <w:rPr>
          <w:noProof/>
        </w:rPr>
        <w:t xml:space="preserve"> </w:t>
      </w:r>
      <w:r w:rsidR="00A4499B" w:rsidRPr="00733449">
        <w:rPr>
          <w:noProof/>
        </w:rPr>
        <w:fldChar w:fldCharType="begin" w:fldLock="1"/>
      </w:r>
      <w:r w:rsidR="00B17BE7" w:rsidRPr="00733449">
        <w:rPr>
          <w:noProof/>
        </w:rPr>
        <w:instrText>ADDIN CSL_CITATION { "citationItems" : [ { "id" : "ITEM-1", "itemData" : { "DOI" : "10.1016/0076-6879(86)31045-0", "ISBN" : "9780121820312", "ISSN" : "00766879", "PMID" : "6855570", "abstract" : "This chapter describes methods for sodium dodecyl sulfate (SDS) gel electrophoresis and the characterization of proteins separated on SDS gels. SDS dissociates proteins into their constituent polypeptide chains. Polyacrylamide gel electrophoresis in the presence of SDS separates polypeptide chains according to their molecular weights. Thus, the size of the polypeptide chains of a given protein can be determined by comparing their electrophoretic mobilities on SDS gels to the mobilities of marker proteins with well-characterized polypeptide chain molecular weights. SDS-polyacrylamide gel electrophoresis is easily and rapidly performed, requires only inexpensive equipment, and can be used with microgram amounts of protein. The technique is both reliable and reproducible, and the results are easy to interpret. The procedure described in the chapter is designed to alkylate various functional groups of the proteins so as to maximize the likelihood of irreversible denaturation. Small changes in electrophoretic mobility may occur after such extensive alkylation.", "author" : [ { "dropping-particle" : "", "family" : "Pace", "given" : "C N", "non-dropping-particle" : "", "parse-names" : false, "suffix" : "" } ], "container-title" : "Methods in Enzymology", "id" : "ITEM-1", "issued" : { "date-parts" : [ [ "1986" ] ] }, "page" : "266-280", "title" : "Determination and analysis of urea and guanidine hydrochloride denaturation curves", "type" : "article-journal", "volume" : "131" }, "uris" : [ "http://www.mendeley.com/documents/?uuid=f2200fa3-b332-44f4-ab9d-59ea9d8939de" ] } ], "mendeley" : { "formattedCitation" : "(Pace 1986)", "plainTextFormattedCitation" : "(Pace 1986)", "previouslyFormattedCitation" : "(Pace 1986)" }, "properties" : { "noteIndex" : 0 }, "schema" : "https://github.com/citation-style-language/schema/raw/master/csl-citation.json" }</w:instrText>
      </w:r>
      <w:r w:rsidR="00A4499B" w:rsidRPr="00733449">
        <w:rPr>
          <w:noProof/>
        </w:rPr>
        <w:fldChar w:fldCharType="separate"/>
      </w:r>
      <w:r w:rsidR="007302D9">
        <w:rPr>
          <w:noProof/>
        </w:rPr>
        <w:t>Pace (</w:t>
      </w:r>
      <w:r w:rsidR="00A4499B" w:rsidRPr="00733449">
        <w:rPr>
          <w:noProof/>
        </w:rPr>
        <w:t>1986)</w:t>
      </w:r>
      <w:r w:rsidR="00A4499B" w:rsidRPr="00733449">
        <w:rPr>
          <w:noProof/>
        </w:rPr>
        <w:fldChar w:fldCharType="end"/>
      </w:r>
      <w:commentRangeEnd w:id="33"/>
      <w:r w:rsidR="007302D9">
        <w:rPr>
          <w:rStyle w:val="CommentReference"/>
          <w:b w:val="0"/>
          <w:bCs w:val="0"/>
        </w:rPr>
        <w:commentReference w:id="33"/>
      </w:r>
      <w:r w:rsidR="00A4499B">
        <w:rPr>
          <w:noProof/>
        </w:rPr>
        <w:t xml:space="preserve"> to estimate protein stability by extrapolating from chemical denaturation assuming a linear relationship between stabili</w:t>
      </w:r>
      <w:r w:rsidR="006269B7">
        <w:rPr>
          <w:noProof/>
        </w:rPr>
        <w:t>ty and denaturant concentration</w:t>
      </w:r>
    </w:p>
    <w:p w14:paraId="40B31141" w14:textId="77777777" w:rsidR="00AE3795" w:rsidRDefault="00170F43" w:rsidP="00373089">
      <w:pPr>
        <w:rPr>
          <w:szCs w:val="24"/>
        </w:rPr>
      </w:pPr>
      <w:r>
        <w:rPr>
          <w:szCs w:val="24"/>
        </w:rPr>
        <w:t>This model is still used in many experiments</w:t>
      </w:r>
      <w:r w:rsidR="00F37B19">
        <w:rPr>
          <w:szCs w:val="24"/>
        </w:rPr>
        <w:t>, and the ‘</w:t>
      </w:r>
      <w:r w:rsidR="00F37B19">
        <w:rPr>
          <w:i/>
          <w:szCs w:val="24"/>
        </w:rPr>
        <w:t xml:space="preserve">m </w:t>
      </w:r>
      <w:r w:rsidR="00F37B19">
        <w:rPr>
          <w:szCs w:val="24"/>
        </w:rPr>
        <w:t>value’ is widely used as a measurement to compare different cosolutes</w:t>
      </w:r>
      <w:r w:rsidR="0064368A">
        <w:rPr>
          <w:szCs w:val="24"/>
        </w:rPr>
        <w:t xml:space="preserve"> </w:t>
      </w:r>
      <w:r w:rsidR="0064368A">
        <w:rPr>
          <w:szCs w:val="24"/>
        </w:rPr>
        <w:fldChar w:fldCharType="begin" w:fldLock="1"/>
      </w:r>
      <w:r w:rsidR="0034217E">
        <w:rPr>
          <w:szCs w:val="24"/>
        </w:rPr>
        <w:instrText>ADDIN CSL_CITATION { "citationItems" : [ { "id" : "ITEM-1", "itemData" : { "DOI" : "10.1002/pro.5560041020", "ISSN" : "0961-8368", "PMID" : "8535251", "abstract" : "Denaturant m values, the dependence of the free energy of unfolding on denaturant concentration, have been collected for a large set of proteins. The m value correlates very strongly with the amount of protein surface exposed to solvent upon unfolding, with linear correlation coefficients of R = 0.84 for urea and R = 0.87 for guanidine hydrochloride. These correlations improve to R = 0.90 when the effect of disulfide bonds on the accessible area of the unfolded protein is included. A similar dependence on accessible surface area has been found previously for the heat capacity change (delta Cp), which is confirmed here for our set of proteins. Denaturant m values and heat capacity changes also correlate well with each other. For proteins that undergo a simple two-state unfolding mechanism, the amount of surface exposed to solvent upon unfolding is a main structural determinant for both m values and delta Cp.", "author" : [ { "dropping-particle" : "", "family" : "Myers", "given" : "J K", "non-dropping-particle" : "", "parse-names" : false, "suffix" : "" }, { "dropping-particle" : "", "family" : "Pace", "given" : "C N", "non-dropping-particle" : "", "parse-names" : false, "suffix" : "" }, { "dropping-particle" : "", "family" : "Scholtz", "given" : "J M", "non-dropping-particle" : "", "parse-names" : false, "suffix" : "" } ], "container-title" : "Protein Science", "id" : "ITEM-1", "issued" : { "date-parts" : [ [ "1995", "10" ] ] }, "page" : "2138-48", "title" : "Denaturant m values and heat capacity changes: Relation to changes in accessible surface areas of protein unfolding", "type" : "article-journal", "volume" : "4" }, "uris" : [ "http://www.mendeley.com/documents/?uuid=ecd27d36-a37d-44ca-a091-09734e2906c6" ] }, { "id" : "ITEM-2", "itemData" : { "DOI" : "10.1016/B978-0-12-381268-1.00015-X", "ISBN" : "9780123812681", "ISSN" : "00766879", "PMID" : "21333789", "abstract" : "Protein scientists have long used cosolutes to study protein stability. While denaturants, such as urea, have been employed for a long time, the attention became focused more recently on protein stabilizers, including osmolytes. Here, we provide practical experimental instructions for the use of both stabilizing and denaturing osmolytes with proteins, as well as data evaluation strategies. We focus on protein stability in the presence of cosolutes and their mixtures at constant and variable temperature. \u00a9 2011 Elsevier Inc.", "author" : [ { "dropping-particle" : "", "family" : "Holthauzen", "given" : "L M F", "non-dropping-particle" : "", "parse-names" : false, "suffix" : "" }, { "dropping-particle" : "", "family" : "Auton", "given" : "M", "non-dropping-particle" : "", "parse-names" : false, "suffix" : "" }, { "dropping-particle" : "", "family" : "Sinev", "given" : "M", "non-dropping-particle" : "", "parse-names" : false, "suffix" : "" }, { "dropping-particle" : "", "family" : "R\u00f6sgen", "given" : "J", "non-dropping-particle" : "", "parse-names" : false, "suffix" : "" } ], "container-title" : "Methods in Enzymology", "id" : "ITEM-2", "issued" : { "date-parts" : [ [ "2011" ] ] }, "page" : "61-125", "title" : "Protein stability in the presence of cosolutes", "type" : "article-journal", "volume" : "492" }, "uris" : [ "http://www.mendeley.com/documents/?uuid=cb726d5d-8910-4a4d-9a18-684f5ab192f7" ] }, { "id" : "ITEM-3", "itemData" : { "DOI" : "10.1529/biophsyj.105.067330", "abstract" : "An understanding of the impact of the crowded conditions in the cytoplasm on its biomolecules is of clear importance to biochemical, medcal and pharmaceutical science. Our previous work on the use of small biochemical compounds to crowd protein solutions indicates that a quantitative description of their nonideal behavior is possible and straightforward. Here, we show the structural origin of the nonideal solution behavior. We discuss the consequences of these findings regarding protein folding stability and solvation in crowded solutions through a structural analysis of the m-value or the change in free-energy difference of a macromolecule in solution with respect to the concentration of a third component.", "author" : [ { "dropping-particle" : "", "family" : "Rosgen", "given" : "J", "non-dropping-particle" : "", "parse-names" : false, "suffix" : "" }, { "dropping-particle" : "", "family" : "Pettitt", "given" : "B M", "non-dropping-particle" : "", "parse-names" : false, "suffix" : "" }, { "dropping-particle" : "", "family" : "Bolen", "given" : "D W", "non-dropping-particle" : "", "parse-names" : false, "suffix" : "" } ], "container-title" : "Biophysical Journal", "id" : "ITEM-3", "issued" : { "date-parts" : [ [ "2005" ] ] }, "page" : "2988-2997", "title" : "Protein folding, stability, and solvation structure in osmolyte solutions", "type" : "article-journal", "volume" : "89" }, "uris" : [ "http://www.mendeley.com/documents/?uuid=93cf99f7-ba27-4d9e-9211-24db6dfe0a1e" ] }, { "id" : "ITEM-4", "itemData" : { "DOI" : "10.1110/ps.062610407.to", "author" : [ { "dropping-particle" : "", "family" : "Holthauzen", "given" : "L M F", "non-dropping-particle" : "", "parse-names" : false, "suffix" : "" }, { "dropping-particle" : "", "family" : "Bolen", "given" : "D W", "non-dropping-particle" : "", "parse-names" : false, "suffix" : "" } ], "container-title" : "Protein Science", "id" : "ITEM-4", "issued" : { "date-parts" : [ [ "2007" ] ] }, "page" : "293-298", "title" : "Mixed osmolytes: The degree to which one osmolyte affects the protein stabilizing ability of another", "type" : "article-journal", "volume" : "16" }, "uris" : [ "http://www.mendeley.com/documents/?uuid=840e7504-edb7-4e01-b86f-415d435b9167" ] } ], "mendeley" : { "formattedCitation" : "(Myers et al. 1995; Holthauzen et al. 2011; Rosgen et al. 2005; Holthauzen &amp; Bolen 2007)", "plainTextFormattedCitation" : "(Myers et al. 1995; Holthauzen et al. 2011; Rosgen et al. 2005; Holthauzen &amp; Bolen 2007)", "previouslyFormattedCitation" : "(Myers et al. 1995; Holthauzen et al. 2011; Rosgen et al. 2005; Holthauzen &amp; Bolen 2007)" }, "properties" : { "noteIndex" : 0 }, "schema" : "https://github.com/citation-style-language/schema/raw/master/csl-citation.json" }</w:instrText>
      </w:r>
      <w:r w:rsidR="0064368A">
        <w:rPr>
          <w:szCs w:val="24"/>
        </w:rPr>
        <w:fldChar w:fldCharType="separate"/>
      </w:r>
      <w:r w:rsidR="0064368A" w:rsidRPr="0064368A">
        <w:rPr>
          <w:noProof/>
          <w:szCs w:val="24"/>
        </w:rPr>
        <w:t>(Myers et al. 1995; Holthauzen et al. 2011; Rosgen et al. 2005; Holthauzen &amp; Bolen 2007)</w:t>
      </w:r>
      <w:r w:rsidR="0064368A">
        <w:rPr>
          <w:szCs w:val="24"/>
        </w:rPr>
        <w:fldChar w:fldCharType="end"/>
      </w:r>
      <w:r w:rsidR="00F37B19">
        <w:rPr>
          <w:szCs w:val="24"/>
        </w:rPr>
        <w:t>,</w:t>
      </w:r>
      <w:r>
        <w:rPr>
          <w:szCs w:val="24"/>
        </w:rPr>
        <w:t xml:space="preserve"> but there has been a plethora</w:t>
      </w:r>
      <w:r w:rsidR="00DA0B0D">
        <w:rPr>
          <w:szCs w:val="24"/>
        </w:rPr>
        <w:t xml:space="preserve"> of evidence suggesting that</w:t>
      </w:r>
      <w:r>
        <w:rPr>
          <w:szCs w:val="24"/>
        </w:rPr>
        <w:t xml:space="preserve"> denaturants do not necessarily affect prote</w:t>
      </w:r>
      <w:r w:rsidR="00815ED5">
        <w:rPr>
          <w:szCs w:val="24"/>
        </w:rPr>
        <w:t xml:space="preserve">in stability in a linear manner </w:t>
      </w:r>
      <w:r w:rsidR="00815ED5">
        <w:rPr>
          <w:szCs w:val="24"/>
        </w:rPr>
        <w:fldChar w:fldCharType="begin" w:fldLock="1"/>
      </w:r>
      <w:r w:rsidR="00F360E2">
        <w:rPr>
          <w:szCs w:val="24"/>
        </w:rPr>
        <w:instrText>ADDIN CSL_CITATION { "citationItems" : [ { "id" : "ITEM-1", "itemData" : { "DOI" : "10.1021/jp990413q", "ISSN" : "1520-6106", "author" : [ { "dropping-particle" : "", "family" : "Makhatadze", "given" : "G I", "non-dropping-particle" : "", "parse-names" : false, "suffix" : "" } ], "container-title" : "Journal of Physical Chemistry B", "id" : "ITEM-1", "issued" : { "date-parts" : [ [ "1999", "6" ] ] }, "page" : "4781-4785", "title" : "Thermodynamics of protein interactions with urea and guanidinium hydrochloride", "type" : "article-journal", "volume" : "103" }, "uris" : [ "http://www.mendeley.com/documents/?uuid=f2f8a740-4b34-4ed2-b0f5-9b62ead8e165" ] }, { "id" : "ITEM-2", "itemData" : { "DOI" : "10.1021/bi961079g", "ISBN" : "0006-2960 (Print)\\r0006-2960 (Linking)", "ISSN" : "00062960", "PMID" : "8794776", "abstract" : "We have studied the denaturation of metmyoglobin at pH 6.0 and 25 degrees C by urea and guanidine hydrochloride (GdnHCl) which are known to unfold the protein to the same extent. It has been observed that estimates of protein stability (delta G0N-U) from urea-induced and GdnHCl-induced denaturations do not agree with one another; the linear extrapolation method gave delta G0N-U values of 7.59 +/- 0.33 and 5.35 +/- 0.10 kcal mol-1 for urea and GdnHCl denaturations, respectively. Measurements of the effect of the addition of KCl in the concentration range 0.1-1.0 M to urea denaturation have suggested that this disagreement is not due to the nonionic and ionic characters of urea and GdnHCl, respectively. The functional dependence of the free energy change of unfolding (delta GN-U) on [denaturant], the molar concentration of the denaturant, has been investigated for understanding the cause(s) of the disagreement between the two estimates of delta G0N-U of metmyoglobin. For this purpose, we have studied the GdnHCl-induced denaturation of the protein in the presence of different urea concentrations at pH 6.0 and 25 degrees C and vice versa. These measurements yield delta GN-U values in the full concentration range [Ahmad et al. (1994) J. Biochem. 115, 322-327], and these results provide strong evidence that the delta GN-U dependence on [urea] is linear (linear free energy model of denaturation) and the relation between delta GN-U and [GdnHCl] is curved (binding model of denaturation). It has been observed that the extrapolated value of delta GN-U in urea using the linear free energy model becomes identical to the extrapolated value of delta GN-U in GdnHCl using the binding model.", "author" : [ { "dropping-particle" : "", "family" : "Gupta", "given" : "R", "non-dropping-particle" : "", "parse-names" : false, "suffix" : "" }, { "dropping-particle" : "", "family" : "Yadav", "given" : "S", "non-dropping-particle" : "", "parse-names" : false, "suffix" : "" }, { "dropping-particle" : "", "family" : "Ahmad", "given" : "F", "non-dropping-particle" : "", "parse-names" : false, "suffix" : "" } ], "container-title" : "Biochemistry", "id" : "ITEM-2", "issued" : { "date-parts" : [ [ "1996" ] ] }, "page" : "11925-11930", "title" : "Protein stability: Urea-induced versus guanidine-induced unfolding of metmyoglobin", "type" : "article-journal", "volume" : "35" }, "uris" : [ "http://www.mendeley.com/documents/?uuid=efe737d1-aecb-451d-a24b-571e448bd337" ] }, { "id" : "ITEM-3", "itemData" : { "DOI" : "10.1016/S0301-4622(02)00181-3", "ISBN" : "1410516040", "ISSN" : "03014622", "PMID" : "12488003", "abstract" : "We have used a simple binding model to consider how the thermodynamics of denaturant-protein interactions might influence the shape of protein stability curves (free energy change as a function of temperature), and how these effects translate into a temperature dependence of the apparent m-value (sensitivity of unfolding free energy to denaturant). We find that for an exothermic binding reaction with no binding heat capacity increment, increasing denaturant concentrations produces an apparent increase in curvature in the protein stability curve, giving rise to an increase in the heat capacity increment of unfolding. Similar increases are seen if the binding heat capacity increment is taken as positive. However, for a negative binding heat capacity increment, increasing denaturant concentrations decreases the curvature of the stability curve, giving rise to a decrease in the heat capacity of unfolding. At very high denaturant concentrations (above which the heat capacity of denaturation becomes negative) the stability curve becomes dimpled, showing two separate maxima rather than one. These three models result in very different temperature dependencies of apparent m-values. For urea-induced unfolding of the ankyrin-domain of the Drosophila Notch protein, we find a dependence of experimental m-values on temperature that is similar to that produced by a negative binding heat capacity increment. This temperature dependence is consistent with the observed decrease in heat capacity of unfolding as denaturant is added. ?? 2002 Elsevier Science B.V. All rights reserved.", "author" : [ { "dropping-particle" : "", "family" : "Zweifel", "given" : "M E", "non-dropping-particle" : "", "parse-names" : false, "suffix" : "" }, { "dropping-particle" : "", "family" : "Barrick", "given" : "D", "non-dropping-particle" : "", "parse-names" : false, "suffix" : "" } ], "container-title" : "Biophysical Chemistry", "id" : "ITEM-3", "issued" : { "date-parts" : [ [ "2002" ] ] }, "page" : "221-237", "title" : "Relationships between the temperature dependence of solvent denaturation and the denaturant dependence of protein stability curves", "type" : "article-journal", "volume" : "101-102" }, "uris" : [ "http://www.mendeley.com/documents/?uuid=1a345e9c-bf7f-43ef-9d73-9c2e7ca34ef7" ] } ], "mendeley" : { "formattedCitation" : "(Makhatadze 1999; Gupta et al. 1996; Zweifel &amp; Barrick 2002)", "plainTextFormattedCitation" : "(Makhatadze 1999; Gupta et al. 1996; Zweifel &amp; Barrick 2002)", "previouslyFormattedCitation" : "(Makhatadze 1999; Gupta et al. 1996; Zweifel &amp; Barrick 2002)" }, "properties" : { "noteIndex" : 0 }, "schema" : "https://github.com/citation-style-language/schema/raw/master/csl-citation.json" }</w:instrText>
      </w:r>
      <w:r w:rsidR="00815ED5">
        <w:rPr>
          <w:szCs w:val="24"/>
        </w:rPr>
        <w:fldChar w:fldCharType="separate"/>
      </w:r>
      <w:r w:rsidR="00A76BBE" w:rsidRPr="00A76BBE">
        <w:rPr>
          <w:noProof/>
          <w:szCs w:val="24"/>
        </w:rPr>
        <w:t>(Makhatadze 1999; Gupta et al. 1996; Zweifel &amp; Barrick 2002)</w:t>
      </w:r>
      <w:r w:rsidR="00815ED5">
        <w:rPr>
          <w:szCs w:val="24"/>
        </w:rPr>
        <w:fldChar w:fldCharType="end"/>
      </w:r>
      <w:r w:rsidR="006457FF">
        <w:rPr>
          <w:szCs w:val="24"/>
        </w:rPr>
        <w:t xml:space="preserve">. Furthermore, </w:t>
      </w:r>
      <w:r w:rsidR="00291414">
        <w:rPr>
          <w:szCs w:val="24"/>
        </w:rPr>
        <w:t>urea and guanidin</w:t>
      </w:r>
      <w:r w:rsidR="0033053C">
        <w:rPr>
          <w:szCs w:val="24"/>
        </w:rPr>
        <w:t>e</w:t>
      </w:r>
      <w:r w:rsidR="00291414">
        <w:rPr>
          <w:szCs w:val="24"/>
        </w:rPr>
        <w:t xml:space="preserve"> hydrochloride can </w:t>
      </w:r>
      <w:r w:rsidR="006457FF">
        <w:rPr>
          <w:szCs w:val="24"/>
        </w:rPr>
        <w:t xml:space="preserve">actually </w:t>
      </w:r>
      <w:r w:rsidR="00291414">
        <w:rPr>
          <w:szCs w:val="24"/>
        </w:rPr>
        <w:t>give different estimates of protein stability using this method</w:t>
      </w:r>
      <w:r w:rsidR="00AE4EBB">
        <w:rPr>
          <w:szCs w:val="24"/>
        </w:rPr>
        <w:t xml:space="preserve"> </w:t>
      </w:r>
      <w:r w:rsidR="00AE4EBB">
        <w:rPr>
          <w:szCs w:val="24"/>
        </w:rPr>
        <w:fldChar w:fldCharType="begin" w:fldLock="1"/>
      </w:r>
      <w:r w:rsidR="0067647F">
        <w:rPr>
          <w:szCs w:val="24"/>
        </w:rPr>
        <w:instrText>ADDIN CSL_CITATION { "citationItems" : [ { "id" : "ITEM-1", "itemData" : { "DOI" : "10.1021/bi961079g", "ISBN" : "0006-2960 (Print)\\r0006-2960 (Linking)", "ISSN" : "00062960", "PMID" : "8794776", "abstract" : "We have studied the denaturation of metmyoglobin at pH 6.0 and 25 degrees C by urea and guanidine hydrochloride (GdnHCl) which are known to unfold the protein to the same extent. It has been observed that estimates of protein stability (delta G0N-U) from urea-induced and GdnHCl-induced denaturations do not agree with one another; the linear extrapolation method gave delta G0N-U values of 7.59 +/- 0.33 and 5.35 +/- 0.10 kcal mol-1 for urea and GdnHCl denaturations, respectively. Measurements of the effect of the addition of KCl in the concentration range 0.1-1.0 M to urea denaturation have suggested that this disagreement is not due to the nonionic and ionic characters of urea and GdnHCl, respectively. The functional dependence of the free energy change of unfolding (delta GN-U) on [denaturant], the molar concentration of the denaturant, has been investigated for understanding the cause(s) of the disagreement between the two estimates of delta G0N-U of metmyoglobin. For this purpose, we have studied the GdnHCl-induced denaturation of the protein in the presence of different urea concentrations at pH 6.0 and 25 degrees C and vice versa. These measurements yield delta GN-U values in the full concentration range [Ahmad et al. (1994) J. Biochem. 115, 322-327], and these results provide strong evidence that the delta GN-U dependence on [urea] is linear (linear free energy model of denaturation) and the relation between delta GN-U and [GdnHCl] is curved (binding model of denaturation). It has been observed that the extrapolated value of delta GN-U in urea using the linear free energy model becomes identical to the extrapolated value of delta GN-U in GdnHCl using the binding model.", "author" : [ { "dropping-particle" : "", "family" : "Gupta", "given" : "R", "non-dropping-particle" : "", "parse-names" : false, "suffix" : "" }, { "dropping-particle" : "", "family" : "Yadav", "given" : "S", "non-dropping-particle" : "", "parse-names" : false, "suffix" : "" }, { "dropping-particle" : "", "family" : "Ahmad", "given" : "F", "non-dropping-particle" : "", "parse-names" : false, "suffix" : "" } ], "container-title" : "Biochemistry", "id" : "ITEM-1", "issued" : { "date-parts" : [ [ "1996" ] ] }, "page" : "11925-11930", "title" : "Protein stability: Urea-induced versus guanidine-induced unfolding of metmyoglobin", "type" : "article-journal", "volume" : "35" }, "uris" : [ "http://www.mendeley.com/documents/?uuid=efe737d1-aecb-451d-a24b-571e448bd337" ] } ], "mendeley" : { "formattedCitation" : "(Gupta et al. 1996)", "plainTextFormattedCitation" : "(Gupta et al. 1996)", "previouslyFormattedCitation" : "(Gupta et al. 1996)" }, "properties" : { "noteIndex" : 0 }, "schema" : "https://github.com/citation-style-language/schema/raw/master/csl-citation.json" }</w:instrText>
      </w:r>
      <w:r w:rsidR="00AE4EBB">
        <w:rPr>
          <w:szCs w:val="24"/>
        </w:rPr>
        <w:fldChar w:fldCharType="separate"/>
      </w:r>
      <w:r w:rsidR="00AE4EBB" w:rsidRPr="00AE4EBB">
        <w:rPr>
          <w:noProof/>
          <w:szCs w:val="24"/>
        </w:rPr>
        <w:t>(Gupta et al. 1996)</w:t>
      </w:r>
      <w:r w:rsidR="00AE4EBB">
        <w:rPr>
          <w:szCs w:val="24"/>
        </w:rPr>
        <w:fldChar w:fldCharType="end"/>
      </w:r>
      <w:r w:rsidR="00291414">
        <w:rPr>
          <w:szCs w:val="24"/>
        </w:rPr>
        <w:t>.</w:t>
      </w:r>
      <w:r w:rsidR="00527C94">
        <w:rPr>
          <w:szCs w:val="24"/>
        </w:rPr>
        <w:t xml:space="preserve"> </w:t>
      </w:r>
    </w:p>
    <w:p w14:paraId="30A9C8B9" w14:textId="77777777" w:rsidR="00373089" w:rsidRPr="00FE21B2" w:rsidRDefault="00AE3795" w:rsidP="00373089">
      <w:pPr>
        <w:rPr>
          <w:szCs w:val="24"/>
        </w:rPr>
      </w:pPr>
      <w:r>
        <w:rPr>
          <w:szCs w:val="24"/>
        </w:rPr>
        <w:t xml:space="preserve">Confounding any attempts to determine why the two molecules sometimes give different estimates of protein stability is the fact that </w:t>
      </w:r>
      <w:r w:rsidR="0064368A">
        <w:rPr>
          <w:szCs w:val="24"/>
        </w:rPr>
        <w:t xml:space="preserve">the </w:t>
      </w:r>
      <w:r w:rsidR="00527C94">
        <w:rPr>
          <w:szCs w:val="24"/>
        </w:rPr>
        <w:t xml:space="preserve">molecular mechanisms governing these two denaturants’ effects on protein stability are still debated due to the high concentrations needed </w:t>
      </w:r>
      <w:r w:rsidR="0067647F">
        <w:rPr>
          <w:szCs w:val="24"/>
        </w:rPr>
        <w:t>to denature the proteins and any</w:t>
      </w:r>
      <w:r w:rsidR="00527C94">
        <w:rPr>
          <w:szCs w:val="24"/>
        </w:rPr>
        <w:t xml:space="preserve"> interactions between denaturant and protein being relatively weak</w:t>
      </w:r>
      <w:r w:rsidR="0067647F">
        <w:rPr>
          <w:szCs w:val="24"/>
        </w:rPr>
        <w:t xml:space="preserve"> </w:t>
      </w:r>
      <w:r w:rsidR="0067647F">
        <w:rPr>
          <w:szCs w:val="24"/>
        </w:rPr>
        <w:fldChar w:fldCharType="begin" w:fldLock="1"/>
      </w:r>
      <w:r w:rsidR="00F267E1">
        <w:rPr>
          <w:szCs w:val="24"/>
        </w:rPr>
        <w:instrText>ADDIN CSL_CITATION { "citationItems" : [ { "id" : "ITEM-1", "itemData" : { "author" : [ { "dropping-particle" : "", "family" : "Timasheff", "given" : "S N", "non-dropping-particle" : "", "parse-names" : false, "suffix" : "" } ], "container-title" : "Advances in Protein Chemistry", "id" : "ITEM-1", "issued" : { "date-parts" : [ [ "1998" ] ] }, "page" : "355-432", "title" : "Control of protein stability and reactions by weakly interacting cosolvents", "type" : "article-journal", "volume" : "51" }, "uris" : [ "http://www.mendeley.com/documents/?uuid=464c66d6-02cc-4bd0-961f-c4ce6e496c76" ] } ], "mendeley" : { "formattedCitation" : "(Timasheff 1998)", "plainTextFormattedCitation" : "(Timasheff 1998)", "previouslyFormattedCitation" : "(Timasheff 1998)" }, "properties" : { "noteIndex" : 0 }, "schema" : "https://github.com/citation-style-language/schema/raw/master/csl-citation.json" }</w:instrText>
      </w:r>
      <w:r w:rsidR="0067647F">
        <w:rPr>
          <w:szCs w:val="24"/>
        </w:rPr>
        <w:fldChar w:fldCharType="separate"/>
      </w:r>
      <w:r w:rsidR="0067647F" w:rsidRPr="0067647F">
        <w:rPr>
          <w:noProof/>
          <w:szCs w:val="24"/>
        </w:rPr>
        <w:t>(Timasheff 1998)</w:t>
      </w:r>
      <w:r w:rsidR="0067647F">
        <w:rPr>
          <w:szCs w:val="24"/>
        </w:rPr>
        <w:fldChar w:fldCharType="end"/>
      </w:r>
      <w:r w:rsidR="00527C94">
        <w:rPr>
          <w:szCs w:val="24"/>
        </w:rPr>
        <w:t xml:space="preserve">. Recent evidence suggests that the molecular mechanisms governing the two denaturants could actually be completely different </w:t>
      </w:r>
      <w:r w:rsidR="00527C94">
        <w:rPr>
          <w:szCs w:val="24"/>
        </w:rPr>
        <w:fldChar w:fldCharType="begin" w:fldLock="1"/>
      </w:r>
      <w:r w:rsidR="00AE4EBB">
        <w:rPr>
          <w:szCs w:val="24"/>
        </w:rPr>
        <w:instrText>ADDIN CSL_CITATION { "citationItems" : [ { "id" : "ITEM-1", "itemData" : { "DOI" : "10.1073/pnas.0812588106", "ISSN" : "1091-6490", "PMID" : "19196963", "abstract" : "The mechanism by which urea and guanidinium destabilize protein structure is controversial. We tested the possibility that these denaturants form hydrogen bonds with peptide groups by measuring their ability to block acid- and base-catalyzed peptide hydrogen exchange. The peptide hydrogen bonding found appears sufficient to explain the thermodynamic denaturing effect of urea. Results for guanidinium, however, are contrary to the expectation that it might H-bond. Evidently, urea and guanidinium, although structurally similar, denature proteins by different mechanisms.", "author" : [ { "dropping-particle" : "", "family" : "Lim", "given" : "W K", "non-dropping-particle" : "", "parse-names" : false, "suffix" : "" }, { "dropping-particle" : "", "family" : "R\u00f6sgen", "given" : "J", "non-dropping-particle" : "", "parse-names" : false, "suffix" : "" }, { "dropping-particle" : "", "family" : "Englander", "given" : "S W", "non-dropping-particle" : "", "parse-names" : false, "suffix" : "" } ], "container-title" : "Proceedings of the National Academy of Sciences of the United States of America", "id" : "ITEM-1", "issued" : { "date-parts" : [ [ "2009", "2", "24" ] ] }, "page" : "2595-2600", "title" : "Urea, but not guanidinium, destabilizes proteins by forming hydrogen bonds to the peptide group", "type" : "article-journal", "volume" : "106" }, "uris" : [ "http://www.mendeley.com/documents/?uuid=de76025e-7b1a-4c69-b2aa-0eb30fb58e5f" ] } ], "mendeley" : { "formattedCitation" : "(Lim et al. 2009)", "plainTextFormattedCitation" : "(Lim et al. 2009)", "previouslyFormattedCitation" : "(Lim et al. 2009)" }, "properties" : { "noteIndex" : 0 }, "schema" : "https://github.com/citation-style-language/schema/raw/master/csl-citation.json" }</w:instrText>
      </w:r>
      <w:r w:rsidR="00527C94">
        <w:rPr>
          <w:szCs w:val="24"/>
        </w:rPr>
        <w:fldChar w:fldCharType="separate"/>
      </w:r>
      <w:r w:rsidR="00527C94" w:rsidRPr="00527C94">
        <w:rPr>
          <w:noProof/>
          <w:szCs w:val="24"/>
        </w:rPr>
        <w:t>(Lim et al. 2009)</w:t>
      </w:r>
      <w:r w:rsidR="00527C94">
        <w:rPr>
          <w:szCs w:val="24"/>
        </w:rPr>
        <w:fldChar w:fldCharType="end"/>
      </w:r>
      <w:r>
        <w:rPr>
          <w:szCs w:val="24"/>
        </w:rPr>
        <w:t xml:space="preserve"> despite their similar structures. Even determination of whether the denaturants directly interact with proteins </w:t>
      </w:r>
      <w:r w:rsidR="00F267E1">
        <w:rPr>
          <w:szCs w:val="24"/>
        </w:rPr>
        <w:fldChar w:fldCharType="begin" w:fldLock="1"/>
      </w:r>
      <w:r w:rsidR="00924827">
        <w:rPr>
          <w:szCs w:val="24"/>
        </w:rPr>
        <w:instrText>ADDIN CSL_CITATION { "citationItems" : [ { "id" : "ITEM-1", "itemData" : { "author" : [ { "dropping-particle" : "", "family" : "Schellman", "given" : "J A", "non-dropping-particle" : "", "parse-names" : false, "suffix" : "" } ], "container-title" : "Biopolymers", "id" : "ITEM-1", "issued" : { "date-parts" : [ [ "1978" ] ] }, "page" : "1305-1322", "title" : "Solvent denaturation", "type" : "article-journal", "volume" : "17" }, "uris" : [ "http://www.mendeley.com/documents/?uuid=ccff156c-2cca-4b22-a895-57e7a554d342" ] }, { "id" : "ITEM-2", "itemData" : { "ISSN" : "0006-2960", "PMID" : "6525341", "abstract" : "Preferential interactions of bovine serum albumin were measured with guanidine sulfate, guanidine acetate, and guanidine hydrochloride. The results showed an increasing preferential hydration with increasing salt concentration for the sulfate, positive preferential salt binding for the hydrochloride, and an intermediate situation for the acetate. These results correlate well with the known effects of the three salts on protein stability, namely, the stabilizing effect of guanidine sulfate and the denaturing effect of guanidine hydrochloride. Comparison of guanidinium and magnesium salts indicated that the substitution of guanidinium ion for Mg2+ decreases the preferential hydration and increases the preferential salt binding, suggesting that the perturbation by guanidinium ion binding of the surface free energy is greater than that by Mg2+ ion. It was concluded that guanidine salts are not a special class, but their activity toward proteins is modulated by the same fine balance between hydration and salt binding to protein as in the case of other salts, with the second factor being stronger in guanidine salts.", "author" : [ { "dropping-particle" : "", "family" : "Arakawa", "given" : "T", "non-dropping-particle" : "", "parse-names" : false, "suffix" : "" }, { "dropping-particle" : "", "family" : "Timasheff", "given" : "S N", "non-dropping-particle" : "", "parse-names" : false, "suffix" : "" } ], "container-title" : "Biochemistry", "id" : "ITEM-2", "issued" : { "date-parts" : [ [ "1984", "12", "4" ] ] }, "page" : "5924-5929", "title" : "Protein stabilization and destabilization by guanidinium salts", "type" : "article-journal", "volume" : "23" }, "uris" : [ "http://www.mendeley.com/documents/?uuid=8320f870-51ec-4b0f-83e6-c8fcc3768f0e" ] }, { "id" : "ITEM-3", "itemData" : { "author" : [ { "dropping-particle" : "", "family" : "Makhatadze", "given" : "G I", "non-dropping-particle" : "", "parse-names" : false, "suffix" : "" }, { "dropping-particle" : "", "family" : "Privalov", "given" : "P L", "non-dropping-particle" : "", "parse-names" : false, "suffix" : "" } ], "container-title" : "Journal of Molecular Biology", "id" : "ITEM-3", "issued" : { "date-parts" : [ [ "1992" ] ] }, "page" : "491-505", "title" : "Protein interactions with urea and guanidinium chloride: A calorimetric study", "type" : "article-journal", "volume" : "226" }, "uris" : [ "http://www.mendeley.com/documents/?uuid=8e59bec2-4080-4acd-a5b3-12b836434de4" ] }, { "id" : "ITEM-4", "itemData" : { "DOI" : "10.1073/pnas.0930122100", "ISBN" : "0930122100", "ISSN" : "0027-8424", "PMID" : "12702764", "abstract" : "Molecular dynamics simulations of the protein chymotrypsin inhibitor 2 in 8 M urea at 60 degrees C were undertaken to investigate the molecular basis of chemical denaturation. The protein unfolded rapidly under these conditions, but it retained its native structure in a control simulation in water at the same temperature. The overall process of unfolding in urea was similar to that observed in thermal denaturation simulations above the protein's T(m) of 75 degrees C. The first step in unfolding was expansion of the hydrophobic core. Then, the core was solvated by water and later by urea. The denatured structures in both urea and at high temperature contained residual native helical structure, whereas the beta-structure was completely disrupted. The average residence time for urea around hydrophilic groups was six times greater than around hydrophobic residues and in all cases greater than the corresponding water residence times. Water self-diffusion was reduced 40% in 8 M urea. Urea altered water structure and dynamics, thereby diminishing the hydrophobic effect and encouraging solvation of hydrophobic groups. In addition, through urea's weakening of water structure, water became free to compete with intraprotein interactions. Urea also interacted directly with polar residues and the peptide backbone, thereby stabilizing nonnative conformations. These simulations suggest that urea denatures proteins via both direct and indirect mechanisms.", "author" : [ { "dropping-particle" : "", "family" : "Bennion", "given" : "B J", "non-dropping-particle" : "", "parse-names" : false, "suffix" : "" }, { "dropping-particle" : "", "family" : "Daggett", "given" : "V", "non-dropping-particle" : "", "parse-names" : false, "suffix" : "" } ], "container-title" : "Proceedings of the National Academy of Sciences of the United States of America", "id" : "ITEM-4", "issued" : { "date-parts" : [ [ "2003", "4", "29" ] ] }, "page" : "5142-7", "title" : "The molecular basis for the chemical denaturation of proteins by urea", "type" : "article-journal", "volume" : "100" }, "uris" : [ "http://www.mendeley.com/documents/?uuid=13cdee9f-0a0d-4948-bab9-2736d8b2bd04" ] } ], "mendeley" : { "formattedCitation" : "(Schellman 1978; Arakawa &amp; Timasheff 1984a; Makhatadze &amp; Privalov 1992; Bennion &amp; Daggett 2003)", "plainTextFormattedCitation" : "(Schellman 1978; Arakawa &amp; Timasheff 1984a; Makhatadze &amp; Privalov 1992; Bennion &amp; Daggett 2003)", "previouslyFormattedCitation" : "(Schellman 1978; Arakawa &amp; Timasheff 1984a; Makhatadze &amp; Privalov 1992; Bennion &amp; Daggett 2003)" }, "properties" : { "noteIndex" : 0 }, "schema" : "https://github.com/citation-style-language/schema/raw/master/csl-citation.json" }</w:instrText>
      </w:r>
      <w:r w:rsidR="00F267E1">
        <w:rPr>
          <w:szCs w:val="24"/>
        </w:rPr>
        <w:fldChar w:fldCharType="separate"/>
      </w:r>
      <w:r w:rsidR="0000268D" w:rsidRPr="0000268D">
        <w:rPr>
          <w:noProof/>
          <w:szCs w:val="24"/>
        </w:rPr>
        <w:t>(Schellman 1978; Arakawa &amp; Timasheff 1984a; Makhatadze &amp; Privalov 1992; Bennion &amp; Daggett 2003)</w:t>
      </w:r>
      <w:r w:rsidR="00F267E1">
        <w:rPr>
          <w:szCs w:val="24"/>
        </w:rPr>
        <w:fldChar w:fldCharType="end"/>
      </w:r>
      <w:r w:rsidR="00F267E1">
        <w:rPr>
          <w:szCs w:val="24"/>
        </w:rPr>
        <w:t xml:space="preserve"> </w:t>
      </w:r>
      <w:r>
        <w:rPr>
          <w:szCs w:val="24"/>
        </w:rPr>
        <w:t xml:space="preserve">or indirectly affect stability through </w:t>
      </w:r>
      <w:r w:rsidR="0079575A">
        <w:rPr>
          <w:szCs w:val="24"/>
        </w:rPr>
        <w:t>influence</w:t>
      </w:r>
      <w:r>
        <w:rPr>
          <w:szCs w:val="24"/>
        </w:rPr>
        <w:t xml:space="preserve"> on water structure and dynamics</w:t>
      </w:r>
      <w:r w:rsidR="00F267E1">
        <w:rPr>
          <w:szCs w:val="24"/>
        </w:rPr>
        <w:t xml:space="preserve"> </w:t>
      </w:r>
      <w:r w:rsidR="00F267E1">
        <w:rPr>
          <w:szCs w:val="24"/>
        </w:rPr>
        <w:fldChar w:fldCharType="begin" w:fldLock="1"/>
      </w:r>
      <w:r w:rsidR="00A20A7D">
        <w:rPr>
          <w:szCs w:val="24"/>
        </w:rPr>
        <w:instrText>ADDIN CSL_CITATION { "citationItems" : [ { "id" : "ITEM-1", "itemData" : { "author" : [ { "dropping-particle" : "", "family" : "Wetlaufer", "given" : "D B", "non-dropping-particle" : "", "parse-names" : false, "suffix" : "" }, { "dropping-particle" : "", "family" : "Stoller", "given" : "L", "non-dropping-particle" : "", "parse-names" : false, "suffix" : "" }, { "dropping-particle" : "", "family" : "Coffin", "given" : "R L", "non-dropping-particle" : "", "parse-names" : false, "suffix" : "" }, { "dropping-particle" : "", "family" : "Malik", "given" : "K", "non-dropping-particle" : "", "parse-names" : false, "suffix" : "" } ], "container-title" : "Journal of the American Chemical Society", "id" : "ITEM-1", "issued" : { "date-parts" : [ [ "1963" ] ] }, "page" : "508-514", "title" : "Nonpolar group participation in the denaturation of proteins by urea and guanidinium salts. Model compound studies", "type" : "article-journal", "volume" : "86" }, "uris" : [ "http://www.mendeley.com/documents/?uuid=49589d74-5c8f-448b-a687-5d52b829ee1f" ] }, { "id" : "ITEM-2", "itemData" : { "ISSN" : "0027-8424", "PMID" : "2153285", "abstract" : "Since the salting-in agents guanidinium chloride, urea, and lithium perchlorate increase the surface tension of water, the salting-in phenomenon does not reflect easier cavity formation in water. Therefore, these salting-in agents must be directly contributing to the solvation of a solute such as benzene in water, probably by a direct solvation interaction. The increased surface-tension effects do not overbalance these solvation effects since they are smaller than the large surface-tension increases with lithium chloride, a typical salting-out agent. The salting-in agent tetra-n-butylammonium chloride differs in that it lowers the surface tension of water. Thus, it probably contributes both to easier cavity formation and to direct solvation of the substrate. The previous findings that most salting-in agents switch to become salting-out agents in other polar solvents such as ethylene glycol and formamide but that tetra-n-butylammonium chloride does not switch in these solvents can be understood in terms of relative polarities.", "author" : [ { "dropping-particle" : "", "family" : "Breslow", "given" : "R", "non-dropping-particle" : "", "parse-names" : false, "suffix" : "" }, { "dropping-particle" : "", "family" : "Guo", "given" : "T", "non-dropping-particle" : "", "parse-names" : false, "suffix" : "" } ], "container-title" : "Proceedings of the National Academy of Sciences of the United States of America", "id" : "ITEM-2", "issued" : { "date-parts" : [ [ "1990", "1" ] ] }, "page" : "167-169", "title" : "Surface tension measurements show that chaotropic salting-in denaturants are not just water-structure breakers", "type" : "article-journal", "volume" : "87" }, "uris" : [ "http://www.mendeley.com/documents/?uuid=5a2e02af-5a62-49c3-acb3-dcd6dcaf6973" ] } ], "mendeley" : { "formattedCitation" : "(Wetlaufer et al. 1963; Breslow &amp; Guo 1990)", "plainTextFormattedCitation" : "(Wetlaufer et al. 1963; Breslow &amp; Guo 1990)", "previouslyFormattedCitation" : "(Wetlaufer et al. 1963; Breslow &amp; Guo 1990)" }, "properties" : { "noteIndex" : 0 }, "schema" : "https://github.com/citation-style-language/schema/raw/master/csl-citation.json" }</w:instrText>
      </w:r>
      <w:r w:rsidR="00F267E1">
        <w:rPr>
          <w:szCs w:val="24"/>
        </w:rPr>
        <w:fldChar w:fldCharType="separate"/>
      </w:r>
      <w:r w:rsidR="00F267E1" w:rsidRPr="00F267E1">
        <w:rPr>
          <w:noProof/>
          <w:szCs w:val="24"/>
        </w:rPr>
        <w:t>(Wetlaufer et al. 1963; Breslow &amp; Guo 1990)</w:t>
      </w:r>
      <w:r w:rsidR="00F267E1">
        <w:rPr>
          <w:szCs w:val="24"/>
        </w:rPr>
        <w:fldChar w:fldCharType="end"/>
      </w:r>
      <w:r>
        <w:rPr>
          <w:szCs w:val="24"/>
        </w:rPr>
        <w:t xml:space="preserve"> has not been achieved. Part of this problem, as with determination of molecular mechanisms of any other small molecule’s effects on proteins, is that a multitude of experimental techniques have been used, as well as various molecular dynamics simulations, and each of these </w:t>
      </w:r>
      <w:r w:rsidR="00E47AE5">
        <w:rPr>
          <w:szCs w:val="24"/>
        </w:rPr>
        <w:t>has resulted</w:t>
      </w:r>
      <w:r>
        <w:rPr>
          <w:szCs w:val="24"/>
        </w:rPr>
        <w:t xml:space="preserve"> in a different conclusion. </w:t>
      </w:r>
      <w:r w:rsidR="00F267E1">
        <w:rPr>
          <w:szCs w:val="24"/>
        </w:rPr>
        <w:t xml:space="preserve">The major molecular mechanisms that have been suggested for the destabilising and denaturing </w:t>
      </w:r>
      <w:r w:rsidR="0033053C">
        <w:rPr>
          <w:szCs w:val="24"/>
        </w:rPr>
        <w:t xml:space="preserve">actions of urea and guanidine </w:t>
      </w:r>
      <w:r w:rsidR="00F267E1">
        <w:rPr>
          <w:szCs w:val="24"/>
        </w:rPr>
        <w:t>hydrochloride are summarised below</w:t>
      </w:r>
      <w:r w:rsidR="00AF500E">
        <w:rPr>
          <w:szCs w:val="24"/>
        </w:rPr>
        <w:t xml:space="preserve"> in</w:t>
      </w:r>
      <w:r w:rsidR="00AF500E">
        <w:rPr>
          <w:color w:val="FF0000"/>
          <w:szCs w:val="24"/>
        </w:rPr>
        <w:t xml:space="preserve"> </w:t>
      </w:r>
      <w:r w:rsidR="00AF500E">
        <w:rPr>
          <w:color w:val="FF0000"/>
          <w:szCs w:val="24"/>
        </w:rPr>
        <w:fldChar w:fldCharType="begin"/>
      </w:r>
      <w:r w:rsidR="00AF500E">
        <w:rPr>
          <w:color w:val="FF0000"/>
          <w:szCs w:val="24"/>
        </w:rPr>
        <w:instrText xml:space="preserve"> REF _Ref452997917 \h </w:instrText>
      </w:r>
      <w:r w:rsidR="00AF500E">
        <w:rPr>
          <w:color w:val="FF0000"/>
          <w:szCs w:val="24"/>
        </w:rPr>
      </w:r>
      <w:r w:rsidR="00AF500E">
        <w:rPr>
          <w:color w:val="FF0000"/>
          <w:szCs w:val="24"/>
        </w:rPr>
        <w:fldChar w:fldCharType="separate"/>
      </w:r>
      <w:r w:rsidR="00AA6926">
        <w:t xml:space="preserve">Table </w:t>
      </w:r>
      <w:r w:rsidR="00AA6926">
        <w:rPr>
          <w:noProof/>
        </w:rPr>
        <w:t>1</w:t>
      </w:r>
      <w:r w:rsidR="00AA6926">
        <w:noBreakHyphen/>
      </w:r>
      <w:r w:rsidR="00AA6926">
        <w:rPr>
          <w:noProof/>
        </w:rPr>
        <w:t>2</w:t>
      </w:r>
      <w:r w:rsidR="00AF500E">
        <w:rPr>
          <w:color w:val="FF0000"/>
          <w:szCs w:val="24"/>
        </w:rPr>
        <w:fldChar w:fldCharType="end"/>
      </w:r>
      <w:r w:rsidR="00F267E1">
        <w:rPr>
          <w:szCs w:val="24"/>
        </w:rPr>
        <w:t xml:space="preserve">. </w:t>
      </w:r>
      <w:r w:rsidR="00F465EE">
        <w:rPr>
          <w:szCs w:val="24"/>
        </w:rPr>
        <w:t xml:space="preserve">To summarise, most studies suggest a direct mechanism, sometimes with an accompanied indirect mechanism. It is unclear how the denaturants interact directly with the protein, although many studies have </w:t>
      </w:r>
      <w:r w:rsidR="00F465EE">
        <w:rPr>
          <w:szCs w:val="24"/>
        </w:rPr>
        <w:lastRenderedPageBreak/>
        <w:t>suggested interaction with the hydrophobic portions of the protein, most of which are bu</w:t>
      </w:r>
      <w:r w:rsidR="00DD5FB0">
        <w:rPr>
          <w:szCs w:val="24"/>
        </w:rPr>
        <w:t xml:space="preserve">ried in the native form, which </w:t>
      </w:r>
      <w:r w:rsidR="00F465EE">
        <w:rPr>
          <w:szCs w:val="24"/>
        </w:rPr>
        <w:t xml:space="preserve">favours the denaturation of the protein. Due to their weak effects and the universal denaturation of proteins, interaction with the peptide backbone is </w:t>
      </w:r>
      <w:r w:rsidR="0079575A">
        <w:rPr>
          <w:szCs w:val="24"/>
        </w:rPr>
        <w:t xml:space="preserve">also </w:t>
      </w:r>
      <w:r w:rsidR="00F465EE">
        <w:rPr>
          <w:szCs w:val="24"/>
        </w:rPr>
        <w:t>commonly suggested as a mechanism.</w:t>
      </w:r>
      <w:r w:rsidR="00F465EE" w:rsidRPr="00F465EE">
        <w:rPr>
          <w:szCs w:val="24"/>
        </w:rPr>
        <w:t xml:space="preserve"> </w:t>
      </w:r>
      <w:r w:rsidR="00F465EE">
        <w:rPr>
          <w:szCs w:val="24"/>
        </w:rPr>
        <w:t xml:space="preserve">More detailed discussion of these mechanisms is presented in section </w:t>
      </w:r>
      <w:r w:rsidR="00F465EE">
        <w:rPr>
          <w:szCs w:val="24"/>
        </w:rPr>
        <w:fldChar w:fldCharType="begin"/>
      </w:r>
      <w:r w:rsidR="00F465EE">
        <w:rPr>
          <w:szCs w:val="24"/>
        </w:rPr>
        <w:instrText xml:space="preserve"> REF _Ref452992570 \r \h </w:instrText>
      </w:r>
      <w:r w:rsidR="00F465EE">
        <w:rPr>
          <w:szCs w:val="24"/>
        </w:rPr>
      </w:r>
      <w:r w:rsidR="00F465EE">
        <w:rPr>
          <w:szCs w:val="24"/>
        </w:rPr>
        <w:fldChar w:fldCharType="separate"/>
      </w:r>
      <w:r w:rsidR="00AA6926">
        <w:rPr>
          <w:szCs w:val="24"/>
        </w:rPr>
        <w:t>1.4</w:t>
      </w:r>
      <w:r w:rsidR="00F465EE">
        <w:rPr>
          <w:szCs w:val="24"/>
        </w:rPr>
        <w:fldChar w:fldCharType="end"/>
      </w:r>
      <w:r w:rsidR="00F465EE">
        <w:rPr>
          <w:szCs w:val="24"/>
        </w:rPr>
        <w:t>.</w:t>
      </w:r>
    </w:p>
    <w:p w14:paraId="7C864070" w14:textId="77777777" w:rsidR="00AF500E" w:rsidRDefault="00AF500E" w:rsidP="006B257F">
      <w:pPr>
        <w:pStyle w:val="Caption"/>
        <w:keepNext/>
        <w:jc w:val="left"/>
      </w:pPr>
      <w:bookmarkStart w:id="34" w:name="_Ref452997917"/>
      <w:r>
        <w:t xml:space="preserve">Table </w:t>
      </w:r>
      <w:fldSimple w:instr=" STYLEREF 1 \s ">
        <w:r w:rsidR="00AA6926">
          <w:rPr>
            <w:noProof/>
          </w:rPr>
          <w:t>1</w:t>
        </w:r>
      </w:fldSimple>
      <w:r w:rsidR="00D6574D">
        <w:noBreakHyphen/>
      </w:r>
      <w:fldSimple w:instr=" SEQ Table \* ARABIC \s 1 ">
        <w:r w:rsidR="00AA6926">
          <w:rPr>
            <w:noProof/>
          </w:rPr>
          <w:t>2</w:t>
        </w:r>
      </w:fldSimple>
      <w:bookmarkEnd w:id="34"/>
      <w:r w:rsidR="0081459B">
        <w:t>. Summary of major mechanisms suggested for the action of denaturants on protein stability</w:t>
      </w:r>
    </w:p>
    <w:tbl>
      <w:tblPr>
        <w:tblStyle w:val="LightShading"/>
        <w:tblW w:w="0" w:type="auto"/>
        <w:tblLayout w:type="fixed"/>
        <w:tblLook w:val="04A0" w:firstRow="1" w:lastRow="0" w:firstColumn="1" w:lastColumn="0" w:noHBand="0" w:noVBand="1"/>
      </w:tblPr>
      <w:tblGrid>
        <w:gridCol w:w="1526"/>
        <w:gridCol w:w="1417"/>
        <w:gridCol w:w="2552"/>
        <w:gridCol w:w="1730"/>
        <w:gridCol w:w="1495"/>
      </w:tblGrid>
      <w:tr w:rsidR="00AF500E" w14:paraId="50AEBE93" w14:textId="77777777" w:rsidTr="00585CA3">
        <w:trPr>
          <w:cnfStyle w:val="100000000000" w:firstRow="1" w:lastRow="0" w:firstColumn="0" w:lastColumn="0" w:oddVBand="0" w:evenVBand="0" w:oddHBand="0" w:evenHBand="0" w:firstRowFirstColumn="0" w:firstRowLastColumn="0" w:lastRowFirstColumn="0" w:lastRowLastColumn="0"/>
          <w:trHeight w:val="1634"/>
        </w:trPr>
        <w:tc>
          <w:tcPr>
            <w:cnfStyle w:val="001000000000" w:firstRow="0" w:lastRow="0" w:firstColumn="1" w:lastColumn="0" w:oddVBand="0" w:evenVBand="0" w:oddHBand="0" w:evenHBand="0" w:firstRowFirstColumn="0" w:firstRowLastColumn="0" w:lastRowFirstColumn="0" w:lastRowLastColumn="0"/>
            <w:tcW w:w="1526" w:type="dxa"/>
          </w:tcPr>
          <w:p w14:paraId="456303B8" w14:textId="77777777" w:rsidR="00F267E1" w:rsidRDefault="00F267E1" w:rsidP="00373089">
            <w:pPr>
              <w:rPr>
                <w:szCs w:val="24"/>
              </w:rPr>
            </w:pPr>
            <w:r>
              <w:rPr>
                <w:szCs w:val="24"/>
              </w:rPr>
              <w:t>Denaturant</w:t>
            </w:r>
          </w:p>
        </w:tc>
        <w:tc>
          <w:tcPr>
            <w:tcW w:w="1417" w:type="dxa"/>
          </w:tcPr>
          <w:p w14:paraId="02928D94" w14:textId="77777777" w:rsidR="00F267E1" w:rsidRDefault="00F267E1" w:rsidP="00373089">
            <w:pPr>
              <w:cnfStyle w:val="100000000000" w:firstRow="1" w:lastRow="0" w:firstColumn="0" w:lastColumn="0" w:oddVBand="0" w:evenVBand="0" w:oddHBand="0" w:evenHBand="0" w:firstRowFirstColumn="0" w:firstRowLastColumn="0" w:lastRowFirstColumn="0" w:lastRowLastColumn="0"/>
              <w:rPr>
                <w:szCs w:val="24"/>
              </w:rPr>
            </w:pPr>
            <w:r>
              <w:rPr>
                <w:szCs w:val="24"/>
              </w:rPr>
              <w:t>Direct/</w:t>
            </w:r>
            <w:r w:rsidR="00AF500E">
              <w:rPr>
                <w:szCs w:val="24"/>
              </w:rPr>
              <w:t xml:space="preserve"> </w:t>
            </w:r>
            <w:r w:rsidR="00B262A1">
              <w:rPr>
                <w:szCs w:val="24"/>
              </w:rPr>
              <w:t>i</w:t>
            </w:r>
            <w:r>
              <w:rPr>
                <w:szCs w:val="24"/>
              </w:rPr>
              <w:t>ndirect interaction</w:t>
            </w:r>
          </w:p>
        </w:tc>
        <w:tc>
          <w:tcPr>
            <w:tcW w:w="2552" w:type="dxa"/>
          </w:tcPr>
          <w:p w14:paraId="4B4E112D" w14:textId="77777777" w:rsidR="00F267E1" w:rsidRDefault="00F267E1" w:rsidP="00373089">
            <w:pPr>
              <w:cnfStyle w:val="100000000000" w:firstRow="1" w:lastRow="0" w:firstColumn="0" w:lastColumn="0" w:oddVBand="0" w:evenVBand="0" w:oddHBand="0" w:evenHBand="0" w:firstRowFirstColumn="0" w:firstRowLastColumn="0" w:lastRowFirstColumn="0" w:lastRowLastColumn="0"/>
              <w:rPr>
                <w:szCs w:val="24"/>
              </w:rPr>
            </w:pPr>
            <w:r>
              <w:rPr>
                <w:szCs w:val="24"/>
              </w:rPr>
              <w:t>Molecular mechanism suggested</w:t>
            </w:r>
          </w:p>
        </w:tc>
        <w:tc>
          <w:tcPr>
            <w:tcW w:w="1730" w:type="dxa"/>
          </w:tcPr>
          <w:p w14:paraId="0CF5BDD9" w14:textId="77777777" w:rsidR="00F267E1" w:rsidRDefault="00B262A1" w:rsidP="00373089">
            <w:pPr>
              <w:cnfStyle w:val="100000000000" w:firstRow="1" w:lastRow="0" w:firstColumn="0" w:lastColumn="0" w:oddVBand="0" w:evenVBand="0" w:oddHBand="0" w:evenHBand="0" w:firstRowFirstColumn="0" w:firstRowLastColumn="0" w:lastRowFirstColumn="0" w:lastRowLastColumn="0"/>
              <w:rPr>
                <w:szCs w:val="24"/>
              </w:rPr>
            </w:pPr>
            <w:r>
              <w:rPr>
                <w:szCs w:val="24"/>
              </w:rPr>
              <w:t>Experimental or s</w:t>
            </w:r>
            <w:r w:rsidR="00F267E1">
              <w:rPr>
                <w:szCs w:val="24"/>
              </w:rPr>
              <w:t>imulation</w:t>
            </w:r>
          </w:p>
        </w:tc>
        <w:tc>
          <w:tcPr>
            <w:tcW w:w="1495" w:type="dxa"/>
          </w:tcPr>
          <w:p w14:paraId="4A80F7C9" w14:textId="77777777" w:rsidR="00F267E1" w:rsidRDefault="00F267E1" w:rsidP="00373089">
            <w:pPr>
              <w:cnfStyle w:val="100000000000" w:firstRow="1" w:lastRow="0" w:firstColumn="0" w:lastColumn="0" w:oddVBand="0" w:evenVBand="0" w:oddHBand="0" w:evenHBand="0" w:firstRowFirstColumn="0" w:firstRowLastColumn="0" w:lastRowFirstColumn="0" w:lastRowLastColumn="0"/>
              <w:rPr>
                <w:szCs w:val="24"/>
              </w:rPr>
            </w:pPr>
            <w:r>
              <w:rPr>
                <w:szCs w:val="24"/>
              </w:rPr>
              <w:t>Reference</w:t>
            </w:r>
          </w:p>
        </w:tc>
      </w:tr>
      <w:tr w:rsidR="0081459B" w14:paraId="404256F9" w14:textId="77777777" w:rsidTr="00585CA3">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8720" w:type="dxa"/>
            <w:gridSpan w:val="5"/>
          </w:tcPr>
          <w:p w14:paraId="5AD1DE19" w14:textId="77777777" w:rsidR="0081459B" w:rsidRPr="0081459B" w:rsidRDefault="00C36544" w:rsidP="00373089">
            <w:pPr>
              <w:rPr>
                <w:b w:val="0"/>
                <w:i/>
                <w:szCs w:val="24"/>
              </w:rPr>
            </w:pPr>
            <w:r>
              <w:rPr>
                <w:b w:val="0"/>
                <w:i/>
                <w:szCs w:val="24"/>
              </w:rPr>
              <w:t>I</w:t>
            </w:r>
            <w:r w:rsidR="0081459B" w:rsidRPr="0081459B">
              <w:rPr>
                <w:b w:val="0"/>
                <w:i/>
                <w:szCs w:val="24"/>
              </w:rPr>
              <w:t>nteractions with hydrophobic surfaces</w:t>
            </w:r>
            <w:r w:rsidR="0028683B">
              <w:rPr>
                <w:b w:val="0"/>
                <w:i/>
                <w:szCs w:val="24"/>
              </w:rPr>
              <w:t xml:space="preserve"> on protein</w:t>
            </w:r>
          </w:p>
        </w:tc>
      </w:tr>
      <w:tr w:rsidR="0028683B" w14:paraId="5B0BDEDF" w14:textId="77777777" w:rsidTr="00585CA3">
        <w:tc>
          <w:tcPr>
            <w:cnfStyle w:val="001000000000" w:firstRow="0" w:lastRow="0" w:firstColumn="1" w:lastColumn="0" w:oddVBand="0" w:evenVBand="0" w:oddHBand="0" w:evenHBand="0" w:firstRowFirstColumn="0" w:firstRowLastColumn="0" w:lastRowFirstColumn="0" w:lastRowLastColumn="0"/>
            <w:tcW w:w="1526" w:type="dxa"/>
          </w:tcPr>
          <w:p w14:paraId="4C0F6BE4" w14:textId="77777777" w:rsidR="0028683B" w:rsidRPr="0028683B" w:rsidRDefault="0028683B" w:rsidP="00A065CB">
            <w:pPr>
              <w:rPr>
                <w:sz w:val="20"/>
                <w:szCs w:val="20"/>
              </w:rPr>
            </w:pPr>
            <w:r w:rsidRPr="0028683B">
              <w:rPr>
                <w:sz w:val="20"/>
                <w:szCs w:val="20"/>
              </w:rPr>
              <w:t>Guanidinium</w:t>
            </w:r>
          </w:p>
        </w:tc>
        <w:tc>
          <w:tcPr>
            <w:tcW w:w="1417" w:type="dxa"/>
          </w:tcPr>
          <w:p w14:paraId="06AAF714" w14:textId="77777777" w:rsidR="0028683B" w:rsidRPr="0028683B" w:rsidRDefault="0028683B" w:rsidP="00A065CB">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t>Direct</w:t>
            </w:r>
          </w:p>
        </w:tc>
        <w:tc>
          <w:tcPr>
            <w:tcW w:w="2552" w:type="dxa"/>
          </w:tcPr>
          <w:p w14:paraId="67D5674C" w14:textId="77777777" w:rsidR="0028683B" w:rsidRPr="0028683B" w:rsidRDefault="0028683B" w:rsidP="00A065CB">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t>Guanidinium is dehydrated along planar face and lines up flat along hydrophobic surface, weakening hydrophobic effect</w:t>
            </w:r>
          </w:p>
        </w:tc>
        <w:tc>
          <w:tcPr>
            <w:tcW w:w="1730" w:type="dxa"/>
          </w:tcPr>
          <w:p w14:paraId="00E8AED2" w14:textId="77777777" w:rsidR="0028683B" w:rsidRPr="0028683B" w:rsidRDefault="0028683B" w:rsidP="00A065CB">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t>Simulation</w:t>
            </w:r>
          </w:p>
        </w:tc>
        <w:tc>
          <w:tcPr>
            <w:tcW w:w="1495" w:type="dxa"/>
          </w:tcPr>
          <w:p w14:paraId="79876A74" w14:textId="77777777" w:rsidR="0028683B" w:rsidRPr="00E205A3" w:rsidRDefault="0028683B" w:rsidP="00A065CB">
            <w:pPr>
              <w:cnfStyle w:val="000000000000" w:firstRow="0" w:lastRow="0" w:firstColumn="0" w:lastColumn="0" w:oddVBand="0" w:evenVBand="0" w:oddHBand="0" w:evenHBand="0" w:firstRowFirstColumn="0" w:firstRowLastColumn="0" w:lastRowFirstColumn="0" w:lastRowLastColumn="0"/>
              <w:rPr>
                <w:sz w:val="20"/>
                <w:szCs w:val="20"/>
              </w:rPr>
            </w:pPr>
            <w:r w:rsidRPr="00E205A3">
              <w:rPr>
                <w:sz w:val="20"/>
                <w:szCs w:val="20"/>
              </w:rPr>
              <w:fldChar w:fldCharType="begin" w:fldLock="1"/>
            </w:r>
            <w:r w:rsidR="00924827">
              <w:rPr>
                <w:sz w:val="20"/>
                <w:szCs w:val="20"/>
              </w:rPr>
              <w:instrText>ADDIN CSL_CITATION { "citationItems" : [ { "id" : "ITEM-1", "itemData" : { "DOI" : "10.1021/ja803972g", "ISBN" : "1520-5126 (Electronic)\\r0002-7863 (Linking)", "ISSN" : "00027863", "PMID" : "18707183", "abstract" : "The mechanism by which the aqueous cosolvents guanidinium chloride and urea denature proteins is a matter of controversy. Here, we use all-atom molecular dynamics simulations to study the effect of both denaturants on the dewetting of water confined between nanoseparated hydrophobic plates. It is found that the denaturants inhibit the onset of dewetting, so that it occurs at shorter interplate distances than in pure water. Our results support a role for urea and guanidinium in assisting in the solvation of nonpolar surfaces, thereby weakening hydrophobic effects known to be important for protein stability.", "author" : [ { "dropping-particle" : "", "family" : "England", "given" : "J L", "non-dropping-particle" : "", "parse-names" : false, "suffix" : "" }, { "dropping-particle" : "", "family" : "Pande", "given" : "V S", "non-dropping-particle" : "", "parse-names" : false, "suffix" : "" }, { "dropping-particle" : "", "family" : "Haran", "given" : "G", "non-dropping-particle" : "", "parse-names" : false, "suffix" : "" } ], "container-title" : "Journal of the American Chemical Society", "id" : "ITEM-1", "issued" : { "date-parts" : [ [ "2008" ] ] }, "page" : "11854-11855", "title" : "Chemical denaturants inhibit the onset of dewetting", "type" : "article-journal", "volume" : "130" }, "uris" : [ "http://www.mendeley.com/documents/?uuid=f66de431-0b98-471e-9f56-228eb8adac95" ] } ], "mendeley" : { "formattedCitation" : "(England et al. 2008)", "plainTextFormattedCitation" : "(England et al. 2008)", "previouslyFormattedCitation" : "(England et al. 2008)" }, "properties" : { "noteIndex" : 0 }, "schema" : "https://github.com/citation-style-language/schema/raw/master/csl-citation.json" }</w:instrText>
            </w:r>
            <w:r w:rsidRPr="00E205A3">
              <w:rPr>
                <w:sz w:val="20"/>
                <w:szCs w:val="20"/>
              </w:rPr>
              <w:fldChar w:fldCharType="separate"/>
            </w:r>
            <w:r w:rsidRPr="00E205A3">
              <w:rPr>
                <w:noProof/>
                <w:sz w:val="20"/>
                <w:szCs w:val="20"/>
              </w:rPr>
              <w:t>(England et al. 2008)</w:t>
            </w:r>
            <w:r w:rsidRPr="00E205A3">
              <w:rPr>
                <w:sz w:val="20"/>
                <w:szCs w:val="20"/>
              </w:rPr>
              <w:fldChar w:fldCharType="end"/>
            </w:r>
          </w:p>
        </w:tc>
      </w:tr>
      <w:tr w:rsidR="0028683B" w14:paraId="766DE98F" w14:textId="77777777" w:rsidTr="0058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71720A9E" w14:textId="77777777" w:rsidR="0028683B" w:rsidRPr="0028683B" w:rsidRDefault="0028683B" w:rsidP="00A065CB">
            <w:pPr>
              <w:rPr>
                <w:sz w:val="20"/>
                <w:szCs w:val="20"/>
              </w:rPr>
            </w:pPr>
            <w:r w:rsidRPr="0028683B">
              <w:rPr>
                <w:sz w:val="20"/>
                <w:szCs w:val="20"/>
              </w:rPr>
              <w:t>Guanidinium</w:t>
            </w:r>
          </w:p>
        </w:tc>
        <w:tc>
          <w:tcPr>
            <w:tcW w:w="1417" w:type="dxa"/>
            <w:shd w:val="clear" w:color="auto" w:fill="auto"/>
          </w:tcPr>
          <w:p w14:paraId="3F0E4809" w14:textId="77777777" w:rsidR="0028683B" w:rsidRPr="0028683B" w:rsidRDefault="0028683B" w:rsidP="00A065CB">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t>Direct</w:t>
            </w:r>
          </w:p>
        </w:tc>
        <w:tc>
          <w:tcPr>
            <w:tcW w:w="2552" w:type="dxa"/>
            <w:shd w:val="clear" w:color="auto" w:fill="auto"/>
          </w:tcPr>
          <w:p w14:paraId="21EE45D5" w14:textId="77777777" w:rsidR="0028683B" w:rsidRPr="0028683B" w:rsidRDefault="0028683B" w:rsidP="00A065CB">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t>Coating of hydrophobic surfaces, weakening hydrophobic effect</w:t>
            </w:r>
          </w:p>
        </w:tc>
        <w:tc>
          <w:tcPr>
            <w:tcW w:w="1730" w:type="dxa"/>
            <w:shd w:val="clear" w:color="auto" w:fill="auto"/>
          </w:tcPr>
          <w:p w14:paraId="4CF9B792" w14:textId="77777777" w:rsidR="0028683B" w:rsidRPr="0028683B" w:rsidRDefault="0028683B" w:rsidP="00A065CB">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t>Simulation</w:t>
            </w:r>
          </w:p>
        </w:tc>
        <w:tc>
          <w:tcPr>
            <w:tcW w:w="1495" w:type="dxa"/>
            <w:shd w:val="clear" w:color="auto" w:fill="auto"/>
          </w:tcPr>
          <w:p w14:paraId="230448E9" w14:textId="77777777" w:rsidR="0028683B" w:rsidRPr="00E205A3" w:rsidRDefault="0028683B" w:rsidP="00A065CB">
            <w:pPr>
              <w:cnfStyle w:val="000000100000" w:firstRow="0" w:lastRow="0" w:firstColumn="0" w:lastColumn="0" w:oddVBand="0" w:evenVBand="0" w:oddHBand="1" w:evenHBand="0" w:firstRowFirstColumn="0" w:firstRowLastColumn="0" w:lastRowFirstColumn="0" w:lastRowLastColumn="0"/>
              <w:rPr>
                <w:sz w:val="20"/>
                <w:szCs w:val="20"/>
              </w:rPr>
            </w:pPr>
            <w:r w:rsidRPr="00E205A3">
              <w:rPr>
                <w:sz w:val="20"/>
                <w:szCs w:val="20"/>
              </w:rPr>
              <w:fldChar w:fldCharType="begin" w:fldLock="1"/>
            </w:r>
            <w:r w:rsidR="00924827">
              <w:rPr>
                <w:sz w:val="20"/>
                <w:szCs w:val="20"/>
              </w:rPr>
              <w:instrText>ADDIN CSL_CITATION { "citationItems" : [ { "id" : "ITEM-1", "itemData" : { "DOI" : "10.1021/jp906976q", "ISSN" : "15205207", "PMID" : "20146543", "abstract" : "Guanidinium chloride (GdmCl) is a widely used chemical denaturant that unfolds proteins. Its effects on hydrophobic interactions are, however, not fully understood. We quantify the effects of GdmCl on various manifestations of hydrophobicity--from solvation and interactions of small solutes to folding-unfolding of hydrophobic polymers--in water and in concentrated GdmCl solutions. For comparison, we also perform similar calculations in solutions of NaCl and CsCl in water. Like NaCl and CsCl, GdmCl increases the surface tension of water, decreases the solubility of small hydrophobic solutes, and enhances the strength of hydrophobic interactions at the pair level. However, unlike NaCl and CsCl, GdmCl destabilizes folded states of hydrophobic polymers. We show that Gdm(+) ions preferentially coat the hydrophobic polymer, and it is the direct van der Waals interaction between Gdm(+) ions and the polymer that contributes to the destabilization of folded states. Interestingly, the temperature dependence of the free energy of unfolding of the hydrophobic polymer in water is protein-like, with signatures of both heat and cold denaturation. Addition of GdmCl shifts the cold denaturation temperature higher, into the experimentally accessible region. Finally, translational as well as conformational dynamics of the polymer are slower in GdmCl and correlate with dynamics of water molecules in solution.", "author" : [ { "dropping-particle" : "", "family" : "Godawat", "given" : "R", "non-dropping-particle" : "", "parse-names" : false, "suffix" : "" }, { "dropping-particle" : "", "family" : "Jamadagni", "given" : "S N", "non-dropping-particle" : "", "parse-names" : false, "suffix" : "" }, { "dropping-particle" : "", "family" : "Garde", "given" : "S", "non-dropping-particle" : "", "parse-names" : false, "suffix" : "" } ], "container-title" : "Journal of Physical Chemistry B", "id" : "ITEM-1", "issued" : { "date-parts" : [ [ "2010" ] ] }, "page" : "2246-2254", "title" : "Unfolding of hydrophobic polymers in guanidinium chloride solutions", "type" : "article-journal", "volume" : "114" }, "uris" : [ "http://www.mendeley.com/documents/?uuid=90160387-883d-4f0e-ab71-0823620d8671" ] } ], "mendeley" : { "formattedCitation" : "(Godawat et al. 2010)", "plainTextFormattedCitation" : "(Godawat et al. 2010)", "previouslyFormattedCitation" : "(Godawat et al. 2010)" }, "properties" : { "noteIndex" : 0 }, "schema" : "https://github.com/citation-style-language/schema/raw/master/csl-citation.json" }</w:instrText>
            </w:r>
            <w:r w:rsidRPr="00E205A3">
              <w:rPr>
                <w:sz w:val="20"/>
                <w:szCs w:val="20"/>
              </w:rPr>
              <w:fldChar w:fldCharType="separate"/>
            </w:r>
            <w:r w:rsidRPr="00E205A3">
              <w:rPr>
                <w:noProof/>
                <w:sz w:val="20"/>
                <w:szCs w:val="20"/>
              </w:rPr>
              <w:t>(Godawat et al. 2010)</w:t>
            </w:r>
            <w:r w:rsidRPr="00E205A3">
              <w:rPr>
                <w:sz w:val="20"/>
                <w:szCs w:val="20"/>
              </w:rPr>
              <w:fldChar w:fldCharType="end"/>
            </w:r>
          </w:p>
        </w:tc>
      </w:tr>
      <w:tr w:rsidR="0028683B" w14:paraId="02E3C1E8" w14:textId="77777777" w:rsidTr="00585CA3">
        <w:tc>
          <w:tcPr>
            <w:cnfStyle w:val="001000000000" w:firstRow="0" w:lastRow="0" w:firstColumn="1" w:lastColumn="0" w:oddVBand="0" w:evenVBand="0" w:oddHBand="0" w:evenHBand="0" w:firstRowFirstColumn="0" w:firstRowLastColumn="0" w:lastRowFirstColumn="0" w:lastRowLastColumn="0"/>
            <w:tcW w:w="1526" w:type="dxa"/>
          </w:tcPr>
          <w:p w14:paraId="71A607C2" w14:textId="77777777" w:rsidR="0028683B" w:rsidRPr="0028683B" w:rsidRDefault="0028683B" w:rsidP="00A065CB">
            <w:pPr>
              <w:rPr>
                <w:sz w:val="20"/>
                <w:szCs w:val="20"/>
              </w:rPr>
            </w:pPr>
            <w:r w:rsidRPr="0028683B">
              <w:rPr>
                <w:sz w:val="20"/>
                <w:szCs w:val="20"/>
              </w:rPr>
              <w:t>Urea</w:t>
            </w:r>
          </w:p>
        </w:tc>
        <w:tc>
          <w:tcPr>
            <w:tcW w:w="1417" w:type="dxa"/>
          </w:tcPr>
          <w:p w14:paraId="0984A493" w14:textId="77777777" w:rsidR="0028683B" w:rsidRPr="0028683B" w:rsidRDefault="0028683B" w:rsidP="00A065CB">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t>Direct &amp; Indirect</w:t>
            </w:r>
          </w:p>
        </w:tc>
        <w:tc>
          <w:tcPr>
            <w:tcW w:w="2552" w:type="dxa"/>
          </w:tcPr>
          <w:p w14:paraId="40AA620F" w14:textId="77777777" w:rsidR="0028683B" w:rsidRPr="0028683B" w:rsidRDefault="0028683B" w:rsidP="00A065CB">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t>Urea interacts favourably with hydrophobic side chains and peptide backbone. It also strengthens water-water interactions</w:t>
            </w:r>
          </w:p>
        </w:tc>
        <w:tc>
          <w:tcPr>
            <w:tcW w:w="1730" w:type="dxa"/>
          </w:tcPr>
          <w:p w14:paraId="6380BE4D" w14:textId="77777777" w:rsidR="0028683B" w:rsidRPr="0028683B" w:rsidRDefault="0028683B" w:rsidP="00A065CB">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t>Simulation</w:t>
            </w:r>
          </w:p>
        </w:tc>
        <w:tc>
          <w:tcPr>
            <w:tcW w:w="1495" w:type="dxa"/>
          </w:tcPr>
          <w:p w14:paraId="5D117C8B" w14:textId="77777777" w:rsidR="0028683B" w:rsidRPr="00E205A3" w:rsidRDefault="0028683B" w:rsidP="00A065CB">
            <w:pPr>
              <w:cnfStyle w:val="000000000000" w:firstRow="0" w:lastRow="0" w:firstColumn="0" w:lastColumn="0" w:oddVBand="0" w:evenVBand="0" w:oddHBand="0" w:evenHBand="0" w:firstRowFirstColumn="0" w:firstRowLastColumn="0" w:lastRowFirstColumn="0" w:lastRowLastColumn="0"/>
              <w:rPr>
                <w:sz w:val="20"/>
                <w:szCs w:val="20"/>
              </w:rPr>
            </w:pPr>
            <w:r w:rsidRPr="00E205A3">
              <w:rPr>
                <w:sz w:val="20"/>
                <w:szCs w:val="20"/>
              </w:rPr>
              <w:fldChar w:fldCharType="begin" w:fldLock="1"/>
            </w:r>
            <w:r w:rsidR="00E11F61">
              <w:rPr>
                <w:sz w:val="20"/>
                <w:szCs w:val="20"/>
              </w:rPr>
              <w:instrText>ADDIN CSL_CITATION { "citationItems" : [ { "id" : "ITEM-1", "itemData" : { "DOI" : "10.1021/ja076216j", "ISBN" : "0002-7863", "ISSN" : "00027863", "PMID" : "18047342", "abstract" : "The molecular mechanism of urea-induced protein denaturation is not yet fully understood. Mainly two opposing mechanisms are controversially discussed, according to which either hydrophobic, or polar interactions are the dominant driving force. To resolve this question, we have investigated the interactions between urea and all 20 amino acids by comprehensive molecular dynamics simulations of 22 tripeptides. Calculation of atomic contact frequencies between the amino acids and solvent molecules revealed a clear profile of solvation preferences by either water or urea. Almost all amino acids showed preference for contacts with urea molecules, whereas charged and polar amino acids were found to have slight preferences for contact with water molecules. Particularly strong preference for contacts to urea were seen for aromatic and apolar side-chains, as well as for the protein backbone of all amino acids. Further, protein-urea hydrogen bonds were found to be significantly weaker than protein-water or water-water hydrogen bonds. Our results suggest that hydrophobic interactions are the dominant driving force, while hydrogen bonds between urea and the protein backbone contribute markedly to the overall energetics by avoiding unfavorable unsatisfied hydrogen bond sites on the backbone. In summary, we suggest a combined mechanism that unifies the two current and seemingly opposing views.", "author" : [ { "dropping-particle" : "", "family" : "Stumpe", "given" : "M C", "non-dropping-particle" : "", "parse-names" : false, "suffix" : "" }, { "dropping-particle" : "", "family" : "Grubm\u00fcller", "given" : "H", "non-dropping-particle" : "", "parse-names" : false, "suffix" : "" } ], "container-title" : "Journal of the American Chemical Society", "id" : "ITEM-1", "issued" : { "date-parts" : [ [ "2007" ] ] }, "page" : "16126-16131", "title" : "Interaction of urea with amino acids: Implications for urea-induced protein denaturation", "type" : "article-journal", "volume" : "129" }, "uris" : [ "http://www.mendeley.com/documents/?uuid=40e2e416-ddc3-4475-bc0b-d16444644bde" ] }, { "id" : "ITEM-2", "itemData" : { "DOI" : "10.1021/jp066474n", "ISBN" : "1520-6106", "ISSN" : "15206106", "PMID" : "17497766", "abstract" : "Urea is ubiquitously used as a protein denaturant. To study the structure and energetics of aqueous urea solutions, we have carried out molecular dynamics simulations for a wide range of urea concentrations and temperatures. The hydrogen bonds between urea and water were found to be significantly weaker than those between water molecules, which drives urea self-aggregation due to the hydrophobic effect. From the reduction of the water exposed urea surface area, urea was found to exhibit an aggregation degree of ca. 20% at concentrations commonly used for protein denaturation. Structurally, three distinct urea pair conformations were identified and their populations were analyzed by translational and orientational pair distribution functions. Furthermore, urea was found to strengthen water structure in terms of hydrogen bond energies and population of solvation shells. Our findings are consistent with a direct interaction between urea and the protein as the main driving force for protein denaturation. As an additional, more indirect effect, urea was found to enhance water structure, which would suggest a weakening of the hydrophobic effect.", "author" : [ { "dropping-particle" : "", "family" : "Stumpe", "given" : "M C", "non-dropping-particle" : "", "parse-names" : false, "suffix" : "" }, { "dropping-particle" : "", "family" : "Grubm\u00fcller", "given" : "H", "non-dropping-particle" : "", "parse-names" : false, "suffix" : "" } ], "container-title" : "Journal of Physical Chemistry B", "id" : "ITEM-2", "issued" : { "date-parts" : [ [ "2007" ] ] }, "page" : "6220-6228", "title" : "Aqueous urea solutions: Structure, energetics, and urea aggregation", "type" : "article-journal", "volume" : "111" }, "uris" : [ "http://www.mendeley.com/documents/?uuid=a1286928-4351-434b-a2e9-1749dd0e1167" ] } ], "mendeley" : { "formattedCitation" : "(Stumpe &amp; Grubm\u00fcller 2007b; Stumpe &amp; Grubm\u00fcller 2007a)", "plainTextFormattedCitation" : "(Stumpe &amp; Grubm\u00fcller 2007b; Stumpe &amp; Grubm\u00fcller 2007a)", "previouslyFormattedCitation" : "(Stumpe &amp; Grubm\u00fcller 2007b; Stumpe &amp; Grubm\u00fcller 2007a)" }, "properties" : { "noteIndex" : 0 }, "schema" : "https://github.com/citation-style-language/schema/raw/master/csl-citation.json" }</w:instrText>
            </w:r>
            <w:r w:rsidRPr="00E205A3">
              <w:rPr>
                <w:sz w:val="20"/>
                <w:szCs w:val="20"/>
              </w:rPr>
              <w:fldChar w:fldCharType="separate"/>
            </w:r>
            <w:r w:rsidRPr="00E205A3">
              <w:rPr>
                <w:noProof/>
                <w:sz w:val="20"/>
                <w:szCs w:val="20"/>
              </w:rPr>
              <w:t>(Stumpe &amp; Grubmüller 2007b; Stumpe &amp; Grubmüller 2007a)</w:t>
            </w:r>
            <w:r w:rsidRPr="00E205A3">
              <w:rPr>
                <w:sz w:val="20"/>
                <w:szCs w:val="20"/>
              </w:rPr>
              <w:fldChar w:fldCharType="end"/>
            </w:r>
          </w:p>
        </w:tc>
      </w:tr>
      <w:tr w:rsidR="0028683B" w14:paraId="476AD296" w14:textId="77777777" w:rsidTr="0058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769299D9" w14:textId="77777777" w:rsidR="0028683B" w:rsidRPr="0028683B" w:rsidRDefault="0028683B" w:rsidP="00A065CB">
            <w:pPr>
              <w:rPr>
                <w:sz w:val="20"/>
                <w:szCs w:val="20"/>
              </w:rPr>
            </w:pPr>
            <w:r w:rsidRPr="0028683B">
              <w:rPr>
                <w:sz w:val="20"/>
                <w:szCs w:val="20"/>
              </w:rPr>
              <w:lastRenderedPageBreak/>
              <w:t>Urea</w:t>
            </w:r>
          </w:p>
        </w:tc>
        <w:tc>
          <w:tcPr>
            <w:tcW w:w="1417" w:type="dxa"/>
            <w:shd w:val="clear" w:color="auto" w:fill="auto"/>
          </w:tcPr>
          <w:p w14:paraId="71251F5B" w14:textId="77777777" w:rsidR="0028683B" w:rsidRPr="0028683B" w:rsidRDefault="0028683B" w:rsidP="00A065CB">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t>Direct</w:t>
            </w:r>
          </w:p>
        </w:tc>
        <w:tc>
          <w:tcPr>
            <w:tcW w:w="2552" w:type="dxa"/>
            <w:shd w:val="clear" w:color="auto" w:fill="auto"/>
          </w:tcPr>
          <w:p w14:paraId="3830CAD7" w14:textId="77777777" w:rsidR="0028683B" w:rsidRPr="0028683B" w:rsidRDefault="0028683B" w:rsidP="00A065CB">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t>Transiently aggregates near hydrophobic surfaces</w:t>
            </w:r>
          </w:p>
        </w:tc>
        <w:tc>
          <w:tcPr>
            <w:tcW w:w="1730" w:type="dxa"/>
            <w:shd w:val="clear" w:color="auto" w:fill="auto"/>
          </w:tcPr>
          <w:p w14:paraId="42E2596C" w14:textId="77777777" w:rsidR="0028683B" w:rsidRPr="0028683B" w:rsidRDefault="0028683B" w:rsidP="00A065CB">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t>Simulation</w:t>
            </w:r>
          </w:p>
        </w:tc>
        <w:tc>
          <w:tcPr>
            <w:tcW w:w="1495" w:type="dxa"/>
            <w:shd w:val="clear" w:color="auto" w:fill="auto"/>
          </w:tcPr>
          <w:p w14:paraId="008D4A5F" w14:textId="77777777" w:rsidR="0028683B" w:rsidRPr="00E205A3" w:rsidRDefault="0028683B" w:rsidP="00A065CB">
            <w:pPr>
              <w:cnfStyle w:val="000000100000" w:firstRow="0" w:lastRow="0" w:firstColumn="0" w:lastColumn="0" w:oddVBand="0" w:evenVBand="0" w:oddHBand="1" w:evenHBand="0" w:firstRowFirstColumn="0" w:firstRowLastColumn="0" w:lastRowFirstColumn="0" w:lastRowLastColumn="0"/>
              <w:rPr>
                <w:sz w:val="20"/>
                <w:szCs w:val="20"/>
              </w:rPr>
            </w:pPr>
            <w:r w:rsidRPr="00E205A3">
              <w:rPr>
                <w:sz w:val="20"/>
                <w:szCs w:val="20"/>
              </w:rPr>
              <w:fldChar w:fldCharType="begin" w:fldLock="1"/>
            </w:r>
            <w:r w:rsidRPr="00E205A3">
              <w:rPr>
                <w:sz w:val="20"/>
                <w:szCs w:val="20"/>
              </w:rPr>
              <w:instrText>ADDIN CSL_CITATION { "citationItems" : [ { "id" : "ITEM-1", "itemData" : { "author" : [ { "dropping-particle" : "", "family" : "Zangi", "given" : "R", "non-dropping-particle" : "", "parse-names" : false, "suffix" : "" }, { "dropping-particle" : "", "family" : "Zhou", "given" : "R", "non-dropping-particle" : "", "parse-names" : false, "suffix" : "" }, { "dropping-particle" : "", "family" : "Berne", "given" : "B J", "non-dropping-particle" : "", "parse-names" : false, "suffix" : "" } ], "container-title" : "Journal of the American Chemical Society", "id" : "ITEM-1", "issued" : { "date-parts" : [ [ "2009" ] ] }, "page" : "1535-1541", "title" : "Urea\u2019s action on hydrophobic interactions", "type" : "article-journal", "volume" : "131" }, "uris" : [ "http://www.mendeley.com/documents/?uuid=65d3be92-9490-46b4-be0b-f2deeacdd09a" ] } ], "mendeley" : { "formattedCitation" : "(Zangi et al. 2009)", "plainTextFormattedCitation" : "(Zangi et al. 2009)", "previouslyFormattedCitation" : "(Zangi et al. 2009)" }, "properties" : { "noteIndex" : 0 }, "schema" : "https://github.com/citation-style-language/schema/raw/master/csl-citation.json" }</w:instrText>
            </w:r>
            <w:r w:rsidRPr="00E205A3">
              <w:rPr>
                <w:sz w:val="20"/>
                <w:szCs w:val="20"/>
              </w:rPr>
              <w:fldChar w:fldCharType="separate"/>
            </w:r>
            <w:r w:rsidRPr="00E205A3">
              <w:rPr>
                <w:noProof/>
                <w:sz w:val="20"/>
                <w:szCs w:val="20"/>
              </w:rPr>
              <w:t>(Zangi et al. 2009)</w:t>
            </w:r>
            <w:r w:rsidRPr="00E205A3">
              <w:rPr>
                <w:sz w:val="20"/>
                <w:szCs w:val="20"/>
              </w:rPr>
              <w:fldChar w:fldCharType="end"/>
            </w:r>
          </w:p>
        </w:tc>
      </w:tr>
      <w:tr w:rsidR="0028683B" w14:paraId="7316D2B7" w14:textId="77777777" w:rsidTr="00585CA3">
        <w:tc>
          <w:tcPr>
            <w:cnfStyle w:val="001000000000" w:firstRow="0" w:lastRow="0" w:firstColumn="1" w:lastColumn="0" w:oddVBand="0" w:evenVBand="0" w:oddHBand="0" w:evenHBand="0" w:firstRowFirstColumn="0" w:firstRowLastColumn="0" w:lastRowFirstColumn="0" w:lastRowLastColumn="0"/>
            <w:tcW w:w="1526" w:type="dxa"/>
          </w:tcPr>
          <w:p w14:paraId="681DA78C" w14:textId="77777777" w:rsidR="0028683B" w:rsidRPr="0028683B" w:rsidRDefault="0028683B" w:rsidP="00373089">
            <w:pPr>
              <w:rPr>
                <w:sz w:val="20"/>
                <w:szCs w:val="20"/>
              </w:rPr>
            </w:pPr>
            <w:r w:rsidRPr="0028683B">
              <w:rPr>
                <w:sz w:val="20"/>
                <w:szCs w:val="20"/>
              </w:rPr>
              <w:t>Urea &amp; Guanidinium</w:t>
            </w:r>
          </w:p>
        </w:tc>
        <w:tc>
          <w:tcPr>
            <w:tcW w:w="1417" w:type="dxa"/>
          </w:tcPr>
          <w:p w14:paraId="54B1901B" w14:textId="77777777" w:rsidR="0028683B" w:rsidRPr="0028683B" w:rsidRDefault="0028683B" w:rsidP="00373089">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t>Direct</w:t>
            </w:r>
          </w:p>
        </w:tc>
        <w:tc>
          <w:tcPr>
            <w:tcW w:w="2552" w:type="dxa"/>
          </w:tcPr>
          <w:p w14:paraId="3AF24B61" w14:textId="77777777" w:rsidR="0028683B" w:rsidRPr="0028683B" w:rsidRDefault="0028683B" w:rsidP="00373089">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t>Direct binding to specific sites on protein normally occupied by water molecules</w:t>
            </w:r>
          </w:p>
        </w:tc>
        <w:tc>
          <w:tcPr>
            <w:tcW w:w="1730" w:type="dxa"/>
          </w:tcPr>
          <w:p w14:paraId="7C428D78" w14:textId="77777777" w:rsidR="0028683B" w:rsidRPr="0028683B" w:rsidRDefault="0028683B" w:rsidP="00373089">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t>Experimental (Calorimetry)</w:t>
            </w:r>
          </w:p>
        </w:tc>
        <w:tc>
          <w:tcPr>
            <w:tcW w:w="1495" w:type="dxa"/>
          </w:tcPr>
          <w:p w14:paraId="203A2E81" w14:textId="77777777" w:rsidR="0028683B" w:rsidRPr="00E205A3" w:rsidRDefault="0028683B" w:rsidP="00373089">
            <w:pPr>
              <w:cnfStyle w:val="000000000000" w:firstRow="0" w:lastRow="0" w:firstColumn="0" w:lastColumn="0" w:oddVBand="0" w:evenVBand="0" w:oddHBand="0" w:evenHBand="0" w:firstRowFirstColumn="0" w:firstRowLastColumn="0" w:lastRowFirstColumn="0" w:lastRowLastColumn="0"/>
              <w:rPr>
                <w:sz w:val="20"/>
                <w:szCs w:val="20"/>
              </w:rPr>
            </w:pPr>
            <w:r w:rsidRPr="00E205A3">
              <w:rPr>
                <w:sz w:val="20"/>
                <w:szCs w:val="20"/>
              </w:rPr>
              <w:fldChar w:fldCharType="begin" w:fldLock="1"/>
            </w:r>
            <w:r w:rsidRPr="00E205A3">
              <w:rPr>
                <w:sz w:val="20"/>
                <w:szCs w:val="20"/>
              </w:rPr>
              <w:instrText>ADDIN CSL_CITATION { "citationItems" : [ { "id" : "ITEM-1", "itemData" : { "author" : [ { "dropping-particle" : "", "family" : "Makhatadze", "given" : "G I", "non-dropping-particle" : "", "parse-names" : false, "suffix" : "" }, { "dropping-particle" : "", "family" : "Privalov", "given" : "P L", "non-dropping-particle" : "", "parse-names" : false, "suffix" : "" } ], "container-title" : "Journal of Molecular Biology", "id" : "ITEM-1", "issued" : { "date-parts" : [ [ "1992" ] ] }, "page" : "491-505", "title" : "Protein interactions with urea and guanidinium chloride: A calorimetric study", "type" : "article-journal", "volume" : "226" }, "uris" : [ "http://www.mendeley.com/documents/?uuid=8e59bec2-4080-4acd-a5b3-12b836434de4" ] } ], "mendeley" : { "formattedCitation" : "(Makhatadze &amp; Privalov 1992)", "plainTextFormattedCitation" : "(Makhatadze &amp; Privalov 1992)", "previouslyFormattedCitation" : "(Makhatadze &amp; Privalov 1992)" }, "properties" : { "noteIndex" : 0 }, "schema" : "https://github.com/citation-style-language/schema/raw/master/csl-citation.json" }</w:instrText>
            </w:r>
            <w:r w:rsidRPr="00E205A3">
              <w:rPr>
                <w:sz w:val="20"/>
                <w:szCs w:val="20"/>
              </w:rPr>
              <w:fldChar w:fldCharType="separate"/>
            </w:r>
            <w:r w:rsidRPr="00E205A3">
              <w:rPr>
                <w:noProof/>
                <w:sz w:val="20"/>
                <w:szCs w:val="20"/>
              </w:rPr>
              <w:t>(Makhatadze &amp; Privalov 1992)</w:t>
            </w:r>
            <w:r w:rsidRPr="00E205A3">
              <w:rPr>
                <w:sz w:val="20"/>
                <w:szCs w:val="20"/>
              </w:rPr>
              <w:fldChar w:fldCharType="end"/>
            </w:r>
          </w:p>
        </w:tc>
      </w:tr>
      <w:tr w:rsidR="0081459B" w14:paraId="5DEFBC97" w14:textId="77777777" w:rsidTr="0058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gridSpan w:val="5"/>
          </w:tcPr>
          <w:p w14:paraId="4D9EBE1A" w14:textId="77777777" w:rsidR="0081459B" w:rsidRPr="008F3618" w:rsidRDefault="0081459B" w:rsidP="00373089">
            <w:pPr>
              <w:rPr>
                <w:b w:val="0"/>
                <w:i/>
                <w:szCs w:val="24"/>
              </w:rPr>
            </w:pPr>
            <w:r w:rsidRPr="008F3618">
              <w:rPr>
                <w:b w:val="0"/>
                <w:i/>
                <w:szCs w:val="24"/>
              </w:rPr>
              <w:t>Direct interactions with polar groups or peptide backbone</w:t>
            </w:r>
          </w:p>
        </w:tc>
      </w:tr>
      <w:tr w:rsidR="0028683B" w14:paraId="0E0E8A9C" w14:textId="77777777" w:rsidTr="00585CA3">
        <w:tc>
          <w:tcPr>
            <w:cnfStyle w:val="001000000000" w:firstRow="0" w:lastRow="0" w:firstColumn="1" w:lastColumn="0" w:oddVBand="0" w:evenVBand="0" w:oddHBand="0" w:evenHBand="0" w:firstRowFirstColumn="0" w:firstRowLastColumn="0" w:lastRowFirstColumn="0" w:lastRowLastColumn="0"/>
            <w:tcW w:w="1526" w:type="dxa"/>
          </w:tcPr>
          <w:p w14:paraId="5122E231" w14:textId="77777777" w:rsidR="0028683B" w:rsidRPr="0028683B" w:rsidRDefault="0028683B" w:rsidP="00373089">
            <w:pPr>
              <w:rPr>
                <w:sz w:val="20"/>
                <w:szCs w:val="20"/>
              </w:rPr>
            </w:pPr>
            <w:r w:rsidRPr="0028683B">
              <w:rPr>
                <w:sz w:val="20"/>
                <w:szCs w:val="20"/>
              </w:rPr>
              <w:t>Guanidinium</w:t>
            </w:r>
          </w:p>
        </w:tc>
        <w:tc>
          <w:tcPr>
            <w:tcW w:w="1417" w:type="dxa"/>
          </w:tcPr>
          <w:p w14:paraId="424C5CE0" w14:textId="77777777" w:rsidR="0028683B" w:rsidRPr="0028683B" w:rsidRDefault="0028683B" w:rsidP="00373089">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t>Direct</w:t>
            </w:r>
          </w:p>
        </w:tc>
        <w:tc>
          <w:tcPr>
            <w:tcW w:w="2552" w:type="dxa"/>
          </w:tcPr>
          <w:p w14:paraId="0693C682" w14:textId="77777777" w:rsidR="0028683B" w:rsidRPr="0028683B" w:rsidRDefault="0028683B" w:rsidP="00373089">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t>Specific binding to acidic residues and nonspecific binding</w:t>
            </w:r>
          </w:p>
        </w:tc>
        <w:tc>
          <w:tcPr>
            <w:tcW w:w="1730" w:type="dxa"/>
          </w:tcPr>
          <w:p w14:paraId="6E33277D" w14:textId="77777777" w:rsidR="0028683B" w:rsidRPr="0028683B" w:rsidRDefault="0028683B" w:rsidP="00373089">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t>Experimental (Crystal structure)</w:t>
            </w:r>
          </w:p>
        </w:tc>
        <w:tc>
          <w:tcPr>
            <w:tcW w:w="1495" w:type="dxa"/>
          </w:tcPr>
          <w:p w14:paraId="3B7EE471" w14:textId="77777777" w:rsidR="0028683B" w:rsidRPr="0028683B" w:rsidRDefault="0028683B" w:rsidP="00373089">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fldChar w:fldCharType="begin" w:fldLock="1"/>
            </w:r>
            <w:r w:rsidRPr="0028683B">
              <w:rPr>
                <w:sz w:val="20"/>
                <w:szCs w:val="20"/>
              </w:rPr>
              <w:instrText>ADDIN CSL_CITATION { "citationItems" : [ { "id" : "ITEM-1", "itemData" : { "DOI" : "10.1016/j.bbrc.2004.08.081", "ISSN" : "0006-291X", "PMID" : "15351719", "abstract" : "This study was carried out to investigate the structural perturbation of the protein's local structure by the denaturants under non-denaturing conditions. Crystal structure of CutA from an archaeon Pyrococcus horikosii (PhoCutA), a heavy-metal binding protein, was determined at 1.6-angstroms resolution in the presence of 3 M guanidine HCl (GdnHCl). Native PhoCutA has a large number of short intramolecular hydrogen bonds and salt bridges on the protein surface, of which greater than 90% of hydrogen bonds and all salt bridges were retained in 3 M GdnHCl. Hydrogen bonds that disappeared in the GdnHCl crystal structure were mainly located on the protein surface, especially around the structurally perturbed loop, suggesting interactions between peptide groups and GdnHCl. Only a few GdnH+ ions were observed in the crystal structure, although none at the surface, of the protein. Two GdnH+ ions were observed in the center of the trimeric structure, replacing water molecules, and were hydrogen bonded with Asp84 and Asp86 of each chain. The exterior loop from Tyr39 to Lys44, including Trp40-Trp41, was perturbed structurally. Decreases in temperature factors were observed in beta strand 5 and the N terminus of helix 3. These results suggest the specific bindings of GdnH+ with some acidic residues and the non-specific bindings around Trp residues and peptide groups on the protein surface and that binding of GdnHCl to the native protein is limited, resulting in local structural perturbation.", "author" : [ { "dropping-particle" : "", "family" : "Tanaka", "given" : "Y", "non-dropping-particle" : "", "parse-names" : false, "suffix" : "" }, { "dropping-particle" : "", "family" : "Tsumoto", "given" : "K", "non-dropping-particle" : "", "parse-names" : false, "suffix" : "" }, { "dropping-particle" : "", "family" : "Umetsu", "given" : "M", "non-dropping-particle" : "", "parse-names" : false, "suffix" : "" }, { "dropping-particle" : "", "family" : "Nakanishi", "given" : "T", "non-dropping-particle" : "", "parse-names" : false, "suffix" : "" }, { "dropping-particle" : "", "family" : "Yasutake", "given" : "Y", "non-dropping-particle" : "", "parse-names" : false, "suffix" : "" }, { "dropping-particle" : "", "family" : "Sakai", "given" : "N", "non-dropping-particle" : "", "parse-names" : false, "suffix" : "" }, { "dropping-particle" : "", "family" : "Yao", "given" : "M", "non-dropping-particle" : "", "parse-names" : false, "suffix" : "" }, { "dropping-particle" : "", "family" : "Tanaka", "given" : "I", "non-dropping-particle" : "", "parse-names" : false, "suffix" : "" }, { "dropping-particle" : "", "family" : "Arakawa", "given" : "T", "non-dropping-particle" : "", "parse-names" : false, "suffix" : "" }, { "dropping-particle" : "", "family" : "Kumagai", "given" : "I", "non-dropping-particle" : "", "parse-names" : false, "suffix" : "" } ], "container-title" : "Biochemical and Biophysical Research Communications", "id" : "ITEM-1", "issued" : { "date-parts" : [ [ "2004", "10", "8" ] ] }, "page" : "185-191", "title" : "Structural evidence for guanidine-protein side chain interactions: Crystal structure of CutA from Pyrococcus horikoshii in 3 M guanidine hydrochloride", "type" : "article-journal", "volume" : "323" }, "uris" : [ "http://www.mendeley.com/documents/?uuid=0ebc26a6-daac-4068-a7d9-118d1a285249" ] } ], "mendeley" : { "formattedCitation" : "(Tanaka et al. 2004)", "plainTextFormattedCitation" : "(Tanaka et al. 2004)", "previouslyFormattedCitation" : "(Tanaka et al. 2004)" }, "properties" : { "noteIndex" : 0 }, "schema" : "https://github.com/citation-style-language/schema/raw/master/csl-citation.json" }</w:instrText>
            </w:r>
            <w:r w:rsidRPr="0028683B">
              <w:rPr>
                <w:sz w:val="20"/>
                <w:szCs w:val="20"/>
              </w:rPr>
              <w:fldChar w:fldCharType="separate"/>
            </w:r>
            <w:r w:rsidRPr="0028683B">
              <w:rPr>
                <w:noProof/>
                <w:sz w:val="20"/>
                <w:szCs w:val="20"/>
              </w:rPr>
              <w:t>(Tanaka et al. 2004)</w:t>
            </w:r>
            <w:r w:rsidRPr="0028683B">
              <w:rPr>
                <w:sz w:val="20"/>
                <w:szCs w:val="20"/>
              </w:rPr>
              <w:fldChar w:fldCharType="end"/>
            </w:r>
          </w:p>
        </w:tc>
      </w:tr>
      <w:tr w:rsidR="0028683B" w14:paraId="4D6674D3" w14:textId="77777777" w:rsidTr="0058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5EE8480E" w14:textId="77777777" w:rsidR="0028683B" w:rsidRPr="0028683B" w:rsidRDefault="0028683B" w:rsidP="00373089">
            <w:pPr>
              <w:rPr>
                <w:sz w:val="20"/>
                <w:szCs w:val="20"/>
              </w:rPr>
            </w:pPr>
            <w:r w:rsidRPr="0028683B">
              <w:rPr>
                <w:sz w:val="20"/>
                <w:szCs w:val="20"/>
              </w:rPr>
              <w:t>Guanidinium</w:t>
            </w:r>
          </w:p>
        </w:tc>
        <w:tc>
          <w:tcPr>
            <w:tcW w:w="1417" w:type="dxa"/>
            <w:shd w:val="clear" w:color="auto" w:fill="auto"/>
          </w:tcPr>
          <w:p w14:paraId="10212292" w14:textId="77777777" w:rsidR="0028683B" w:rsidRPr="0028683B" w:rsidRDefault="0028683B" w:rsidP="00373089">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t>Direct</w:t>
            </w:r>
          </w:p>
        </w:tc>
        <w:tc>
          <w:tcPr>
            <w:tcW w:w="2552" w:type="dxa"/>
            <w:shd w:val="clear" w:color="auto" w:fill="auto"/>
          </w:tcPr>
          <w:p w14:paraId="6237FA94" w14:textId="77777777" w:rsidR="0028683B" w:rsidRPr="0028683B" w:rsidRDefault="0028683B" w:rsidP="00373089">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t>Preferential interaction with peptide bonds and aromatic side chains</w:t>
            </w:r>
          </w:p>
        </w:tc>
        <w:tc>
          <w:tcPr>
            <w:tcW w:w="1730" w:type="dxa"/>
            <w:shd w:val="clear" w:color="auto" w:fill="auto"/>
          </w:tcPr>
          <w:p w14:paraId="1894DACE" w14:textId="77777777" w:rsidR="0028683B" w:rsidRPr="0028683B" w:rsidRDefault="0028683B" w:rsidP="00373089">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t>Experimental (Density measurements)</w:t>
            </w:r>
          </w:p>
        </w:tc>
        <w:tc>
          <w:tcPr>
            <w:tcW w:w="1495" w:type="dxa"/>
            <w:shd w:val="clear" w:color="auto" w:fill="auto"/>
          </w:tcPr>
          <w:p w14:paraId="219ADEEA" w14:textId="77777777" w:rsidR="0028683B" w:rsidRPr="0028683B" w:rsidRDefault="0028683B" w:rsidP="00373089">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fldChar w:fldCharType="begin" w:fldLock="1"/>
            </w:r>
            <w:r w:rsidR="00924827">
              <w:rPr>
                <w:sz w:val="20"/>
                <w:szCs w:val="20"/>
              </w:rPr>
              <w:instrText>ADDIN CSL_CITATION { "citationItems" : [ { "id" : "ITEM-1", "itemData" : { "ISSN" : "0006-2960", "PMID" : "4855654", "author" : [ { "dropping-particle" : "", "family" : "Lee", "given" : "J C", "non-dropping-particle" : "", "parse-names" : false, "suffix" : "" }, { "dropping-particle" : "", "family" : "Timasheff", "given" : "S N", "non-dropping-particle" : "", "parse-names" : false, "suffix" : "" } ], "container-title" : "Biochemistry", "id" : "ITEM-1", "issued" : { "date-parts" : [ [ "1974", "1", "15" ] ] }, "page" : "257-265", "title" : "Partial specific volumes and interactions with solvent components of proteins in guanidine hydrochloride", "type" : "article-journal", "volume" : "13" }, "uris" : [ "http://www.mendeley.com/documents/?uuid=3ec4abcb-f380-48d1-b0c8-4a2b55528c32" ] } ], "mendeley" : { "formattedCitation" : "(Lee &amp; Timasheff 1974)", "plainTextFormattedCitation" : "(Lee &amp; Timasheff 1974)", "previouslyFormattedCitation" : "(Lee &amp; Timasheff 1974)" }, "properties" : { "noteIndex" : 0 }, "schema" : "https://github.com/citation-style-language/schema/raw/master/csl-citation.json" }</w:instrText>
            </w:r>
            <w:r w:rsidRPr="0028683B">
              <w:rPr>
                <w:sz w:val="20"/>
                <w:szCs w:val="20"/>
              </w:rPr>
              <w:fldChar w:fldCharType="separate"/>
            </w:r>
            <w:r w:rsidR="00924827" w:rsidRPr="00924827">
              <w:rPr>
                <w:noProof/>
                <w:sz w:val="20"/>
                <w:szCs w:val="20"/>
              </w:rPr>
              <w:t>(Lee &amp; Timasheff 1974)</w:t>
            </w:r>
            <w:r w:rsidRPr="0028683B">
              <w:rPr>
                <w:sz w:val="20"/>
                <w:szCs w:val="20"/>
              </w:rPr>
              <w:fldChar w:fldCharType="end"/>
            </w:r>
          </w:p>
        </w:tc>
      </w:tr>
      <w:tr w:rsidR="0028683B" w14:paraId="704013DF" w14:textId="77777777" w:rsidTr="00585CA3">
        <w:tc>
          <w:tcPr>
            <w:cnfStyle w:val="001000000000" w:firstRow="0" w:lastRow="0" w:firstColumn="1" w:lastColumn="0" w:oddVBand="0" w:evenVBand="0" w:oddHBand="0" w:evenHBand="0" w:firstRowFirstColumn="0" w:firstRowLastColumn="0" w:lastRowFirstColumn="0" w:lastRowLastColumn="0"/>
            <w:tcW w:w="1526" w:type="dxa"/>
          </w:tcPr>
          <w:p w14:paraId="6E9C96DF" w14:textId="77777777" w:rsidR="0028683B" w:rsidRPr="0028683B" w:rsidRDefault="0028683B" w:rsidP="00373089">
            <w:pPr>
              <w:rPr>
                <w:sz w:val="20"/>
                <w:szCs w:val="20"/>
              </w:rPr>
            </w:pPr>
            <w:r w:rsidRPr="0028683B">
              <w:rPr>
                <w:sz w:val="20"/>
                <w:szCs w:val="20"/>
              </w:rPr>
              <w:t>Urea</w:t>
            </w:r>
          </w:p>
        </w:tc>
        <w:tc>
          <w:tcPr>
            <w:tcW w:w="1417" w:type="dxa"/>
          </w:tcPr>
          <w:p w14:paraId="0854C926" w14:textId="77777777" w:rsidR="0028683B" w:rsidRPr="0028683B" w:rsidRDefault="0028683B" w:rsidP="00373089">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t>Direct</w:t>
            </w:r>
          </w:p>
        </w:tc>
        <w:tc>
          <w:tcPr>
            <w:tcW w:w="2552" w:type="dxa"/>
          </w:tcPr>
          <w:p w14:paraId="37B56C14" w14:textId="77777777" w:rsidR="0028683B" w:rsidRPr="0028683B" w:rsidRDefault="0028683B" w:rsidP="00373089">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t>Direct electrostatic interaction with charged groups on protein</w:t>
            </w:r>
          </w:p>
        </w:tc>
        <w:tc>
          <w:tcPr>
            <w:tcW w:w="1730" w:type="dxa"/>
          </w:tcPr>
          <w:p w14:paraId="46001AB9" w14:textId="77777777" w:rsidR="0028683B" w:rsidRPr="0028683B" w:rsidRDefault="0028683B" w:rsidP="00373089">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t>Simulation</w:t>
            </w:r>
          </w:p>
        </w:tc>
        <w:tc>
          <w:tcPr>
            <w:tcW w:w="1495" w:type="dxa"/>
          </w:tcPr>
          <w:p w14:paraId="0D0E14C9" w14:textId="77777777" w:rsidR="0028683B" w:rsidRPr="0028683B" w:rsidRDefault="0028683B" w:rsidP="00373089">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fldChar w:fldCharType="begin" w:fldLock="1"/>
            </w:r>
            <w:r w:rsidRPr="0028683B">
              <w:rPr>
                <w:sz w:val="20"/>
                <w:szCs w:val="20"/>
              </w:rPr>
              <w:instrText>ADDIN CSL_CITATION { "citationItems" : [ { "id" : "ITEM-1", "itemData" : { "DOI" : "10.1021/ja020496f", "ISSN" : "00027863", "PMID" : "12580622", "abstract" : "We probe the urea-denaturation mechanism using molecular dynamics simulations of an elementary \"folding\" event, namely, the formation of end-to-end contact in the linear hydrocarbon chain (HC) CH(3)(CH(2))(18)CH(3). Electrostatic effects are examined using a model HC in which one end of the chain is positively charged (+0.2e) and the other contains a negative charge (-0.2e). For these systems multiple transitions between \"folded\" (conformations in which the chain ends are in contact) and \"unfolded\" (end-to-end contact is broken) can be observed during 4 ns molecular dynamics simulations. In water and 6 M aqueous urea solution HC and the charged HC fluctuate between collapsed globular conformations and a set of expanded structures. The collapsed conformation adopted by the HC in water is slightly destablized in 6 M urea. In contrast, the end-to-end contact is disrupted in the charged HC only in aqueous urea solution. Despite the presence of a large hydrophobic patch, on length scales on the order of approximately 8-10 A \"denaturation\" (transition to the expanded unfolded state) occurs by a direct interaction of urea with charges on the chain ends. The contiguous patch of hydrophobic moieties leads to \"mild dewetting\", which becomes more pronounced in the charged HC in 6 M aqueous urea solution. Our simulations establish that the urea denaturation mechanism is most likely electrostatic in origin.", "author" : [ { "dropping-particle" : "", "family" : "Mountain", "given" : "R D", "non-dropping-particle" : "", "parse-names" : false, "suffix" : "" }, { "dropping-particle" : "", "family" : "Thirumalai", "given" : "D", "non-dropping-particle" : "", "parse-names" : false, "suffix" : "" } ], "container-title" : "Journal of the American Chemical Society", "id" : "ITEM-1", "issued" : { "date-parts" : [ [ "2003" ] ] }, "page" : "1950-1957", "title" : "Molecular dynamics simulations of end-to-end contact formation in hydrocarbon chains in water and aqueous urea solution", "type" : "article-journal", "volume" : "125" }, "uris" : [ "http://www.mendeley.com/documents/?uuid=d06f07d6-62c4-43f6-97a1-56bc051417b3" ] } ], "mendeley" : { "formattedCitation" : "(Mountain &amp; Thirumalai 2003)", "plainTextFormattedCitation" : "(Mountain &amp; Thirumalai 2003)", "previouslyFormattedCitation" : "(Mountain &amp; Thirumalai 2003)" }, "properties" : { "noteIndex" : 0 }, "schema" : "https://github.com/citation-style-language/schema/raw/master/csl-citation.json" }</w:instrText>
            </w:r>
            <w:r w:rsidRPr="0028683B">
              <w:rPr>
                <w:sz w:val="20"/>
                <w:szCs w:val="20"/>
              </w:rPr>
              <w:fldChar w:fldCharType="separate"/>
            </w:r>
            <w:r w:rsidRPr="0028683B">
              <w:rPr>
                <w:noProof/>
                <w:sz w:val="20"/>
                <w:szCs w:val="20"/>
              </w:rPr>
              <w:t>(Mountain &amp; Thirumalai 2003)</w:t>
            </w:r>
            <w:r w:rsidRPr="0028683B">
              <w:rPr>
                <w:sz w:val="20"/>
                <w:szCs w:val="20"/>
              </w:rPr>
              <w:fldChar w:fldCharType="end"/>
            </w:r>
          </w:p>
        </w:tc>
      </w:tr>
      <w:tr w:rsidR="0028683B" w14:paraId="27AED065" w14:textId="77777777" w:rsidTr="0058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5473C55" w14:textId="77777777" w:rsidR="0028683B" w:rsidRPr="0028683B" w:rsidRDefault="0028683B" w:rsidP="00373089">
            <w:pPr>
              <w:rPr>
                <w:sz w:val="20"/>
                <w:szCs w:val="20"/>
              </w:rPr>
            </w:pPr>
            <w:r w:rsidRPr="0028683B">
              <w:rPr>
                <w:sz w:val="20"/>
                <w:szCs w:val="20"/>
              </w:rPr>
              <w:t>Urea</w:t>
            </w:r>
          </w:p>
        </w:tc>
        <w:tc>
          <w:tcPr>
            <w:tcW w:w="1417" w:type="dxa"/>
            <w:shd w:val="clear" w:color="auto" w:fill="auto"/>
          </w:tcPr>
          <w:p w14:paraId="78E27F7D" w14:textId="77777777" w:rsidR="0028683B" w:rsidRPr="0028683B" w:rsidRDefault="0028683B" w:rsidP="00373089">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t>Direct</w:t>
            </w:r>
          </w:p>
        </w:tc>
        <w:tc>
          <w:tcPr>
            <w:tcW w:w="2552" w:type="dxa"/>
            <w:shd w:val="clear" w:color="auto" w:fill="auto"/>
          </w:tcPr>
          <w:p w14:paraId="2441CCDB" w14:textId="77777777" w:rsidR="0028683B" w:rsidRPr="0028683B" w:rsidRDefault="0028683B" w:rsidP="00373089">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t>Direct van der Waals interactions and not polar interactions with protein</w:t>
            </w:r>
          </w:p>
        </w:tc>
        <w:tc>
          <w:tcPr>
            <w:tcW w:w="1730" w:type="dxa"/>
            <w:shd w:val="clear" w:color="auto" w:fill="auto"/>
          </w:tcPr>
          <w:p w14:paraId="0B5CBD83" w14:textId="77777777" w:rsidR="0028683B" w:rsidRPr="0028683B" w:rsidRDefault="0028683B" w:rsidP="00373089">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t>Simulation</w:t>
            </w:r>
          </w:p>
        </w:tc>
        <w:tc>
          <w:tcPr>
            <w:tcW w:w="1495" w:type="dxa"/>
            <w:shd w:val="clear" w:color="auto" w:fill="auto"/>
          </w:tcPr>
          <w:p w14:paraId="7FDEF6CB" w14:textId="77777777" w:rsidR="0028683B" w:rsidRPr="0028683B" w:rsidRDefault="0028683B" w:rsidP="00373089">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fldChar w:fldCharType="begin" w:fldLock="1"/>
            </w:r>
            <w:r w:rsidR="00924827">
              <w:rPr>
                <w:sz w:val="20"/>
                <w:szCs w:val="20"/>
              </w:rPr>
              <w:instrText>ADDIN CSL_CITATION { "citationItems" : [ { "id" : "ITEM-1", "itemData" : { "DOI" : "10.1021/ja909348c", "ISBN" : "1520-5126 (Electronic)\\n0002-7863 (Linking)", "ISSN" : "1520-5126", "PMID" : "20121105", "abstract" : "Though urea is commonly used to denature proteins, the molecular mechanism of its denaturing ability is still a subject of considerable debate. Previous molecular dynamics simulation studies have sought to elucidate the mechanism of urea denaturation by focusing on the pathway of denaturation rather than examining the effect of urea on the folding/unfolding equilibrium, which is commonly measured in experiment. Here we report the reversible folding/unfolding equilibrium of Trp-cage miniprotein in the presence of urea, over a broad range of urea concentrations, using all-atom Replica exchange MD simulations. The simulations capture the experimentally observed linear dependence of unfolding free energy on urea concentration. We find that the denaturation is driven by favorable direct interaction of urea with the protein through both electrostatic and van der Waals forces and quantify their contribution. Though the magnitude of direct electrostatic interaction of urea is larger than van der Waals, the difference between unfolded and folded ensembles is dominated by the van der Waals interaction. We also find that hydrogen bonding of urea to the peptide backbone does not play a dominant role in denaturation. The unfolded ensemble sampled depends on urea concentration, with greater urea concentration favoring conformations with greater solvent exposure. The m-value is predicted to increase with temperature and more strongly so with pressure.", "author" : [ { "dropping-particle" : "", "family" : "Canchi", "given" : "D R", "non-dropping-particle" : "", "parse-names" : false, "suffix" : "" }, { "dropping-particle" : "", "family" : "Paschek", "given" : "D", "non-dropping-particle" : "", "parse-names" : false, "suffix" : "" }, { "dropping-particle" : "", "family" : "Garc\u00eda", "given" : "A E", "non-dropping-particle" : "", "parse-names" : false, "suffix" : "" } ], "container-title" : "Journal of the American Chemical Society", "id" : "ITEM-1", "issued" : { "date-parts" : [ [ "2010" ] ] }, "page" : "2338-2344", "title" : "Equilibrium study of protein denaturation by urea", "type" : "article-journal", "volume" : "132" }, "uris" : [ "http://www.mendeley.com/documents/?uuid=4773dd21-6c41-406c-8e73-63c61d14ad41" ] } ], "mendeley" : { "formattedCitation" : "(Canchi et al. 2010)", "plainTextFormattedCitation" : "(Canchi et al. 2010)", "previouslyFormattedCitation" : "(Canchi et al. 2010)" }, "properties" : { "noteIndex" : 0 }, "schema" : "https://github.com/citation-style-language/schema/raw/master/csl-citation.json" }</w:instrText>
            </w:r>
            <w:r w:rsidRPr="0028683B">
              <w:rPr>
                <w:sz w:val="20"/>
                <w:szCs w:val="20"/>
              </w:rPr>
              <w:fldChar w:fldCharType="separate"/>
            </w:r>
            <w:r w:rsidRPr="0028683B">
              <w:rPr>
                <w:noProof/>
                <w:sz w:val="20"/>
                <w:szCs w:val="20"/>
              </w:rPr>
              <w:t>(Canchi et al. 2010)</w:t>
            </w:r>
            <w:r w:rsidRPr="0028683B">
              <w:rPr>
                <w:sz w:val="20"/>
                <w:szCs w:val="20"/>
              </w:rPr>
              <w:fldChar w:fldCharType="end"/>
            </w:r>
          </w:p>
        </w:tc>
      </w:tr>
      <w:tr w:rsidR="0028683B" w14:paraId="42BF8C5C" w14:textId="77777777" w:rsidTr="00585CA3">
        <w:tc>
          <w:tcPr>
            <w:cnfStyle w:val="001000000000" w:firstRow="0" w:lastRow="0" w:firstColumn="1" w:lastColumn="0" w:oddVBand="0" w:evenVBand="0" w:oddHBand="0" w:evenHBand="0" w:firstRowFirstColumn="0" w:firstRowLastColumn="0" w:lastRowFirstColumn="0" w:lastRowLastColumn="0"/>
            <w:tcW w:w="1526" w:type="dxa"/>
          </w:tcPr>
          <w:p w14:paraId="787D75E6" w14:textId="77777777" w:rsidR="0028683B" w:rsidRPr="0028683B" w:rsidRDefault="0028683B" w:rsidP="00373089">
            <w:pPr>
              <w:rPr>
                <w:sz w:val="20"/>
                <w:szCs w:val="20"/>
              </w:rPr>
            </w:pPr>
            <w:r w:rsidRPr="0028683B">
              <w:rPr>
                <w:sz w:val="20"/>
                <w:szCs w:val="20"/>
              </w:rPr>
              <w:t>Urea</w:t>
            </w:r>
          </w:p>
        </w:tc>
        <w:tc>
          <w:tcPr>
            <w:tcW w:w="1417" w:type="dxa"/>
          </w:tcPr>
          <w:p w14:paraId="0020F624" w14:textId="77777777" w:rsidR="0028683B" w:rsidRPr="0028683B" w:rsidRDefault="0028683B" w:rsidP="00373089">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t>Direct &amp; Indirect</w:t>
            </w:r>
          </w:p>
        </w:tc>
        <w:tc>
          <w:tcPr>
            <w:tcW w:w="2552" w:type="dxa"/>
          </w:tcPr>
          <w:p w14:paraId="0B8F60AE" w14:textId="77777777" w:rsidR="0028683B" w:rsidRPr="0028683B" w:rsidRDefault="0028683B" w:rsidP="00373089">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t xml:space="preserve">Direct interaction with polar residues and peptide backbone; Weakening of water structure so diminishes hydrophobic </w:t>
            </w:r>
            <w:r w:rsidRPr="0028683B">
              <w:rPr>
                <w:sz w:val="20"/>
                <w:szCs w:val="20"/>
              </w:rPr>
              <w:lastRenderedPageBreak/>
              <w:t>effect</w:t>
            </w:r>
          </w:p>
        </w:tc>
        <w:tc>
          <w:tcPr>
            <w:tcW w:w="1730" w:type="dxa"/>
          </w:tcPr>
          <w:p w14:paraId="167C9D06" w14:textId="77777777" w:rsidR="0028683B" w:rsidRPr="0028683B" w:rsidRDefault="0028683B" w:rsidP="00373089">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lastRenderedPageBreak/>
              <w:t>Simulation</w:t>
            </w:r>
          </w:p>
        </w:tc>
        <w:tc>
          <w:tcPr>
            <w:tcW w:w="1495" w:type="dxa"/>
          </w:tcPr>
          <w:p w14:paraId="45A0BEAB" w14:textId="77777777" w:rsidR="0028683B" w:rsidRPr="0028683B" w:rsidRDefault="0028683B" w:rsidP="00373089">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fldChar w:fldCharType="begin" w:fldLock="1"/>
            </w:r>
            <w:r w:rsidR="00924827">
              <w:rPr>
                <w:sz w:val="20"/>
                <w:szCs w:val="20"/>
              </w:rPr>
              <w:instrText>ADDIN CSL_CITATION { "citationItems" : [ { "id" : "ITEM-1", "itemData" : { "DOI" : "10.1073/pnas.0930122100", "ISBN" : "0930122100", "ISSN" : "0027-8424", "PMID" : "12702764", "abstract" : "Molecular dynamics simulations of the protein chymotrypsin inhibitor 2 in 8 M urea at 60 degrees C were undertaken to investigate the molecular basis of chemical denaturation. The protein unfolded rapidly under these conditions, but it retained its native structure in a control simulation in water at the same temperature. The overall process of unfolding in urea was similar to that observed in thermal denaturation simulations above the protein's T(m) of 75 degrees C. The first step in unfolding was expansion of the hydrophobic core. Then, the core was solvated by water and later by urea. The denatured structures in both urea and at high temperature contained residual native helical structure, whereas the beta-structure was completely disrupted. The average residence time for urea around hydrophilic groups was six times greater than around hydrophobic residues and in all cases greater than the corresponding water residence times. Water self-diffusion was reduced 40% in 8 M urea. Urea altered water structure and dynamics, thereby diminishing the hydrophobic effect and encouraging solvation of hydrophobic groups. In addition, through urea's weakening of water structure, water became free to compete with intraprotein interactions. Urea also interacted directly with polar residues and the peptide backbone, thereby stabilizing nonnative conformations. These simulations suggest that urea denatures proteins via both direct and indirect mechanisms.", "author" : [ { "dropping-particle" : "", "family" : "Bennion", "given" : "B J", "non-dropping-particle" : "", "parse-names" : false, "suffix" : "" }, { "dropping-particle" : "", "family" : "Daggett", "given" : "V", "non-dropping-particle" : "", "parse-names" : false, "suffix" : "" } ], "container-title" : "Proceedings of the National Academy of Sciences of the United States of America", "id" : "ITEM-1", "issued" : { "date-parts" : [ [ "2003", "4", "29" ] ] }, "page" : "5142-7", "title" : "The molecular basis for the chemical denaturation of proteins by urea", "type" : "article-journal", "volume" : "100" }, "uris" : [ "http://www.mendeley.com/documents/?uuid=13cdee9f-0a0d-4948-bab9-2736d8b2bd04" ] } ], "mendeley" : { "formattedCitation" : "(Bennion &amp; Daggett 2003)", "plainTextFormattedCitation" : "(Bennion &amp; Daggett 2003)", "previouslyFormattedCitation" : "(Bennion &amp; Daggett 2003)" }, "properties" : { "noteIndex" : 0 }, "schema" : "https://github.com/citation-style-language/schema/raw/master/csl-citation.json" }</w:instrText>
            </w:r>
            <w:r w:rsidRPr="0028683B">
              <w:rPr>
                <w:sz w:val="20"/>
                <w:szCs w:val="20"/>
              </w:rPr>
              <w:fldChar w:fldCharType="separate"/>
            </w:r>
            <w:r w:rsidRPr="0028683B">
              <w:rPr>
                <w:noProof/>
                <w:sz w:val="20"/>
                <w:szCs w:val="20"/>
              </w:rPr>
              <w:t>(Bennion &amp; Daggett 2003)</w:t>
            </w:r>
            <w:r w:rsidRPr="0028683B">
              <w:rPr>
                <w:sz w:val="20"/>
                <w:szCs w:val="20"/>
              </w:rPr>
              <w:fldChar w:fldCharType="end"/>
            </w:r>
          </w:p>
        </w:tc>
      </w:tr>
      <w:tr w:rsidR="0028683B" w14:paraId="0169C24A" w14:textId="77777777" w:rsidTr="0058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49788CAC" w14:textId="77777777" w:rsidR="0028683B" w:rsidRPr="0028683B" w:rsidRDefault="0028683B" w:rsidP="00373089">
            <w:pPr>
              <w:rPr>
                <w:sz w:val="20"/>
                <w:szCs w:val="20"/>
              </w:rPr>
            </w:pPr>
            <w:r w:rsidRPr="0028683B">
              <w:rPr>
                <w:sz w:val="20"/>
                <w:szCs w:val="20"/>
              </w:rPr>
              <w:lastRenderedPageBreak/>
              <w:t>Urea &amp; Guanidinium</w:t>
            </w:r>
          </w:p>
        </w:tc>
        <w:tc>
          <w:tcPr>
            <w:tcW w:w="1417" w:type="dxa"/>
            <w:shd w:val="clear" w:color="auto" w:fill="auto"/>
          </w:tcPr>
          <w:p w14:paraId="30B987DD" w14:textId="77777777" w:rsidR="0028683B" w:rsidRPr="0028683B" w:rsidRDefault="0028683B" w:rsidP="00373089">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t>Direct</w:t>
            </w:r>
          </w:p>
        </w:tc>
        <w:tc>
          <w:tcPr>
            <w:tcW w:w="2552" w:type="dxa"/>
            <w:shd w:val="clear" w:color="auto" w:fill="auto"/>
          </w:tcPr>
          <w:p w14:paraId="589DF9E8" w14:textId="77777777" w:rsidR="0028683B" w:rsidRPr="0028683B" w:rsidRDefault="0028683B" w:rsidP="00373089">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t>Direct solvation of peptide backbone</w:t>
            </w:r>
          </w:p>
        </w:tc>
        <w:tc>
          <w:tcPr>
            <w:tcW w:w="1730" w:type="dxa"/>
            <w:shd w:val="clear" w:color="auto" w:fill="auto"/>
          </w:tcPr>
          <w:p w14:paraId="3F892434" w14:textId="77777777" w:rsidR="0028683B" w:rsidRPr="0028683B" w:rsidRDefault="0028683B" w:rsidP="00373089">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t>Experimental (Thermodynamic)</w:t>
            </w:r>
          </w:p>
        </w:tc>
        <w:tc>
          <w:tcPr>
            <w:tcW w:w="1495" w:type="dxa"/>
            <w:shd w:val="clear" w:color="auto" w:fill="auto"/>
          </w:tcPr>
          <w:p w14:paraId="0B3EC073" w14:textId="77777777" w:rsidR="0028683B" w:rsidRPr="0028683B" w:rsidRDefault="0028683B" w:rsidP="00373089">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fldChar w:fldCharType="begin" w:fldLock="1"/>
            </w:r>
            <w:r w:rsidR="00924827">
              <w:rPr>
                <w:sz w:val="20"/>
                <w:szCs w:val="20"/>
              </w:rPr>
              <w:instrText>ADDIN CSL_CITATION { "citationItems" : [ { "id" : "ITEM-1", "itemData" : { "author" : [ { "dropping-particle" : "", "family" : "Nozaki", "given" : "Y", "non-dropping-particle" : "", "parse-names" : false, "suffix" : "" }, { "dropping-particle" : "", "family" : "Tanford", "given" : "C", "non-dropping-particle" : "", "parse-names" : false, "suffix" : "" } ], "container-title" : "Journal of Biological Chemistry", "id" : "ITEM-1", "issued" : { "date-parts" : [ [ "1970" ] ] }, "page" : "1648-1652", "title" : "The solubility of amino acids, diglycine, and triglycine in aqueous guanidine hydrochloride solutions", "type" : "article-journal", "volume" : "245" }, "uris" : [ "http://www.mendeley.com/documents/?uuid=86360ac3-4943-4389-a0d0-956dae48f519" ] }, { "id" : "ITEM-2", "itemData" : { "ISSN" : "0006-2960", "PMID" : "11106500", "abstract" : "The DeltaG degrees (N)(-)(D) value obtained from extrapolation to zero denaturant concentration by the linear extrapolation method (LEM) is commonly interpreted to represent the Gibbs energy difference between native (N) and denatured (D) ensembles at the limit of zero denaturant concentration. For DeltaG degrees (N)(-)(D) to be interpreted solely in terms of N and D, as is common practice, it must be shown to be independent of denaturant concentration. Because DeltaG degrees (N)(-)(D) is often observed to be dependent on the nature of the denaturant, it is necessary to determine the circumstances under which DeltaG degrees (N)(-)(D) can be interpreted as a property solely of the protein. Here, we use proton inventory, a thermodynamic property of both the native and denatured ensembles, to monitor the thermodynamic character of denaturant-dependent aspects of N and D ensembles and the N right arrow over left arrow D transition. Use of a thermodynamic rather than a spectral parameter to monitor denaturation provides insight into the manner in which denaturant affects the meaning of DeltaG degrees (N)(-)(D) and the nature of the N right arrow over left arrow D transition. Three classes of proteins are defined in terms of the thermodynamic behaviors of their N right arrow over left arrow D transition and N and D ensembles. With guanidine hydrochloride as a denaturant, the classification of protein denaturations by these procedures determines when the LEM gives readily interpretable DeltaG degrees (N)(-)(D) values with this denaturant and when it does not.", "author" : [ { "dropping-particle" : "", "family" : "Bolen", "given" : "D W", "non-dropping-particle" : "", "parse-names" : false, "suffix" : "" }, { "dropping-particle" : "", "family" : "Yang", "given" : "M", "non-dropping-particle" : "", "parse-names" : false, "suffix" : "" } ], "container-title" : "Biochemistry", "id" : "ITEM-2", "issued" : { "date-parts" : [ [ "2000", "12", "12" ] ] }, "page" : "15208-15216", "title" : "Effects of guanidine hydrochloride on the proton inventory of proteins: Implications on interpretations of protein stability", "type" : "article-journal", "volume" : "39" }, "uris" : [ "http://www.mendeley.com/documents/?uuid=c783f4b9-44fc-4c7e-8e8a-d176720b312a" ] } ], "mendeley" : { "formattedCitation" : "(Nozaki &amp; Tanford 1970; Bolen &amp; Yang 2000)", "plainTextFormattedCitation" : "(Nozaki &amp; Tanford 1970; Bolen &amp; Yang 2000)", "previouslyFormattedCitation" : "(Nozaki &amp; Tanford 1970; Bolen &amp; Yang 2000)" }, "properties" : { "noteIndex" : 0 }, "schema" : "https://github.com/citation-style-language/schema/raw/master/csl-citation.json" }</w:instrText>
            </w:r>
            <w:r w:rsidRPr="0028683B">
              <w:rPr>
                <w:sz w:val="20"/>
                <w:szCs w:val="20"/>
              </w:rPr>
              <w:fldChar w:fldCharType="separate"/>
            </w:r>
            <w:r w:rsidRPr="0028683B">
              <w:rPr>
                <w:noProof/>
                <w:sz w:val="20"/>
                <w:szCs w:val="20"/>
              </w:rPr>
              <w:t>(Nozaki &amp; Tanford 1970; Bolen &amp; Yang 2000)</w:t>
            </w:r>
            <w:r w:rsidRPr="0028683B">
              <w:rPr>
                <w:sz w:val="20"/>
                <w:szCs w:val="20"/>
              </w:rPr>
              <w:fldChar w:fldCharType="end"/>
            </w:r>
          </w:p>
        </w:tc>
      </w:tr>
      <w:tr w:rsidR="0028683B" w14:paraId="1D818BDA" w14:textId="77777777" w:rsidTr="00585CA3">
        <w:tc>
          <w:tcPr>
            <w:cnfStyle w:val="001000000000" w:firstRow="0" w:lastRow="0" w:firstColumn="1" w:lastColumn="0" w:oddVBand="0" w:evenVBand="0" w:oddHBand="0" w:evenHBand="0" w:firstRowFirstColumn="0" w:firstRowLastColumn="0" w:lastRowFirstColumn="0" w:lastRowLastColumn="0"/>
            <w:tcW w:w="1526" w:type="dxa"/>
          </w:tcPr>
          <w:p w14:paraId="514F4170" w14:textId="77777777" w:rsidR="0028683B" w:rsidRPr="0028683B" w:rsidRDefault="0028683B" w:rsidP="00A065CB">
            <w:pPr>
              <w:rPr>
                <w:sz w:val="20"/>
                <w:szCs w:val="20"/>
              </w:rPr>
            </w:pPr>
            <w:r w:rsidRPr="0028683B">
              <w:rPr>
                <w:sz w:val="20"/>
                <w:szCs w:val="20"/>
              </w:rPr>
              <w:t>Urea &amp; Guanidinium</w:t>
            </w:r>
          </w:p>
        </w:tc>
        <w:tc>
          <w:tcPr>
            <w:tcW w:w="1417" w:type="dxa"/>
          </w:tcPr>
          <w:p w14:paraId="688E3423" w14:textId="77777777" w:rsidR="0028683B" w:rsidRPr="0028683B" w:rsidRDefault="0028683B" w:rsidP="00A065CB">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t>Direct</w:t>
            </w:r>
          </w:p>
        </w:tc>
        <w:tc>
          <w:tcPr>
            <w:tcW w:w="2552" w:type="dxa"/>
          </w:tcPr>
          <w:p w14:paraId="32730ED6" w14:textId="77777777" w:rsidR="0028683B" w:rsidRPr="0028683B" w:rsidRDefault="0028683B" w:rsidP="00A065CB">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t>Urea hydrogen bonds to peptide groups but guanidinium does not</w:t>
            </w:r>
          </w:p>
        </w:tc>
        <w:tc>
          <w:tcPr>
            <w:tcW w:w="1730" w:type="dxa"/>
          </w:tcPr>
          <w:p w14:paraId="030D05B5" w14:textId="77777777" w:rsidR="0028683B" w:rsidRPr="0028683B" w:rsidRDefault="0028683B" w:rsidP="00A065CB">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t>Experimental (acid &amp; base catalysed peptide hydrogen exchange)</w:t>
            </w:r>
          </w:p>
        </w:tc>
        <w:tc>
          <w:tcPr>
            <w:tcW w:w="1495" w:type="dxa"/>
          </w:tcPr>
          <w:p w14:paraId="25A09BB1" w14:textId="77777777" w:rsidR="0028683B" w:rsidRPr="0028683B" w:rsidRDefault="0028683B" w:rsidP="00A065CB">
            <w:pPr>
              <w:cnfStyle w:val="000000000000" w:firstRow="0" w:lastRow="0" w:firstColumn="0" w:lastColumn="0" w:oddVBand="0" w:evenVBand="0" w:oddHBand="0" w:evenHBand="0" w:firstRowFirstColumn="0" w:firstRowLastColumn="0" w:lastRowFirstColumn="0" w:lastRowLastColumn="0"/>
              <w:rPr>
                <w:sz w:val="20"/>
                <w:szCs w:val="20"/>
              </w:rPr>
            </w:pPr>
            <w:r w:rsidRPr="0028683B">
              <w:rPr>
                <w:sz w:val="20"/>
                <w:szCs w:val="20"/>
              </w:rPr>
              <w:fldChar w:fldCharType="begin" w:fldLock="1"/>
            </w:r>
            <w:r w:rsidRPr="0028683B">
              <w:rPr>
                <w:sz w:val="20"/>
                <w:szCs w:val="20"/>
              </w:rPr>
              <w:instrText>ADDIN CSL_CITATION { "citationItems" : [ { "id" : "ITEM-1", "itemData" : { "DOI" : "10.1073/pnas.0812588106", "ISSN" : "1091-6490", "PMID" : "19196963", "abstract" : "The mechanism by which urea and guanidinium destabilize protein structure is controversial. We tested the possibility that these denaturants form hydrogen bonds with peptide groups by measuring their ability to block acid- and base-catalyzed peptide hydrogen exchange. The peptide hydrogen bonding found appears sufficient to explain the thermodynamic denaturing effect of urea. Results for guanidinium, however, are contrary to the expectation that it might H-bond. Evidently, urea and guanidinium, although structurally similar, denature proteins by different mechanisms.", "author" : [ { "dropping-particle" : "", "family" : "Lim", "given" : "W K", "non-dropping-particle" : "", "parse-names" : false, "suffix" : "" }, { "dropping-particle" : "", "family" : "R\u00f6sgen", "given" : "J", "non-dropping-particle" : "", "parse-names" : false, "suffix" : "" }, { "dropping-particle" : "", "family" : "Englander", "given" : "S W", "non-dropping-particle" : "", "parse-names" : false, "suffix" : "" } ], "container-title" : "Proceedings of the National Academy of Sciences of the United States of America", "id" : "ITEM-1", "issued" : { "date-parts" : [ [ "2009", "2", "24" ] ] }, "page" : "2595-2600", "title" : "Urea, but not guanidinium, destabilizes proteins by forming hydrogen bonds to the peptide group", "type" : "article-journal", "volume" : "106" }, "uris" : [ "http://www.mendeley.com/documents/?uuid=de76025e-7b1a-4c69-b2aa-0eb30fb58e5f" ] } ], "mendeley" : { "formattedCitation" : "(Lim et al. 2009)", "plainTextFormattedCitation" : "(Lim et al. 2009)", "previouslyFormattedCitation" : "(Lim et al. 2009)" }, "properties" : { "noteIndex" : 0 }, "schema" : "https://github.com/citation-style-language/schema/raw/master/csl-citation.json" }</w:instrText>
            </w:r>
            <w:r w:rsidRPr="0028683B">
              <w:rPr>
                <w:sz w:val="20"/>
                <w:szCs w:val="20"/>
              </w:rPr>
              <w:fldChar w:fldCharType="separate"/>
            </w:r>
            <w:r w:rsidRPr="0028683B">
              <w:rPr>
                <w:noProof/>
                <w:sz w:val="20"/>
                <w:szCs w:val="20"/>
              </w:rPr>
              <w:t>(Lim et al. 2009)</w:t>
            </w:r>
            <w:r w:rsidRPr="0028683B">
              <w:rPr>
                <w:sz w:val="20"/>
                <w:szCs w:val="20"/>
              </w:rPr>
              <w:fldChar w:fldCharType="end"/>
            </w:r>
          </w:p>
        </w:tc>
      </w:tr>
      <w:tr w:rsidR="0028683B" w14:paraId="78F5F63B" w14:textId="77777777" w:rsidTr="0058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0DDEFDAB" w14:textId="77777777" w:rsidR="0028683B" w:rsidRPr="0028683B" w:rsidRDefault="0028683B" w:rsidP="00373089">
            <w:pPr>
              <w:rPr>
                <w:sz w:val="20"/>
                <w:szCs w:val="20"/>
              </w:rPr>
            </w:pPr>
            <w:r w:rsidRPr="0028683B">
              <w:rPr>
                <w:sz w:val="20"/>
                <w:szCs w:val="20"/>
              </w:rPr>
              <w:t>Urea &amp; Guanidinium</w:t>
            </w:r>
          </w:p>
        </w:tc>
        <w:tc>
          <w:tcPr>
            <w:tcW w:w="1417" w:type="dxa"/>
            <w:shd w:val="clear" w:color="auto" w:fill="auto"/>
          </w:tcPr>
          <w:p w14:paraId="3EB649EF" w14:textId="77777777" w:rsidR="0028683B" w:rsidRPr="0028683B" w:rsidRDefault="0028683B" w:rsidP="00373089">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t>Direct</w:t>
            </w:r>
          </w:p>
        </w:tc>
        <w:tc>
          <w:tcPr>
            <w:tcW w:w="2552" w:type="dxa"/>
            <w:shd w:val="clear" w:color="auto" w:fill="auto"/>
          </w:tcPr>
          <w:p w14:paraId="723F343B" w14:textId="77777777" w:rsidR="0028683B" w:rsidRPr="0028683B" w:rsidRDefault="0028683B" w:rsidP="00373089">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t>Guanidinium but not urea directly associates with polar groups in side chains and protein backbone</w:t>
            </w:r>
          </w:p>
        </w:tc>
        <w:tc>
          <w:tcPr>
            <w:tcW w:w="1730" w:type="dxa"/>
            <w:shd w:val="clear" w:color="auto" w:fill="auto"/>
          </w:tcPr>
          <w:p w14:paraId="7DC3B68A" w14:textId="77777777" w:rsidR="0028683B" w:rsidRPr="0028683B" w:rsidRDefault="0028683B" w:rsidP="00373089">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t>Simulation</w:t>
            </w:r>
          </w:p>
        </w:tc>
        <w:tc>
          <w:tcPr>
            <w:tcW w:w="1495" w:type="dxa"/>
            <w:shd w:val="clear" w:color="auto" w:fill="auto"/>
          </w:tcPr>
          <w:p w14:paraId="583EB6C1" w14:textId="77777777" w:rsidR="0028683B" w:rsidRPr="0028683B" w:rsidRDefault="0028683B" w:rsidP="00373089">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fldChar w:fldCharType="begin" w:fldLock="1"/>
            </w:r>
            <w:r w:rsidRPr="0028683B">
              <w:rPr>
                <w:sz w:val="20"/>
                <w:szCs w:val="20"/>
              </w:rPr>
              <w:instrText>ADDIN CSL_CITATION { "citationItems" : [ { "id" : "ITEM-1", "itemData" : { "DOI" : "10.1021/ja069232+", "ISBN" : "0002-7863", "ISSN" : "00027863", "PMID" : "17503819", "abstract" : "In order to clarify the mechanism of denaturant-induced unfolding of proteins we have calculated the interactions between hydrophobic and ionic species in aqueous guanidinium chloride and urea solutions using molecular dynamics simulations. Hydrophobic association is not significantly changed in urea or guanidinium chloride solutions. The strength of interaction between ion pairs is greatly diminished by the guanidinium ion. Although the changes in electrostatic interactions in urea are small, examination of structures, using appropriate pair functions, of urea and water around the solutes show strong hydrogen bonding between urea's carbonyl oxygen and the positively charged solute. Our results strongly suggest protein denaturation occurs by the direct interaction model according to which the most commonly used denaturants unfold proteins by altering electrostatic interactions either by solvating the charged residues or by engaging in hydrogen bonds with the protein backbone. To further validate the direct interaction model we show that, in urea and guanidinium chloride solutions, unfolding of an unusually stable helix (H1) from mouse PrPC (residues 144-153) occurs by hydrogen bonding of denaturants to charged side chains and backbone carbonyl groups.", "author" : [ { "dropping-particle" : "", "family" : "O'Brien", "given" : "E P", "non-dropping-particle" : "", "parse-names" : false, "suffix" : "" }, { "dropping-particle" : "", "family" : "Dima", "given" : "R I", "non-dropping-particle" : "", "parse-names" : false, "suffix" : "" }, { "dropping-particle" : "", "family" : "Brooks", "given" : "B", "non-dropping-particle" : "", "parse-names" : false, "suffix" : "" }, { "dropping-particle" : "", "family" : "Thirumalai", "given" : "D", "non-dropping-particle" : "", "parse-names" : false, "suffix" : "" } ], "container-title" : "Journal of the American Chemical Society", "id" : "ITEM-1", "issued" : { "date-parts" : [ [ "2007" ] ] }, "page" : "7346-7353", "title" : "Interactions between hydrophobic and ionic solutes in aqueous guanidinium chloride and urea solutions: Lessons for protein denaturation mechanism", "type" : "article-journal", "volume" : "129" }, "uris" : [ "http://www.mendeley.com/documents/?uuid=bef31134-6134-491e-b598-bc077f2e07f8" ] } ], "mendeley" : { "formattedCitation" : "(O\u2019Brien et al. 2007)", "plainTextFormattedCitation" : "(O\u2019Brien et al. 2007)", "previouslyFormattedCitation" : "(O\u2019Brien et al. 2007)" }, "properties" : { "noteIndex" : 0 }, "schema" : "https://github.com/citation-style-language/schema/raw/master/csl-citation.json" }</w:instrText>
            </w:r>
            <w:r w:rsidRPr="0028683B">
              <w:rPr>
                <w:sz w:val="20"/>
                <w:szCs w:val="20"/>
              </w:rPr>
              <w:fldChar w:fldCharType="separate"/>
            </w:r>
            <w:r w:rsidRPr="0028683B">
              <w:rPr>
                <w:noProof/>
                <w:sz w:val="20"/>
                <w:szCs w:val="20"/>
              </w:rPr>
              <w:t>(O’Brien et al. 2007)</w:t>
            </w:r>
            <w:r w:rsidRPr="0028683B">
              <w:rPr>
                <w:sz w:val="20"/>
                <w:szCs w:val="20"/>
              </w:rPr>
              <w:fldChar w:fldCharType="end"/>
            </w:r>
          </w:p>
        </w:tc>
      </w:tr>
      <w:tr w:rsidR="0081459B" w14:paraId="4A5898EC" w14:textId="77777777" w:rsidTr="00585CA3">
        <w:tc>
          <w:tcPr>
            <w:cnfStyle w:val="001000000000" w:firstRow="0" w:lastRow="0" w:firstColumn="1" w:lastColumn="0" w:oddVBand="0" w:evenVBand="0" w:oddHBand="0" w:evenHBand="0" w:firstRowFirstColumn="0" w:firstRowLastColumn="0" w:lastRowFirstColumn="0" w:lastRowLastColumn="0"/>
            <w:tcW w:w="8720" w:type="dxa"/>
            <w:gridSpan w:val="5"/>
            <w:shd w:val="clear" w:color="auto" w:fill="BFBFBF" w:themeFill="background1" w:themeFillShade="BF"/>
          </w:tcPr>
          <w:p w14:paraId="0EF439C3" w14:textId="77777777" w:rsidR="0081459B" w:rsidRPr="008F3618" w:rsidRDefault="0081459B" w:rsidP="00373089">
            <w:pPr>
              <w:rPr>
                <w:b w:val="0"/>
                <w:i/>
                <w:szCs w:val="24"/>
              </w:rPr>
            </w:pPr>
            <w:r w:rsidRPr="008F3618">
              <w:rPr>
                <w:b w:val="0"/>
                <w:i/>
                <w:szCs w:val="24"/>
              </w:rPr>
              <w:t>Indirect interactions (also see some entries in direct interactions)</w:t>
            </w:r>
          </w:p>
        </w:tc>
      </w:tr>
      <w:tr w:rsidR="0081459B" w14:paraId="738D8801" w14:textId="77777777" w:rsidTr="0058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43EF8095" w14:textId="77777777" w:rsidR="0081459B" w:rsidRPr="0028683B" w:rsidRDefault="0081459B" w:rsidP="00A065CB">
            <w:pPr>
              <w:rPr>
                <w:sz w:val="20"/>
                <w:szCs w:val="20"/>
              </w:rPr>
            </w:pPr>
            <w:r w:rsidRPr="0028683B">
              <w:rPr>
                <w:sz w:val="20"/>
                <w:szCs w:val="20"/>
              </w:rPr>
              <w:t>Urea</w:t>
            </w:r>
          </w:p>
        </w:tc>
        <w:tc>
          <w:tcPr>
            <w:tcW w:w="1417" w:type="dxa"/>
            <w:shd w:val="clear" w:color="auto" w:fill="auto"/>
          </w:tcPr>
          <w:p w14:paraId="5624AEB7" w14:textId="77777777" w:rsidR="0081459B" w:rsidRPr="0028683B" w:rsidRDefault="0081459B" w:rsidP="00A065CB">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t>Indirect</w:t>
            </w:r>
          </w:p>
        </w:tc>
        <w:tc>
          <w:tcPr>
            <w:tcW w:w="2552" w:type="dxa"/>
            <w:shd w:val="clear" w:color="auto" w:fill="auto"/>
          </w:tcPr>
          <w:p w14:paraId="584F9379" w14:textId="77777777" w:rsidR="0081459B" w:rsidRPr="0028683B" w:rsidRDefault="0081459B" w:rsidP="00A065CB">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t>Formation of specific urea-water complexes that immobilise water</w:t>
            </w:r>
          </w:p>
        </w:tc>
        <w:tc>
          <w:tcPr>
            <w:tcW w:w="1730" w:type="dxa"/>
            <w:shd w:val="clear" w:color="auto" w:fill="auto"/>
          </w:tcPr>
          <w:p w14:paraId="7FD95F7F" w14:textId="77777777" w:rsidR="0081459B" w:rsidRPr="0028683B" w:rsidRDefault="0081459B" w:rsidP="00A065CB">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t>Experimental (Spectroscopy)</w:t>
            </w:r>
          </w:p>
        </w:tc>
        <w:tc>
          <w:tcPr>
            <w:tcW w:w="1495" w:type="dxa"/>
            <w:shd w:val="clear" w:color="auto" w:fill="auto"/>
          </w:tcPr>
          <w:p w14:paraId="51318379" w14:textId="77777777" w:rsidR="0081459B" w:rsidRPr="0028683B" w:rsidRDefault="0081459B" w:rsidP="00A065CB">
            <w:pPr>
              <w:cnfStyle w:val="000000100000" w:firstRow="0" w:lastRow="0" w:firstColumn="0" w:lastColumn="0" w:oddVBand="0" w:evenVBand="0" w:oddHBand="1" w:evenHBand="0" w:firstRowFirstColumn="0" w:firstRowLastColumn="0" w:lastRowFirstColumn="0" w:lastRowLastColumn="0"/>
              <w:rPr>
                <w:sz w:val="20"/>
                <w:szCs w:val="20"/>
              </w:rPr>
            </w:pPr>
            <w:r w:rsidRPr="0028683B">
              <w:rPr>
                <w:sz w:val="20"/>
                <w:szCs w:val="20"/>
              </w:rPr>
              <w:fldChar w:fldCharType="begin" w:fldLock="1"/>
            </w:r>
            <w:r w:rsidR="00E11F61">
              <w:rPr>
                <w:sz w:val="20"/>
                <w:szCs w:val="20"/>
              </w:rPr>
              <w:instrText>ADDIN CSL_CITATION { "citationItems" : [ { "id" : "ITEM-1", "itemData" : { "DOI" : "10.1073/pnas.0606538103", "ISBN" : "0027-8424", "ISSN" : "0027-8424", "PMID" : "17116864", "abstract" : "We use polarization-resolved mid-infrared pump-probe spectroscopy to study the effect of urea on the structure and dynamics of water. Surprisingly, we find that, even at high concentrations of urea (8 M), the orientational dynamics of most water molecules are the same as in pure liquid water, showing that urea has a negligible effect on the hydrogen-bond dynamics of these molecules. However, a small fraction of the water molecules (approximately one water molecule per urea molecule) turns out to be strongly immobilized by urea, displaying orientational dynamics that are more than six times slower than in bulk water. A likely explanation is that these water molecules are tightly associated with urea, forming specific urea-water complexes. We discuss these results in light of the protein denaturing ability of aqueous urea.", "author" : [ { "dropping-particle" : "", "family" : "Rezus", "given" : "Y L A", "non-dropping-particle" : "", "parse-names" : false, "suffix" : "" }, { "dropping-particle" : "", "family" : "Bakker", "given" : "H J", "non-dropping-particle" : "", "parse-names" : false, "suffix" : "" } ], "container-title" : "Proceedings of the National Academy of Sciences of the United States of America", "id" : "ITEM-1", "issued" : { "date-parts" : [ [ "2006" ] ] }, "page" : "18417-18420", "title" : "Effect of urea on the structural dynamics of water", "type" : "article-journal", "volume" : "103" }, "uris" : [ "http://www.mendeley.com/documents/?uuid=73fb41ad-ac96-40d1-bf06-0dd09f1c8c49" ] } ], "mendeley" : { "formattedCitation" : "(Rezus &amp; Bakker 2006)", "plainTextFormattedCitation" : "(Rezus &amp; Bakker 2006)", "previouslyFormattedCitation" : "(Rezus &amp; Bakker 2006)" }, "properties" : { "noteIndex" : 0 }, "schema" : "https://github.com/citation-style-language/schema/raw/master/csl-citation.json" }</w:instrText>
            </w:r>
            <w:r w:rsidRPr="0028683B">
              <w:rPr>
                <w:sz w:val="20"/>
                <w:szCs w:val="20"/>
              </w:rPr>
              <w:fldChar w:fldCharType="separate"/>
            </w:r>
            <w:r w:rsidRPr="0028683B">
              <w:rPr>
                <w:noProof/>
                <w:sz w:val="20"/>
                <w:szCs w:val="20"/>
              </w:rPr>
              <w:t>(Rezus &amp; Bakker 2006)</w:t>
            </w:r>
            <w:r w:rsidRPr="0028683B">
              <w:rPr>
                <w:sz w:val="20"/>
                <w:szCs w:val="20"/>
              </w:rPr>
              <w:fldChar w:fldCharType="end"/>
            </w:r>
          </w:p>
        </w:tc>
      </w:tr>
    </w:tbl>
    <w:p w14:paraId="17A78068" w14:textId="77777777" w:rsidR="00F267E1" w:rsidRDefault="00F267E1" w:rsidP="00373089">
      <w:pPr>
        <w:rPr>
          <w:szCs w:val="24"/>
        </w:rPr>
      </w:pPr>
    </w:p>
    <w:p w14:paraId="0FF5DAF1" w14:textId="77777777" w:rsidR="001B3939" w:rsidRDefault="00D26C60" w:rsidP="001B3939">
      <w:pPr>
        <w:pStyle w:val="Heading3"/>
      </w:pPr>
      <w:bookmarkStart w:id="35" w:name="_Toc485712747"/>
      <w:r>
        <w:t>Small organic molecules</w:t>
      </w:r>
      <w:bookmarkEnd w:id="35"/>
    </w:p>
    <w:p w14:paraId="65DD1C20" w14:textId="77777777" w:rsidR="00CC7881" w:rsidRPr="008927E7" w:rsidRDefault="00A96D00" w:rsidP="00A96D00">
      <w:pPr>
        <w:rPr>
          <w:szCs w:val="24"/>
        </w:rPr>
      </w:pPr>
      <w:r w:rsidRPr="008927E7">
        <w:rPr>
          <w:szCs w:val="24"/>
        </w:rPr>
        <w:t xml:space="preserve">The majority of small organic molecules, with the exception of the denaturants described above in section </w:t>
      </w:r>
      <w:r w:rsidRPr="008927E7">
        <w:rPr>
          <w:szCs w:val="24"/>
        </w:rPr>
        <w:fldChar w:fldCharType="begin"/>
      </w:r>
      <w:r w:rsidRPr="008927E7">
        <w:rPr>
          <w:szCs w:val="24"/>
        </w:rPr>
        <w:instrText xml:space="preserve"> REF _Ref453082183 \r \h </w:instrText>
      </w:r>
      <w:r w:rsidR="008927E7">
        <w:rPr>
          <w:szCs w:val="24"/>
        </w:rPr>
        <w:instrText xml:space="preserve"> \* MERGEFORMAT </w:instrText>
      </w:r>
      <w:r w:rsidRPr="008927E7">
        <w:rPr>
          <w:szCs w:val="24"/>
        </w:rPr>
      </w:r>
      <w:r w:rsidRPr="008927E7">
        <w:rPr>
          <w:szCs w:val="24"/>
        </w:rPr>
        <w:fldChar w:fldCharType="separate"/>
      </w:r>
      <w:r w:rsidR="00AA6926">
        <w:rPr>
          <w:szCs w:val="24"/>
        </w:rPr>
        <w:t>1.3.2</w:t>
      </w:r>
      <w:r w:rsidRPr="008927E7">
        <w:rPr>
          <w:szCs w:val="24"/>
        </w:rPr>
        <w:fldChar w:fldCharType="end"/>
      </w:r>
      <w:r w:rsidRPr="008927E7">
        <w:rPr>
          <w:szCs w:val="24"/>
        </w:rPr>
        <w:t>, are thought to stabilise proteins against v</w:t>
      </w:r>
      <w:r w:rsidR="008927E7">
        <w:rPr>
          <w:szCs w:val="24"/>
        </w:rPr>
        <w:t>arious stresses, including the</w:t>
      </w:r>
      <w:r w:rsidRPr="008927E7">
        <w:rPr>
          <w:szCs w:val="24"/>
        </w:rPr>
        <w:t xml:space="preserve"> </w:t>
      </w:r>
      <w:r w:rsidR="008927E7">
        <w:rPr>
          <w:szCs w:val="24"/>
        </w:rPr>
        <w:t xml:space="preserve">environmental stresses </w:t>
      </w:r>
      <w:r w:rsidRPr="008927E7">
        <w:rPr>
          <w:szCs w:val="24"/>
        </w:rPr>
        <w:t xml:space="preserve">outlined in section </w:t>
      </w:r>
      <w:r w:rsidRPr="008927E7">
        <w:rPr>
          <w:szCs w:val="24"/>
        </w:rPr>
        <w:fldChar w:fldCharType="begin"/>
      </w:r>
      <w:r w:rsidRPr="008927E7">
        <w:rPr>
          <w:szCs w:val="24"/>
        </w:rPr>
        <w:instrText xml:space="preserve"> REF _Ref453082230 \r \h </w:instrText>
      </w:r>
      <w:r w:rsidR="008927E7">
        <w:rPr>
          <w:szCs w:val="24"/>
        </w:rPr>
        <w:instrText xml:space="preserve"> \* MERGEFORMAT </w:instrText>
      </w:r>
      <w:r w:rsidRPr="008927E7">
        <w:rPr>
          <w:szCs w:val="24"/>
        </w:rPr>
      </w:r>
      <w:r w:rsidRPr="008927E7">
        <w:rPr>
          <w:szCs w:val="24"/>
        </w:rPr>
        <w:fldChar w:fldCharType="separate"/>
      </w:r>
      <w:r w:rsidR="00AA6926">
        <w:rPr>
          <w:szCs w:val="24"/>
        </w:rPr>
        <w:t>1.2</w:t>
      </w:r>
      <w:r w:rsidRPr="008927E7">
        <w:rPr>
          <w:szCs w:val="24"/>
        </w:rPr>
        <w:fldChar w:fldCharType="end"/>
      </w:r>
      <w:r w:rsidRPr="008927E7">
        <w:rPr>
          <w:szCs w:val="24"/>
        </w:rPr>
        <w:t xml:space="preserve"> as well as </w:t>
      </w:r>
      <w:r w:rsidRPr="008927E7">
        <w:rPr>
          <w:szCs w:val="24"/>
        </w:rPr>
        <w:lastRenderedPageBreak/>
        <w:t xml:space="preserve">osmotic stress and </w:t>
      </w:r>
      <w:r w:rsidR="008925CC" w:rsidRPr="008927E7">
        <w:rPr>
          <w:szCs w:val="24"/>
        </w:rPr>
        <w:t>desiccation</w:t>
      </w:r>
      <w:r w:rsidRPr="008927E7">
        <w:rPr>
          <w:szCs w:val="24"/>
        </w:rPr>
        <w:t xml:space="preserve"> </w:t>
      </w:r>
      <w:r w:rsidRPr="008927E7">
        <w:rPr>
          <w:szCs w:val="24"/>
        </w:rPr>
        <w:fldChar w:fldCharType="begin" w:fldLock="1"/>
      </w:r>
      <w:r w:rsidR="00A01A3E" w:rsidRPr="008927E7">
        <w:rPr>
          <w:szCs w:val="24"/>
        </w:rPr>
        <w:instrText>ADDIN CSL_CITATION { "citationItems" : [ { "id" : "ITEM-1", "itemData" : { "DOI" : "10.1016/S0091-679X(07)84022-2", "ISSN" : "0091-679X", "PMID" : "17964947", "abstract" : "Osmolytes are a class of compounds ubiquitously used by living organisms to respond to cellular stress or to fine-tune molecular properties in the cell. These compounds are also highly useful in vitro. In this chapter, we give an overview of the possible uses of osmolytes in the laboratory, and how we can investigate and understand their modes of action. Experimental procedures are discussed with a specific emphasis on osmolyte-related aspects and on the theoretical aspects that are important to both introductory and more advanced interpretations of such experiments.", "author" : [ { "dropping-particle" : "", "family" : "Harries", "given" : "D", "non-dropping-particle" : "", "parse-names" : false, "suffix" : "" }, { "dropping-particle" : "", "family" : "R\u00f6sgen", "given" : "J", "non-dropping-particle" : "", "parse-names" : false, "suffix" : "" } ], "container-title" : "Methods in Cell Biology", "id" : "ITEM-1", "issued" : { "date-parts" : [ [ "2008", "1" ] ] }, "page" : "679-735", "title" : "A practical guide on how osmolytes modulate macromolecular properties", "type" : "article-journal", "volume" : "84" }, "uris" : [ "http://www.mendeley.com/documents/?uuid=9e08d271-e56f-48c8-b9dd-3fbb3af2c9bb" ] } ], "mendeley" : { "formattedCitation" : "(Harries &amp; R\u00f6sgen 2008)", "plainTextFormattedCitation" : "(Harries &amp; R\u00f6sgen 2008)", "previouslyFormattedCitation" : "(Harries &amp; R\u00f6sgen 2008)" }, "properties" : { "noteIndex" : 0 }, "schema" : "https://github.com/citation-style-language/schema/raw/master/csl-citation.json" }</w:instrText>
      </w:r>
      <w:r w:rsidRPr="008927E7">
        <w:rPr>
          <w:szCs w:val="24"/>
        </w:rPr>
        <w:fldChar w:fldCharType="separate"/>
      </w:r>
      <w:r w:rsidR="00A01A3E" w:rsidRPr="008927E7">
        <w:rPr>
          <w:noProof/>
          <w:szCs w:val="24"/>
        </w:rPr>
        <w:t>(Harries &amp; Rösgen 2008)</w:t>
      </w:r>
      <w:r w:rsidRPr="008927E7">
        <w:rPr>
          <w:szCs w:val="24"/>
        </w:rPr>
        <w:fldChar w:fldCharType="end"/>
      </w:r>
      <w:r w:rsidRPr="008927E7">
        <w:rPr>
          <w:szCs w:val="24"/>
        </w:rPr>
        <w:t>.</w:t>
      </w:r>
      <w:r w:rsidR="00A01A3E" w:rsidRPr="008927E7">
        <w:rPr>
          <w:szCs w:val="24"/>
        </w:rPr>
        <w:t xml:space="preserve"> </w:t>
      </w:r>
      <w:r w:rsidR="00F37B19">
        <w:rPr>
          <w:szCs w:val="24"/>
        </w:rPr>
        <w:t xml:space="preserve">They </w:t>
      </w:r>
      <w:r w:rsidR="008925CC">
        <w:rPr>
          <w:szCs w:val="24"/>
        </w:rPr>
        <w:t xml:space="preserve">result in a </w:t>
      </w:r>
      <w:r w:rsidR="0079575A">
        <w:rPr>
          <w:szCs w:val="24"/>
        </w:rPr>
        <w:t>larger difference in</w:t>
      </w:r>
      <w:r w:rsidR="008925CC">
        <w:rPr>
          <w:szCs w:val="24"/>
        </w:rPr>
        <w:t xml:space="preserve"> Gibbs free energy of </w:t>
      </w:r>
      <w:r w:rsidR="0079575A">
        <w:rPr>
          <w:szCs w:val="24"/>
        </w:rPr>
        <w:t>the native and denatured states</w:t>
      </w:r>
      <w:r w:rsidR="0079575A" w:rsidRPr="0079575A">
        <w:rPr>
          <w:szCs w:val="24"/>
        </w:rPr>
        <w:t xml:space="preserve"> </w:t>
      </w:r>
      <w:r w:rsidR="0079575A">
        <w:rPr>
          <w:szCs w:val="24"/>
        </w:rPr>
        <w:t>in comparison to the protein in pure aqueous solution, favouring</w:t>
      </w:r>
      <w:r w:rsidR="008925CC">
        <w:rPr>
          <w:szCs w:val="24"/>
        </w:rPr>
        <w:t xml:space="preserve"> the native state of the protein</w:t>
      </w:r>
      <w:r w:rsidR="0079575A">
        <w:rPr>
          <w:szCs w:val="24"/>
        </w:rPr>
        <w:t xml:space="preserve"> (see </w:t>
      </w:r>
      <w:r w:rsidR="0079575A">
        <w:rPr>
          <w:szCs w:val="24"/>
        </w:rPr>
        <w:fldChar w:fldCharType="begin"/>
      </w:r>
      <w:r w:rsidR="0079575A">
        <w:rPr>
          <w:szCs w:val="24"/>
        </w:rPr>
        <w:instrText xml:space="preserve"> REF _Ref460077509 \h </w:instrText>
      </w:r>
      <w:r w:rsidR="0079575A">
        <w:rPr>
          <w:szCs w:val="24"/>
        </w:rPr>
      </w:r>
      <w:r w:rsidR="0079575A">
        <w:rPr>
          <w:szCs w:val="24"/>
        </w:rPr>
        <w:fldChar w:fldCharType="separate"/>
      </w:r>
      <w:r w:rsidR="00AA6926">
        <w:t xml:space="preserve">Figure </w:t>
      </w:r>
      <w:r w:rsidR="00AA6926">
        <w:rPr>
          <w:noProof/>
        </w:rPr>
        <w:t>1</w:t>
      </w:r>
      <w:r w:rsidR="00AA6926">
        <w:noBreakHyphen/>
      </w:r>
      <w:r w:rsidR="00AA6926">
        <w:rPr>
          <w:noProof/>
        </w:rPr>
        <w:t>2</w:t>
      </w:r>
      <w:r w:rsidR="0079575A">
        <w:rPr>
          <w:szCs w:val="24"/>
        </w:rPr>
        <w:fldChar w:fldCharType="end"/>
      </w:r>
      <w:r w:rsidR="0079575A">
        <w:rPr>
          <w:szCs w:val="24"/>
        </w:rPr>
        <w:t>)</w:t>
      </w:r>
      <w:r w:rsidR="008925CC">
        <w:rPr>
          <w:szCs w:val="24"/>
        </w:rPr>
        <w:t xml:space="preserve">. </w:t>
      </w:r>
      <w:r w:rsidR="00A01A3E" w:rsidRPr="008927E7">
        <w:rPr>
          <w:szCs w:val="24"/>
        </w:rPr>
        <w:t xml:space="preserve">Various terms are used to describe these molecules depending on both the context and the field of study, which highlights the lack of communication between different </w:t>
      </w:r>
      <w:r w:rsidR="003C3871">
        <w:rPr>
          <w:szCs w:val="24"/>
        </w:rPr>
        <w:t>disciplines</w:t>
      </w:r>
      <w:r w:rsidR="00A01A3E" w:rsidRPr="008927E7">
        <w:rPr>
          <w:szCs w:val="24"/>
        </w:rPr>
        <w:t xml:space="preserve"> that study the same molecules. A simple term for these would be ‘stabilisers’, although as is described later in section</w:t>
      </w:r>
      <w:r w:rsidR="00DD5FB0">
        <w:rPr>
          <w:szCs w:val="24"/>
        </w:rPr>
        <w:t xml:space="preserve"> </w:t>
      </w:r>
      <w:r w:rsidR="00DD5FB0">
        <w:rPr>
          <w:szCs w:val="24"/>
        </w:rPr>
        <w:fldChar w:fldCharType="begin"/>
      </w:r>
      <w:r w:rsidR="00DD5FB0">
        <w:rPr>
          <w:szCs w:val="24"/>
        </w:rPr>
        <w:instrText xml:space="preserve"> REF _Ref460078303 \r \h </w:instrText>
      </w:r>
      <w:r w:rsidR="00DD5FB0">
        <w:rPr>
          <w:szCs w:val="24"/>
        </w:rPr>
      </w:r>
      <w:r w:rsidR="00DD5FB0">
        <w:rPr>
          <w:szCs w:val="24"/>
        </w:rPr>
        <w:fldChar w:fldCharType="separate"/>
      </w:r>
      <w:r w:rsidR="00AA6926">
        <w:rPr>
          <w:szCs w:val="24"/>
        </w:rPr>
        <w:t>1.5.1</w:t>
      </w:r>
      <w:r w:rsidR="00DD5FB0">
        <w:rPr>
          <w:szCs w:val="24"/>
        </w:rPr>
        <w:fldChar w:fldCharType="end"/>
      </w:r>
      <w:r w:rsidR="00A01A3E" w:rsidRPr="008927E7">
        <w:rPr>
          <w:szCs w:val="24"/>
        </w:rPr>
        <w:t xml:space="preserve">, there are often certain conditions where these molecules cease to stabilise proteins. A term often used by cell biologists for these small molecules is ‘osmolytes’, due to their accumulation in cells to counteract the destabilising effects of osmotic stress on proteins </w:t>
      </w:r>
      <w:r w:rsidR="00A01A3E" w:rsidRPr="008927E7">
        <w:rPr>
          <w:szCs w:val="24"/>
        </w:rPr>
        <w:fldChar w:fldCharType="begin" w:fldLock="1"/>
      </w:r>
      <w:r w:rsidR="00A01A3E" w:rsidRPr="008927E7">
        <w:rPr>
          <w:szCs w:val="24"/>
        </w:rPr>
        <w:instrText>ADDIN CSL_CITATION { "citationItems" : [ { "id" : "ITEM-1", "itemData" : { "author" : [ { "dropping-particle" : "", "family" : "Yancey", "given" : "P H", "non-dropping-particle" : "", "parse-names" : false, "suffix" : "" } ], "container-title" : "American Zoology", "id" : "ITEM-1", "issued" : { "date-parts" : [ [ "2001" ] ] }, "page" : "699-709", "title" : "Water stress, osmolytes and proteins", "type" : "article-journal", "volume" : "41" }, "uris" : [ "http://www.mendeley.com/documents/?uuid=6b57cc08-6d87-4dd8-a94f-01bdbd6d32cc" ] } ], "mendeley" : { "formattedCitation" : "(Yancey 2001)", "plainTextFormattedCitation" : "(Yancey 2001)", "previouslyFormattedCitation" : "(Yancey 2001)" }, "properties" : { "noteIndex" : 0 }, "schema" : "https://github.com/citation-style-language/schema/raw/master/csl-citation.json" }</w:instrText>
      </w:r>
      <w:r w:rsidR="00A01A3E" w:rsidRPr="008927E7">
        <w:rPr>
          <w:szCs w:val="24"/>
        </w:rPr>
        <w:fldChar w:fldCharType="separate"/>
      </w:r>
      <w:r w:rsidR="00A01A3E" w:rsidRPr="008927E7">
        <w:rPr>
          <w:noProof/>
          <w:szCs w:val="24"/>
        </w:rPr>
        <w:t>(Yancey 2001)</w:t>
      </w:r>
      <w:r w:rsidR="00A01A3E" w:rsidRPr="008927E7">
        <w:rPr>
          <w:szCs w:val="24"/>
        </w:rPr>
        <w:fldChar w:fldCharType="end"/>
      </w:r>
      <w:r w:rsidR="00A01A3E" w:rsidRPr="008927E7">
        <w:rPr>
          <w:szCs w:val="24"/>
        </w:rPr>
        <w:t xml:space="preserve">. The problem with using the term ‘osmolytes’, is that certain small organic molecules, such as the positively charged amino acids, are not accumulated in cells and so cannot be included in this nomenclature </w:t>
      </w:r>
      <w:r w:rsidR="00A01A3E" w:rsidRPr="008927E7">
        <w:rPr>
          <w:szCs w:val="24"/>
        </w:rPr>
        <w:fldChar w:fldCharType="begin" w:fldLock="1"/>
      </w:r>
      <w:r w:rsidR="00A01A3E" w:rsidRPr="008927E7">
        <w:rPr>
          <w:szCs w:val="24"/>
        </w:rPr>
        <w:instrText>ADDIN CSL_CITATION { "citationItems" : [ { "id" : "ITEM-1", "itemData" : { "DOI" : "10.1002/jez.1402080202", "ISSN" : "0022-104X", "PMID" : "469480", "abstract" : "The major nitrogenous osmolytes present in the cells of marine invertebrates, notably the free amino acids glycine, alanine and proline, and trimethylamine oxide and betaine, are highly compatible with proper enzyme function and structure. These nitrogenous osmolytes display either non-perturbing or, in some cases, favorable effects on enzyme-substrate and enzyme-cofactor complex formation, catalytic velocity and protein structural stability. In contrast, inorganic salts (KCl and NaCl) and certain of the free amino acids which play only a minor osmotic role, e.g., arginine and lysine, have strongly perturbing effects on one or more of these enzymic parameters. The compatible nitrogenous solutes therefore are suitable for use at high (several tenths molar) concentrations and at widely varying concentrations in osmo-conforming species. Certain nitrogenous solutes, especially trimethylamine oxide, betaine and glutamate, offset some of the perturbing effects of inorganic ions on enzyme function. The selective accumulation of osmolytes thus involves not only the concentration of non-perturbing solutes, but also a balanced accumulation of solutes with opposing effects on enzymes. The selection of end-products of anaerobic metabolism also appears to be based, in part, on considerations of solute compatibility with enzyme function. Octopine is a non-perturbing solute, whereas arginine, which is condensed with pyruvate to form octopine, is very strongly perturbing. Succinate has marked stabilizing effects on protein structure. We conclude that the composition of the intracellular fluids of marine invertebrates reflects selection for osmolytes and end-products whose net effects create a cellular microenvironment which is conducive to optimal enzyme function and structure. The accumulation of compatible solutes may preclude the necessity for widespread changes in protein structure in adapting to concentrated or highly variable osmotic environments.", "author" : [ { "dropping-particle" : "", "family" : "Bowlus", "given" : "R D", "non-dropping-particle" : "", "parse-names" : false, "suffix" : "" }, { "dropping-particle" : "", "family" : "Somero", "given" : "G N", "non-dropping-particle" : "", "parse-names" : false, "suffix" : "" } ], "container-title" : "Journal of Experimental Zoology", "id" : "ITEM-1", "issued" : { "date-parts" : [ [ "1979" ] ] }, "page" : "137-151", "title" : "Solute compatibility with enzyme function and structure: rationales for the selection of osmotic agents and end-products of anaerobic metabolism in marine invertebrates", "type" : "article-journal", "volume" : "208" }, "uris" : [ "http://www.mendeley.com/documents/?uuid=7dde3bd3-612c-4dc0-b5b3-9e57c8eb9a26" ] } ], "mendeley" : { "formattedCitation" : "(Bowlus &amp; Somero 1979)", "plainTextFormattedCitation" : "(Bowlus &amp; Somero 1979)", "previouslyFormattedCitation" : "(Bowlus &amp; Somero 1979)" }, "properties" : { "noteIndex" : 0 }, "schema" : "https://github.com/citation-style-language/schema/raw/master/csl-citation.json" }</w:instrText>
      </w:r>
      <w:r w:rsidR="00A01A3E" w:rsidRPr="008927E7">
        <w:rPr>
          <w:szCs w:val="24"/>
        </w:rPr>
        <w:fldChar w:fldCharType="separate"/>
      </w:r>
      <w:r w:rsidR="00A01A3E" w:rsidRPr="008927E7">
        <w:rPr>
          <w:noProof/>
          <w:szCs w:val="24"/>
        </w:rPr>
        <w:t>(Bowlus &amp; Somero 1979)</w:t>
      </w:r>
      <w:r w:rsidR="00A01A3E" w:rsidRPr="008927E7">
        <w:rPr>
          <w:szCs w:val="24"/>
        </w:rPr>
        <w:fldChar w:fldCharType="end"/>
      </w:r>
      <w:r w:rsidR="00A01A3E" w:rsidRPr="008927E7">
        <w:rPr>
          <w:szCs w:val="24"/>
        </w:rPr>
        <w:t>. Pharmaceutical and formulation scientists call these stabilising small organic molecules ‘chemical chaperones’</w:t>
      </w:r>
      <w:r w:rsidR="00645023" w:rsidRPr="008927E7">
        <w:rPr>
          <w:szCs w:val="24"/>
        </w:rPr>
        <w:t xml:space="preserve"> </w:t>
      </w:r>
      <w:r w:rsidR="00A01A3E" w:rsidRPr="008927E7">
        <w:rPr>
          <w:szCs w:val="24"/>
        </w:rPr>
        <w:fldChar w:fldCharType="begin" w:fldLock="1"/>
      </w:r>
      <w:r w:rsidR="00E11F61">
        <w:rPr>
          <w:szCs w:val="24"/>
        </w:rPr>
        <w:instrText>ADDIN CSL_CITATION { "citationItems" : [ { "id" : "ITEM-1", "itemData" : { "ISSN" : "1355-8145", "PMID" : "9222596", "abstract" : "Protein folding inside the cell involves the participation of accessory components known as molecular chaperones. In addition to their active participation in the folding process, molecular chaperones serve as a type of 'quality control system', recognizing, retaining and targeting misfolded proteins for their eventual degradation. It is now known that a number of human diseases arise as a consequence of specific point mutations or deletions within genes encoding essential proteins. In many cases these mutations/deletions are not so severe as to totally destroy the biological activity of the particular gene product. Rather, the mutations often result in only subtle folding abnormalities which lead to the newly synthesized protein being retained at the endoplasmic reticulum by the actions of the cellular quality control system. In this short review article we discuss our recent studies showing that the protein folding defect associated with the most common mutation in patients with cystic fibrosis can be overcome by a novel strategy. As shown in the paper by Brown et al in this issue (Brown et al 1996), a number of different low molecular weight compounds, all known to stabilize proteins in their native conformation, are effective in rescuing the processing defect of the mutant cystic fibrosis transmembrane conductance regulator protein. We then discuss how these same compounds, which we now call chemical chaperones, also may prove to be effective in correcting a number of other protein folding abnormalities which constitute the underlying basis of a large number of different human diseases.", "author" : [ { "dropping-particle" : "", "family" : "Welch", "given" : "W J", "non-dropping-particle" : "", "parse-names" : false, "suffix" : "" }, { "dropping-particle" : "", "family" : "Brown", "given" : "C R", "non-dropping-particle" : "", "parse-names" : false, "suffix" : "" } ], "container-title" : "Cell stress &amp; chaperones", "id" : "ITEM-1", "issued" : { "date-parts" : [ [ "1996", "6" ] ] }, "page" : "109-115", "title" : "Influence of molecular and chemical chaperones on protein folding", "type" : "article", "volume" : "1" }, "uris" : [ "http://www.mendeley.com/documents/?uuid=0bd9b9f1-5a45-42ca-8e2d-374c649b825f" ] } ], "mendeley" : { "formattedCitation" : "(Welch &amp; Brown 1996)", "plainTextFormattedCitation" : "(Welch &amp; Brown 1996)", "previouslyFormattedCitation" : "(Welch &amp; Brown 1996)" }, "properties" : { "noteIndex" : 0 }, "schema" : "https://github.com/citation-style-language/schema/raw/master/csl-citation.json" }</w:instrText>
      </w:r>
      <w:r w:rsidR="00A01A3E" w:rsidRPr="008927E7">
        <w:rPr>
          <w:szCs w:val="24"/>
        </w:rPr>
        <w:fldChar w:fldCharType="separate"/>
      </w:r>
      <w:r w:rsidR="00A01A3E" w:rsidRPr="008927E7">
        <w:rPr>
          <w:noProof/>
          <w:szCs w:val="24"/>
        </w:rPr>
        <w:t>(Welch &amp; Brown 1996)</w:t>
      </w:r>
      <w:r w:rsidR="00A01A3E" w:rsidRPr="008927E7">
        <w:rPr>
          <w:szCs w:val="24"/>
        </w:rPr>
        <w:fldChar w:fldCharType="end"/>
      </w:r>
      <w:r w:rsidR="00A01A3E" w:rsidRPr="008927E7">
        <w:rPr>
          <w:szCs w:val="24"/>
        </w:rPr>
        <w:t xml:space="preserve"> or ‘excipients’</w:t>
      </w:r>
      <w:r w:rsidR="00645023" w:rsidRPr="008927E7">
        <w:rPr>
          <w:szCs w:val="24"/>
        </w:rPr>
        <w:t xml:space="preserve"> </w:t>
      </w:r>
      <w:r w:rsidR="00A01A3E" w:rsidRPr="008927E7">
        <w:rPr>
          <w:szCs w:val="24"/>
        </w:rPr>
        <w:fldChar w:fldCharType="begin" w:fldLock="1"/>
      </w:r>
      <w:r w:rsidR="00852101" w:rsidRPr="008927E7">
        <w:rPr>
          <w:szCs w:val="24"/>
        </w:rPr>
        <w:instrText>ADDIN CSL_CITATION { "citationItems" : [ { "id" : "ITEM-1", "itemData" : { "DOI" : "10.1517/17425240903199143", "ISSN" : "1744-7593", "PMID" : "19678792", "abstract" : "In the area of peptide and protein pharmaceuticals, both the physical and chemical stability of biopharmaceuticals are critical and need to be optimised when formulating a drug product, in order to optimise the outcome after processing and storage. This review focuses on the effects on the stability from various types of excipient and the choices that have to be made during formulation of drug products containing peptides or proteins. It is illustrated, through examples, how the choice of one excipient over another can affect the stability of a protein drug formulation, along with other problems linked to this choice. The excipients used in pharmaceutical preparations are limited and from an academic point of view there is a clear requirement for new excipients.", "author" : [ { "dropping-particle" : "", "family" : "Jorgensen", "given" : "L", "non-dropping-particle" : "", "parse-names" : false, "suffix" : "" }, { "dropping-particle" : "", "family" : "Hostrup", "given" : "S", "non-dropping-particle" : "", "parse-names" : false, "suffix" : "" }, { "dropping-particle" : "", "family" : "Moeller", "given" : "E H", "non-dropping-particle" : "", "parse-names" : false, "suffix" : "" }, { "dropping-particle" : "", "family" : "Grohganz", "given" : "H", "non-dropping-particle" : "", "parse-names" : false, "suffix" : "" } ], "container-title" : "Expert Opinion on Drug Delivery", "id" : "ITEM-1", "issued" : { "date-parts" : [ [ "2009", "11" ] ] }, "page" : "1219-1230", "title" : "Recent trends in stabilising peptides and proteins in pharmaceutical formulation - considerations in the choice of excipients", "type" : "article-journal", "volume" : "6" }, "uris" : [ "http://www.mendeley.com/documents/?uuid=8bf98923-ee81-40e1-a96a-6352403ea5bb" ] } ], "mendeley" : { "formattedCitation" : "(Jorgensen et al. 2009)", "plainTextFormattedCitation" : "(Jorgensen et al. 2009)", "previouslyFormattedCitation" : "(Jorgensen et al. 2009)" }, "properties" : { "noteIndex" : 0 }, "schema" : "https://github.com/citation-style-language/schema/raw/master/csl-citation.json" }</w:instrText>
      </w:r>
      <w:r w:rsidR="00A01A3E" w:rsidRPr="008927E7">
        <w:rPr>
          <w:szCs w:val="24"/>
        </w:rPr>
        <w:fldChar w:fldCharType="separate"/>
      </w:r>
      <w:r w:rsidR="00A01A3E" w:rsidRPr="008927E7">
        <w:rPr>
          <w:noProof/>
          <w:szCs w:val="24"/>
        </w:rPr>
        <w:t>(Jorgensen et al. 2009)</w:t>
      </w:r>
      <w:r w:rsidR="00A01A3E" w:rsidRPr="008927E7">
        <w:rPr>
          <w:szCs w:val="24"/>
        </w:rPr>
        <w:fldChar w:fldCharType="end"/>
      </w:r>
      <w:r w:rsidR="00645023" w:rsidRPr="008927E7">
        <w:rPr>
          <w:szCs w:val="24"/>
        </w:rPr>
        <w:t xml:space="preserve">, due to their usefulness in the formulation of therapeutic proteins. </w:t>
      </w:r>
      <w:r w:rsidR="0079575A">
        <w:rPr>
          <w:szCs w:val="24"/>
        </w:rPr>
        <w:t>It</w:t>
      </w:r>
      <w:r w:rsidR="00645023" w:rsidRPr="008927E7">
        <w:rPr>
          <w:szCs w:val="24"/>
        </w:rPr>
        <w:t xml:space="preserve"> is not appropriate to use these </w:t>
      </w:r>
      <w:r w:rsidR="008927E7">
        <w:rPr>
          <w:szCs w:val="24"/>
        </w:rPr>
        <w:t xml:space="preserve">pharmaceutical </w:t>
      </w:r>
      <w:r w:rsidR="00645023" w:rsidRPr="008927E7">
        <w:rPr>
          <w:szCs w:val="24"/>
        </w:rPr>
        <w:t xml:space="preserve">terms here due to the fact that both terms include molecules other than those discussed, for example chemical chaperones can include detergents and pharmacological chaperones that act specifically on one protein and excipients can </w:t>
      </w:r>
      <w:r w:rsidR="003C3871" w:rsidRPr="008927E7">
        <w:rPr>
          <w:szCs w:val="24"/>
        </w:rPr>
        <w:t>comprise</w:t>
      </w:r>
      <w:r w:rsidR="00DD5FB0">
        <w:rPr>
          <w:szCs w:val="24"/>
        </w:rPr>
        <w:t xml:space="preserve"> any molecule that is</w:t>
      </w:r>
      <w:r w:rsidR="00645023" w:rsidRPr="008927E7">
        <w:rPr>
          <w:szCs w:val="24"/>
        </w:rPr>
        <w:t xml:space="preserve"> included in a biopharmaceutical formulation, not only those that are present to increase protein stability. </w:t>
      </w:r>
      <w:r w:rsidR="00A065CB" w:rsidRPr="008927E7">
        <w:rPr>
          <w:szCs w:val="24"/>
        </w:rPr>
        <w:t xml:space="preserve">Stabilising small organic molecules are also occasionally called ‘kosmotropes’, similarly to the stabilising Hofmeister salts, however the </w:t>
      </w:r>
      <w:r w:rsidR="003C3871">
        <w:rPr>
          <w:szCs w:val="24"/>
        </w:rPr>
        <w:t xml:space="preserve">‘water structure-maker’ </w:t>
      </w:r>
      <w:r w:rsidR="00A065CB" w:rsidRPr="008927E7">
        <w:rPr>
          <w:szCs w:val="24"/>
        </w:rPr>
        <w:t xml:space="preserve">theory behind this term has recently been contested as is discussed in section </w:t>
      </w:r>
      <w:r w:rsidR="00DD5FB0">
        <w:rPr>
          <w:szCs w:val="24"/>
        </w:rPr>
        <w:fldChar w:fldCharType="begin"/>
      </w:r>
      <w:r w:rsidR="00DD5FB0">
        <w:rPr>
          <w:szCs w:val="24"/>
        </w:rPr>
        <w:instrText xml:space="preserve"> REF _Ref456083118 \r \h </w:instrText>
      </w:r>
      <w:r w:rsidR="00DD5FB0">
        <w:rPr>
          <w:szCs w:val="24"/>
        </w:rPr>
      </w:r>
      <w:r w:rsidR="00DD5FB0">
        <w:rPr>
          <w:szCs w:val="24"/>
        </w:rPr>
        <w:fldChar w:fldCharType="separate"/>
      </w:r>
      <w:r w:rsidR="00AA6926">
        <w:rPr>
          <w:szCs w:val="24"/>
        </w:rPr>
        <w:t>1.4.3.1</w:t>
      </w:r>
      <w:r w:rsidR="00DD5FB0">
        <w:rPr>
          <w:szCs w:val="24"/>
        </w:rPr>
        <w:fldChar w:fldCharType="end"/>
      </w:r>
      <w:r w:rsidR="00DD5FB0">
        <w:rPr>
          <w:szCs w:val="24"/>
        </w:rPr>
        <w:t xml:space="preserve">. </w:t>
      </w:r>
      <w:r w:rsidR="00CC7881">
        <w:rPr>
          <w:szCs w:val="24"/>
        </w:rPr>
        <w:t>The terms ‘cosolute’ and ‘cosolvent’ are often also used interchangeably to describe small molecules in solution, and there are arguments to support the use of either term. For simplicity in this thesis the term ‘cosolute’ is used to define small molecules in solution whose presence affects the stability of proteins, unless the context requires the use of ‘osmolyte’ or ‘excipient’.</w:t>
      </w:r>
    </w:p>
    <w:p w14:paraId="6E8CE9E3" w14:textId="77777777" w:rsidR="005F4F0D" w:rsidRDefault="00852101" w:rsidP="00A96D00">
      <w:pPr>
        <w:rPr>
          <w:szCs w:val="24"/>
        </w:rPr>
      </w:pPr>
      <w:r w:rsidRPr="008927E7">
        <w:rPr>
          <w:szCs w:val="24"/>
        </w:rPr>
        <w:t xml:space="preserve">Broadly speaking </w:t>
      </w:r>
      <w:r w:rsidR="00167A09">
        <w:rPr>
          <w:szCs w:val="24"/>
        </w:rPr>
        <w:t>stabilising cosolutes</w:t>
      </w:r>
      <w:r w:rsidRPr="008927E7">
        <w:rPr>
          <w:szCs w:val="24"/>
        </w:rPr>
        <w:t xml:space="preserve"> can be grouped into three major classes: polyols and sugars, amino acids and derivatives, and methylamines </w:t>
      </w:r>
      <w:r w:rsidRPr="008927E7">
        <w:rPr>
          <w:szCs w:val="24"/>
        </w:rPr>
        <w:fldChar w:fldCharType="begin" w:fldLock="1"/>
      </w:r>
      <w:r w:rsidR="00DD6047">
        <w:rPr>
          <w:szCs w:val="24"/>
        </w:rPr>
        <w:instrText>ADDIN CSL_CITATION { "citationItems" : [ { "id" : "ITEM-1", "itemData" : { "author" : [ { "dropping-particle" : "", "family" : "Yancey", "given" : "P H", "non-dropping-particle" : "", "parse-names" : false, "suffix" : "" }, { "dropping-particle" : "", "family" : "Clark", "given" : "M E", "non-dropping-particle" : "", "parse-names" : false, "suffix" : "" }, { "dropping-particle" : "", "family" : "Hand", "given" : "S C", "non-dropping-particle" : "", "parse-names" : false, "suffix" : "" }, { "dropping-particle" : "", "family" : "Bowlus", "given" : "R D", "non-dropping-particle" : "", "parse-names" : false, "suffix" : "" }, { "dropping-particle" : "", "family" : "Somero", "given" : "G N", "non-dropping-particle" : "", "parse-names" : false, "suffix" : "" } ], "container-title" : "Science", "id" : "ITEM-1", "issued" : { "date-parts" : [ [ "1982" ] ] }, "page" : "1214-1222", "title" : "Living with water stress: Evolution of osmolyte systems", "type" : "article-journal", "volume" : "217" }, "uris" : [ "http://www.mendeley.com/documents/?uuid=5c0ecbac-0ed5-485c-b4bd-8986742136e1" ] } ], "mendeley" : { "formattedCitation" : "(Yancey et al. 1982)", "plainTextFormattedCitation" : "(Yancey et al. 1982)", "previouslyFormattedCitation" : "(Yancey et al. 1982)" }, "properties" : { "noteIndex" : 0 }, "schema" : "https://github.com/citation-style-language/schema/raw/master/csl-citation.json" }</w:instrText>
      </w:r>
      <w:r w:rsidRPr="008927E7">
        <w:rPr>
          <w:szCs w:val="24"/>
        </w:rPr>
        <w:fldChar w:fldCharType="separate"/>
      </w:r>
      <w:r w:rsidRPr="008927E7">
        <w:rPr>
          <w:noProof/>
          <w:szCs w:val="24"/>
        </w:rPr>
        <w:t>(Yancey et al. 1982)</w:t>
      </w:r>
      <w:r w:rsidRPr="008927E7">
        <w:rPr>
          <w:szCs w:val="24"/>
        </w:rPr>
        <w:fldChar w:fldCharType="end"/>
      </w:r>
      <w:r w:rsidRPr="008927E7">
        <w:rPr>
          <w:szCs w:val="24"/>
        </w:rPr>
        <w:t xml:space="preserve">. Specific </w:t>
      </w:r>
      <w:r w:rsidR="00167A09">
        <w:rPr>
          <w:szCs w:val="24"/>
        </w:rPr>
        <w:t>molecules</w:t>
      </w:r>
      <w:r w:rsidRPr="008927E7">
        <w:rPr>
          <w:szCs w:val="24"/>
        </w:rPr>
        <w:t xml:space="preserve"> within these three classes are summarised in </w:t>
      </w:r>
      <w:r w:rsidR="00FE029C" w:rsidRPr="008927E7">
        <w:rPr>
          <w:szCs w:val="24"/>
        </w:rPr>
        <w:fldChar w:fldCharType="begin"/>
      </w:r>
      <w:r w:rsidR="00FE029C" w:rsidRPr="008927E7">
        <w:rPr>
          <w:szCs w:val="24"/>
        </w:rPr>
        <w:instrText xml:space="preserve"> REF _Ref453089980 </w:instrText>
      </w:r>
      <w:r w:rsidR="008927E7">
        <w:rPr>
          <w:szCs w:val="24"/>
        </w:rPr>
        <w:instrText xml:space="preserve"> \* MERGEFORMAT </w:instrText>
      </w:r>
      <w:r w:rsidR="00FE029C" w:rsidRPr="008927E7">
        <w:rPr>
          <w:szCs w:val="24"/>
        </w:rPr>
        <w:fldChar w:fldCharType="separate"/>
      </w:r>
      <w:r w:rsidR="00AA6926" w:rsidRPr="00AA6926">
        <w:rPr>
          <w:szCs w:val="24"/>
        </w:rPr>
        <w:t xml:space="preserve">Table </w:t>
      </w:r>
      <w:r w:rsidR="00AA6926" w:rsidRPr="00AA6926">
        <w:rPr>
          <w:noProof/>
          <w:szCs w:val="24"/>
        </w:rPr>
        <w:t>1</w:t>
      </w:r>
      <w:r w:rsidR="00AA6926" w:rsidRPr="00AA6926">
        <w:rPr>
          <w:noProof/>
          <w:szCs w:val="24"/>
        </w:rPr>
        <w:noBreakHyphen/>
        <w:t>3</w:t>
      </w:r>
      <w:r w:rsidR="00FE029C" w:rsidRPr="008927E7">
        <w:rPr>
          <w:noProof/>
          <w:szCs w:val="24"/>
        </w:rPr>
        <w:fldChar w:fldCharType="end"/>
      </w:r>
      <w:r w:rsidR="00CC6F1F">
        <w:rPr>
          <w:szCs w:val="24"/>
        </w:rPr>
        <w:t xml:space="preserve">, and some of </w:t>
      </w:r>
      <w:r w:rsidR="00CC6F1F">
        <w:rPr>
          <w:szCs w:val="24"/>
        </w:rPr>
        <w:lastRenderedPageBreak/>
        <w:t xml:space="preserve">these structures are shown in </w:t>
      </w:r>
      <w:r w:rsidR="00CC6F1F">
        <w:rPr>
          <w:szCs w:val="24"/>
        </w:rPr>
        <w:fldChar w:fldCharType="begin"/>
      </w:r>
      <w:r w:rsidR="00CC6F1F">
        <w:rPr>
          <w:szCs w:val="24"/>
        </w:rPr>
        <w:instrText xml:space="preserve"> REF _Ref459124897 \h </w:instrText>
      </w:r>
      <w:r w:rsidR="00CC6F1F">
        <w:rPr>
          <w:szCs w:val="24"/>
        </w:rPr>
      </w:r>
      <w:r w:rsidR="00CC6F1F">
        <w:rPr>
          <w:szCs w:val="24"/>
        </w:rPr>
        <w:fldChar w:fldCharType="separate"/>
      </w:r>
      <w:r w:rsidR="00AA6926">
        <w:t xml:space="preserve">Figure </w:t>
      </w:r>
      <w:r w:rsidR="00AA6926">
        <w:rPr>
          <w:noProof/>
        </w:rPr>
        <w:t>1</w:t>
      </w:r>
      <w:r w:rsidR="00AA6926">
        <w:noBreakHyphen/>
      </w:r>
      <w:r w:rsidR="00AA6926">
        <w:rPr>
          <w:noProof/>
        </w:rPr>
        <w:t>5</w:t>
      </w:r>
      <w:r w:rsidR="00CC6F1F">
        <w:rPr>
          <w:szCs w:val="24"/>
        </w:rPr>
        <w:fldChar w:fldCharType="end"/>
      </w:r>
      <w:r w:rsidR="00CC6F1F">
        <w:rPr>
          <w:szCs w:val="24"/>
        </w:rPr>
        <w:t>, demonstrating the diversity in structure.</w:t>
      </w:r>
      <w:r w:rsidR="0070266F" w:rsidRPr="008927E7">
        <w:rPr>
          <w:szCs w:val="24"/>
        </w:rPr>
        <w:t xml:space="preserve"> </w:t>
      </w:r>
      <w:r w:rsidRPr="008927E7">
        <w:rPr>
          <w:szCs w:val="24"/>
        </w:rPr>
        <w:t xml:space="preserve">The most commonly studied </w:t>
      </w:r>
      <w:r w:rsidR="00167A09">
        <w:rPr>
          <w:szCs w:val="24"/>
        </w:rPr>
        <w:t>cosolutes</w:t>
      </w:r>
      <w:r w:rsidRPr="008927E7">
        <w:rPr>
          <w:szCs w:val="24"/>
        </w:rPr>
        <w:t xml:space="preserve"> are discussed further in section </w:t>
      </w:r>
      <w:r w:rsidRPr="008927E7">
        <w:rPr>
          <w:szCs w:val="24"/>
        </w:rPr>
        <w:fldChar w:fldCharType="begin"/>
      </w:r>
      <w:r w:rsidRPr="008927E7">
        <w:rPr>
          <w:szCs w:val="24"/>
        </w:rPr>
        <w:instrText xml:space="preserve"> REF _Ref453088826 \r \h </w:instrText>
      </w:r>
      <w:r w:rsidR="008927E7">
        <w:rPr>
          <w:szCs w:val="24"/>
        </w:rPr>
        <w:instrText xml:space="preserve"> \* MERGEFORMAT </w:instrText>
      </w:r>
      <w:r w:rsidRPr="008927E7">
        <w:rPr>
          <w:szCs w:val="24"/>
        </w:rPr>
      </w:r>
      <w:r w:rsidRPr="008927E7">
        <w:rPr>
          <w:szCs w:val="24"/>
        </w:rPr>
        <w:fldChar w:fldCharType="separate"/>
      </w:r>
      <w:r w:rsidR="00AA6926">
        <w:rPr>
          <w:szCs w:val="24"/>
        </w:rPr>
        <w:t>1.3.3.2</w:t>
      </w:r>
      <w:r w:rsidRPr="008927E7">
        <w:rPr>
          <w:szCs w:val="24"/>
        </w:rPr>
        <w:fldChar w:fldCharType="end"/>
      </w:r>
      <w:r w:rsidRPr="008927E7">
        <w:rPr>
          <w:szCs w:val="24"/>
        </w:rPr>
        <w:t>.</w:t>
      </w:r>
      <w:r w:rsidR="0070266F" w:rsidRPr="008927E7">
        <w:rPr>
          <w:szCs w:val="24"/>
        </w:rPr>
        <w:t xml:space="preserve"> The study of these molecules in relation to </w:t>
      </w:r>
      <w:r w:rsidR="00167A09">
        <w:rPr>
          <w:szCs w:val="24"/>
        </w:rPr>
        <w:t xml:space="preserve">their role as osmolytes in </w:t>
      </w:r>
      <w:r w:rsidR="0070266F" w:rsidRPr="008927E7">
        <w:rPr>
          <w:szCs w:val="24"/>
        </w:rPr>
        <w:t>cell biology is discusse</w:t>
      </w:r>
      <w:r w:rsidR="00167A09">
        <w:rPr>
          <w:szCs w:val="24"/>
        </w:rPr>
        <w:t>d in section</w:t>
      </w:r>
      <w:r w:rsidR="0070266F" w:rsidRPr="008927E7">
        <w:rPr>
          <w:szCs w:val="24"/>
        </w:rPr>
        <w:t xml:space="preserve"> </w:t>
      </w:r>
      <w:r w:rsidR="00DD5FB0">
        <w:rPr>
          <w:szCs w:val="24"/>
        </w:rPr>
        <w:fldChar w:fldCharType="begin"/>
      </w:r>
      <w:r w:rsidR="00DD5FB0">
        <w:rPr>
          <w:szCs w:val="24"/>
        </w:rPr>
        <w:instrText xml:space="preserve"> REF _Ref459985865 \r \h </w:instrText>
      </w:r>
      <w:r w:rsidR="00DD5FB0">
        <w:rPr>
          <w:szCs w:val="24"/>
        </w:rPr>
      </w:r>
      <w:r w:rsidR="00DD5FB0">
        <w:rPr>
          <w:szCs w:val="24"/>
        </w:rPr>
        <w:fldChar w:fldCharType="separate"/>
      </w:r>
      <w:r w:rsidR="00AA6926">
        <w:rPr>
          <w:szCs w:val="24"/>
        </w:rPr>
        <w:t>1.3.3.1</w:t>
      </w:r>
      <w:r w:rsidR="00DD5FB0">
        <w:rPr>
          <w:szCs w:val="24"/>
        </w:rPr>
        <w:fldChar w:fldCharType="end"/>
      </w:r>
      <w:r w:rsidR="00167A09">
        <w:rPr>
          <w:szCs w:val="24"/>
        </w:rPr>
        <w:t xml:space="preserve"> </w:t>
      </w:r>
      <w:r w:rsidR="0070266F" w:rsidRPr="008927E7">
        <w:rPr>
          <w:szCs w:val="24"/>
        </w:rPr>
        <w:t xml:space="preserve">and their applications </w:t>
      </w:r>
      <w:r w:rsidR="00167A09">
        <w:rPr>
          <w:szCs w:val="24"/>
        </w:rPr>
        <w:t xml:space="preserve">as excipients </w:t>
      </w:r>
      <w:r w:rsidR="0070266F" w:rsidRPr="008927E7">
        <w:rPr>
          <w:szCs w:val="24"/>
        </w:rPr>
        <w:t>in pharmaceutical formulation in section</w:t>
      </w:r>
      <w:r w:rsidR="00DD5FB0">
        <w:rPr>
          <w:szCs w:val="24"/>
        </w:rPr>
        <w:fldChar w:fldCharType="begin"/>
      </w:r>
      <w:r w:rsidR="00DD5FB0">
        <w:rPr>
          <w:szCs w:val="24"/>
        </w:rPr>
        <w:instrText xml:space="preserve"> REF _Ref460078435 \r \h </w:instrText>
      </w:r>
      <w:r w:rsidR="00DD5FB0">
        <w:rPr>
          <w:szCs w:val="24"/>
        </w:rPr>
      </w:r>
      <w:r w:rsidR="00DD5FB0">
        <w:rPr>
          <w:szCs w:val="24"/>
        </w:rPr>
        <w:fldChar w:fldCharType="separate"/>
      </w:r>
      <w:r w:rsidR="00AA6926">
        <w:rPr>
          <w:szCs w:val="24"/>
        </w:rPr>
        <w:t>1.3.3.3</w:t>
      </w:r>
      <w:r w:rsidR="00DD5FB0">
        <w:rPr>
          <w:szCs w:val="24"/>
        </w:rPr>
        <w:fldChar w:fldCharType="end"/>
      </w:r>
      <w:r w:rsidR="0070266F" w:rsidRPr="008927E7">
        <w:rPr>
          <w:szCs w:val="24"/>
        </w:rPr>
        <w:t>.</w:t>
      </w:r>
      <w:r w:rsidR="004A0F97" w:rsidRPr="008927E7">
        <w:rPr>
          <w:szCs w:val="24"/>
        </w:rPr>
        <w:t xml:space="preserve"> Traditionally all </w:t>
      </w:r>
      <w:r w:rsidR="0054540A">
        <w:rPr>
          <w:szCs w:val="24"/>
        </w:rPr>
        <w:t>stabilising cosolutes</w:t>
      </w:r>
      <w:r w:rsidR="004A0F97" w:rsidRPr="008927E7">
        <w:rPr>
          <w:szCs w:val="24"/>
        </w:rPr>
        <w:t xml:space="preserve"> were thought to exert their stabilising effects on proteins through indirect mechanisms, by being preferentially excluded from the protein surface, making it more energetically unfavourable for the protein to unfold </w:t>
      </w:r>
      <w:r w:rsidR="004A0F97" w:rsidRPr="008927E7">
        <w:rPr>
          <w:szCs w:val="24"/>
        </w:rPr>
        <w:fldChar w:fldCharType="begin" w:fldLock="1"/>
      </w:r>
      <w:r w:rsidR="00202C15" w:rsidRPr="008927E7">
        <w:rPr>
          <w:szCs w:val="24"/>
        </w:rPr>
        <w:instrText>ADDIN CSL_CITATION { "citationItems" : [ { "id" : "ITEM-1", "itemData" : { "DOI" : "10.1016/S0006-3495(85)83932-1", "ISSN" : "0006-3495", "PMID" : "3978211", "abstract" : "The preferential interactions of lysozyme with solvent components and the effects of solvent additives on its stability were examined for several neutral osmolytes: L-proline, L-serine, gamma-aminobutyric acid, sarcosine, taurine, alpha-alanine, beta-alanine, glycine, betaine, and trimethylamine N-oxide. It was shown that all these substances stabilize the protein structure against thermal denaturation and (except for trimethylamine N-oxide for which interaction measurements could not be made) are strongly excluded from the protein domain, rendering unlikely their direct binding to proteins. On the other hand, valine, not known as an osmolyte, had no stabilizing effect, although it induced a large protein-preferential hydration. A possible explanation is given for the use of these substances as osmotic-pressure-regulating agents in organisms living under high osmotic pressure.", "author" : [ { "dropping-particle" : "", "family" : "Arakawa", "given" : "T", "non-dropping-particle" : "", "parse-names" : false, "suffix" : "" }, { "dropping-particle" : "", "family" : "Timasheff", "given" : "S N", "non-dropping-particle" : "", "parse-names" : false, "suffix" : "" } ], "container-title" : "Biophysical Journal", "id" : "ITEM-1", "issued" : { "date-parts" : [ [ "1985", "3" ] ] }, "page" : "411-414", "title" : "The stabilization of proteins by osmolytes", "type" : "article-journal", "volume" : "47" }, "uris" : [ "http://www.mendeley.com/documents/?uuid=a1e19a58-b0d0-4a61-ada1-8d4bd546989a" ] } ], "mendeley" : { "formattedCitation" : "(Arakawa &amp; Timasheff 1985)", "plainTextFormattedCitation" : "(Arakawa &amp; Timasheff 1985)", "previouslyFormattedCitation" : "(Arakawa &amp; Timasheff 1985)" }, "properties" : { "noteIndex" : 0 }, "schema" : "https://github.com/citation-style-language/schema/raw/master/csl-citation.json" }</w:instrText>
      </w:r>
      <w:r w:rsidR="004A0F97" w:rsidRPr="008927E7">
        <w:rPr>
          <w:szCs w:val="24"/>
        </w:rPr>
        <w:fldChar w:fldCharType="separate"/>
      </w:r>
      <w:r w:rsidR="004A0F97" w:rsidRPr="008927E7">
        <w:rPr>
          <w:noProof/>
          <w:szCs w:val="24"/>
        </w:rPr>
        <w:t>(Arakawa &amp; Timasheff 1985)</w:t>
      </w:r>
      <w:r w:rsidR="004A0F97" w:rsidRPr="008927E7">
        <w:rPr>
          <w:szCs w:val="24"/>
        </w:rPr>
        <w:fldChar w:fldCharType="end"/>
      </w:r>
      <w:r w:rsidR="004A0F97" w:rsidRPr="008927E7">
        <w:rPr>
          <w:szCs w:val="24"/>
        </w:rPr>
        <w:t>.</w:t>
      </w:r>
      <w:r w:rsidR="00202C15" w:rsidRPr="008927E7">
        <w:rPr>
          <w:szCs w:val="24"/>
        </w:rPr>
        <w:t xml:space="preserve"> A common mechanism for all </w:t>
      </w:r>
      <w:r w:rsidR="00C1496B">
        <w:rPr>
          <w:szCs w:val="24"/>
        </w:rPr>
        <w:t>stabilising cosolutes</w:t>
      </w:r>
      <w:r w:rsidR="00202C15" w:rsidRPr="008927E7">
        <w:rPr>
          <w:szCs w:val="24"/>
        </w:rPr>
        <w:t xml:space="preserve"> has long been suggested due to the fact that they are thought to stabilise all proteins independent of type, size and charge </w:t>
      </w:r>
      <w:r w:rsidR="00202C15" w:rsidRPr="008927E7">
        <w:rPr>
          <w:szCs w:val="24"/>
        </w:rPr>
        <w:fldChar w:fldCharType="begin" w:fldLock="1"/>
      </w:r>
      <w:r w:rsidR="00DD6047">
        <w:rPr>
          <w:szCs w:val="24"/>
        </w:rPr>
        <w:instrText>ADDIN CSL_CITATION { "citationItems" : [ { "id" : "ITEM-1", "itemData" : { "DOI" : "10.1006/jmbi.2001.4819", "ISSN" : "0022-2836", "PMID" : "11502004", "abstract" : "Intracellular organic osmolytes are present in certain organisms adapted to harsh environments and these osmolytes protect intracellular macromolecules against the denaturing environmental stress. In natural selection of organic osmolytes as protein stabilizers, it appears that the osmolyte property selected for is the unfavorable interaction between the osmolyte and the peptide backbone, a solvophobic thermodynamic force that we call the osmophobic effect. Because the peptide backbone is highly exposed to osmolyte in the denatured state, the osmophobic effect preferentially raises the free energy of the denatured state, shifting the equilibrium in favor of the native state. By focusing the solvophobic force on the denatured state, the native state is left free to function relatively unfettered by the presence of osmolyte. The osmophobic effect is a newly uncovered thermodynamic force in nature that complements the well-recognized hydrophobic interactions, hydrogen bonding, electrostatic and dispersion forces that drive protein folding. In organisms whose survival depends on the intracellular presence of osmolytes that can counteract denaturing stresses, the osmophobic effect is as fundamental to protein folding as these well-recognized forces.", "author" : [ { "dropping-particle" : "", "family" : "Bolen", "given" : "D W", "non-dropping-particle" : "", "parse-names" : false, "suffix" : "" }, { "dropping-particle" : "V", "family" : "Baskakov", "given" : "I", "non-dropping-particle" : "", "parse-names" : false, "suffix" : "" } ], "container-title" : "Journal of Molecular Biology", "id" : "ITEM-1", "issued" : { "date-parts" : [ [ "2001", "7", "27" ] ] }, "page" : "955-963", "title" : "The osmophobic effect: Natural selection of a thermodynamic force in protein folding", "type" : "article-journal", "volume" : "310" }, "uris" : [ "http://www.mendeley.com/documents/?uuid=3c78e1da-09f3-4763-88ea-d97117649a97" ] } ], "mendeley" : { "formattedCitation" : "(Bolen &amp; Baskakov 2001)", "plainTextFormattedCitation" : "(Bolen &amp; Baskakov 2001)", "previouslyFormattedCitation" : "(Bolen &amp; Baskakov 2001)" }, "properties" : { "noteIndex" : 0 }, "schema" : "https://github.com/citation-style-language/schema/raw/master/csl-citation.json" }</w:instrText>
      </w:r>
      <w:r w:rsidR="00202C15" w:rsidRPr="008927E7">
        <w:rPr>
          <w:szCs w:val="24"/>
        </w:rPr>
        <w:fldChar w:fldCharType="separate"/>
      </w:r>
      <w:r w:rsidR="00202C15" w:rsidRPr="008927E7">
        <w:rPr>
          <w:noProof/>
          <w:szCs w:val="24"/>
        </w:rPr>
        <w:t>(Bolen &amp; Baskakov 2001)</w:t>
      </w:r>
      <w:r w:rsidR="00202C15" w:rsidRPr="008927E7">
        <w:rPr>
          <w:szCs w:val="24"/>
        </w:rPr>
        <w:fldChar w:fldCharType="end"/>
      </w:r>
      <w:r w:rsidR="00202C15" w:rsidRPr="008927E7">
        <w:rPr>
          <w:szCs w:val="24"/>
        </w:rPr>
        <w:t xml:space="preserve">. However, the reality </w:t>
      </w:r>
      <w:r w:rsidR="003C3871">
        <w:rPr>
          <w:szCs w:val="24"/>
        </w:rPr>
        <w:t>has the potential to be</w:t>
      </w:r>
      <w:r w:rsidR="00202C15" w:rsidRPr="008927E7">
        <w:rPr>
          <w:szCs w:val="24"/>
        </w:rPr>
        <w:t xml:space="preserve"> much more complex than this original theory</w:t>
      </w:r>
      <w:r w:rsidR="004A0F97" w:rsidRPr="008927E7">
        <w:rPr>
          <w:szCs w:val="24"/>
        </w:rPr>
        <w:t xml:space="preserve"> and alternative mechanisms alongside preferential exclusion</w:t>
      </w:r>
      <w:r w:rsidR="00F37B19">
        <w:rPr>
          <w:szCs w:val="24"/>
        </w:rPr>
        <w:t xml:space="preserve"> (section </w:t>
      </w:r>
      <w:r w:rsidR="00F37B19">
        <w:rPr>
          <w:szCs w:val="24"/>
        </w:rPr>
        <w:fldChar w:fldCharType="begin"/>
      </w:r>
      <w:r w:rsidR="00F37B19">
        <w:rPr>
          <w:szCs w:val="24"/>
        </w:rPr>
        <w:instrText xml:space="preserve"> REF _Ref455651654 \r \h </w:instrText>
      </w:r>
      <w:r w:rsidR="00F37B19">
        <w:rPr>
          <w:szCs w:val="24"/>
        </w:rPr>
      </w:r>
      <w:r w:rsidR="00F37B19">
        <w:rPr>
          <w:szCs w:val="24"/>
        </w:rPr>
        <w:fldChar w:fldCharType="separate"/>
      </w:r>
      <w:r w:rsidR="00AA6926">
        <w:rPr>
          <w:szCs w:val="24"/>
        </w:rPr>
        <w:t>1.4.3.2</w:t>
      </w:r>
      <w:r w:rsidR="00F37B19">
        <w:rPr>
          <w:szCs w:val="24"/>
        </w:rPr>
        <w:fldChar w:fldCharType="end"/>
      </w:r>
      <w:r w:rsidR="00F37B19">
        <w:rPr>
          <w:szCs w:val="24"/>
        </w:rPr>
        <w:t>)</w:t>
      </w:r>
      <w:r w:rsidR="004A0F97" w:rsidRPr="008927E7">
        <w:rPr>
          <w:szCs w:val="24"/>
        </w:rPr>
        <w:t xml:space="preserve"> are discussed in the following sections. </w:t>
      </w:r>
    </w:p>
    <w:p w14:paraId="2EF5A9BE" w14:textId="77777777" w:rsidR="00852101" w:rsidRPr="005F4F0D" w:rsidRDefault="005F4F0D" w:rsidP="00A96D00">
      <w:r>
        <w:br w:type="page"/>
      </w:r>
    </w:p>
    <w:p w14:paraId="217DB6AA" w14:textId="77777777" w:rsidR="00310CDF" w:rsidRDefault="00310CDF" w:rsidP="006B257F">
      <w:pPr>
        <w:pStyle w:val="Caption"/>
        <w:keepNext/>
        <w:jc w:val="left"/>
      </w:pPr>
      <w:bookmarkStart w:id="36" w:name="_Ref453089980"/>
      <w:bookmarkStart w:id="37" w:name="_Ref454286176"/>
      <w:r>
        <w:lastRenderedPageBreak/>
        <w:t xml:space="preserve">Table </w:t>
      </w:r>
      <w:fldSimple w:instr=" STYLEREF 1 \s ">
        <w:r w:rsidR="00AA6926">
          <w:rPr>
            <w:noProof/>
          </w:rPr>
          <w:t>1</w:t>
        </w:r>
      </w:fldSimple>
      <w:r w:rsidR="00D6574D">
        <w:noBreakHyphen/>
      </w:r>
      <w:fldSimple w:instr=" SEQ Table \* ARABIC \s 1 ">
        <w:r w:rsidR="00AA6926">
          <w:rPr>
            <w:noProof/>
          </w:rPr>
          <w:t>3</w:t>
        </w:r>
      </w:fldSimple>
      <w:bookmarkEnd w:id="36"/>
      <w:r>
        <w:t>. Principal osmolytes grouped into the three major classes</w:t>
      </w:r>
      <w:r w:rsidRPr="006C4973">
        <w:t xml:space="preserve"> </w:t>
      </w:r>
      <w:r w:rsidRPr="006C4973">
        <w:fldChar w:fldCharType="begin" w:fldLock="1"/>
      </w:r>
      <w:r w:rsidR="00DD6047">
        <w:instrText>ADDIN CSL_CITATION { "citationItems" : [ { "id" : "ITEM-1", "itemData" : { "DOI" : "10.1002/jez.1402080202", "ISSN" : "0022-104X", "PMID" : "469480", "abstract" : "The major nitrogenous osmolytes present in the cells of marine invertebrates, notably the free amino acids glycine, alanine and proline, and trimethylamine oxide and betaine, are highly compatible with proper enzyme function and structure. These nitrogenous osmolytes display either non-perturbing or, in some cases, favorable effects on enzyme-substrate and enzyme-cofactor complex formation, catalytic velocity and protein structural stability. In contrast, inorganic salts (KCl and NaCl) and certain of the free amino acids which play only a minor osmotic role, e.g., arginine and lysine, have strongly perturbing effects on one or more of these enzymic parameters. The compatible nitrogenous solutes therefore are suitable for use at high (several tenths molar) concentrations and at widely varying concentrations in osmo-conforming species. Certain nitrogenous solutes, especially trimethylamine oxide, betaine and glutamate, offset some of the perturbing effects of inorganic ions on enzyme function. The selective accumulation of osmolytes thus involves not only the concentration of non-perturbing solutes, but also a balanced accumulation of solutes with opposing effects on enzymes. The selection of end-products of anaerobic metabolism also appears to be based, in part, on considerations of solute compatibility with enzyme function. Octopine is a non-perturbing solute, whereas arginine, which is condensed with pyruvate to form octopine, is very strongly perturbing. Succinate has marked stabilizing effects on protein structure. We conclude that the composition of the intracellular fluids of marine invertebrates reflects selection for osmolytes and end-products whose net effects create a cellular microenvironment which is conducive to optimal enzyme function and structure. The accumulation of compatible solutes may preclude the necessity for widespread changes in protein structure in adapting to concentrated or highly variable osmotic environments.", "author" : [ { "dropping-particle" : "", "family" : "Bowlus", "given" : "R D", "non-dropping-particle" : "", "parse-names" : false, "suffix" : "" }, { "dropping-particle" : "", "family" : "Somero", "given" : "G N", "non-dropping-particle" : "", "parse-names" : false, "suffix" : "" } ], "container-title" : "Journal of Experimental Zoology", "id" : "ITEM-1", "issued" : { "date-parts" : [ [ "1979" ] ] }, "page" : "137-151", "title" : "Solute compatibility with enzyme function and structure: rationales for the selection of osmotic agents and end-products of anaerobic metabolism in marine invertebrates", "type" : "article-journal", "volume" : "208" }, "uris" : [ "http://www.mendeley.com/documents/?uuid=7dde3bd3-612c-4dc0-b5b3-9e57c8eb9a26" ] }, { "id" : "ITEM-2", "itemData" : { "author" : [ { "dropping-particle" : "", "family" : "Clark", "given" : "M E", "non-dropping-particle" : "", "parse-names" : false, "suffix" : "" }, { "dropping-particle" : "", "family" : "Zounes", "given" : "M", "non-dropping-particle" : "", "parse-names" : false, "suffix" : "" } ], "container-title" : "Biological Bulletin", "id" : "ITEM-2", "issued" : { "date-parts" : [ [ "1977" ] ] }, "page" : "468-484", "title" : "The effects of selected cell osmolytes on the activity of lactate dehydrogenase from the Euryhaline Polychaete, Nereis succinea", "type" : "article-journal", "volume" : "153" }, "uris" : [ "http://www.mendeley.com/documents/?uuid=bad7a84b-31cd-4704-b3fd-7953e4cb7e77" ] }, { "id" : "ITEM-3", "itemData" : { "author" : [ { "dropping-particle" : "", "family" : "Yancey", "given" : "P H", "non-dropping-particle" : "", "parse-names" : false, "suffix" : "" }, { "dropping-particle" : "", "family" : "Clark", "given" : "M E", "non-dropping-particle" : "", "parse-names" : false, "suffix" : "" }, { "dropping-particle" : "", "family" : "Hand", "given" : "S C", "non-dropping-particle" : "", "parse-names" : false, "suffix" : "" }, { "dropping-particle" : "", "family" : "Bowlus", "given" : "R D", "non-dropping-particle" : "", "parse-names" : false, "suffix" : "" }, { "dropping-particle" : "", "family" : "Somero", "given" : "G N", "non-dropping-particle" : "", "parse-names" : false, "suffix" : "" } ], "container-title" : "Science", "id" : "ITEM-3", "issued" : { "date-parts" : [ [ "1982" ] ] }, "page" : "1214-1222", "title" : "Living with water stress: Evolution of osmolyte systems", "type" : "article-journal", "volume" : "217" }, "uris" : [ "http://www.mendeley.com/documents/?uuid=5c0ecbac-0ed5-485c-b4bd-8986742136e1" ] } ], "mendeley" : { "formattedCitation" : "(Bowlus &amp; Somero 1979; Clark &amp; Zounes 1977; Yancey et al. 1982)", "plainTextFormattedCitation" : "(Bowlus &amp; Somero 1979; Clark &amp; Zounes 1977; Yancey et al. 1982)", "previouslyFormattedCitation" : "(Bowlus &amp; Somero 1979; Clark &amp; Zounes 1977; Yancey et al. 1982)" }, "properties" : { "noteIndex" : 0 }, "schema" : "https://github.com/citation-style-language/schema/raw/master/csl-citation.json" }</w:instrText>
      </w:r>
      <w:r w:rsidRPr="006C4973">
        <w:fldChar w:fldCharType="separate"/>
      </w:r>
      <w:r w:rsidR="00652E6C" w:rsidRPr="006C4973">
        <w:rPr>
          <w:noProof/>
        </w:rPr>
        <w:t>(Bowlus &amp; Somero 1979; Clark &amp; Zounes 1977; Yancey et al. 1982)</w:t>
      </w:r>
      <w:r w:rsidRPr="006C4973">
        <w:fldChar w:fldCharType="end"/>
      </w:r>
      <w:bookmarkEnd w:id="37"/>
    </w:p>
    <w:tbl>
      <w:tblPr>
        <w:tblStyle w:val="LightShading"/>
        <w:tblW w:w="5000" w:type="pct"/>
        <w:tblLook w:val="04A0" w:firstRow="1" w:lastRow="0" w:firstColumn="1" w:lastColumn="0" w:noHBand="0" w:noVBand="1"/>
      </w:tblPr>
      <w:tblGrid>
        <w:gridCol w:w="2584"/>
        <w:gridCol w:w="3068"/>
        <w:gridCol w:w="3068"/>
      </w:tblGrid>
      <w:tr w:rsidR="003C6119" w14:paraId="4506BF17" w14:textId="77777777" w:rsidTr="00585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pct"/>
          </w:tcPr>
          <w:p w14:paraId="6ED56D06" w14:textId="77777777" w:rsidR="003C6119" w:rsidRPr="00310CDF" w:rsidRDefault="003C6119" w:rsidP="001B07C7">
            <w:r w:rsidRPr="00310CDF">
              <w:t>Amino acids and derivatives</w:t>
            </w:r>
          </w:p>
        </w:tc>
        <w:tc>
          <w:tcPr>
            <w:tcW w:w="1759" w:type="pct"/>
          </w:tcPr>
          <w:p w14:paraId="0CC47425" w14:textId="77777777" w:rsidR="003C6119" w:rsidRPr="00310CDF" w:rsidRDefault="003C6119" w:rsidP="001B07C7">
            <w:pPr>
              <w:cnfStyle w:val="100000000000" w:firstRow="1" w:lastRow="0" w:firstColumn="0" w:lastColumn="0" w:oddVBand="0" w:evenVBand="0" w:oddHBand="0" w:evenHBand="0" w:firstRowFirstColumn="0" w:firstRowLastColumn="0" w:lastRowFirstColumn="0" w:lastRowLastColumn="0"/>
            </w:pPr>
            <w:r w:rsidRPr="00310CDF">
              <w:t>Methylamines</w:t>
            </w:r>
          </w:p>
        </w:tc>
        <w:tc>
          <w:tcPr>
            <w:tcW w:w="1759" w:type="pct"/>
          </w:tcPr>
          <w:p w14:paraId="67A877BF" w14:textId="77777777" w:rsidR="003C6119" w:rsidRPr="00310CDF" w:rsidRDefault="003C6119" w:rsidP="00A96D00">
            <w:pPr>
              <w:cnfStyle w:val="100000000000" w:firstRow="1" w:lastRow="0" w:firstColumn="0" w:lastColumn="0" w:oddVBand="0" w:evenVBand="0" w:oddHBand="0" w:evenHBand="0" w:firstRowFirstColumn="0" w:firstRowLastColumn="0" w:lastRowFirstColumn="0" w:lastRowLastColumn="0"/>
            </w:pPr>
            <w:r w:rsidRPr="00310CDF">
              <w:t>Polyols and sugars</w:t>
            </w:r>
          </w:p>
        </w:tc>
      </w:tr>
      <w:tr w:rsidR="003C6119" w:rsidRPr="007F0FF0" w14:paraId="02AAC48F" w14:textId="77777777" w:rsidTr="0058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pct"/>
            <w:shd w:val="clear" w:color="auto" w:fill="auto"/>
          </w:tcPr>
          <w:p w14:paraId="2EDDB3FE" w14:textId="77777777" w:rsidR="003C6119" w:rsidRPr="009D78ED" w:rsidRDefault="003C6119" w:rsidP="001B07C7">
            <w:pPr>
              <w:rPr>
                <w:b w:val="0"/>
                <w:sz w:val="20"/>
                <w:szCs w:val="20"/>
              </w:rPr>
            </w:pPr>
            <w:r w:rsidRPr="009D78ED">
              <w:rPr>
                <w:b w:val="0"/>
                <w:sz w:val="20"/>
                <w:szCs w:val="20"/>
              </w:rPr>
              <w:t>Alanine, β-alanine, Ectoine, Glutamic acid, Glycine, Proline, Taurine</w:t>
            </w:r>
          </w:p>
        </w:tc>
        <w:tc>
          <w:tcPr>
            <w:tcW w:w="1759" w:type="pct"/>
            <w:shd w:val="clear" w:color="auto" w:fill="auto"/>
          </w:tcPr>
          <w:p w14:paraId="0A4EDA90" w14:textId="77777777" w:rsidR="003C6119" w:rsidRPr="009D78ED" w:rsidRDefault="003C6119" w:rsidP="001B07C7">
            <w:pP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Betaine, Sarcosine, Trimethylamine N-oxide (TMAO)</w:t>
            </w:r>
          </w:p>
        </w:tc>
        <w:tc>
          <w:tcPr>
            <w:tcW w:w="1759" w:type="pct"/>
            <w:shd w:val="clear" w:color="auto" w:fill="auto"/>
          </w:tcPr>
          <w:p w14:paraId="0E237E23" w14:textId="77777777" w:rsidR="003C6119" w:rsidRPr="007F0FF0" w:rsidRDefault="003C6119" w:rsidP="00A96D00">
            <w:pPr>
              <w:cnfStyle w:val="000000100000" w:firstRow="0" w:lastRow="0" w:firstColumn="0" w:lastColumn="0" w:oddVBand="0" w:evenVBand="0" w:oddHBand="1" w:evenHBand="0" w:firstRowFirstColumn="0" w:firstRowLastColumn="0" w:lastRowFirstColumn="0" w:lastRowLastColumn="0"/>
              <w:rPr>
                <w:sz w:val="20"/>
                <w:szCs w:val="20"/>
              </w:rPr>
            </w:pPr>
            <w:r w:rsidRPr="007F0FF0">
              <w:rPr>
                <w:sz w:val="20"/>
                <w:szCs w:val="20"/>
              </w:rPr>
              <w:t>Glucose, Glycerol, Mannitol, Sorbitol, Sucrose, Trehalose</w:t>
            </w:r>
          </w:p>
        </w:tc>
      </w:tr>
    </w:tbl>
    <w:bookmarkStart w:id="38" w:name="_Ref453833204"/>
    <w:commentRangeStart w:id="39"/>
    <w:p w14:paraId="6C434C22" w14:textId="72CCABF8" w:rsidR="00CC6F1F" w:rsidRDefault="007F0FF0" w:rsidP="00CC6F1F">
      <w:pPr>
        <w:keepNext/>
      </w:pPr>
      <w:r>
        <w:object w:dxaOrig="7200" w:dyaOrig="5390" w14:anchorId="5AE188B0">
          <v:shape id="_x0000_i1028" type="#_x0000_t75" style="width:434.25pt;height:324.75pt" o:ole="">
            <v:imagedata r:id="rId19" o:title=""/>
          </v:shape>
          <o:OLEObject Type="Embed" ProgID="PowerPoint.Show.12" ShapeID="_x0000_i1028" DrawAspect="Content" ObjectID="_1559454682" r:id="rId20"/>
        </w:object>
      </w:r>
      <w:commentRangeEnd w:id="39"/>
      <w:r w:rsidR="003D0A59">
        <w:rPr>
          <w:rStyle w:val="CommentReference"/>
        </w:rPr>
        <w:commentReference w:id="39"/>
      </w:r>
    </w:p>
    <w:p w14:paraId="6CCC984E" w14:textId="3D89C5FA" w:rsidR="00CC6F1F" w:rsidRPr="00CC6F1F" w:rsidRDefault="00CC6F1F" w:rsidP="00CC6F1F">
      <w:pPr>
        <w:pStyle w:val="Caption"/>
        <w:jc w:val="left"/>
      </w:pPr>
      <w:bookmarkStart w:id="40" w:name="_Ref459124897"/>
      <w:bookmarkStart w:id="41" w:name="_Ref459124891"/>
      <w:bookmarkStart w:id="42" w:name="_Toc482633163"/>
      <w:r>
        <w:t xml:space="preserve">Figure </w:t>
      </w:r>
      <w:fldSimple w:instr=" STYLEREF 1 \s ">
        <w:r w:rsidR="00AA6926">
          <w:rPr>
            <w:noProof/>
          </w:rPr>
          <w:t>1</w:t>
        </w:r>
      </w:fldSimple>
      <w:r w:rsidR="00BA082C">
        <w:noBreakHyphen/>
      </w:r>
      <w:fldSimple w:instr=" SEQ Figure \* ARABIC \s 1 ">
        <w:r w:rsidR="00AA6926">
          <w:rPr>
            <w:noProof/>
          </w:rPr>
          <w:t>5</w:t>
        </w:r>
      </w:fldSimple>
      <w:bookmarkEnd w:id="40"/>
      <w:r>
        <w:t>. Chemical structures of various common osmolytes in the three classes demonstrating the variety of structure</w:t>
      </w:r>
      <w:bookmarkEnd w:id="41"/>
      <w:bookmarkEnd w:id="42"/>
    </w:p>
    <w:p w14:paraId="7FFBE517" w14:textId="77777777" w:rsidR="000E5F16" w:rsidRDefault="000E5F16" w:rsidP="000E5F16">
      <w:pPr>
        <w:pStyle w:val="Heading4"/>
      </w:pPr>
      <w:bookmarkStart w:id="43" w:name="_Ref459985865"/>
      <w:r w:rsidRPr="00E568C9">
        <w:lastRenderedPageBreak/>
        <w:t>Osmolytes in nature</w:t>
      </w:r>
      <w:bookmarkEnd w:id="38"/>
      <w:bookmarkEnd w:id="43"/>
    </w:p>
    <w:p w14:paraId="7D908DD3" w14:textId="77777777" w:rsidR="00B372E9" w:rsidRDefault="00705331" w:rsidP="00483A6A">
      <w:r>
        <w:t xml:space="preserve">It has long been known that various </w:t>
      </w:r>
      <w:r w:rsidR="002567AC">
        <w:t xml:space="preserve">neutral </w:t>
      </w:r>
      <w:r>
        <w:t>small organic molecules</w:t>
      </w:r>
      <w:r w:rsidR="006C4973">
        <w:t xml:space="preserve">, termed ‘osmolytes’, </w:t>
      </w:r>
      <w:r>
        <w:t xml:space="preserve"> are accumulated in cells </w:t>
      </w:r>
      <w:r w:rsidR="006C4973">
        <w:t xml:space="preserve">as a protective mechanism </w:t>
      </w:r>
      <w:r>
        <w:t xml:space="preserve">in response to osmotic stress, which can be caused by evaporation or saline environments </w:t>
      </w:r>
      <w:r>
        <w:fldChar w:fldCharType="begin" w:fldLock="1"/>
      </w:r>
      <w:r>
        <w:instrText>ADDIN CSL_CITATION { "citationItems" : [ { "id" : "ITEM-1", "itemData" : { "author" : [ { "dropping-particle" : "", "family" : "Yancey", "given" : "P H", "non-dropping-particle" : "", "parse-names" : false, "suffix" : "" } ], "container-title" : "American Zoology", "id" : "ITEM-1", "issued" : { "date-parts" : [ [ "2001" ] ] }, "page" : "699-709", "title" : "Water stress, osmolytes and proteins", "type" : "article-journal", "volume" : "41" }, "uris" : [ "http://www.mendeley.com/documents/?uuid=6b57cc08-6d87-4dd8-a94f-01bdbd6d32cc" ] } ], "mendeley" : { "formattedCitation" : "(Yancey 2001)", "plainTextFormattedCitation" : "(Yancey 2001)", "previouslyFormattedCitation" : "(Yancey 2001)" }, "properties" : { "noteIndex" : 0 }, "schema" : "https://github.com/citation-style-language/schema/raw/master/csl-citation.json" }</w:instrText>
      </w:r>
      <w:r>
        <w:fldChar w:fldCharType="separate"/>
      </w:r>
      <w:r w:rsidRPr="00705331">
        <w:rPr>
          <w:noProof/>
        </w:rPr>
        <w:t>(Yancey 2001)</w:t>
      </w:r>
      <w:r>
        <w:fldChar w:fldCharType="end"/>
      </w:r>
      <w:r>
        <w:t xml:space="preserve">. </w:t>
      </w:r>
      <w:r w:rsidR="006C4973">
        <w:t>O</w:t>
      </w:r>
      <w:r>
        <w:t xml:space="preserve">smolytes </w:t>
      </w:r>
      <w:r w:rsidR="006C4973">
        <w:t>a</w:t>
      </w:r>
      <w:r w:rsidR="00DD5FB0">
        <w:t>re also characterised by their</w:t>
      </w:r>
      <w:r>
        <w:t xml:space="preserve"> lack </w:t>
      </w:r>
      <w:r w:rsidR="00DD5FB0">
        <w:t xml:space="preserve">of </w:t>
      </w:r>
      <w:r>
        <w:t xml:space="preserve">perturbing effects on protein function and </w:t>
      </w:r>
      <w:r w:rsidR="0079575A">
        <w:t xml:space="preserve">lack of </w:t>
      </w:r>
      <w:r>
        <w:t xml:space="preserve">destabilising effect on protein stability, in other words they are ‘compatible’ </w:t>
      </w:r>
      <w:r>
        <w:fldChar w:fldCharType="begin" w:fldLock="1"/>
      </w:r>
      <w:r w:rsidR="00924827">
        <w:instrText>ADDIN CSL_CITATION { "citationItems" : [ { "id" : "ITEM-1", "itemData" : { "DOI" : "10.1074/jbc.R700042200", "ISBN" : "0021-9258", "ISSN" : "00219258", "PMID" : "18256030", "abstract" : "Cells of almost all organisms accumulate organic osmolytes when exposed to hyperosmolality, most often in the form of high salt or urea. In this review, we discuss 1) how the organic osmolytes protect; 2) the identity of osmolytes in Archaea, bacteria, yeast, plants, marine animals, and mammals; 3) the mechanisms by which they are accumulated; 4) sensors of osmolality; 5) the signaling pathways involved; and 6) mutual counteraction by urea and methylamines.", "author" : [ { "dropping-particle" : "", "family" : "Burg", "given" : "M B", "non-dropping-particle" : "", "parse-names" : false, "suffix" : "" }, { "dropping-particle" : "", "family" : "Ferraris", "given" : "J D", "non-dropping-particle" : "", "parse-names" : false, "suffix" : "" } ], "container-title" : "Journal of Biological Chemistry", "id" : "ITEM-1", "issued" : { "date-parts" : [ [ "2008" ] ] }, "page" : "7309-7313", "title" : "Intracellular organic osmolytes: Function and regulation", "type" : "article-journal", "volume" : "283" }, "uris" : [ "http://www.mendeley.com/documents/?uuid=c06074c7-7ba3-49da-a92f-f1089cde6864" ] } ], "mendeley" : { "formattedCitation" : "(Burg &amp; Ferraris 2008)", "plainTextFormattedCitation" : "(Burg &amp; Ferraris 2008)", "previouslyFormattedCitation" : "(Burg &amp; Ferraris 2008)" }, "properties" : { "noteIndex" : 0 }, "schema" : "https://github.com/citation-style-language/schema/raw/master/csl-citation.json" }</w:instrText>
      </w:r>
      <w:r>
        <w:fldChar w:fldCharType="separate"/>
      </w:r>
      <w:r w:rsidRPr="00705331">
        <w:rPr>
          <w:noProof/>
        </w:rPr>
        <w:t>(Burg &amp; Ferraris 2008)</w:t>
      </w:r>
      <w:r>
        <w:fldChar w:fldCharType="end"/>
      </w:r>
      <w:r>
        <w:t xml:space="preserve">. </w:t>
      </w:r>
      <w:r w:rsidR="006C4973">
        <w:t xml:space="preserve">Widespread </w:t>
      </w:r>
      <w:r>
        <w:t xml:space="preserve">convergent evolution across multiple organisms has occurred with osmolytes </w:t>
      </w:r>
      <w:r>
        <w:fldChar w:fldCharType="begin" w:fldLock="1"/>
      </w:r>
      <w:r w:rsidR="00DD6047">
        <w:instrText>ADDIN CSL_CITATION { "citationItems" : [ { "id" : "ITEM-1", "itemData" : { "author" : [ { "dropping-particle" : "", "family" : "Yancey", "given" : "P H", "non-dropping-particle" : "", "parse-names" : false, "suffix" : "" }, { "dropping-particle" : "", "family" : "Clark", "given" : "M E", "non-dropping-particle" : "", "parse-names" : false, "suffix" : "" }, { "dropping-particle" : "", "family" : "Hand", "given" : "S C", "non-dropping-particle" : "", "parse-names" : false, "suffix" : "" }, { "dropping-particle" : "", "family" : "Bowlus", "given" : "R D", "non-dropping-particle" : "", "parse-names" : false, "suffix" : "" }, { "dropping-particle" : "", "family" : "Somero", "given" : "G N", "non-dropping-particle" : "", "parse-names" : false, "suffix" : "" } ], "container-title" : "Science", "id" : "ITEM-1", "issued" : { "date-parts" : [ [ "1982" ] ] }, "page" : "1214-1222", "title" : "Living with water stress: Evolution of osmolyte systems", "type" : "article-journal", "volume" : "217" }, "uris" : [ "http://www.mendeley.com/documents/?uuid=5c0ecbac-0ed5-485c-b4bd-8986742136e1" ] } ], "mendeley" : { "formattedCitation" : "(Yancey et al. 1982)", "plainTextFormattedCitation" : "(Yancey et al. 1982)", "previouslyFormattedCitation" : "(Yancey et al. 1982)" }, "properties" : { "noteIndex" : 0 }, "schema" : "https://github.com/citation-style-language/schema/raw/master/csl-citation.json" }</w:instrText>
      </w:r>
      <w:r>
        <w:fldChar w:fldCharType="separate"/>
      </w:r>
      <w:r w:rsidRPr="00705331">
        <w:rPr>
          <w:noProof/>
        </w:rPr>
        <w:t>(Yancey et al. 1982)</w:t>
      </w:r>
      <w:r>
        <w:fldChar w:fldCharType="end"/>
      </w:r>
      <w:r w:rsidR="006C4973">
        <w:t>, meaning they are universal</w:t>
      </w:r>
      <w:r>
        <w:t xml:space="preserve">. This leads to the assumption that there are very few molecules that exist naturally that are capable </w:t>
      </w:r>
      <w:r w:rsidR="00B372E9">
        <w:t xml:space="preserve">of these two characteristics, and they all fall within the three categories shown in </w:t>
      </w:r>
      <w:r w:rsidR="00B372E9">
        <w:fldChar w:fldCharType="begin"/>
      </w:r>
      <w:r w:rsidR="00B372E9">
        <w:instrText xml:space="preserve"> REF _Ref453089980 \h </w:instrText>
      </w:r>
      <w:r w:rsidR="00B372E9">
        <w:fldChar w:fldCharType="separate"/>
      </w:r>
      <w:r w:rsidR="00AA6926">
        <w:t xml:space="preserve">Table </w:t>
      </w:r>
      <w:r w:rsidR="00AA6926">
        <w:rPr>
          <w:noProof/>
        </w:rPr>
        <w:t>1</w:t>
      </w:r>
      <w:r w:rsidR="00AA6926">
        <w:noBreakHyphen/>
      </w:r>
      <w:r w:rsidR="00AA6926">
        <w:rPr>
          <w:noProof/>
        </w:rPr>
        <w:t>3</w:t>
      </w:r>
      <w:r w:rsidR="00B372E9">
        <w:fldChar w:fldCharType="end"/>
      </w:r>
      <w:r w:rsidR="00B372E9">
        <w:t xml:space="preserve">. </w:t>
      </w:r>
    </w:p>
    <w:p w14:paraId="2D9DDC34" w14:textId="77777777" w:rsidR="00E678BB" w:rsidRDefault="00B372E9" w:rsidP="00483A6A">
      <w:r>
        <w:t xml:space="preserve">Interestingly, there are slight differences in the choice of osmolytes between organisms and these tend to be maintained, despite the fact that one of the major principles of osmolyte theory is that they act in a universal way on proteins </w:t>
      </w:r>
      <w:r>
        <w:fldChar w:fldCharType="begin" w:fldLock="1"/>
      </w:r>
      <w:r w:rsidR="00924827">
        <w:instrText>ADDIN CSL_CITATION { "citationItems" : [ { "id" : "ITEM-1", "itemData" : { "DOI" : "10.1074/jbc.R700042200", "ISBN" : "0021-9258", "ISSN" : "00219258", "PMID" : "18256030", "abstract" : "Cells of almost all organisms accumulate organic osmolytes when exposed to hyperosmolality, most often in the form of high salt or urea. In this review, we discuss 1) how the organic osmolytes protect; 2) the identity of osmolytes in Archaea, bacteria, yeast, plants, marine animals, and mammals; 3) the mechanisms by which they are accumulated; 4) sensors of osmolality; 5) the signaling pathways involved; and 6) mutual counteraction by urea and methylamines.", "author" : [ { "dropping-particle" : "", "family" : "Burg", "given" : "M B", "non-dropping-particle" : "", "parse-names" : false, "suffix" : "" }, { "dropping-particle" : "", "family" : "Ferraris", "given" : "J D", "non-dropping-particle" : "", "parse-names" : false, "suffix" : "" } ], "container-title" : "Journal of Biological Chemistry", "id" : "ITEM-1", "issued" : { "date-parts" : [ [ "2008" ] ] }, "page" : "7309-7313", "title" : "Intracellular organic osmolytes: Function and regulation", "type" : "article-journal", "volume" : "283" }, "uris" : [ "http://www.mendeley.com/documents/?uuid=c06074c7-7ba3-49da-a92f-f1089cde6864" ] }, { "id" : "ITEM-2", "itemData" : { "author" : [ { "dropping-particle" : "", "family" : "Somero", "given" : "G N", "non-dropping-particle" : "", "parse-names" : false, "suffix" : "" } ], "container-title" : "American Journal of Physiology Regulatory, Integrative and Comparative Physiology", "id" : "ITEM-2", "issued" : { "date-parts" : [ [ "1986" ] ] }, "page" : "R197-R213", "title" : "Protons, osmolytes, and fitness of internal milieu for protein function", "type" : "article-journal", "volume" : "251" }, "uris" : [ "http://www.mendeley.com/documents/?uuid=db200aa7-1e3a-4dc9-a626-7d31afa03f04" ] } ], "mendeley" : { "formattedCitation" : "(Burg &amp; Ferraris 2008; Somero 1986)", "plainTextFormattedCitation" : "(Burg &amp; Ferraris 2008; Somero 1986)", "previouslyFormattedCitation" : "(Burg &amp; Ferraris 2008; Somero 1986)" }, "properties" : { "noteIndex" : 0 }, "schema" : "https://github.com/citation-style-language/schema/raw/master/csl-citation.json" }</w:instrText>
      </w:r>
      <w:r>
        <w:fldChar w:fldCharType="separate"/>
      </w:r>
      <w:r w:rsidRPr="00B372E9">
        <w:rPr>
          <w:noProof/>
        </w:rPr>
        <w:t>(Burg &amp; Ferraris 2008; Somero 1986)</w:t>
      </w:r>
      <w:r>
        <w:fldChar w:fldCharType="end"/>
      </w:r>
      <w:r>
        <w:t>. It is thought that this is due to other more specific functions of the osmolytes in the cells in question. For example certain polyols can be used as antioxidants</w:t>
      </w:r>
      <w:r w:rsidR="006C7CAF">
        <w:t xml:space="preserve"> </w:t>
      </w:r>
      <w:r w:rsidR="006C7CAF">
        <w:fldChar w:fldCharType="begin" w:fldLock="1"/>
      </w:r>
      <w:r w:rsidR="006C7CAF">
        <w:instrText>ADDIN CSL_CITATION { "citationItems" : [ { "id" : "ITEM-1", "itemData" : { "author" : [ { "dropping-particle" : "", "family" : "Orthen", "given" : "B", "non-dropping-particle" : "", "parse-names" : false, "suffix" : "" }, { "dropping-particle" : "", "family" : "Popp", "given" : "M", "non-dropping-particle" : "", "parse-names" : false, "suffix" : "" }, { "dropping-particle" : "", "family" : "Smirnoff", "given" : "N", "non-dropping-particle" : "", "parse-names" : false, "suffix" : "" } ], "container-title" : "Proceedings of the Royal Society of Edinburgh. Section B. Biological Sciences", "id" : "ITEM-1", "issued" : { "date-parts" : [ [ "1994" ] ] }, "page" : "269-272", "title" : "Hydroxyl radical scavenging properties of cyclitols", "type" : "article-journal", "volume" : "102" }, "uris" : [ "http://www.mendeley.com/documents/?uuid=f3181c2a-198b-4c4e-8859-6172c4e280bb" ] } ], "mendeley" : { "formattedCitation" : "(Orthen et al. 1994)", "plainTextFormattedCitation" : "(Orthen et al. 1994)", "previouslyFormattedCitation" : "(Orthen et al. 1994)" }, "properties" : { "noteIndex" : 0 }, "schema" : "https://github.com/citation-style-language/schema/raw/master/csl-citation.json" }</w:instrText>
      </w:r>
      <w:r w:rsidR="006C7CAF">
        <w:fldChar w:fldCharType="separate"/>
      </w:r>
      <w:r w:rsidR="006C7CAF" w:rsidRPr="006C7CAF">
        <w:rPr>
          <w:noProof/>
        </w:rPr>
        <w:t>(Orthen et al. 1994)</w:t>
      </w:r>
      <w:r w:rsidR="006C7CAF">
        <w:fldChar w:fldCharType="end"/>
      </w:r>
      <w:r>
        <w:t xml:space="preserve">, trehalose and proline are  used to stabilise membranes against freezing temperatures in insects that survive throughout winter </w:t>
      </w:r>
      <w:r w:rsidR="006C7CAF">
        <w:fldChar w:fldCharType="begin" w:fldLock="1"/>
      </w:r>
      <w:r w:rsidR="00D80D74">
        <w:instrText>ADDIN CSL_CITATION { "citationItems" : [ { "id" : "ITEM-1", "itemData" : { "author" : [ { "dropping-particle" : "", "family" : "Rudolph", "given" : "A S", "non-dropping-particle" : "", "parse-names" : false, "suffix" : "" }, { "dropping-particle" : "", "family" : "Crowe", "given" : "J H", "non-dropping-particle" : "", "parse-names" : false, "suffix" : "" } ], "container-title" : "Cryobiology", "id" : "ITEM-1", "issued" : { "date-parts" : [ [ "1985" ] ] }, "page" : "367-377", "title" : "Membrane stabilization during freezing: The role of two natural cryoprotectants, trehalose and proline", "type" : "article-journal", "volume" : "22" }, "uris" : [ "http://www.mendeley.com/documents/?uuid=c48f3f40-eec0-4f81-ba6c-c60813574e90" ] } ], "mendeley" : { "formattedCitation" : "(Rudolph &amp; Crowe 1985)", "plainTextFormattedCitation" : "(Rudolph &amp; Crowe 1985)", "previouslyFormattedCitation" : "(Rudolph &amp; Crowe 1985)" }, "properties" : { "noteIndex" : 0 }, "schema" : "https://github.com/citation-style-language/schema/raw/master/csl-citation.json" }</w:instrText>
      </w:r>
      <w:r w:rsidR="006C7CAF">
        <w:fldChar w:fldCharType="separate"/>
      </w:r>
      <w:r w:rsidR="006C7CAF" w:rsidRPr="006C7CAF">
        <w:rPr>
          <w:noProof/>
        </w:rPr>
        <w:t>(Rudolph &amp; Crowe 1985)</w:t>
      </w:r>
      <w:r w:rsidR="006C7CAF">
        <w:fldChar w:fldCharType="end"/>
      </w:r>
      <w:r w:rsidR="006C7CAF">
        <w:t xml:space="preserve">, </w:t>
      </w:r>
      <w:r>
        <w:t>and TMAO appears to increase in fish as the ocean depth increases</w:t>
      </w:r>
      <w:r w:rsidR="00DD18CB">
        <w:t xml:space="preserve"> </w:t>
      </w:r>
      <w:r w:rsidR="00DD18CB">
        <w:fldChar w:fldCharType="begin" w:fldLock="1"/>
      </w:r>
      <w:r w:rsidR="00DD6047">
        <w:instrText>ADDIN CSL_CITATION { "citationItems" : [ { "id" : "ITEM-1", "itemData" : { "author" : [ { "dropping-particle" : "", "family" : "Yancey", "given" : "P H", "non-dropping-particle" : "", "parse-names" : false, "suffix" : "" }, { "dropping-particle" : "", "family" : "Rhea", "given" : "M D", "non-dropping-particle" : "", "parse-names" : false, "suffix" : "" }, { "dropping-particle" : "", "family" : "Kemp", "given" : "K M", "non-dropping-particle" : "", "parse-names" : false, "suffix" : "" }, { "dropping-particle" : "", "family" : "Bailey", "given" : "D M", "non-dropping-particle" : "", "parse-names" : false, "suffix" : "" } ], "container-title" : "Cellular &amp; Molecular Biology", "id" : "ITEM-1", "issued" : { "date-parts" : [ [ "2004" ] ] }, "page" : "371-376", "title" : "Trimethylamine oxide, betaine and other osmolytes in deep-sea animals: Depth trends and effects on enzymes under hydrostatic pressure", "type" : "article-journal", "volume" : "50" }, "uris" : [ "http://www.mendeley.com/documents/?uuid=89b3dab1-5302-461f-9035-d3612f0b4a17" ] } ], "mendeley" : { "formattedCitation" : "(Yancey et al. 2004)", "plainTextFormattedCitation" : "(Yancey et al. 2004)", "previouslyFormattedCitation" : "(Yancey et al. 2004)" }, "properties" : { "noteIndex" : 0 }, "schema" : "https://github.com/citation-style-language/schema/raw/master/csl-citation.json" }</w:instrText>
      </w:r>
      <w:r w:rsidR="00DD18CB">
        <w:fldChar w:fldCharType="separate"/>
      </w:r>
      <w:r w:rsidR="00DD18CB" w:rsidRPr="00DD18CB">
        <w:rPr>
          <w:noProof/>
        </w:rPr>
        <w:t>(Yancey et al. 2004)</w:t>
      </w:r>
      <w:r w:rsidR="00DD18CB">
        <w:fldChar w:fldCharType="end"/>
      </w:r>
      <w:r>
        <w:t xml:space="preserve"> leading to the hypothesis that it is accumulated to counteract destabilising hydrostatic pressure effects.</w:t>
      </w:r>
      <w:r w:rsidR="006B6C92">
        <w:t xml:space="preserve"> </w:t>
      </w:r>
    </w:p>
    <w:p w14:paraId="1C1576CF" w14:textId="77777777" w:rsidR="00B372E9" w:rsidRDefault="006B6C92" w:rsidP="00483A6A">
      <w:r>
        <w:t xml:space="preserve">The most </w:t>
      </w:r>
      <w:r w:rsidR="00E678BB">
        <w:t>common</w:t>
      </w:r>
      <w:r>
        <w:t xml:space="preserve"> stress that certain osmolytes are accumulated in response to, other than water, is the presence of the denaturant urea. The strong destabilising effects of urea</w:t>
      </w:r>
      <w:r w:rsidR="00641447">
        <w:t xml:space="preserve"> (see section </w:t>
      </w:r>
      <w:r w:rsidR="00641447">
        <w:fldChar w:fldCharType="begin"/>
      </w:r>
      <w:r w:rsidR="00641447">
        <w:instrText xml:space="preserve"> REF _Ref453082183 \r \h </w:instrText>
      </w:r>
      <w:r w:rsidR="00641447">
        <w:fldChar w:fldCharType="separate"/>
      </w:r>
      <w:r w:rsidR="00AA6926">
        <w:t>1.3.2</w:t>
      </w:r>
      <w:r w:rsidR="00641447">
        <w:fldChar w:fldCharType="end"/>
      </w:r>
      <w:r w:rsidR="00641447">
        <w:t xml:space="preserve">) </w:t>
      </w:r>
      <w:r>
        <w:t xml:space="preserve">present in the intracellular fluids of elasmobranch fish, coelacanth and mammalian kidneys, are offset by the presence of methylamines </w:t>
      </w:r>
      <w:r>
        <w:fldChar w:fldCharType="begin" w:fldLock="1"/>
      </w:r>
      <w:r w:rsidR="00FE37EB">
        <w:instrText>ADDIN CSL_CITATION { "citationItems" : [ { "id" : "ITEM-1", "itemData" : { "author" : [ { "dropping-particle" : "", "family" : "Somero", "given" : "G N", "non-dropping-particle" : "", "parse-names" : false, "suffix" : "" } ], "container-title" : "American Journal of Physiology Regulatory, Integrative and Comparative Physiology", "id" : "ITEM-1", "issued" : { "date-parts" : [ [ "1986" ] ] }, "page" : "R197-R213", "title" : "Protons, osmolytes, and fitness of internal milieu for protein function", "type" : "article-journal", "volume" : "251" }, "uris" : [ "http://www.mendeley.com/documents/?uuid=db200aa7-1e3a-4dc9-a626-7d31afa03f04" ] } ], "mendeley" : { "formattedCitation" : "(Somero 1986)", "plainTextFormattedCitation" : "(Somero 1986)", "previouslyFormattedCitation" : "(Somero 1986)" }, "properties" : { "noteIndex" : 0 }, "schema" : "https://github.com/citation-style-language/schema/raw/master/csl-citation.json" }</w:instrText>
      </w:r>
      <w:r>
        <w:fldChar w:fldCharType="separate"/>
      </w:r>
      <w:r w:rsidRPr="006B6C92">
        <w:rPr>
          <w:noProof/>
        </w:rPr>
        <w:t>(Somero 1986)</w:t>
      </w:r>
      <w:r>
        <w:fldChar w:fldCharType="end"/>
      </w:r>
      <w:r>
        <w:t>. This is generally achieved by a 2:1 ratio of urea:methylamine, and as such these osmolytes are termed ‘counteracting’</w:t>
      </w:r>
      <w:r w:rsidR="00CF21DC">
        <w:t xml:space="preserve"> </w:t>
      </w:r>
      <w:r w:rsidR="00FE37EB">
        <w:fldChar w:fldCharType="begin" w:fldLock="1"/>
      </w:r>
      <w:r w:rsidR="002567AC">
        <w:instrText>ADDIN CSL_CITATION { "citationItems" : [ { "id" : "ITEM-1", "itemData" : { "DOI" : "10.1002/jez.1402120207", "ISBN" : "0022-104X", "ISSN" : "0022-104X", "author" : [ { "dropping-particle" : "", "family" : "Yancey", "given" : "P H", "non-dropping-particle" : "", "parse-names" : false, "suffix" : "" }, { "dropping-particle" : "", "family" : "Somero", "given" : "G N", "non-dropping-particle" : "", "parse-names" : false, "suffix" : "" } ], "container-title" : "Journal of Experimental Biology", "id" : "ITEM-1", "issued" : { "date-parts" : [ [ "1980" ] ] }, "page" : "205-213", "title" : "Methylamine osmoregulatory solutes of elasmobranch fishes counteract urea inhibition of enzymes", "type" : "article-journal", "volume" : "212" }, "uris" : [ "http://www.mendeley.com/documents/?uuid=557c0ed4-06a2-40f4-bad3-bc899a1584b3" ] } ], "mendeley" : { "formattedCitation" : "(Yancey &amp; Somero 1980)", "plainTextFormattedCitation" : "(Yancey &amp; Somero 1980)", "previouslyFormattedCitation" : "(Yancey &amp; Somero 1980)" }, "properties" : { "noteIndex" : 0 }, "schema" : "https://github.com/citation-style-language/schema/raw/master/csl-citation.json" }</w:instrText>
      </w:r>
      <w:r w:rsidR="00FE37EB">
        <w:fldChar w:fldCharType="separate"/>
      </w:r>
      <w:r w:rsidR="00FE37EB" w:rsidRPr="00FE37EB">
        <w:rPr>
          <w:noProof/>
        </w:rPr>
        <w:t>(Yancey &amp; Somero 1980)</w:t>
      </w:r>
      <w:r w:rsidR="00FE37EB">
        <w:fldChar w:fldCharType="end"/>
      </w:r>
      <w:r w:rsidR="00652E6C">
        <w:t>.</w:t>
      </w:r>
      <w:r w:rsidR="00672FCD">
        <w:t xml:space="preserve"> A plethora of research has been conducted into the mechanisms governing this counteraction, </w:t>
      </w:r>
      <w:r w:rsidR="00672FCD">
        <w:lastRenderedPageBreak/>
        <w:t>which is too extensive to cover in detail here, but is discussed with reference to mixed osmolyte systems in section</w:t>
      </w:r>
      <w:r w:rsidR="00DD5FB0">
        <w:t xml:space="preserve"> </w:t>
      </w:r>
      <w:r w:rsidR="00DD5FB0">
        <w:fldChar w:fldCharType="begin"/>
      </w:r>
      <w:r w:rsidR="00DD5FB0">
        <w:instrText xml:space="preserve"> REF _Ref460078607 \r \h </w:instrText>
      </w:r>
      <w:r w:rsidR="00DD5FB0">
        <w:fldChar w:fldCharType="separate"/>
      </w:r>
      <w:r w:rsidR="00AA6926">
        <w:t>1.6.1</w:t>
      </w:r>
      <w:r w:rsidR="00DD5FB0">
        <w:fldChar w:fldCharType="end"/>
      </w:r>
      <w:r w:rsidR="00672FCD">
        <w:t>.</w:t>
      </w:r>
    </w:p>
    <w:p w14:paraId="7E7B9459" w14:textId="77777777" w:rsidR="00652E6C" w:rsidRDefault="00652E6C" w:rsidP="00483A6A">
      <w:r>
        <w:t>Interestingly  most organic osmolytes commonly used by cells are either uncharged or have no net charge</w:t>
      </w:r>
      <w:r w:rsidR="00F360E2">
        <w:t xml:space="preserve"> at physiological pH</w:t>
      </w:r>
      <w:r>
        <w:t xml:space="preserve"> </w:t>
      </w:r>
      <w:r>
        <w:fldChar w:fldCharType="begin" w:fldLock="1"/>
      </w:r>
      <w:r w:rsidR="00DD6047">
        <w:instrText>ADDIN CSL_CITATION { "citationItems" : [ { "id" : "ITEM-1", "itemData" : { "author" : [ { "dropping-particle" : "", "family" : "Yancey", "given" : "P H", "non-dropping-particle" : "", "parse-names" : false, "suffix" : "" }, { "dropping-particle" : "", "family" : "Clark", "given" : "M E", "non-dropping-particle" : "", "parse-names" : false, "suffix" : "" }, { "dropping-particle" : "", "family" : "Hand", "given" : "S C", "non-dropping-particle" : "", "parse-names" : false, "suffix" : "" }, { "dropping-particle" : "", "family" : "Bowlus", "given" : "R D", "non-dropping-particle" : "", "parse-names" : false, "suffix" : "" }, { "dropping-particle" : "", "family" : "Somero", "given" : "G N", "non-dropping-particle" : "", "parse-names" : false, "suffix" : "" } ], "container-title" : "Science", "id" : "ITEM-1", "issued" : { "date-parts" : [ [ "1982" ] ] }, "page" : "1214-1222", "title" : "Living with water stress: Evolution of osmolyte systems", "type" : "article-journal", "volume" : "217" }, "uris" : [ "http://www.mendeley.com/documents/?uuid=5c0ecbac-0ed5-485c-b4bd-8986742136e1" ] } ], "mendeley" : { "formattedCitation" : "(Yancey et al. 1982)", "plainTextFormattedCitation" : "(Yancey et al. 1982)", "previouslyFormattedCitation" : "(Yancey et al. 1982)" }, "properties" : { "noteIndex" : 0 }, "schema" : "https://github.com/citation-style-language/schema/raw/master/csl-citation.json" }</w:instrText>
      </w:r>
      <w:r>
        <w:fldChar w:fldCharType="separate"/>
      </w:r>
      <w:r w:rsidRPr="00652E6C">
        <w:rPr>
          <w:noProof/>
        </w:rPr>
        <w:t>(Yancey et al. 1982)</w:t>
      </w:r>
      <w:r>
        <w:fldChar w:fldCharType="end"/>
      </w:r>
      <w:r>
        <w:t xml:space="preserve">, presumably </w:t>
      </w:r>
      <w:r w:rsidR="004E586E">
        <w:t xml:space="preserve">chosen </w:t>
      </w:r>
      <w:r>
        <w:t xml:space="preserve">due to their inability to destabilise proteins through electrostatic interactions. This means that the positively charged amino acids, including arginine and lysine, are not used by cells as osmolytes. In fact, even when large amounts of free arginine are produced during hydrolysis of arginine phosphate in the muscles of marine invertebrates, arginine is immediately converted into octopine through condensation with pyruvate, which is a neutral osmolyte </w:t>
      </w:r>
      <w:r>
        <w:fldChar w:fldCharType="begin" w:fldLock="1"/>
      </w:r>
      <w:r>
        <w:instrText>ADDIN CSL_CITATION { "citationItems" : [ { "id" : "ITEM-1", "itemData" : { "DOI" : "10.1002/jez.1402080202", "ISSN" : "0022-104X", "PMID" : "469480", "abstract" : "The major nitrogenous osmolytes present in the cells of marine invertebrates, notably the free amino acids glycine, alanine and proline, and trimethylamine oxide and betaine, are highly compatible with proper enzyme function and structure. These nitrogenous osmolytes display either non-perturbing or, in some cases, favorable effects on enzyme-substrate and enzyme-cofactor complex formation, catalytic velocity and protein structural stability. In contrast, inorganic salts (KCl and NaCl) and certain of the free amino acids which play only a minor osmotic role, e.g., arginine and lysine, have strongly perturbing effects on one or more of these enzymic parameters. The compatible nitrogenous solutes therefore are suitable for use at high (several tenths molar) concentrations and at widely varying concentrations in osmo-conforming species. Certain nitrogenous solutes, especially trimethylamine oxide, betaine and glutamate, offset some of the perturbing effects of inorganic ions on enzyme function. The selective accumulation of osmolytes thus involves not only the concentration of non-perturbing solutes, but also a balanced accumulation of solutes with opposing effects on enzymes. The selection of end-products of anaerobic metabolism also appears to be based, in part, on considerations of solute compatibility with enzyme function. Octopine is a non-perturbing solute, whereas arginine, which is condensed with pyruvate to form octopine, is very strongly perturbing. Succinate has marked stabilizing effects on protein structure. We conclude that the composition of the intracellular fluids of marine invertebrates reflects selection for osmolytes and end-products whose net effects create a cellular microenvironment which is conducive to optimal enzyme function and structure. The accumulation of compatible solutes may preclude the necessity for widespread changes in protein structure in adapting to concentrated or highly variable osmotic environments.", "author" : [ { "dropping-particle" : "", "family" : "Bowlus", "given" : "R D", "non-dropping-particle" : "", "parse-names" : false, "suffix" : "" }, { "dropping-particle" : "", "family" : "Somero", "given" : "G N", "non-dropping-particle" : "", "parse-names" : false, "suffix" : "" } ], "container-title" : "Journal of Experimental Zoology", "id" : "ITEM-1", "issued" : { "date-parts" : [ [ "1979" ] ] }, "page" : "137-151", "title" : "Solute compatibility with enzyme function and structure: rationales for the selection of osmotic agents and end-products of anaerobic metabolism in marine invertebrates", "type" : "article-journal", "volume" : "208" }, "uris" : [ "http://www.mendeley.com/documents/?uuid=7dde3bd3-612c-4dc0-b5b3-9e57c8eb9a26" ] } ], "mendeley" : { "formattedCitation" : "(Bowlus &amp; Somero 1979)", "plainTextFormattedCitation" : "(Bowlus &amp; Somero 1979)", "previouslyFormattedCitation" : "(Bowlus &amp; Somero 1979)" }, "properties" : { "noteIndex" : 0 }, "schema" : "https://github.com/citation-style-language/schema/raw/master/csl-citation.json" }</w:instrText>
      </w:r>
      <w:r>
        <w:fldChar w:fldCharType="separate"/>
      </w:r>
      <w:r w:rsidRPr="00652E6C">
        <w:rPr>
          <w:noProof/>
        </w:rPr>
        <w:t>(Bowlus &amp; Somero 1979)</w:t>
      </w:r>
      <w:r>
        <w:fldChar w:fldCharType="end"/>
      </w:r>
      <w:r>
        <w:t xml:space="preserve">. There are various studies in the field of cell biology that point out the incompatibility of arginine with proteins </w:t>
      </w:r>
      <w:r>
        <w:fldChar w:fldCharType="begin" w:fldLock="1"/>
      </w:r>
      <w:r w:rsidR="00DD6047">
        <w:instrText>ADDIN CSL_CITATION { "citationItems" : [ { "id" : "ITEM-1", "itemData" : { "author" : [ { "dropping-particle" : "", "family" : "Yancey", "given" : "P H", "non-dropping-particle" : "", "parse-names" : false, "suffix" : "" }, { "dropping-particle" : "", "family" : "Clark", "given" : "M E", "non-dropping-particle" : "", "parse-names" : false, "suffix" : "" }, { "dropping-particle" : "", "family" : "Hand", "given" : "S C", "non-dropping-particle" : "", "parse-names" : false, "suffix" : "" }, { "dropping-particle" : "", "family" : "Bowlus", "given" : "R D", "non-dropping-particle" : "", "parse-names" : false, "suffix" : "" }, { "dropping-particle" : "", "family" : "Somero", "given" : "G N", "non-dropping-particle" : "", "parse-names" : false, "suffix" : "" } ], "container-title" : "Science", "id" : "ITEM-1", "issued" : { "date-parts" : [ [ "1982" ] ] }, "page" : "1214-1222", "title" : "Living with water stress: Evolution of osmolyte systems", "type" : "article-journal", "volume" : "217" }, "uris" : [ "http://www.mendeley.com/documents/?uuid=5c0ecbac-0ed5-485c-b4bd-8986742136e1" ] }, { "id" : "ITEM-2", "itemData" : { "DOI" : "10.1002/jez.1402080202", "ISSN" : "0022-104X", "PMID" : "469480", "abstract" : "The major nitrogenous osmolytes present in the cells of marine invertebrates, notably the free amino acids glycine, alanine and proline, and trimethylamine oxide and betaine, are highly compatible with proper enzyme function and structure. These nitrogenous osmolytes display either non-perturbing or, in some cases, favorable effects on enzyme-substrate and enzyme-cofactor complex formation, catalytic velocity and protein structural stability. In contrast, inorganic salts (KCl and NaCl) and certain of the free amino acids which play only a minor osmotic role, e.g., arginine and lysine, have strongly perturbing effects on one or more of these enzymic parameters. The compatible nitrogenous solutes therefore are suitable for use at high (several tenths molar) concentrations and at widely varying concentrations in osmo-conforming species. Certain nitrogenous solutes, especially trimethylamine oxide, betaine and glutamate, offset some of the perturbing effects of inorganic ions on enzyme function. The selective accumulation of osmolytes thus involves not only the concentration of non-perturbing solutes, but also a balanced accumulation of solutes with opposing effects on enzymes. The selection of end-products of anaerobic metabolism also appears to be based, in part, on considerations of solute compatibility with enzyme function. Octopine is a non-perturbing solute, whereas arginine, which is condensed with pyruvate to form octopine, is very strongly perturbing. Succinate has marked stabilizing effects on protein structure. We conclude that the composition of the intracellular fluids of marine invertebrates reflects selection for osmolytes and end-products whose net effects create a cellular microenvironment which is conducive to optimal enzyme function and structure. The accumulation of compatible solutes may preclude the necessity for widespread changes in protein structure in adapting to concentrated or highly variable osmotic environments.", "author" : [ { "dropping-particle" : "", "family" : "Bowlus", "given" : "R D", "non-dropping-particle" : "", "parse-names" : false, "suffix" : "" }, { "dropping-particle" : "", "family" : "Somero", "given" : "G N", "non-dropping-particle" : "", "parse-names" : false, "suffix" : "" } ], "container-title" : "Journal of Experimental Zoology", "id" : "ITEM-2", "issued" : { "date-parts" : [ [ "1979" ] ] }, "page" : "137-151", "title" : "Solute compatibility with enzyme function and structure: rationales for the selection of osmotic agents and end-products of anaerobic metabolism in marine invertebrates", "type" : "article-journal", "volume" : "208" }, "uris" : [ "http://www.mendeley.com/documents/?uuid=7dde3bd3-612c-4dc0-b5b3-9e57c8eb9a26" ] }, { "id" : "ITEM-3", "itemData" : { "author" : [ { "dropping-particle" : "", "family" : "Clark", "given" : "M E", "non-dropping-particle" : "", "parse-names" : false, "suffix" : "" }, { "dropping-particle" : "", "family" : "Zounes", "given" : "M", "non-dropping-particle" : "", "parse-names" : false, "suffix" : "" } ], "container-title" : "Biological Bulletin", "id" : "ITEM-3", "issued" : { "date-parts" : [ [ "1977" ] ] }, "page" : "468-484", "title" : "The effects of selected cell osmolytes on the activity of lactate dehydrogenase from the Euryhaline Polychaete, Nereis succinea", "type" : "article-journal", "volume" : "153" }, "uris" : [ "http://www.mendeley.com/documents/?uuid=bad7a84b-31cd-4704-b3fd-7953e4cb7e77" ] } ], "mendeley" : { "formattedCitation" : "(Yancey et al. 1982; Bowlus &amp; Somero 1979; Clark &amp; Zounes 1977)", "plainTextFormattedCitation" : "(Yancey et al. 1982; Bowlus &amp; Somero 1979; Clark &amp; Zounes 1977)", "previouslyFormattedCitation" : "(Yancey et al. 1982; Bowlus &amp; Somero 1979; Clark &amp; Zounes 1977)" }, "properties" : { "noteIndex" : 0 }, "schema" : "https://github.com/citation-style-language/schema/raw/master/csl-citation.json" }</w:instrText>
      </w:r>
      <w:r>
        <w:fldChar w:fldCharType="separate"/>
      </w:r>
      <w:r w:rsidRPr="00652E6C">
        <w:rPr>
          <w:noProof/>
        </w:rPr>
        <w:t>(Yancey et al. 1982; Bowlus &amp; Somero 1979; Clark &amp; Zounes 1977)</w:t>
      </w:r>
      <w:r>
        <w:fldChar w:fldCharType="end"/>
      </w:r>
      <w:r>
        <w:t xml:space="preserve">, yet </w:t>
      </w:r>
      <w:r w:rsidR="00A83CBF">
        <w:t>this is an amino acid that is extensively used as a stabilising excipient in pharmaceutical formulations. This paradox forms a major theme throughout this thesis and is discussed in more detail in the rest of this literature review.</w:t>
      </w:r>
      <w:r w:rsidR="004E586E" w:rsidRPr="004E586E">
        <w:t xml:space="preserve"> </w:t>
      </w:r>
      <w:r w:rsidR="004E586E">
        <w:t xml:space="preserve">‘Stabilising’ in this sense may refer to both conformational (prevention of unfolding) and colloidal (prevention of aggregation) stability </w:t>
      </w:r>
      <w:r w:rsidR="004E586E">
        <w:fldChar w:fldCharType="begin" w:fldLock="1"/>
      </w:r>
      <w:r w:rsidR="004E586E">
        <w:instrText>ADDIN CSL_CITATION { "citationItems" : [ { "id" : "ITEM-1", "itemData" : { "DOI" : "10.1016/j.ijpharm.2014.12.038", "ISSN" : "18733476", "PMID" : "25529432", "abstract" : "The purpose of this study was to better understand the preferential binding behavior of arginine to protein as well as the impact of arginine on the conformational and colloidal stability of protein solution. Physical stabilities of model proteins, bovine serum albumin (BSA) and ovalbumin (OVA), were investigated by fluorescence-based and dynamic light scattering techniques in the absence and presence of arginine. We investigated the interactions between arginine and tryptophan or tyrosine residues by conducting solubility and fluorescence studies of two amino acid derivatives, N-acetyl-l-tryptophanamide (NATA) and N-acetyl-l-tyrosinamide (NAYA), in arginine solutions. The result showed that arginine preferentially bond to the aromatic amino acids of proteins mainly through hydrogen bonds and Van der Waals' forces, while the binding constant K of arginine with BSA and OVA at 298 K was 41.92 and 5.77 L/mol, respectively. The fluorescence quenching, the decreased fluorescence lifetime and the red-shifted ANS peak position revealed that arginine perturbed the local environment of tryptophan and tyrosine residues. We also found the attenuated electrostatic repulsion among BSA and OVA molecules after adding arginine. These findings provided strong evidence that arginine possessed negative effects on tertiary conformational and colloidal stability of BSA and OVA during the preferential binding process.", "author" : [ { "dropping-particle" : "", "family" : "Wen", "given" : "L", "non-dropping-particle" : "", "parse-names" : false, "suffix" : "" }, { "dropping-particle" : "", "family" : "Chen", "given" : "Y", "non-dropping-particle" : "", "parse-names" : false, "suffix" : "" }, { "dropping-particle" : "", "family" : "Liao", "given" : "J", "non-dropping-particle" : "", "parse-names" : false, "suffix" : "" }, { "dropping-particle" : "", "family" : "Zheng", "given" : "X", "non-dropping-particle" : "", "parse-names" : false, "suffix" : "" }, { "dropping-particle" : "", "family" : "Yin", "given" : "Z", "non-dropping-particle" : "", "parse-names" : false, "suffix" : "" } ], "container-title" : "International Journal of Pharmaceutics", "id" : "ITEM-1", "issued" : { "date-parts" : [ [ "2015" ] ] }, "page" : "753-761", "publisher" : "Elsevier B.V.", "title" : "Preferential interactions between protein and arginine: Effects of arginine on tertiary conformational and colloidal stability of protein solution", "type" : "article-journal", "volume" : "478" }, "uris" : [ "http://www.mendeley.com/documents/?uuid=c379602a-ff8f-4328-a766-57df142b39f7" ] } ], "mendeley" : { "formattedCitation" : "(Wen et al. 2015)", "plainTextFormattedCitation" : "(Wen et al. 2015)", "previouslyFormattedCitation" : "(Wen et al. 2015)" }, "properties" : { "noteIndex" : 0 }, "schema" : "https://github.com/citation-style-language/schema/raw/master/csl-citation.json" }</w:instrText>
      </w:r>
      <w:r w:rsidR="004E586E">
        <w:fldChar w:fldCharType="separate"/>
      </w:r>
      <w:r w:rsidR="004E586E" w:rsidRPr="00F360E2">
        <w:rPr>
          <w:noProof/>
        </w:rPr>
        <w:t>(Wen et al. 2015)</w:t>
      </w:r>
      <w:r w:rsidR="004E586E">
        <w:fldChar w:fldCharType="end"/>
      </w:r>
      <w:r w:rsidR="004E586E">
        <w:t>, both of which are important in formulation design.</w:t>
      </w:r>
    </w:p>
    <w:p w14:paraId="65F72087" w14:textId="77777777" w:rsidR="002567AC" w:rsidRPr="00483A6A" w:rsidRDefault="002567AC" w:rsidP="00483A6A">
      <w:r>
        <w:t>The intracellular environment in which proteins exi</w:t>
      </w:r>
      <w:r w:rsidR="00E47AE5">
        <w:t>st is extremely complex and</w:t>
      </w:r>
      <w:r>
        <w:t xml:space="preserve"> crowded </w:t>
      </w:r>
      <w:r>
        <w:fldChar w:fldCharType="begin" w:fldLock="1"/>
      </w:r>
      <w:r>
        <w:instrText>ADDIN CSL_CITATION { "citationItems" : [ { "id" : "ITEM-1", "itemData" : { "DOI" : "10.1111/iwj.12269", "ISSN" : "1742-481X", "PMID" : "24673982", "author" : [ { "dropping-particle" : "", "family" : "Ellis", "given" : "R J", "non-dropping-particle" : "", "parse-names" : false, "suffix" : "" }, { "dropping-particle" : "", "family" : "Minton", "given" : "A P", "non-dropping-particle" : "", "parse-names" : false, "suffix" : "" } ], "container-title" : "Nature", "id" : "ITEM-1", "issued" : { "date-parts" : [ [ "2003", "4" ] ] }, "page" : "27-28", "title" : "Join the crowd", "type" : "article-journal", "volume" : "425" }, "uris" : [ "http://www.mendeley.com/documents/?uuid=dd418f76-9440-486f-84bf-e40eb541bac4" ] } ], "mendeley" : { "formattedCitation" : "(Ellis &amp; Minton 2003)", "plainTextFormattedCitation" : "(Ellis &amp; Minton 2003)", "previouslyFormattedCitation" : "(Ellis &amp; Minton 2003)" }, "properties" : { "noteIndex" : 0 }, "schema" : "https://github.com/citation-style-language/schema/raw/master/csl-citation.json" }</w:instrText>
      </w:r>
      <w:r>
        <w:fldChar w:fldCharType="separate"/>
      </w:r>
      <w:r w:rsidRPr="002567AC">
        <w:rPr>
          <w:noProof/>
        </w:rPr>
        <w:t>(Ellis &amp; Minton 2003)</w:t>
      </w:r>
      <w:r>
        <w:fldChar w:fldCharType="end"/>
      </w:r>
      <w:r>
        <w:t xml:space="preserve">. </w:t>
      </w:r>
      <w:r w:rsidR="004722D8">
        <w:t>P</w:t>
      </w:r>
      <w:r>
        <w:t xml:space="preserve">roteins naturally are exposed to an environment consisting of high concentrations of other proteins (up to 200-400 mg/mL) </w:t>
      </w:r>
      <w:r>
        <w:fldChar w:fldCharType="begin" w:fldLock="1"/>
      </w:r>
      <w:r w:rsidR="00DD6047">
        <w:instrText>ADDIN CSL_CITATION { "citationItems" : [ { "id" : "ITEM-1", "itemData" : { "DOI" : "10.1016/j.sbi.2013.11.007", "ISSN" : "0959440X", "PMID" : "24434632", "abstract" : "In this review, we compare and contrast current knowledge about in vitro and in vivo protein folding. Major advances in understanding fundamental principles underlying protein folding in optimized in vitro conditions have yielded detailed physicochemical principles of folding landscapes for small, single domain proteins. In addition, there has been increased research focusing on the key features of protein folding in the cell that differentiate it from in vitro folding, such as co-translational folding, chaperone-facilitated folding, and folding in crowded conditions with many weak interactions. Yet these two research areas have not been bridged effectively in research carried out to date. This review points to gaps between the two that are ripe for future research. Moreover, we emphasize the biological selection pressures that impact protein folding in vivo and how fitness drives the evolution of protein sequences in ways that may place foldability in tension with other requirements on a given protein. We suggest that viewing the physicochemical process of protein folding through the lens of evolution will unveil new insights and pose novel challenges about in-cell folding landscapes. ?? 2013 Elsevier Ltd.", "author" : [ { "dropping-particle" : "", "family" : "Hingorani", "given" : "K S", "non-dropping-particle" : "", "parse-names" : false, "suffix" : "" }, { "dropping-particle" : "", "family" : "Gierasch", "given" : "L M", "non-dropping-particle" : "", "parse-names" : false, "suffix" : "" } ], "container-title" : "Current Opinion in Structural Biology", "id" : "ITEM-1", "issued" : { "date-parts" : [ [ "2014" ] ] }, "page" : "81-90", "publisher" : "Elsevier Ltd", "title" : "Comparing protein folding in vitro and in vivo: Foldability meets the fitness challenge", "type" : "article-journal", "volume" : "24" }, "uris" : [ "http://www.mendeley.com/documents/?uuid=54e86fe9-6f00-4101-8e41-0460e41a8003" ] } ], "mendeley" : { "formattedCitation" : "(Hingorani &amp; Gierasch 2014)", "plainTextFormattedCitation" : "(Hingorani &amp; Gierasch 2014)", "previouslyFormattedCitation" : "(Hingorani &amp; Gierasch 2014)" }, "properties" : { "noteIndex" : 0 }, "schema" : "https://github.com/citation-style-language/schema/raw/master/csl-citation.json" }</w:instrText>
      </w:r>
      <w:r>
        <w:fldChar w:fldCharType="separate"/>
      </w:r>
      <w:r w:rsidRPr="002567AC">
        <w:rPr>
          <w:noProof/>
        </w:rPr>
        <w:t>(Hingorani &amp; Gierasch 2014)</w:t>
      </w:r>
      <w:r>
        <w:fldChar w:fldCharType="end"/>
      </w:r>
      <w:r w:rsidR="00F360E2">
        <w:t>,</w:t>
      </w:r>
      <w:r w:rsidR="00CA6BDC">
        <w:t xml:space="preserve"> water, and a specific combination of mixed osmolytes, which may or may not act on proteins in an additive manner </w:t>
      </w:r>
      <w:r w:rsidR="00CA6BDC">
        <w:fldChar w:fldCharType="begin" w:fldLock="1"/>
      </w:r>
      <w:r w:rsidR="00CA6BDC">
        <w:instrText>ADDIN CSL_CITATION { "citationItems" : [ { "id" : "ITEM-1", "itemData" : { "DOI" : "10.1110/ps.062610407.to", "author" : [ { "dropping-particle" : "", "family" : "Holthauzen", "given" : "L M F", "non-dropping-particle" : "", "parse-names" : false, "suffix" : "" }, { "dropping-particle" : "", "family" : "Bolen", "given" : "D W", "non-dropping-particle" : "", "parse-names" : false, "suffix" : "" } ], "container-title" : "Protein Science", "id" : "ITEM-1", "issued" : { "date-parts" : [ [ "2007" ] ] }, "page" : "293-298", "title" : "Mixed osmolytes: The degree to which one osmolyte affects the protein stabilizing ability of another", "type" : "article-journal", "volume" : "16" }, "uris" : [ "http://www.mendeley.com/documents/?uuid=840e7504-edb7-4e01-b86f-415d435b9167" ] }, { "id" : "ITEM-2", "itemData" : { "DOI" : "10.1002/prot.22425", "ISSN" : "1097-0134", "PMID" : "19408299", "abstract" : "The crowded environments inside cells can have significant effects on the folding stability and other biophysical properties of proteins. In this study on how macromolecular crowding affects protein folding, we took a significant step toward realistically mimicking intracellular environments by using a mixture of two crowding agents, Ficoll and dextran. We found that the mixed crowding exerts a greater stabilizing effect than the sum of the two individual crowding agents. Therefore, the composition of crowders, not just the total concentration, has a significant influence on the effects of crowding on protein folding. Since the composition of intracellular macromolecules varies within the lifetime of a cell, our finding may provide an explanation for age being an important risk factor for protein aggregation-related diseases such as Alzheimer's disease and Parkinson's disease.", "author" : [ { "dropping-particle" : "", "family" : "Batra", "given" : "J", "non-dropping-particle" : "", "parse-names" : false, "suffix" : "" }, { "dropping-particle" : "", "family" : "Xu", "given" : "K", "non-dropping-particle" : "", "parse-names" : false, "suffix" : "" }, { "dropping-particle" : "", "family" : "Zhou", "given" : "H X", "non-dropping-particle" : "", "parse-names" : false, "suffix" : "" } ], "container-title" : "Proteins", "id" : "ITEM-2", "issued" : { "date-parts" : [ [ "2009", "10" ] ] }, "page" : "133-138", "title" : "Nonadditive effects of mixed crowding on protein stability", "type" : "article-journal", "volume" : "77" }, "uris" : [ "http://www.mendeley.com/documents/?uuid=e3b2206e-65c0-44f0-9317-73ddf50a2880" ] } ], "mendeley" : { "formattedCitation" : "(Holthauzen &amp; Bolen 2007; Batra et al. 2009)", "plainTextFormattedCitation" : "(Holthauzen &amp; Bolen 2007; Batra et al. 2009)", "previouslyFormattedCitation" : "(Holthauzen &amp; Bolen 2007; Batra et al. 2009)" }, "properties" : { "noteIndex" : 0 }, "schema" : "https://github.com/citation-style-language/schema/raw/master/csl-citation.json" }</w:instrText>
      </w:r>
      <w:r w:rsidR="00CA6BDC">
        <w:fldChar w:fldCharType="separate"/>
      </w:r>
      <w:r w:rsidR="00CA6BDC" w:rsidRPr="00CA6BDC">
        <w:rPr>
          <w:noProof/>
        </w:rPr>
        <w:t>(Holthauzen &amp; Bolen 2007; Batra et al. 2009)</w:t>
      </w:r>
      <w:r w:rsidR="00CA6BDC">
        <w:fldChar w:fldCharType="end"/>
      </w:r>
      <w:r w:rsidR="00CA6BDC">
        <w:t xml:space="preserve">. Mixed osmolyte effects are discussed in more detail in section </w:t>
      </w:r>
      <w:r w:rsidR="00CA6BDC">
        <w:fldChar w:fldCharType="begin"/>
      </w:r>
      <w:r w:rsidR="00CA6BDC">
        <w:instrText xml:space="preserve"> REF _Ref453859258 \r \h </w:instrText>
      </w:r>
      <w:r w:rsidR="00CA6BDC">
        <w:fldChar w:fldCharType="separate"/>
      </w:r>
      <w:r w:rsidR="00AA6926">
        <w:t>1.6</w:t>
      </w:r>
      <w:r w:rsidR="00CA6BDC">
        <w:fldChar w:fldCharType="end"/>
      </w:r>
      <w:r w:rsidR="00CA6BDC">
        <w:t xml:space="preserve">. This intracellular milieu has evolved alongside proteins and as such proteins rely on this very specific environment to function optimally </w:t>
      </w:r>
      <w:r w:rsidR="00CA6BDC">
        <w:fldChar w:fldCharType="begin" w:fldLock="1"/>
      </w:r>
      <w:r w:rsidR="00CA6BDC">
        <w:instrText>ADDIN CSL_CITATION { "citationItems" : [ { "id" : "ITEM-1", "itemData" : { "author" : [ { "dropping-particle" : "", "family" : "Somero", "given" : "G N", "non-dropping-particle" : "", "parse-names" : false, "suffix" : "" } ], "container-title" : "American Journal of Physiology Regulatory, Integrative and Comparative Physiology", "id" : "ITEM-1", "issued" : { "date-parts" : [ [ "1986" ] ] }, "page" : "R197-R213", "title" : "Protons, osmolytes, and fitness of internal milieu for protein function", "type" : "article-journal", "volume" : "251" }, "uris" : [ "http://www.mendeley.com/documents/?uuid=db200aa7-1e3a-4dc9-a626-7d31afa03f04" ] } ], "mendeley" : { "formattedCitation" : "(Somero 1986)", "plainTextFormattedCitation" : "(Somero 1986)", "previouslyFormattedCitation" : "(Somero 1986)" }, "properties" : { "noteIndex" : 0 }, "schema" : "https://github.com/citation-style-language/schema/raw/master/csl-citation.json" }</w:instrText>
      </w:r>
      <w:r w:rsidR="00CA6BDC">
        <w:fldChar w:fldCharType="separate"/>
      </w:r>
      <w:r w:rsidR="00CA6BDC" w:rsidRPr="00CA6BDC">
        <w:rPr>
          <w:noProof/>
        </w:rPr>
        <w:t>(Somero 1986)</w:t>
      </w:r>
      <w:r w:rsidR="00CA6BDC">
        <w:fldChar w:fldCharType="end"/>
      </w:r>
      <w:r w:rsidR="00CA6BDC">
        <w:t xml:space="preserve">. The weak transient interactions between proteins and the various components of the intracellular environment are now considered so important to protein function that they have been termed </w:t>
      </w:r>
      <w:r w:rsidR="004E586E">
        <w:t xml:space="preserve">by some as </w:t>
      </w:r>
      <w:r w:rsidR="00CA6BDC">
        <w:t xml:space="preserve">the ‘quinary structure’ of the protein </w:t>
      </w:r>
      <w:r w:rsidR="00CA6BDC">
        <w:fldChar w:fldCharType="begin" w:fldLock="1"/>
      </w:r>
      <w:r w:rsidR="00FF6FB8">
        <w:instrText>ADDIN CSL_CITATION { "citationItems" : [ { "id" : "ITEM-1", "itemData" : { "DOI" : "10.1073/pnas.79.10.3236", "ISBN" : "0027-8424", "ISSN" : "0027-8424", "PMID" : "6954476", "abstract" : "High-resolution two-dimensional polyacrylamide gel electrophoresis shows that at least half of 370 denatured polypeptides from hamster cells and human cells are indistinguishable in terms of isoelectric points and molecular weights. Molecular evolution may have been more conservative for this set of proteins than sequence studies on soluble proteins have implied. This may be a consequence of complexities of intracellular organization and the numerous macromolecular interactions in which most polypeptides participate. It is suggested that the term \"quinary structure\" be used to refer to macromolecular interactions that are transient in vivo. Such interactions will not be evident from the composition of purified proteins, but they may constitute an important source of constraints on changes in primary structure.", "author" : [ { "dropping-particle" : "", "family" : "McConkey", "given" : "E H", "non-dropping-particle" : "", "parse-names" : false, "suffix" : "" } ], "container-title" : "Proceedings of the National Academy of Sciences of the United States of America", "id" : "ITEM-1", "issued" : { "date-parts" : [ [ "1982" ] ] }, "page" : "3236-3240", "title" : "Molecular evolution, intracellular organization, and the quinary structure of proteins", "type" : "article-journal", "volume" : "79" }, "uris" : [ "http://www.mendeley.com/documents/?uuid=e42caf24-cee5-416f-8929-fca4774684c2" ] }, { "id" : "ITEM-2", "itemData" : { "DOI" : "10.1073/pnas.1417415112", "ISSN" : "1091-6490", "PMID" : "25624496", "abstract" : "Protein quinary interactions organize the cellular interior and its metabolism. Although the interactions stabilizing secondary, tertiary, and quaternary protein structure are well defined, details about the protein\u2013matrix contacts that comprise quinary structure remain elusive. This gap exists because proteins function in the crowded cellular environment, but are traditionally studied in simple buffered solutions. We use NMR-detected H/D exchange to quantify quinary interactions between the B1 domain of protein G and the cytosol of Escherichia coli. We demonstrate that a surface mutation in this protein is 10-fold more destabilizing in cells than in buffer, a surprising result that firmly establishes the significance of quinary interactions. Remarkably, the energy involved in these interactions can be as large as the energies that stabilize specific protein complexes. These results will drive the critical task of implementing quinary structure into models for understanding the proteome.", "author" : [ { "dropping-particle" : "", "family" : "Monteith", "given" : "W B", "non-dropping-particle" : "", "parse-names" : false, "suffix" : "" }, { "dropping-particle" : "", "family" : "Cohen", "given" : "R D", "non-dropping-particle" : "", "parse-names" : false, "suffix" : "" }, { "dropping-particle" : "", "family" : "Smith", "given" : "A E", "non-dropping-particle" : "", "parse-names" : false, "suffix" : "" }, { "dropping-particle" : "", "family" : "Guzman-Cisneros", "given" : "E", "non-dropping-particle" : "", "parse-names" : false, "suffix" : "" }, { "dropping-particle" : "", "family" : "Pielak", "given" : "G J", "non-dropping-particle" : "", "parse-names" : false, "suffix" : "" } ], "container-title" : "Proceedings of the National Academy of Sciences of the United States of America", "id" : "ITEM-2", "issued" : { "date-parts" : [ [ "2015" ] ] }, "page" : "1739-1742", "title" : "Quinary structure modulates protein stability in cells", "type" : "article-journal", "volume" : "112" }, "uris" : [ "http://www.mendeley.com/documents/?uuid=08a27303-bf7d-43cb-b660-5c5c569e3c8f" ] }, { "id" : "ITEM-3", "itemData" : { "DOI" : "10.1091/mbc.E14-06-1035", "ISBN" : "1939-4586 (Electronic) 1059-1524 (Linking)", "PMID" : "25368424", "abstract" : "Biological systems display stunning capacities to self-organize. Moreover, their subcellular architectures are dynamic and responsive to changing needs and conditions. Key to these properties are manifold weak \"quinary\" interactions that have evolved to create specific spatial networks of macromolecules. These specific arrangements of molecules enable signals to be propagated over distances much greater than molecular dimensions, create phase separations that define functional regions in cells, and amplify cellular responses to changes in their environments. A major challenge is to develop biochemical tools and physical models to describe the panoply of weak interactions operating in cells. We also need better approaches to measure the biases in the spatial distributions of cellular macromolecules that result from the integrated action of multiple weak interactions. Partnerships between cell biologists, biochemists, and physicists are required to deploy these methods. Together these approaches will help us realize the dream of understanding the biological \"glue\" that sustains life at a molecular and cellular level.", "author" : [ { "dropping-particle" : "", "family" : "Chien", "given" : "P", "non-dropping-particle" : "", "parse-names" : false, "suffix" : "" }, { "dropping-particle" : "", "family" : "Gierasch", "given" : "L M", "non-dropping-particle" : "", "parse-names" : false, "suffix" : "" } ], "container-title" : "Molecular Biology of the Cell", "id" : "ITEM-3", "issued" : { "date-parts" : [ [ "2014" ] ] }, "page" : "3474-3477", "title" : "Challenges and dreams: Physics of weak interactions essential to life", "type" : "article-journal", "volume" : "25" }, "uris" : [ "http://www.mendeley.com/documents/?uuid=db47be7b-65e1-4461-ace0-52abd7368247" ] } ], "mendeley" : { "formattedCitation" : "(McConkey 1982; Monteith et al. 2015; Chien &amp; Gierasch 2014)", "plainTextFormattedCitation" : "(McConkey 1982; Monteith et al. 2015; Chien &amp; Gierasch 2014)", "previouslyFormattedCitation" : "(McConkey 1982; Monteith et al. 2015; Chien &amp; Gierasch 2014)" }, "properties" : { "noteIndex" : 0 }, "schema" : "https://github.com/citation-style-language/schema/raw/master/csl-citation.json" }</w:instrText>
      </w:r>
      <w:r w:rsidR="00CA6BDC">
        <w:fldChar w:fldCharType="separate"/>
      </w:r>
      <w:r w:rsidR="00CA6BDC" w:rsidRPr="00CA6BDC">
        <w:rPr>
          <w:noProof/>
        </w:rPr>
        <w:t>(McConkey 1982; Monteith et al. 2015; Chien &amp; Gierasch 2014)</w:t>
      </w:r>
      <w:r w:rsidR="00CA6BDC">
        <w:fldChar w:fldCharType="end"/>
      </w:r>
      <w:r w:rsidR="00CA6BDC">
        <w:t xml:space="preserve">. </w:t>
      </w:r>
      <w:r w:rsidR="00C572EF">
        <w:t xml:space="preserve">This makes the </w:t>
      </w:r>
      <w:r w:rsidR="00422ABA">
        <w:t xml:space="preserve">in vitro </w:t>
      </w:r>
      <w:r w:rsidR="00C572EF">
        <w:t xml:space="preserve">stabilisation of proteins outside of the </w:t>
      </w:r>
      <w:r w:rsidR="004722D8">
        <w:t xml:space="preserve">complex </w:t>
      </w:r>
      <w:r w:rsidR="00C572EF">
        <w:t xml:space="preserve">cell </w:t>
      </w:r>
      <w:r w:rsidR="004722D8">
        <w:t xml:space="preserve">environment </w:t>
      </w:r>
      <w:r w:rsidR="00C572EF">
        <w:t xml:space="preserve">quite complicated, which is why </w:t>
      </w:r>
      <w:r w:rsidR="00C572EF">
        <w:lastRenderedPageBreak/>
        <w:t>biopharmaceutical formulation development for therapeutic prote</w:t>
      </w:r>
      <w:r w:rsidR="004722D8">
        <w:t xml:space="preserve">ins can </w:t>
      </w:r>
      <w:r w:rsidR="00FE21B2">
        <w:t xml:space="preserve">present a </w:t>
      </w:r>
      <w:commentRangeStart w:id="44"/>
      <w:r w:rsidR="00FE21B2">
        <w:t>substantial</w:t>
      </w:r>
      <w:commentRangeEnd w:id="44"/>
      <w:r w:rsidR="00FE21B2">
        <w:rPr>
          <w:rStyle w:val="CommentReference"/>
        </w:rPr>
        <w:commentReference w:id="44"/>
      </w:r>
      <w:r w:rsidR="004722D8">
        <w:t xml:space="preserve"> challenge. The development of biopharmaceutical formulations and the use of small molecules as excipients </w:t>
      </w:r>
      <w:r w:rsidR="004E586E">
        <w:t>are</w:t>
      </w:r>
      <w:r w:rsidR="00422ABA">
        <w:t xml:space="preserve"> discussed in more detail in section </w:t>
      </w:r>
      <w:r w:rsidR="00422ABA">
        <w:fldChar w:fldCharType="begin"/>
      </w:r>
      <w:r w:rsidR="00422ABA">
        <w:instrText xml:space="preserve"> REF _Ref460078435 \r \h </w:instrText>
      </w:r>
      <w:r w:rsidR="00422ABA">
        <w:fldChar w:fldCharType="separate"/>
      </w:r>
      <w:r w:rsidR="00AA6926">
        <w:t>1.3.3.3</w:t>
      </w:r>
      <w:r w:rsidR="00422ABA">
        <w:fldChar w:fldCharType="end"/>
      </w:r>
      <w:r w:rsidR="00C572EF">
        <w:t>.</w:t>
      </w:r>
    </w:p>
    <w:p w14:paraId="54A7C12B" w14:textId="77777777" w:rsidR="000F6450" w:rsidRDefault="009E321F" w:rsidP="00A96D00">
      <w:pPr>
        <w:pStyle w:val="Heading4"/>
      </w:pPr>
      <w:bookmarkStart w:id="45" w:name="_Ref453088826"/>
      <w:bookmarkStart w:id="46" w:name="_Ref465690286"/>
      <w:r>
        <w:t>D</w:t>
      </w:r>
      <w:r w:rsidR="00A96D00" w:rsidRPr="00E568C9">
        <w:t>ocumented effects</w:t>
      </w:r>
      <w:bookmarkEnd w:id="45"/>
      <w:r w:rsidR="00B262A1">
        <w:t xml:space="preserve"> </w:t>
      </w:r>
      <w:r>
        <w:t xml:space="preserve">of the major stabilising small molecules </w:t>
      </w:r>
      <w:r w:rsidR="00B262A1">
        <w:t>on protein stability</w:t>
      </w:r>
      <w:bookmarkEnd w:id="46"/>
    </w:p>
    <w:p w14:paraId="42AA7E90" w14:textId="77777777" w:rsidR="005F4F0D" w:rsidRPr="00422ABA" w:rsidRDefault="003C6119" w:rsidP="005F4F0D">
      <w:pPr>
        <w:rPr>
          <w:szCs w:val="24"/>
        </w:rPr>
      </w:pPr>
      <w:r>
        <w:rPr>
          <w:szCs w:val="24"/>
        </w:rPr>
        <w:t xml:space="preserve">The effects of osmolytes on the thermal stability of proteins have been studied extensively </w:t>
      </w:r>
      <w:r w:rsidR="001B047F">
        <w:rPr>
          <w:szCs w:val="24"/>
        </w:rPr>
        <w:t>(</w:t>
      </w:r>
      <w:r>
        <w:rPr>
          <w:szCs w:val="24"/>
        </w:rPr>
        <w:fldChar w:fldCharType="begin"/>
      </w:r>
      <w:r>
        <w:rPr>
          <w:szCs w:val="24"/>
        </w:rPr>
        <w:instrText xml:space="preserve"> REF _Ref453339849 \h </w:instrText>
      </w:r>
      <w:r>
        <w:rPr>
          <w:szCs w:val="24"/>
        </w:rPr>
      </w:r>
      <w:r>
        <w:rPr>
          <w:szCs w:val="24"/>
        </w:rPr>
        <w:fldChar w:fldCharType="separate"/>
      </w:r>
      <w:r w:rsidR="00AA6926">
        <w:t xml:space="preserve">Table </w:t>
      </w:r>
      <w:r w:rsidR="00AA6926">
        <w:rPr>
          <w:noProof/>
        </w:rPr>
        <w:t>1</w:t>
      </w:r>
      <w:r w:rsidR="00AA6926">
        <w:noBreakHyphen/>
      </w:r>
      <w:r w:rsidR="00AA6926">
        <w:rPr>
          <w:noProof/>
        </w:rPr>
        <w:t>4</w:t>
      </w:r>
      <w:r>
        <w:rPr>
          <w:szCs w:val="24"/>
        </w:rPr>
        <w:fldChar w:fldCharType="end"/>
      </w:r>
      <w:r w:rsidR="001B047F">
        <w:rPr>
          <w:szCs w:val="24"/>
        </w:rPr>
        <w:t>)</w:t>
      </w:r>
      <w:r>
        <w:rPr>
          <w:szCs w:val="24"/>
        </w:rPr>
        <w:t xml:space="preserve">. It can be seen that different osmolytes </w:t>
      </w:r>
      <w:r w:rsidR="00422ABA">
        <w:rPr>
          <w:szCs w:val="24"/>
        </w:rPr>
        <w:t>affect</w:t>
      </w:r>
      <w:r>
        <w:rPr>
          <w:szCs w:val="24"/>
        </w:rPr>
        <w:t xml:space="preserve"> the thermal stability of the proteins by varying degrees</w:t>
      </w:r>
      <w:r w:rsidR="00992549">
        <w:rPr>
          <w:szCs w:val="24"/>
        </w:rPr>
        <w:t>, shown by the change in mel</w:t>
      </w:r>
      <w:r w:rsidR="004E586E">
        <w:rPr>
          <w:szCs w:val="24"/>
        </w:rPr>
        <w:t xml:space="preserve">ting temperature of the protein with the osmolyte </w:t>
      </w:r>
      <w:r w:rsidR="00992549">
        <w:rPr>
          <w:szCs w:val="24"/>
        </w:rPr>
        <w:t>compared to the protein in the absence of the osmolyte (Δ</w:t>
      </w:r>
      <w:r w:rsidR="00992549" w:rsidRPr="00992549">
        <w:rPr>
          <w:i/>
          <w:szCs w:val="24"/>
        </w:rPr>
        <w:t>T</w:t>
      </w:r>
      <w:r w:rsidR="00992549" w:rsidRPr="00992549">
        <w:rPr>
          <w:szCs w:val="24"/>
          <w:vertAlign w:val="subscript"/>
        </w:rPr>
        <w:t>m</w:t>
      </w:r>
      <w:r w:rsidR="00992549">
        <w:rPr>
          <w:szCs w:val="24"/>
        </w:rPr>
        <w:t>)</w:t>
      </w:r>
      <w:r>
        <w:rPr>
          <w:szCs w:val="24"/>
        </w:rPr>
        <w:t xml:space="preserve">. </w:t>
      </w:r>
      <w:r w:rsidR="00422ABA">
        <w:rPr>
          <w:szCs w:val="24"/>
        </w:rPr>
        <w:t>C</w:t>
      </w:r>
      <w:r>
        <w:rPr>
          <w:szCs w:val="24"/>
        </w:rPr>
        <w:t>omparison of these values is difficult due to the different solvent conditions u</w:t>
      </w:r>
      <w:r w:rsidR="000E5F16">
        <w:rPr>
          <w:szCs w:val="24"/>
        </w:rPr>
        <w:t>sed, including</w:t>
      </w:r>
      <w:r>
        <w:rPr>
          <w:szCs w:val="24"/>
        </w:rPr>
        <w:t xml:space="preserve"> presence of buffers, pH and concentration of the osmolyte in question.</w:t>
      </w:r>
      <w:r w:rsidR="000E5F16">
        <w:rPr>
          <w:szCs w:val="24"/>
        </w:rPr>
        <w:t xml:space="preserve"> </w:t>
      </w:r>
      <w:r w:rsidR="00F866E7">
        <w:rPr>
          <w:szCs w:val="24"/>
        </w:rPr>
        <w:t>What can be seen is that specific amino acids, particularly the charged amino acids</w:t>
      </w:r>
      <w:r w:rsidR="0028167E">
        <w:rPr>
          <w:szCs w:val="24"/>
        </w:rPr>
        <w:t xml:space="preserve"> (arginine, lysine, histidine, glutamate, aspartate)</w:t>
      </w:r>
      <w:r w:rsidR="00F866E7">
        <w:rPr>
          <w:szCs w:val="24"/>
        </w:rPr>
        <w:t>, have extremely varied effects on protein stability and quite often destabilise th</w:t>
      </w:r>
      <w:r w:rsidR="001B047F">
        <w:rPr>
          <w:szCs w:val="24"/>
        </w:rPr>
        <w:t>e protein rather than stabilise</w:t>
      </w:r>
      <w:r w:rsidR="000614D0">
        <w:rPr>
          <w:szCs w:val="24"/>
        </w:rPr>
        <w:t xml:space="preserve">. Although the thermal stability data for the osmolytes can be inconsistent there is a plethora of suggestions for the molecular mechanisms governing their actions, which is discussed in section </w:t>
      </w:r>
      <w:r w:rsidR="000614D0">
        <w:rPr>
          <w:szCs w:val="24"/>
        </w:rPr>
        <w:fldChar w:fldCharType="begin"/>
      </w:r>
      <w:r w:rsidR="000614D0">
        <w:rPr>
          <w:szCs w:val="24"/>
        </w:rPr>
        <w:instrText xml:space="preserve"> REF _Ref453342046 \r \h </w:instrText>
      </w:r>
      <w:r w:rsidR="000614D0">
        <w:rPr>
          <w:szCs w:val="24"/>
        </w:rPr>
      </w:r>
      <w:r w:rsidR="000614D0">
        <w:rPr>
          <w:szCs w:val="24"/>
        </w:rPr>
        <w:fldChar w:fldCharType="separate"/>
      </w:r>
      <w:r w:rsidR="00AA6926">
        <w:rPr>
          <w:szCs w:val="24"/>
        </w:rPr>
        <w:t>1.4</w:t>
      </w:r>
      <w:r w:rsidR="000614D0">
        <w:rPr>
          <w:szCs w:val="24"/>
        </w:rPr>
        <w:fldChar w:fldCharType="end"/>
      </w:r>
      <w:r w:rsidR="000614D0">
        <w:rPr>
          <w:szCs w:val="24"/>
        </w:rPr>
        <w:t>.</w:t>
      </w:r>
      <w:r w:rsidR="005F4F0D">
        <w:br w:type="page"/>
      </w:r>
    </w:p>
    <w:p w14:paraId="21C64264" w14:textId="77777777" w:rsidR="00A96D00" w:rsidRPr="003C6119" w:rsidRDefault="00A96D00" w:rsidP="00A96D00">
      <w:pPr>
        <w:rPr>
          <w:szCs w:val="24"/>
        </w:rPr>
      </w:pPr>
    </w:p>
    <w:p w14:paraId="4DEDB544" w14:textId="77777777" w:rsidR="003C6119" w:rsidRDefault="003C6119" w:rsidP="006B257F">
      <w:pPr>
        <w:pStyle w:val="Caption"/>
        <w:keepNext/>
        <w:jc w:val="left"/>
      </w:pPr>
      <w:bookmarkStart w:id="47" w:name="_Ref453339849"/>
      <w:bookmarkStart w:id="48" w:name="_Ref459215828"/>
      <w:r>
        <w:t xml:space="preserve">Table </w:t>
      </w:r>
      <w:fldSimple w:instr=" STYLEREF 1 \s ">
        <w:r w:rsidR="00AA6926">
          <w:rPr>
            <w:noProof/>
          </w:rPr>
          <w:t>1</w:t>
        </w:r>
      </w:fldSimple>
      <w:r w:rsidR="00D6574D">
        <w:noBreakHyphen/>
      </w:r>
      <w:fldSimple w:instr=" SEQ Table \* ARABIC \s 1 ">
        <w:r w:rsidR="00AA6926">
          <w:rPr>
            <w:noProof/>
          </w:rPr>
          <w:t>4</w:t>
        </w:r>
      </w:fldSimple>
      <w:bookmarkEnd w:id="47"/>
      <w:r>
        <w:t xml:space="preserve">. Change in melting temperature of proteins on the addition of </w:t>
      </w:r>
      <w:r w:rsidR="00C559A0">
        <w:t>cosolutes</w:t>
      </w:r>
      <w:bookmarkEnd w:id="48"/>
      <w:r w:rsidR="00775716">
        <w:t xml:space="preserve"> (data obtained through DSC or monitoring change in absorbance using thermally controlling UV-vis spectrophotometry*)</w:t>
      </w:r>
    </w:p>
    <w:tbl>
      <w:tblPr>
        <w:tblStyle w:val="LightShading"/>
        <w:tblW w:w="0" w:type="auto"/>
        <w:tblLook w:val="04A0" w:firstRow="1" w:lastRow="0" w:firstColumn="1" w:lastColumn="0" w:noHBand="0" w:noVBand="1"/>
      </w:tblPr>
      <w:tblGrid>
        <w:gridCol w:w="1242"/>
        <w:gridCol w:w="1276"/>
        <w:gridCol w:w="992"/>
        <w:gridCol w:w="1418"/>
        <w:gridCol w:w="1701"/>
        <w:gridCol w:w="709"/>
        <w:gridCol w:w="1382"/>
      </w:tblGrid>
      <w:tr w:rsidR="00DC24F2" w14:paraId="01EBB60D" w14:textId="77777777" w:rsidTr="00585CA3">
        <w:trPr>
          <w:cnfStyle w:val="100000000000" w:firstRow="1" w:lastRow="0" w:firstColumn="0" w:lastColumn="0" w:oddVBand="0" w:evenVBand="0" w:oddHBand="0" w:evenHBand="0" w:firstRowFirstColumn="0" w:firstRowLastColumn="0" w:lastRowFirstColumn="0" w:lastRowLastColumn="0"/>
          <w:trHeight w:val="151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334FE1B9" w14:textId="77777777" w:rsidR="00235AE3" w:rsidRPr="005C40A2" w:rsidRDefault="00235AE3" w:rsidP="00023DC1">
            <w:pPr>
              <w:rPr>
                <w:color w:val="FF0000"/>
                <w:sz w:val="20"/>
                <w:szCs w:val="20"/>
              </w:rPr>
            </w:pPr>
            <w:r w:rsidRPr="005C40A2">
              <w:rPr>
                <w:rFonts w:ascii="Calibri" w:eastAsia="Times New Roman" w:hAnsi="Calibri" w:cs="Times New Roman"/>
                <w:color w:val="000000"/>
                <w:sz w:val="20"/>
                <w:szCs w:val="20"/>
                <w:lang w:eastAsia="en-GB"/>
              </w:rPr>
              <w:t>Osmolyte</w:t>
            </w:r>
          </w:p>
        </w:tc>
        <w:tc>
          <w:tcPr>
            <w:tcW w:w="1276" w:type="dxa"/>
            <w:shd w:val="clear" w:color="auto" w:fill="auto"/>
          </w:tcPr>
          <w:p w14:paraId="1A933EE4" w14:textId="77777777" w:rsidR="00235AE3" w:rsidRPr="005C40A2" w:rsidRDefault="00235AE3" w:rsidP="00235AE3">
            <w:pPr>
              <w:cnfStyle w:val="100000000000" w:firstRow="1" w:lastRow="0" w:firstColumn="0" w:lastColumn="0" w:oddVBand="0" w:evenVBand="0" w:oddHBand="0" w:evenHBand="0" w:firstRowFirstColumn="0" w:firstRowLastColumn="0" w:lastRowFirstColumn="0" w:lastRowLastColumn="0"/>
              <w:rPr>
                <w:color w:val="FF0000"/>
                <w:sz w:val="20"/>
                <w:szCs w:val="20"/>
              </w:rPr>
            </w:pPr>
            <w:r w:rsidRPr="005C40A2">
              <w:rPr>
                <w:rFonts w:ascii="Calibri" w:eastAsia="Times New Roman" w:hAnsi="Calibri" w:cs="Times New Roman"/>
                <w:color w:val="000000"/>
                <w:sz w:val="20"/>
                <w:szCs w:val="20"/>
                <w:lang w:eastAsia="en-GB"/>
              </w:rPr>
              <w:t>Protein</w:t>
            </w:r>
          </w:p>
        </w:tc>
        <w:tc>
          <w:tcPr>
            <w:tcW w:w="992" w:type="dxa"/>
            <w:shd w:val="clear" w:color="auto" w:fill="auto"/>
          </w:tcPr>
          <w:p w14:paraId="1DE06BA6" w14:textId="77777777" w:rsidR="00235AE3" w:rsidRPr="005C40A2" w:rsidRDefault="00235AE3" w:rsidP="00235AE3">
            <w:pPr>
              <w:cnfStyle w:val="100000000000" w:firstRow="1" w:lastRow="0" w:firstColumn="0" w:lastColumn="0" w:oddVBand="0" w:evenVBand="0" w:oddHBand="0" w:evenHBand="0" w:firstRowFirstColumn="0" w:firstRowLastColumn="0" w:lastRowFirstColumn="0" w:lastRowLastColumn="0"/>
              <w:rPr>
                <w:color w:val="FF0000"/>
                <w:sz w:val="20"/>
                <w:szCs w:val="20"/>
              </w:rPr>
            </w:pPr>
            <w:r w:rsidRPr="005C40A2">
              <w:rPr>
                <w:rFonts w:ascii="Calibri" w:eastAsia="Times New Roman" w:hAnsi="Calibri" w:cs="Times New Roman"/>
                <w:color w:val="000000"/>
                <w:sz w:val="20"/>
                <w:szCs w:val="20"/>
                <w:lang w:eastAsia="en-GB"/>
              </w:rPr>
              <w:t>pH</w:t>
            </w:r>
          </w:p>
        </w:tc>
        <w:tc>
          <w:tcPr>
            <w:tcW w:w="1418" w:type="dxa"/>
            <w:shd w:val="clear" w:color="auto" w:fill="auto"/>
          </w:tcPr>
          <w:p w14:paraId="458E8955" w14:textId="77777777" w:rsidR="00235AE3" w:rsidRPr="005C40A2" w:rsidRDefault="003C6119" w:rsidP="00235AE3">
            <w:pPr>
              <w:cnfStyle w:val="100000000000" w:firstRow="1" w:lastRow="0" w:firstColumn="0" w:lastColumn="0" w:oddVBand="0" w:evenVBand="0" w:oddHBand="0" w:evenHBand="0" w:firstRowFirstColumn="0" w:firstRowLastColumn="0" w:lastRowFirstColumn="0" w:lastRowLastColumn="0"/>
              <w:rPr>
                <w:color w:val="FF0000"/>
                <w:sz w:val="20"/>
                <w:szCs w:val="20"/>
              </w:rPr>
            </w:pPr>
            <w:r>
              <w:rPr>
                <w:rFonts w:ascii="Calibri" w:eastAsia="Times New Roman" w:hAnsi="Calibri" w:cs="Times New Roman"/>
                <w:color w:val="000000"/>
                <w:sz w:val="20"/>
                <w:szCs w:val="20"/>
                <w:lang w:eastAsia="en-GB"/>
              </w:rPr>
              <w:t>Osmolyte c</w:t>
            </w:r>
            <w:r w:rsidR="00235AE3" w:rsidRPr="005C40A2">
              <w:rPr>
                <w:rFonts w:ascii="Calibri" w:eastAsia="Times New Roman" w:hAnsi="Calibri" w:cs="Times New Roman"/>
                <w:color w:val="000000"/>
                <w:sz w:val="20"/>
                <w:szCs w:val="20"/>
                <w:lang w:eastAsia="en-GB"/>
              </w:rPr>
              <w:t>oncentration (mM)</w:t>
            </w:r>
          </w:p>
        </w:tc>
        <w:tc>
          <w:tcPr>
            <w:tcW w:w="1701" w:type="dxa"/>
            <w:shd w:val="clear" w:color="auto" w:fill="auto"/>
          </w:tcPr>
          <w:p w14:paraId="08376D68" w14:textId="77777777" w:rsidR="00235AE3" w:rsidRPr="005C40A2" w:rsidRDefault="00023DC1" w:rsidP="00235AE3">
            <w:pPr>
              <w:cnfStyle w:val="100000000000" w:firstRow="1" w:lastRow="0" w:firstColumn="0" w:lastColumn="0" w:oddVBand="0" w:evenVBand="0" w:oddHBand="0" w:evenHBand="0" w:firstRowFirstColumn="0" w:firstRowLastColumn="0" w:lastRowFirstColumn="0" w:lastRowLastColumn="0"/>
              <w:rPr>
                <w:color w:val="FF0000"/>
                <w:sz w:val="20"/>
                <w:szCs w:val="20"/>
              </w:rPr>
            </w:pPr>
            <w:r w:rsidRPr="005C40A2">
              <w:rPr>
                <w:rFonts w:ascii="Calibri" w:eastAsia="Times New Roman" w:hAnsi="Calibri" w:cs="Times New Roman"/>
                <w:color w:val="000000"/>
                <w:sz w:val="20"/>
                <w:szCs w:val="20"/>
                <w:lang w:eastAsia="en-GB"/>
              </w:rPr>
              <w:t>B</w:t>
            </w:r>
            <w:r w:rsidR="00235AE3" w:rsidRPr="005C40A2">
              <w:rPr>
                <w:rFonts w:ascii="Calibri" w:eastAsia="Times New Roman" w:hAnsi="Calibri" w:cs="Times New Roman"/>
                <w:color w:val="000000"/>
                <w:sz w:val="20"/>
                <w:szCs w:val="20"/>
                <w:lang w:eastAsia="en-GB"/>
              </w:rPr>
              <w:t>uffers</w:t>
            </w:r>
          </w:p>
        </w:tc>
        <w:tc>
          <w:tcPr>
            <w:tcW w:w="709" w:type="dxa"/>
            <w:shd w:val="clear" w:color="auto" w:fill="auto"/>
          </w:tcPr>
          <w:p w14:paraId="516CD4FE" w14:textId="77777777" w:rsidR="00235AE3" w:rsidRPr="00F360E2" w:rsidRDefault="00235AE3" w:rsidP="00235AE3">
            <w:pPr>
              <w:cnfStyle w:val="100000000000" w:firstRow="1" w:lastRow="0" w:firstColumn="0" w:lastColumn="0" w:oddVBand="0" w:evenVBand="0" w:oddHBand="0" w:evenHBand="0" w:firstRowFirstColumn="0" w:firstRowLastColumn="0" w:lastRowFirstColumn="0" w:lastRowLastColumn="0"/>
              <w:rPr>
                <w:color w:val="FF0000"/>
                <w:sz w:val="20"/>
                <w:szCs w:val="20"/>
              </w:rPr>
            </w:pPr>
            <w:r w:rsidRPr="005C40A2">
              <w:rPr>
                <w:rFonts w:ascii="Times New Roman" w:eastAsia="Times New Roman" w:hAnsi="Times New Roman" w:cs="Times New Roman"/>
                <w:color w:val="000000"/>
                <w:sz w:val="20"/>
                <w:szCs w:val="20"/>
                <w:lang w:eastAsia="en-GB"/>
              </w:rPr>
              <w:t>Δ</w:t>
            </w:r>
            <w:r w:rsidRPr="00992549">
              <w:rPr>
                <w:rFonts w:ascii="Calibri" w:eastAsia="Times New Roman" w:hAnsi="Calibri" w:cs="Times New Roman"/>
                <w:i/>
                <w:color w:val="000000"/>
                <w:sz w:val="20"/>
                <w:szCs w:val="20"/>
                <w:lang w:eastAsia="en-GB"/>
              </w:rPr>
              <w:t>T</w:t>
            </w:r>
            <w:r w:rsidRPr="00992549">
              <w:rPr>
                <w:rFonts w:ascii="Calibri" w:eastAsia="Times New Roman" w:hAnsi="Calibri" w:cs="Times New Roman"/>
                <w:color w:val="000000"/>
                <w:sz w:val="20"/>
                <w:szCs w:val="20"/>
                <w:vertAlign w:val="subscript"/>
                <w:lang w:eastAsia="en-GB"/>
              </w:rPr>
              <w:t>m</w:t>
            </w:r>
            <w:r w:rsidR="00F360E2">
              <w:rPr>
                <w:rFonts w:ascii="Calibri" w:eastAsia="Times New Roman" w:hAnsi="Calibri" w:cs="Times New Roman"/>
                <w:color w:val="000000"/>
                <w:sz w:val="20"/>
                <w:szCs w:val="20"/>
                <w:vertAlign w:val="subscript"/>
                <w:lang w:eastAsia="en-GB"/>
              </w:rPr>
              <w:t xml:space="preserve"> </w:t>
            </w:r>
            <w:r w:rsidR="00F360E2">
              <w:rPr>
                <w:rFonts w:ascii="Calibri" w:eastAsia="Times New Roman" w:hAnsi="Calibri" w:cs="Times New Roman"/>
                <w:color w:val="000000"/>
                <w:sz w:val="20"/>
                <w:szCs w:val="20"/>
                <w:lang w:eastAsia="en-GB"/>
              </w:rPr>
              <w:t>(°C)</w:t>
            </w:r>
          </w:p>
        </w:tc>
        <w:tc>
          <w:tcPr>
            <w:tcW w:w="1382" w:type="dxa"/>
            <w:shd w:val="clear" w:color="auto" w:fill="auto"/>
          </w:tcPr>
          <w:p w14:paraId="5734068A" w14:textId="77777777" w:rsidR="00235AE3" w:rsidRPr="005C40A2" w:rsidRDefault="00235AE3" w:rsidP="00235AE3">
            <w:pPr>
              <w:cnfStyle w:val="100000000000" w:firstRow="1" w:lastRow="0" w:firstColumn="0" w:lastColumn="0" w:oddVBand="0" w:evenVBand="0" w:oddHBand="0" w:evenHBand="0" w:firstRowFirstColumn="0" w:firstRowLastColumn="0" w:lastRowFirstColumn="0" w:lastRowLastColumn="0"/>
              <w:rPr>
                <w:color w:val="FF0000"/>
                <w:sz w:val="20"/>
                <w:szCs w:val="20"/>
              </w:rPr>
            </w:pPr>
            <w:r w:rsidRPr="005C40A2">
              <w:rPr>
                <w:rFonts w:ascii="Calibri" w:eastAsia="Times New Roman" w:hAnsi="Calibri" w:cs="Times New Roman"/>
                <w:color w:val="000000"/>
                <w:sz w:val="20"/>
                <w:szCs w:val="20"/>
                <w:lang w:eastAsia="en-GB"/>
              </w:rPr>
              <w:t>Reference</w:t>
            </w:r>
          </w:p>
        </w:tc>
      </w:tr>
      <w:tr w:rsidR="00ED2E8B" w14:paraId="6D4CAC45" w14:textId="77777777" w:rsidTr="00585CA3">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8720" w:type="dxa"/>
            <w:gridSpan w:val="7"/>
            <w:shd w:val="clear" w:color="auto" w:fill="BFBFBF" w:themeFill="background1" w:themeFillShade="BF"/>
          </w:tcPr>
          <w:p w14:paraId="4AB3C300" w14:textId="77777777" w:rsidR="00ED2E8B" w:rsidRPr="005C40A2" w:rsidRDefault="00ED2E8B" w:rsidP="00C46546">
            <w:pPr>
              <w:rPr>
                <w:rFonts w:ascii="Calibri" w:eastAsia="Times New Roman" w:hAnsi="Calibri" w:cs="Times New Roman"/>
                <w:b w:val="0"/>
                <w:i/>
                <w:color w:val="000000"/>
                <w:szCs w:val="24"/>
                <w:lang w:eastAsia="en-GB"/>
              </w:rPr>
            </w:pPr>
            <w:r w:rsidRPr="005C40A2">
              <w:rPr>
                <w:rFonts w:ascii="Calibri" w:eastAsia="Times New Roman" w:hAnsi="Calibri" w:cs="Times New Roman"/>
                <w:b w:val="0"/>
                <w:i/>
                <w:color w:val="000000"/>
                <w:szCs w:val="24"/>
                <w:lang w:eastAsia="en-GB"/>
              </w:rPr>
              <w:t>Amino Acids and Derivatives</w:t>
            </w:r>
          </w:p>
        </w:tc>
      </w:tr>
      <w:tr w:rsidR="00DC24F2" w:rsidRPr="00235AE3" w14:paraId="19E4015E"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3179B8AC" w14:textId="77777777" w:rsidR="00235AE3" w:rsidRPr="00235AE3" w:rsidRDefault="00235AE3"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Alanine</w:t>
            </w:r>
          </w:p>
        </w:tc>
        <w:tc>
          <w:tcPr>
            <w:tcW w:w="1276" w:type="dxa"/>
            <w:shd w:val="clear" w:color="auto" w:fill="auto"/>
            <w:noWrap/>
            <w:hideMark/>
          </w:tcPr>
          <w:p w14:paraId="25AE5DA7" w14:textId="77777777" w:rsidR="00235AE3" w:rsidRPr="00235AE3"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en-GB"/>
              </w:rPr>
            </w:pPr>
            <w:r w:rsidRPr="00235AE3">
              <w:rPr>
                <w:rFonts w:ascii="Calibri" w:eastAsia="Times New Roman" w:hAnsi="Calibri" w:cs="Times New Roman"/>
                <w:color w:val="000000"/>
                <w:sz w:val="20"/>
                <w:szCs w:val="20"/>
                <w:lang w:eastAsia="en-GB"/>
              </w:rPr>
              <w:t>Cytochrome c</w:t>
            </w:r>
          </w:p>
        </w:tc>
        <w:tc>
          <w:tcPr>
            <w:tcW w:w="992" w:type="dxa"/>
            <w:shd w:val="clear" w:color="auto" w:fill="auto"/>
            <w:noWrap/>
            <w:hideMark/>
          </w:tcPr>
          <w:p w14:paraId="2D4B87DE" w14:textId="77777777" w:rsidR="00235AE3" w:rsidRPr="00235AE3"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en-GB"/>
              </w:rPr>
            </w:pPr>
            <w:r w:rsidRPr="00235AE3">
              <w:rPr>
                <w:rFonts w:ascii="Calibri" w:eastAsia="Times New Roman" w:hAnsi="Calibri" w:cs="Times New Roman"/>
                <w:color w:val="000000"/>
                <w:sz w:val="20"/>
                <w:szCs w:val="20"/>
                <w:lang w:eastAsia="en-GB"/>
              </w:rPr>
              <w:t>3</w:t>
            </w:r>
          </w:p>
        </w:tc>
        <w:tc>
          <w:tcPr>
            <w:tcW w:w="1418" w:type="dxa"/>
            <w:shd w:val="clear" w:color="auto" w:fill="auto"/>
            <w:noWrap/>
            <w:hideMark/>
          </w:tcPr>
          <w:p w14:paraId="45A80BF7" w14:textId="77777777" w:rsidR="00235AE3" w:rsidRPr="00235AE3"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en-GB"/>
              </w:rPr>
            </w:pPr>
            <w:r w:rsidRPr="00235AE3">
              <w:rPr>
                <w:rFonts w:ascii="Calibri" w:eastAsia="Times New Roman" w:hAnsi="Calibri" w:cs="Times New Roman"/>
                <w:color w:val="000000"/>
                <w:sz w:val="20"/>
                <w:szCs w:val="20"/>
                <w:lang w:eastAsia="en-GB"/>
              </w:rPr>
              <w:t>1000</w:t>
            </w:r>
          </w:p>
        </w:tc>
        <w:tc>
          <w:tcPr>
            <w:tcW w:w="1701" w:type="dxa"/>
            <w:shd w:val="clear" w:color="auto" w:fill="auto"/>
            <w:noWrap/>
            <w:hideMark/>
          </w:tcPr>
          <w:p w14:paraId="5ADFE509" w14:textId="77777777" w:rsidR="00235AE3" w:rsidRPr="00235AE3" w:rsidRDefault="00F360E2" w:rsidP="00F360E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en-GB"/>
              </w:rPr>
            </w:pPr>
            <w:r>
              <w:rPr>
                <w:rFonts w:ascii="Calibri" w:eastAsia="Times New Roman" w:hAnsi="Calibri" w:cs="Times New Roman"/>
                <w:color w:val="000000"/>
                <w:sz w:val="20"/>
                <w:szCs w:val="20"/>
                <w:lang w:eastAsia="en-GB"/>
              </w:rPr>
              <w:t>50 mM</w:t>
            </w:r>
            <w:r w:rsidR="00235AE3" w:rsidRPr="00235AE3">
              <w:rPr>
                <w:rFonts w:ascii="Calibri" w:eastAsia="Times New Roman" w:hAnsi="Calibri" w:cs="Times New Roman"/>
                <w:color w:val="000000"/>
                <w:sz w:val="20"/>
                <w:szCs w:val="20"/>
                <w:lang w:eastAsia="en-GB"/>
              </w:rPr>
              <w:t xml:space="preserve"> citrate &amp; </w:t>
            </w:r>
            <w:r>
              <w:rPr>
                <w:rFonts w:ascii="Calibri" w:eastAsia="Times New Roman" w:hAnsi="Calibri" w:cs="Times New Roman"/>
                <w:color w:val="000000"/>
                <w:sz w:val="20"/>
                <w:szCs w:val="20"/>
                <w:lang w:eastAsia="en-GB"/>
              </w:rPr>
              <w:t>100 mM</w:t>
            </w:r>
            <w:r w:rsidR="00235AE3" w:rsidRPr="00235AE3">
              <w:rPr>
                <w:rFonts w:ascii="Calibri" w:eastAsia="Times New Roman" w:hAnsi="Calibri" w:cs="Times New Roman"/>
                <w:color w:val="000000"/>
                <w:sz w:val="20"/>
                <w:szCs w:val="20"/>
                <w:lang w:eastAsia="en-GB"/>
              </w:rPr>
              <w:t xml:space="preserve"> KCl</w:t>
            </w:r>
          </w:p>
        </w:tc>
        <w:tc>
          <w:tcPr>
            <w:tcW w:w="709" w:type="dxa"/>
            <w:shd w:val="clear" w:color="auto" w:fill="auto"/>
            <w:noWrap/>
            <w:hideMark/>
          </w:tcPr>
          <w:p w14:paraId="5A627019" w14:textId="77777777" w:rsidR="00235AE3" w:rsidRPr="0041345C"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en-GB"/>
              </w:rPr>
            </w:pPr>
            <w:r w:rsidRPr="0041345C">
              <w:rPr>
                <w:rFonts w:ascii="Calibri" w:eastAsia="Times New Roman" w:hAnsi="Calibri" w:cs="Times New Roman"/>
                <w:b/>
                <w:color w:val="000000"/>
                <w:sz w:val="20"/>
                <w:szCs w:val="20"/>
                <w:lang w:eastAsia="en-GB"/>
              </w:rPr>
              <w:t>3</w:t>
            </w:r>
          </w:p>
        </w:tc>
        <w:tc>
          <w:tcPr>
            <w:tcW w:w="1382" w:type="dxa"/>
            <w:shd w:val="clear" w:color="auto" w:fill="auto"/>
            <w:noWrap/>
            <w:hideMark/>
          </w:tcPr>
          <w:p w14:paraId="0D734328" w14:textId="77777777" w:rsidR="00235AE3" w:rsidRPr="00235AE3"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en-GB"/>
              </w:rPr>
            </w:pPr>
            <w:r>
              <w:rPr>
                <w:rFonts w:ascii="Calibri" w:eastAsia="Times New Roman" w:hAnsi="Calibri" w:cs="Times New Roman"/>
                <w:color w:val="000000"/>
                <w:sz w:val="20"/>
                <w:szCs w:val="20"/>
                <w:lang w:eastAsia="en-GB"/>
              </w:rPr>
              <w:fldChar w:fldCharType="begin" w:fldLock="1"/>
            </w:r>
            <w:r w:rsidR="00054313">
              <w:rPr>
                <w:rFonts w:ascii="Calibri" w:eastAsia="Times New Roman" w:hAnsi="Calibri" w:cs="Times New Roman"/>
                <w:color w:val="000000"/>
                <w:sz w:val="20"/>
                <w:szCs w:val="20"/>
                <w:lang w:eastAsia="en-GB"/>
              </w:rPr>
              <w:instrText>ADDIN CSL_CITATION { "citationItems" : [ { "id" : "ITEM-1", "itemData" : { "ISSN" : "0264-6021", "PMID" : "7945233", "abstract" : "This study is a systematic attempt to understand the roles of osmolytes in protecting proteins against denaturing stress. Thermal denaturation of cytochrome c has been studied in the presence of various concentrations of all L-amino acids that are more hydrophobic than glycine and have a solubility of 0.1 M or higher in water at 25 degrees C. The basic observations are as follows. (1) Arginine and histidine destabilize the native protein; both Tm (the midpoint of thermal transition) and delta GDH2O (25 degrees C) (the Gibbs energy of stabilization) decrease with increasing amino acid concentration. (2) Isoleucine, leucine and phenylalanine have no effect on Tm and deltaGDH2O (25 degrees C). (3) Valine and less hydrophobic amino acids stabilize the protein in terms of Tm but deltaGDH2O (25 degrees C) is unchanged. This observation was confirmed by the study of isothermal denaturation of cytochrome c by guanidinium chloride which suggested that delta GDH2O is independent of osmolyte concentration, but Cm (the midpoint of transition) is increased in their presence. (4) In the case of stabilizers, change in Tm/mol of amino acid decreases with increasing hydrophobicity of these osmolytes.", "author" : [ { "dropping-particle" : "", "family" : "Taneja", "given" : "S", "non-dropping-particle" : "", "parse-names" : false, "suffix" : "" }, { "dropping-particle" : "", "family" : "Ahmad", "given" : "F", "non-dropping-particle" : "", "parse-names" : false, "suffix" : "" } ], "container-title" : "Biochemical Journal", "id" : "ITEM-1", "issued" : { "date-parts" : [ [ "1994", "10", "1" ] ] }, "page" : "147-153", "title" : "Increased thermal stability of proteins in the presence of amino acids", "type" : "article-journal", "volume" : "303" }, "uris" : [ "http://www.mendeley.com/documents/?uuid=58de2c9a-4375-44f3-b3b7-972049f9dc42" ] } ], "mendeley" : { "formattedCitation" : "(Taneja &amp; Ahmad 1994)", "plainTextFormattedCitation" : "(Taneja &amp; Ahmad 1994)", "previouslyFormattedCitation" : "(Taneja &amp; Ahmad 1994)"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35AE3">
              <w:rPr>
                <w:rFonts w:ascii="Calibri" w:eastAsia="Times New Roman" w:hAnsi="Calibri" w:cs="Times New Roman"/>
                <w:noProof/>
                <w:color w:val="000000"/>
                <w:sz w:val="20"/>
                <w:szCs w:val="20"/>
                <w:lang w:eastAsia="en-GB"/>
              </w:rPr>
              <w:t>(Taneja &amp; Ahmad 1994)</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48BC8F4E"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5B153097" w14:textId="77777777" w:rsidR="00235AE3" w:rsidRPr="00235AE3" w:rsidRDefault="00235AE3"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Alanine</w:t>
            </w:r>
          </w:p>
        </w:tc>
        <w:tc>
          <w:tcPr>
            <w:tcW w:w="1276" w:type="dxa"/>
            <w:shd w:val="clear" w:color="auto" w:fill="auto"/>
            <w:noWrap/>
            <w:hideMark/>
          </w:tcPr>
          <w:p w14:paraId="56F5E898" w14:textId="77777777" w:rsidR="00235AE3" w:rsidRPr="00235AE3" w:rsidRDefault="00235AE3"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IgG Fab domain</w:t>
            </w:r>
          </w:p>
        </w:tc>
        <w:tc>
          <w:tcPr>
            <w:tcW w:w="992" w:type="dxa"/>
            <w:shd w:val="clear" w:color="auto" w:fill="auto"/>
            <w:noWrap/>
            <w:hideMark/>
          </w:tcPr>
          <w:p w14:paraId="32E903F5" w14:textId="77777777" w:rsidR="00235AE3" w:rsidRPr="00235AE3" w:rsidRDefault="00235AE3"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3.5</w:t>
            </w:r>
          </w:p>
        </w:tc>
        <w:tc>
          <w:tcPr>
            <w:tcW w:w="1418" w:type="dxa"/>
            <w:shd w:val="clear" w:color="auto" w:fill="auto"/>
            <w:noWrap/>
            <w:hideMark/>
          </w:tcPr>
          <w:p w14:paraId="3049A7B2" w14:textId="77777777" w:rsidR="00235AE3" w:rsidRPr="00235AE3" w:rsidRDefault="00235AE3"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62.5</w:t>
            </w:r>
          </w:p>
        </w:tc>
        <w:tc>
          <w:tcPr>
            <w:tcW w:w="1701" w:type="dxa"/>
            <w:shd w:val="clear" w:color="auto" w:fill="auto"/>
            <w:noWrap/>
            <w:hideMark/>
          </w:tcPr>
          <w:p w14:paraId="14B31B67" w14:textId="77777777" w:rsidR="00235AE3" w:rsidRPr="00235AE3" w:rsidRDefault="00235AE3"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w:t>
            </w:r>
            <w:r w:rsidR="0041345C">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glycine</w:t>
            </w:r>
          </w:p>
        </w:tc>
        <w:tc>
          <w:tcPr>
            <w:tcW w:w="709" w:type="dxa"/>
            <w:shd w:val="clear" w:color="auto" w:fill="auto"/>
            <w:noWrap/>
            <w:hideMark/>
          </w:tcPr>
          <w:p w14:paraId="362EF9B0" w14:textId="77777777" w:rsidR="00235AE3" w:rsidRPr="0041345C" w:rsidRDefault="00235AE3"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3.5</w:t>
            </w:r>
          </w:p>
        </w:tc>
        <w:tc>
          <w:tcPr>
            <w:tcW w:w="1382" w:type="dxa"/>
            <w:shd w:val="clear" w:color="auto" w:fill="auto"/>
            <w:noWrap/>
            <w:hideMark/>
          </w:tcPr>
          <w:p w14:paraId="432DA26A" w14:textId="77777777" w:rsidR="00235AE3" w:rsidRPr="00235AE3" w:rsidRDefault="00235AE3"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"10.1002/jctb.2657", "ISSN" : "02682575", "author" : [ { "dropping-particle" : "", "family" : "Falconer", "given" : "R J", "non-dropping-particle" : "", "parse-names" : false, "suffix" : "" }, { "dropping-particle" : "", "family" : "Chan", "given" : "C", "non-dropping-particle" : "", "parse-names" : false, "suffix" : "" }, { "dropping-particle" : "", "family" : "Hughes", "given" : "K", "non-dropping-particle" : "", "parse-names" : false, "suffix" : "" }, { "dropping-particle" : "", "family" : "Munro", "given" : "T P", "non-dropping-particle" : "", "parse-names" : false, "suffix" : "" } ], "container-title" : "Journal of Chemical Technology &amp; Biotechnology", "id" : "ITEM-1", "issued" : { "date-parts" : [ [ "2011", "7", "7" ] ] }, "page" : "942-948", "title" : "Stabilization of a monoclonal antibody during purification and formulation by addition of basic amino acid excipients", "type" : "article-journal", "volume" : "86" }, "uris" : [ "http://www.mendeley.com/documents/?uuid=0fd7d4b0-b0a9-40ec-8c2a-8ec42fa3572d" ] } ], "mendeley" : { "formattedCitation" : "(Falconer et al. 2011)", "plainTextFormattedCitation" : "(Falconer et al. 2011)", "previouslyFormattedCitation" : "(Falconer et al. 2011)"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35AE3">
              <w:rPr>
                <w:rFonts w:ascii="Calibri" w:eastAsia="Times New Roman" w:hAnsi="Calibri" w:cs="Times New Roman"/>
                <w:noProof/>
                <w:color w:val="000000"/>
                <w:sz w:val="20"/>
                <w:szCs w:val="20"/>
                <w:lang w:eastAsia="en-GB"/>
              </w:rPr>
              <w:t>(Falconer et al. 2011)</w:t>
            </w:r>
            <w:r>
              <w:rPr>
                <w:rFonts w:ascii="Calibri" w:eastAsia="Times New Roman" w:hAnsi="Calibri" w:cs="Times New Roman"/>
                <w:color w:val="000000"/>
                <w:sz w:val="20"/>
                <w:szCs w:val="20"/>
                <w:lang w:eastAsia="en-GB"/>
              </w:rPr>
              <w:fldChar w:fldCharType="end"/>
            </w:r>
          </w:p>
        </w:tc>
      </w:tr>
      <w:tr w:rsidR="00DC24F2" w:rsidRPr="00235AE3" w14:paraId="68A1599A"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04D2722A" w14:textId="77777777" w:rsidR="00235AE3" w:rsidRPr="00235AE3" w:rsidRDefault="00235AE3"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Arginine</w:t>
            </w:r>
          </w:p>
        </w:tc>
        <w:tc>
          <w:tcPr>
            <w:tcW w:w="1276" w:type="dxa"/>
            <w:shd w:val="clear" w:color="auto" w:fill="auto"/>
            <w:noWrap/>
            <w:hideMark/>
          </w:tcPr>
          <w:p w14:paraId="18726C08" w14:textId="77777777" w:rsidR="00235AE3" w:rsidRPr="00235AE3"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Cytochrome c</w:t>
            </w:r>
          </w:p>
        </w:tc>
        <w:tc>
          <w:tcPr>
            <w:tcW w:w="992" w:type="dxa"/>
            <w:shd w:val="clear" w:color="auto" w:fill="auto"/>
            <w:noWrap/>
            <w:hideMark/>
          </w:tcPr>
          <w:p w14:paraId="78A74046" w14:textId="77777777" w:rsidR="00235AE3" w:rsidRPr="00235AE3"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3</w:t>
            </w:r>
          </w:p>
        </w:tc>
        <w:tc>
          <w:tcPr>
            <w:tcW w:w="1418" w:type="dxa"/>
            <w:shd w:val="clear" w:color="auto" w:fill="auto"/>
            <w:noWrap/>
            <w:hideMark/>
          </w:tcPr>
          <w:p w14:paraId="4359C7AC" w14:textId="77777777" w:rsidR="00235AE3" w:rsidRPr="00235AE3"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750</w:t>
            </w:r>
          </w:p>
        </w:tc>
        <w:tc>
          <w:tcPr>
            <w:tcW w:w="1701" w:type="dxa"/>
            <w:shd w:val="clear" w:color="auto" w:fill="auto"/>
            <w:noWrap/>
            <w:hideMark/>
          </w:tcPr>
          <w:p w14:paraId="664DF044" w14:textId="77777777" w:rsidR="00235AE3" w:rsidRPr="00235AE3" w:rsidRDefault="00F360E2" w:rsidP="00F360E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50 mM</w:t>
            </w:r>
            <w:r w:rsidR="00235AE3" w:rsidRPr="00235AE3">
              <w:rPr>
                <w:rFonts w:ascii="Calibri" w:eastAsia="Times New Roman" w:hAnsi="Calibri" w:cs="Times New Roman"/>
                <w:color w:val="000000"/>
                <w:sz w:val="20"/>
                <w:szCs w:val="20"/>
                <w:lang w:eastAsia="en-GB"/>
              </w:rPr>
              <w:t xml:space="preserve"> citrate &amp; </w:t>
            </w:r>
            <w:r>
              <w:rPr>
                <w:rFonts w:ascii="Calibri" w:eastAsia="Times New Roman" w:hAnsi="Calibri" w:cs="Times New Roman"/>
                <w:color w:val="000000"/>
                <w:sz w:val="20"/>
                <w:szCs w:val="20"/>
                <w:lang w:eastAsia="en-GB"/>
              </w:rPr>
              <w:t>100 mM</w:t>
            </w:r>
            <w:r w:rsidR="00235AE3" w:rsidRPr="00235AE3">
              <w:rPr>
                <w:rFonts w:ascii="Calibri" w:eastAsia="Times New Roman" w:hAnsi="Calibri" w:cs="Times New Roman"/>
                <w:color w:val="000000"/>
                <w:sz w:val="20"/>
                <w:szCs w:val="20"/>
                <w:lang w:eastAsia="en-GB"/>
              </w:rPr>
              <w:t xml:space="preserve"> KCl</w:t>
            </w:r>
          </w:p>
        </w:tc>
        <w:tc>
          <w:tcPr>
            <w:tcW w:w="709" w:type="dxa"/>
            <w:shd w:val="clear" w:color="auto" w:fill="auto"/>
            <w:noWrap/>
            <w:hideMark/>
          </w:tcPr>
          <w:p w14:paraId="5707584A" w14:textId="77777777" w:rsidR="00235AE3" w:rsidRPr="0041345C"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-5.2</w:t>
            </w:r>
          </w:p>
        </w:tc>
        <w:tc>
          <w:tcPr>
            <w:tcW w:w="1382" w:type="dxa"/>
            <w:shd w:val="clear" w:color="auto" w:fill="auto"/>
            <w:noWrap/>
            <w:hideMark/>
          </w:tcPr>
          <w:p w14:paraId="4FD2E4D3" w14:textId="77777777" w:rsidR="00235AE3" w:rsidRPr="00235AE3"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054313">
              <w:rPr>
                <w:rFonts w:ascii="Calibri" w:eastAsia="Times New Roman" w:hAnsi="Calibri" w:cs="Times New Roman"/>
                <w:color w:val="000000"/>
                <w:sz w:val="20"/>
                <w:szCs w:val="20"/>
                <w:lang w:eastAsia="en-GB"/>
              </w:rPr>
              <w:instrText>ADDIN CSL_CITATION { "citationItems" : [ { "id" : "ITEM-1", "itemData" : { "ISSN" : "0264-6021", "PMID" : "7945233", "abstract" : "This study is a systematic attempt to understand the roles of osmolytes in protecting proteins against denaturing stress. Thermal denaturation of cytochrome c has been studied in the presence of various concentrations of all L-amino acids that are more hydrophobic than glycine and have a solubility of 0.1 M or higher in water at 25 degrees C. The basic observations are as follows. (1) Arginine and histidine destabilize the native protein; both Tm (the midpoint of thermal transition) and delta GDH2O (25 degrees C) (the Gibbs energy of stabilization) decrease with increasing amino acid concentration. (2) Isoleucine, leucine and phenylalanine have no effect on Tm and deltaGDH2O (25 degrees C). (3) Valine and less hydrophobic amino acids stabilize the protein in terms of Tm but deltaGDH2O (25 degrees C) is unchanged. This observation was confirmed by the study of isothermal denaturation of cytochrome c by guanidinium chloride which suggested that delta GDH2O is independent of osmolyte concentration, but Cm (the midpoint of transition) is increased in their presence. (4) In the case of stabilizers, change in Tm/mol of amino acid decreases with increasing hydrophobicity of these osmolytes.", "author" : [ { "dropping-particle" : "", "family" : "Taneja", "given" : "S", "non-dropping-particle" : "", "parse-names" : false, "suffix" : "" }, { "dropping-particle" : "", "family" : "Ahmad", "given" : "F", "non-dropping-particle" : "", "parse-names" : false, "suffix" : "" } ], "container-title" : "Biochemical Journal", "id" : "ITEM-1", "issued" : { "date-parts" : [ [ "1994", "10", "1" ] ] }, "page" : "147-153", "title" : "Increased thermal stability of proteins in the presence of amino acids", "type" : "article-journal", "volume" : "303" }, "uris" : [ "http://www.mendeley.com/documents/?uuid=58de2c9a-4375-44f3-b3b7-972049f9dc42" ] } ], "mendeley" : { "formattedCitation" : "(Taneja &amp; Ahmad 1994)", "plainTextFormattedCitation" : "(Taneja &amp; Ahmad 1994)", "previouslyFormattedCitation" : "(Taneja &amp; Ahmad 1994)"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35AE3">
              <w:rPr>
                <w:rFonts w:ascii="Calibri" w:eastAsia="Times New Roman" w:hAnsi="Calibri" w:cs="Times New Roman"/>
                <w:noProof/>
                <w:color w:val="000000"/>
                <w:sz w:val="20"/>
                <w:szCs w:val="20"/>
                <w:lang w:eastAsia="en-GB"/>
              </w:rPr>
              <w:t>(Taneja &amp; Ahmad 1994)</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5BF61DA7"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10F758D1" w14:textId="77777777" w:rsidR="00235AE3" w:rsidRPr="00235AE3" w:rsidRDefault="00235AE3"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Arginine</w:t>
            </w:r>
          </w:p>
        </w:tc>
        <w:tc>
          <w:tcPr>
            <w:tcW w:w="1276" w:type="dxa"/>
            <w:shd w:val="clear" w:color="auto" w:fill="auto"/>
            <w:noWrap/>
            <w:hideMark/>
          </w:tcPr>
          <w:p w14:paraId="7C1704AB" w14:textId="77777777" w:rsidR="00235AE3" w:rsidRPr="00235AE3" w:rsidRDefault="00235AE3"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IgG Fab domain</w:t>
            </w:r>
          </w:p>
        </w:tc>
        <w:tc>
          <w:tcPr>
            <w:tcW w:w="992" w:type="dxa"/>
            <w:shd w:val="clear" w:color="auto" w:fill="auto"/>
            <w:noWrap/>
            <w:hideMark/>
          </w:tcPr>
          <w:p w14:paraId="1A1AFD8C" w14:textId="77777777" w:rsidR="00235AE3" w:rsidRPr="00235AE3" w:rsidRDefault="00235AE3"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3.5</w:t>
            </w:r>
          </w:p>
        </w:tc>
        <w:tc>
          <w:tcPr>
            <w:tcW w:w="1418" w:type="dxa"/>
            <w:shd w:val="clear" w:color="auto" w:fill="auto"/>
            <w:noWrap/>
            <w:hideMark/>
          </w:tcPr>
          <w:p w14:paraId="187DAD38" w14:textId="77777777" w:rsidR="00235AE3" w:rsidRPr="00235AE3" w:rsidRDefault="00235AE3"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62.5</w:t>
            </w:r>
          </w:p>
        </w:tc>
        <w:tc>
          <w:tcPr>
            <w:tcW w:w="1701" w:type="dxa"/>
            <w:shd w:val="clear" w:color="auto" w:fill="auto"/>
            <w:noWrap/>
            <w:hideMark/>
          </w:tcPr>
          <w:p w14:paraId="286AEA27" w14:textId="77777777" w:rsidR="00235AE3" w:rsidRPr="00235AE3" w:rsidRDefault="00235AE3"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w:t>
            </w:r>
            <w:r w:rsidR="0041345C">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glycine</w:t>
            </w:r>
          </w:p>
        </w:tc>
        <w:tc>
          <w:tcPr>
            <w:tcW w:w="709" w:type="dxa"/>
            <w:shd w:val="clear" w:color="auto" w:fill="auto"/>
            <w:noWrap/>
            <w:hideMark/>
          </w:tcPr>
          <w:p w14:paraId="28A5A579" w14:textId="77777777" w:rsidR="00235AE3" w:rsidRPr="0041345C" w:rsidRDefault="00235AE3"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4.6</w:t>
            </w:r>
          </w:p>
        </w:tc>
        <w:tc>
          <w:tcPr>
            <w:tcW w:w="1382" w:type="dxa"/>
            <w:shd w:val="clear" w:color="auto" w:fill="auto"/>
            <w:noWrap/>
            <w:hideMark/>
          </w:tcPr>
          <w:p w14:paraId="75C9DB7C" w14:textId="77777777" w:rsidR="00235AE3" w:rsidRPr="00235AE3" w:rsidRDefault="00235AE3"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"10.1002/jctb.2657", "ISSN" : "02682575", "author" : [ { "dropping-particle" : "", "family" : "Falconer", "given" : "R J", "non-dropping-particle" : "", "parse-names" : false, "suffix" : "" }, { "dropping-particle" : "", "family" : "Chan", "given" : "C", "non-dropping-particle" : "", "parse-names" : false, "suffix" : "" }, { "dropping-particle" : "", "family" : "Hughes", "given" : "K", "non-dropping-particle" : "", "parse-names" : false, "suffix" : "" }, { "dropping-particle" : "", "family" : "Munro", "given" : "T P", "non-dropping-particle" : "", "parse-names" : false, "suffix" : "" } ], "container-title" : "Journal of Chemical Technology &amp; Biotechnology", "id" : "ITEM-1", "issued" : { "date-parts" : [ [ "2011", "7", "7" ] ] }, "page" : "942-948", "title" : "Stabilization of a monoclonal antibody during purification and formulation by addition of basic amino acid excipients", "type" : "article-journal", "volume" : "86" }, "uris" : [ "http://www.mendeley.com/documents/?uuid=0fd7d4b0-b0a9-40ec-8c2a-8ec42fa3572d" ] } ], "mendeley" : { "formattedCitation" : "(Falconer et al. 2011)", "plainTextFormattedCitation" : "(Falconer et al. 2011)", "previouslyFormattedCitation" : "(Falconer et al. 2011)"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35AE3">
              <w:rPr>
                <w:rFonts w:ascii="Calibri" w:eastAsia="Times New Roman" w:hAnsi="Calibri" w:cs="Times New Roman"/>
                <w:noProof/>
                <w:color w:val="000000"/>
                <w:sz w:val="20"/>
                <w:szCs w:val="20"/>
                <w:lang w:eastAsia="en-GB"/>
              </w:rPr>
              <w:t>(Falconer et al. 2011)</w:t>
            </w:r>
            <w:r>
              <w:rPr>
                <w:rFonts w:ascii="Calibri" w:eastAsia="Times New Roman" w:hAnsi="Calibri" w:cs="Times New Roman"/>
                <w:color w:val="000000"/>
                <w:sz w:val="20"/>
                <w:szCs w:val="20"/>
                <w:lang w:eastAsia="en-GB"/>
              </w:rPr>
              <w:fldChar w:fldCharType="end"/>
            </w:r>
          </w:p>
        </w:tc>
      </w:tr>
      <w:tr w:rsidR="00DC24F2" w:rsidRPr="00235AE3" w14:paraId="37CE3F77"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0BDC8862" w14:textId="77777777" w:rsidR="00DC24F2" w:rsidRPr="00235AE3" w:rsidRDefault="00DC24F2" w:rsidP="009C5E6B">
            <w:pPr>
              <w:spacing w:before="0"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Arginine</w:t>
            </w:r>
          </w:p>
        </w:tc>
        <w:tc>
          <w:tcPr>
            <w:tcW w:w="1276" w:type="dxa"/>
            <w:shd w:val="clear" w:color="auto" w:fill="auto"/>
            <w:noWrap/>
          </w:tcPr>
          <w:p w14:paraId="2668BC9E" w14:textId="77777777" w:rsidR="00DC24F2" w:rsidRPr="00235AE3" w:rsidRDefault="00DC24F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Lysozyme</w:t>
            </w:r>
          </w:p>
        </w:tc>
        <w:tc>
          <w:tcPr>
            <w:tcW w:w="992" w:type="dxa"/>
            <w:shd w:val="clear" w:color="auto" w:fill="auto"/>
            <w:noWrap/>
          </w:tcPr>
          <w:p w14:paraId="1B18C8E6" w14:textId="77777777" w:rsidR="00DC24F2" w:rsidRPr="00235AE3" w:rsidRDefault="00DC24F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w:t>
            </w:r>
          </w:p>
        </w:tc>
        <w:tc>
          <w:tcPr>
            <w:tcW w:w="1418" w:type="dxa"/>
            <w:shd w:val="clear" w:color="auto" w:fill="auto"/>
            <w:noWrap/>
          </w:tcPr>
          <w:p w14:paraId="20DFEEAE" w14:textId="77777777" w:rsidR="00DC24F2" w:rsidRPr="00235AE3" w:rsidRDefault="00DC24F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250</w:t>
            </w:r>
          </w:p>
        </w:tc>
        <w:tc>
          <w:tcPr>
            <w:tcW w:w="1701" w:type="dxa"/>
            <w:shd w:val="clear" w:color="auto" w:fill="auto"/>
            <w:noWrap/>
          </w:tcPr>
          <w:p w14:paraId="49D45BDB" w14:textId="77777777" w:rsidR="00DC24F2" w:rsidRPr="00235AE3" w:rsidRDefault="00F360E2" w:rsidP="00F360E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50 mM</w:t>
            </w:r>
            <w:r w:rsidR="00DC24F2">
              <w:rPr>
                <w:rFonts w:ascii="Calibri" w:eastAsia="Times New Roman" w:hAnsi="Calibri" w:cs="Times New Roman"/>
                <w:color w:val="000000"/>
                <w:sz w:val="20"/>
                <w:szCs w:val="20"/>
                <w:lang w:eastAsia="en-GB"/>
              </w:rPr>
              <w:t xml:space="preserve"> citrate, </w:t>
            </w:r>
            <w:r>
              <w:rPr>
                <w:rFonts w:ascii="Calibri" w:eastAsia="Times New Roman" w:hAnsi="Calibri" w:cs="Times New Roman"/>
                <w:color w:val="000000"/>
                <w:sz w:val="20"/>
                <w:szCs w:val="20"/>
                <w:lang w:eastAsia="en-GB"/>
              </w:rPr>
              <w:t>100 mM</w:t>
            </w:r>
            <w:r w:rsidR="00DC24F2">
              <w:rPr>
                <w:rFonts w:ascii="Calibri" w:eastAsia="Times New Roman" w:hAnsi="Calibri" w:cs="Times New Roman"/>
                <w:color w:val="000000"/>
                <w:sz w:val="20"/>
                <w:szCs w:val="20"/>
                <w:lang w:eastAsia="en-GB"/>
              </w:rPr>
              <w:t xml:space="preserve"> KCl</w:t>
            </w:r>
          </w:p>
        </w:tc>
        <w:tc>
          <w:tcPr>
            <w:tcW w:w="709" w:type="dxa"/>
            <w:shd w:val="clear" w:color="auto" w:fill="auto"/>
            <w:noWrap/>
          </w:tcPr>
          <w:p w14:paraId="72D4C7CF" w14:textId="77777777" w:rsidR="00DC24F2" w:rsidRPr="0041345C" w:rsidRDefault="00DC24F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Pr>
                <w:rFonts w:ascii="Calibri" w:eastAsia="Times New Roman" w:hAnsi="Calibri" w:cs="Times New Roman"/>
                <w:b/>
                <w:color w:val="000000"/>
                <w:sz w:val="20"/>
                <w:szCs w:val="20"/>
                <w:lang w:eastAsia="en-GB"/>
              </w:rPr>
              <w:t>-0.9</w:t>
            </w:r>
          </w:p>
        </w:tc>
        <w:tc>
          <w:tcPr>
            <w:tcW w:w="1382" w:type="dxa"/>
            <w:shd w:val="clear" w:color="auto" w:fill="auto"/>
            <w:noWrap/>
          </w:tcPr>
          <w:p w14:paraId="68023593" w14:textId="77777777" w:rsidR="00DC24F2" w:rsidRDefault="00DC24F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"author" : [ { "dropping-particle" : "", "family" : "Rishi", "given" : "V", "non-dropping-particle" : "", "parse-names" : false, "suffix" : "" }, { "dropping-particle" : "", "family" : "Anjum", "given" : "F", "non-dropping-particle" : "", "parse-names" : false, "suffix" : "" }, { "dropping-particle" : "", "family" : "Ahmad", "given" : "F", "non-dropping-particle" : "", "parse-names" : false, "suffix" : "" }, { "dropping-particle" : "", "family" : "Pfeil", "given" : "W", "non-dropping-particle" : "", "parse-names" : false, "suffix" : "" } ], "container-title" : "Biochemical Journal", "id" : "ITEM-1", "issued" : { "date-parts" : [ [ "1998" ] ] }, "page" : "137-143", "title" : "Role of non-compatible osmolytes in the stabilization of proteins during heat stress", "type" : "article-journal", "volume" : "329" }, "uris" : [ "http://www.mendeley.com/documents/?uuid=3b2b361a-0f24-4722-a583-2435a62adea6" ] } ], "mendeley" : { "formattedCitation" : "(Rishi et al. 1998)", "plainTextFormattedCitation" : "(Rishi et al. 1998)", "previouslyFormattedCitation" : "(Rishi et al.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DC24F2">
              <w:rPr>
                <w:rFonts w:ascii="Calibri" w:eastAsia="Times New Roman" w:hAnsi="Calibri" w:cs="Times New Roman"/>
                <w:noProof/>
                <w:color w:val="000000"/>
                <w:sz w:val="20"/>
                <w:szCs w:val="20"/>
                <w:lang w:eastAsia="en-GB"/>
              </w:rPr>
              <w:t>(Rishi et al. 1998)</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31535F5E"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7E6583C1" w14:textId="77777777" w:rsidR="00DC24F2" w:rsidRPr="00235AE3" w:rsidRDefault="00DC24F2" w:rsidP="009C5E6B">
            <w:pPr>
              <w:spacing w:before="0"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Arginine</w:t>
            </w:r>
          </w:p>
        </w:tc>
        <w:tc>
          <w:tcPr>
            <w:tcW w:w="1276" w:type="dxa"/>
            <w:shd w:val="clear" w:color="auto" w:fill="auto"/>
            <w:noWrap/>
          </w:tcPr>
          <w:p w14:paraId="177C86EA" w14:textId="77777777" w:rsidR="00DC24F2" w:rsidRPr="00235AE3" w:rsidRDefault="00DC24F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Lysozyme</w:t>
            </w:r>
          </w:p>
        </w:tc>
        <w:tc>
          <w:tcPr>
            <w:tcW w:w="992" w:type="dxa"/>
            <w:shd w:val="clear" w:color="auto" w:fill="auto"/>
            <w:noWrap/>
          </w:tcPr>
          <w:p w14:paraId="1F5085F8" w14:textId="77777777" w:rsidR="00DC24F2" w:rsidRPr="00235AE3" w:rsidRDefault="00DC24F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w:t>
            </w:r>
          </w:p>
        </w:tc>
        <w:tc>
          <w:tcPr>
            <w:tcW w:w="1418" w:type="dxa"/>
            <w:shd w:val="clear" w:color="auto" w:fill="auto"/>
            <w:noWrap/>
          </w:tcPr>
          <w:p w14:paraId="6F302F17" w14:textId="77777777" w:rsidR="00DC24F2" w:rsidRPr="00235AE3" w:rsidRDefault="00DC24F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1000</w:t>
            </w:r>
          </w:p>
        </w:tc>
        <w:tc>
          <w:tcPr>
            <w:tcW w:w="1701" w:type="dxa"/>
            <w:shd w:val="clear" w:color="auto" w:fill="auto"/>
            <w:noWrap/>
          </w:tcPr>
          <w:p w14:paraId="268B87CF" w14:textId="77777777" w:rsidR="00DC24F2" w:rsidRPr="00235AE3" w:rsidRDefault="00F360E2" w:rsidP="00F360E2">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50 mM</w:t>
            </w:r>
            <w:r w:rsidR="00DC24F2">
              <w:rPr>
                <w:rFonts w:ascii="Calibri" w:eastAsia="Times New Roman" w:hAnsi="Calibri" w:cs="Times New Roman"/>
                <w:color w:val="000000"/>
                <w:sz w:val="20"/>
                <w:szCs w:val="20"/>
                <w:lang w:eastAsia="en-GB"/>
              </w:rPr>
              <w:t xml:space="preserve"> citrate, </w:t>
            </w:r>
            <w:r>
              <w:rPr>
                <w:rFonts w:ascii="Calibri" w:eastAsia="Times New Roman" w:hAnsi="Calibri" w:cs="Times New Roman"/>
                <w:color w:val="000000"/>
                <w:sz w:val="20"/>
                <w:szCs w:val="20"/>
                <w:lang w:eastAsia="en-GB"/>
              </w:rPr>
              <w:t>100 mM</w:t>
            </w:r>
            <w:r w:rsidR="00DC24F2">
              <w:rPr>
                <w:rFonts w:ascii="Calibri" w:eastAsia="Times New Roman" w:hAnsi="Calibri" w:cs="Times New Roman"/>
                <w:color w:val="000000"/>
                <w:sz w:val="20"/>
                <w:szCs w:val="20"/>
                <w:lang w:eastAsia="en-GB"/>
              </w:rPr>
              <w:t xml:space="preserve"> KCl</w:t>
            </w:r>
          </w:p>
        </w:tc>
        <w:tc>
          <w:tcPr>
            <w:tcW w:w="709" w:type="dxa"/>
            <w:shd w:val="clear" w:color="auto" w:fill="auto"/>
            <w:noWrap/>
          </w:tcPr>
          <w:p w14:paraId="51E5CCD1" w14:textId="77777777" w:rsidR="00DC24F2" w:rsidRPr="0041345C" w:rsidRDefault="00DC24F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Pr>
                <w:rFonts w:ascii="Calibri" w:eastAsia="Times New Roman" w:hAnsi="Calibri" w:cs="Times New Roman"/>
                <w:b/>
                <w:color w:val="000000"/>
                <w:sz w:val="20"/>
                <w:szCs w:val="20"/>
                <w:lang w:eastAsia="en-GB"/>
              </w:rPr>
              <w:t>-6.1</w:t>
            </w:r>
          </w:p>
        </w:tc>
        <w:tc>
          <w:tcPr>
            <w:tcW w:w="1382" w:type="dxa"/>
            <w:shd w:val="clear" w:color="auto" w:fill="auto"/>
            <w:noWrap/>
          </w:tcPr>
          <w:p w14:paraId="77EF45BD" w14:textId="77777777" w:rsidR="00DC24F2" w:rsidRDefault="00DC24F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"author" : [ { "dropping-particle" : "", "family" : "Rishi", "given" : "V", "non-dropping-particle" : "", "parse-names" : false, "suffix" : "" }, { "dropping-particle" : "", "family" : "Anjum", "given" : "F", "non-dropping-particle" : "", "parse-names" : false, "suffix" : "" }, { "dropping-particle" : "", "family" : "Ahmad", "given" : "F", "non-dropping-particle" : "", "parse-names" : false, "suffix" : "" }, { "dropping-particle" : "", "family" : "Pfeil", "given" : "W", "non-dropping-particle" : "", "parse-names" : false, "suffix" : "" } ], "container-title" : "Biochemical Journal", "id" : "ITEM-1", "issued" : { "date-parts" : [ [ "1998" ] ] }, "page" : "137-143", "title" : "Role of non-compatible osmolytes in the stabilization of proteins during heat stress", "type" : "article-journal", "volume" : "329" }, "uris" : [ "http://www.mendeley.com/documents/?uuid=3b2b361a-0f24-4722-a583-2435a62adea6" ] } ], "mendeley" : { "formattedCitation" : "(Rishi et al. 1998)", "plainTextFormattedCitation" : "(Rishi et al. 1998)", "previouslyFormattedCitation" : "(Rishi et al.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DC24F2">
              <w:rPr>
                <w:rFonts w:ascii="Calibri" w:eastAsia="Times New Roman" w:hAnsi="Calibri" w:cs="Times New Roman"/>
                <w:noProof/>
                <w:color w:val="000000"/>
                <w:sz w:val="20"/>
                <w:szCs w:val="20"/>
                <w:lang w:eastAsia="en-GB"/>
              </w:rPr>
              <w:t>(Rishi et al. 1998)</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5FDDDB77"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667E6ECA" w14:textId="77777777" w:rsidR="00DC24F2" w:rsidRDefault="00DC24F2" w:rsidP="009C5E6B">
            <w:pPr>
              <w:spacing w:before="0"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Arginine</w:t>
            </w:r>
          </w:p>
        </w:tc>
        <w:tc>
          <w:tcPr>
            <w:tcW w:w="1276" w:type="dxa"/>
            <w:shd w:val="clear" w:color="auto" w:fill="auto"/>
            <w:noWrap/>
          </w:tcPr>
          <w:p w14:paraId="1B6D2CD4" w14:textId="77777777" w:rsidR="00DC24F2" w:rsidRDefault="00DC24F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Myoglobin</w:t>
            </w:r>
          </w:p>
        </w:tc>
        <w:tc>
          <w:tcPr>
            <w:tcW w:w="992" w:type="dxa"/>
            <w:shd w:val="clear" w:color="auto" w:fill="auto"/>
            <w:noWrap/>
          </w:tcPr>
          <w:p w14:paraId="465D74A4" w14:textId="77777777" w:rsidR="00DC24F2" w:rsidRDefault="00DC24F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w:t>
            </w:r>
          </w:p>
        </w:tc>
        <w:tc>
          <w:tcPr>
            <w:tcW w:w="1418" w:type="dxa"/>
            <w:shd w:val="clear" w:color="auto" w:fill="auto"/>
            <w:noWrap/>
          </w:tcPr>
          <w:p w14:paraId="0A509731" w14:textId="77777777" w:rsidR="00DC24F2" w:rsidRDefault="00DC24F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250</w:t>
            </w:r>
          </w:p>
        </w:tc>
        <w:tc>
          <w:tcPr>
            <w:tcW w:w="1701" w:type="dxa"/>
            <w:shd w:val="clear" w:color="auto" w:fill="auto"/>
            <w:noWrap/>
          </w:tcPr>
          <w:p w14:paraId="50C4DD96" w14:textId="77777777" w:rsidR="00DC24F2" w:rsidRDefault="00F360E2" w:rsidP="00F360E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50 mM</w:t>
            </w:r>
            <w:r w:rsidR="00DC24F2">
              <w:rPr>
                <w:rFonts w:ascii="Calibri" w:eastAsia="Times New Roman" w:hAnsi="Calibri" w:cs="Times New Roman"/>
                <w:color w:val="000000"/>
                <w:sz w:val="20"/>
                <w:szCs w:val="20"/>
                <w:lang w:eastAsia="en-GB"/>
              </w:rPr>
              <w:t xml:space="preserve"> citrate, </w:t>
            </w:r>
            <w:r>
              <w:rPr>
                <w:rFonts w:ascii="Calibri" w:eastAsia="Times New Roman" w:hAnsi="Calibri" w:cs="Times New Roman"/>
                <w:color w:val="000000"/>
                <w:sz w:val="20"/>
                <w:szCs w:val="20"/>
                <w:lang w:eastAsia="en-GB"/>
              </w:rPr>
              <w:t>100 mM</w:t>
            </w:r>
            <w:r w:rsidR="00DC24F2">
              <w:rPr>
                <w:rFonts w:ascii="Calibri" w:eastAsia="Times New Roman" w:hAnsi="Calibri" w:cs="Times New Roman"/>
                <w:color w:val="000000"/>
                <w:sz w:val="20"/>
                <w:szCs w:val="20"/>
                <w:lang w:eastAsia="en-GB"/>
              </w:rPr>
              <w:t xml:space="preserve"> KCl</w:t>
            </w:r>
          </w:p>
        </w:tc>
        <w:tc>
          <w:tcPr>
            <w:tcW w:w="709" w:type="dxa"/>
            <w:shd w:val="clear" w:color="auto" w:fill="auto"/>
            <w:noWrap/>
          </w:tcPr>
          <w:p w14:paraId="2B759278" w14:textId="77777777" w:rsidR="00DC24F2" w:rsidRDefault="00DC24F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Pr>
                <w:rFonts w:ascii="Calibri" w:eastAsia="Times New Roman" w:hAnsi="Calibri" w:cs="Times New Roman"/>
                <w:b/>
                <w:color w:val="000000"/>
                <w:sz w:val="20"/>
                <w:szCs w:val="20"/>
                <w:lang w:eastAsia="en-GB"/>
              </w:rPr>
              <w:t>-3.8</w:t>
            </w:r>
          </w:p>
        </w:tc>
        <w:tc>
          <w:tcPr>
            <w:tcW w:w="1382" w:type="dxa"/>
            <w:shd w:val="clear" w:color="auto" w:fill="auto"/>
            <w:noWrap/>
          </w:tcPr>
          <w:p w14:paraId="5880CA4D" w14:textId="77777777" w:rsidR="00DC24F2" w:rsidRDefault="00DC24F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"author" : [ { "dropping-particle" : "", "family" : "Rishi", "given" : "V", "non-dropping-particle" : "", "parse-names" : false, "suffix" : "" }, { "dropping-particle" : "", "family" : "Anjum", "given" : "F", "non-dropping-particle" : "", "parse-names" : false, "suffix" : "" }, { "dropping-particle" : "", "family" : "Ahmad", "given" : "F", "non-dropping-particle" : "", "parse-names" : false, "suffix" : "" }, { "dropping-particle" : "", "family" : "Pfeil", "given" : "W", "non-dropping-particle" : "", "parse-names" : false, "suffix" : "" } ], "container-title" : "Biochemical Journal", "id" : "ITEM-1", "issued" : { "date-parts" : [ [ "1998" ] ] }, "page" : "137-143", "title" : "Role of non-compatible osmolytes in the stabilization of proteins during heat stress", "type" : "article-journal", "volume" : "329" }, "uris" : [ "http://www.mendeley.com/documents/?uuid=3b2b361a-0f24-4722-a583-2435a62adea6" ] } ], "mendeley" : { "formattedCitation" : "(Rishi et al. 1998)", "plainTextFormattedCitation" : "(Rishi et al. 1998)", "previouslyFormattedCitation" : "(Rishi et al.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DC24F2">
              <w:rPr>
                <w:rFonts w:ascii="Calibri" w:eastAsia="Times New Roman" w:hAnsi="Calibri" w:cs="Times New Roman"/>
                <w:noProof/>
                <w:color w:val="000000"/>
                <w:sz w:val="20"/>
                <w:szCs w:val="20"/>
                <w:lang w:eastAsia="en-GB"/>
              </w:rPr>
              <w:t>(Rishi et al. 1998)</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57883F61"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5D3948DC" w14:textId="77777777" w:rsidR="00DC24F2" w:rsidRDefault="00DC24F2" w:rsidP="009C5E6B">
            <w:pPr>
              <w:spacing w:before="0"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Arginine</w:t>
            </w:r>
          </w:p>
        </w:tc>
        <w:tc>
          <w:tcPr>
            <w:tcW w:w="1276" w:type="dxa"/>
            <w:shd w:val="clear" w:color="auto" w:fill="auto"/>
            <w:noWrap/>
          </w:tcPr>
          <w:p w14:paraId="79ACF796" w14:textId="77777777" w:rsidR="00DC24F2" w:rsidRDefault="00DC24F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Myoglobin</w:t>
            </w:r>
          </w:p>
        </w:tc>
        <w:tc>
          <w:tcPr>
            <w:tcW w:w="992" w:type="dxa"/>
            <w:shd w:val="clear" w:color="auto" w:fill="auto"/>
            <w:noWrap/>
          </w:tcPr>
          <w:p w14:paraId="7BA32342" w14:textId="77777777" w:rsidR="00DC24F2" w:rsidRDefault="00DC24F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w:t>
            </w:r>
          </w:p>
        </w:tc>
        <w:tc>
          <w:tcPr>
            <w:tcW w:w="1418" w:type="dxa"/>
            <w:shd w:val="clear" w:color="auto" w:fill="auto"/>
            <w:noWrap/>
          </w:tcPr>
          <w:p w14:paraId="3C8C9F3A" w14:textId="77777777" w:rsidR="00DC24F2" w:rsidRDefault="00DC24F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1000</w:t>
            </w:r>
          </w:p>
        </w:tc>
        <w:tc>
          <w:tcPr>
            <w:tcW w:w="1701" w:type="dxa"/>
            <w:shd w:val="clear" w:color="auto" w:fill="auto"/>
            <w:noWrap/>
          </w:tcPr>
          <w:p w14:paraId="79C53E79" w14:textId="77777777" w:rsidR="00DC24F2" w:rsidRDefault="00F360E2" w:rsidP="00F360E2">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50 mM </w:t>
            </w:r>
            <w:r w:rsidR="00DC24F2">
              <w:rPr>
                <w:rFonts w:ascii="Calibri" w:eastAsia="Times New Roman" w:hAnsi="Calibri" w:cs="Times New Roman"/>
                <w:color w:val="000000"/>
                <w:sz w:val="20"/>
                <w:szCs w:val="20"/>
                <w:lang w:eastAsia="en-GB"/>
              </w:rPr>
              <w:t xml:space="preserve">citrate, </w:t>
            </w:r>
            <w:r>
              <w:rPr>
                <w:rFonts w:ascii="Calibri" w:eastAsia="Times New Roman" w:hAnsi="Calibri" w:cs="Times New Roman"/>
                <w:color w:val="000000"/>
                <w:sz w:val="20"/>
                <w:szCs w:val="20"/>
                <w:lang w:eastAsia="en-GB"/>
              </w:rPr>
              <w:t xml:space="preserve">100 mM </w:t>
            </w:r>
            <w:r w:rsidR="00DC24F2">
              <w:rPr>
                <w:rFonts w:ascii="Calibri" w:eastAsia="Times New Roman" w:hAnsi="Calibri" w:cs="Times New Roman"/>
                <w:color w:val="000000"/>
                <w:sz w:val="20"/>
                <w:szCs w:val="20"/>
                <w:lang w:eastAsia="en-GB"/>
              </w:rPr>
              <w:t>KCl</w:t>
            </w:r>
          </w:p>
        </w:tc>
        <w:tc>
          <w:tcPr>
            <w:tcW w:w="709" w:type="dxa"/>
            <w:shd w:val="clear" w:color="auto" w:fill="auto"/>
            <w:noWrap/>
          </w:tcPr>
          <w:p w14:paraId="1EFA8FF6" w14:textId="77777777" w:rsidR="00DC24F2" w:rsidRDefault="00DC24F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Pr>
                <w:rFonts w:ascii="Calibri" w:eastAsia="Times New Roman" w:hAnsi="Calibri" w:cs="Times New Roman"/>
                <w:b/>
                <w:color w:val="000000"/>
                <w:sz w:val="20"/>
                <w:szCs w:val="20"/>
                <w:lang w:eastAsia="en-GB"/>
              </w:rPr>
              <w:t>-10.7</w:t>
            </w:r>
          </w:p>
        </w:tc>
        <w:tc>
          <w:tcPr>
            <w:tcW w:w="1382" w:type="dxa"/>
            <w:shd w:val="clear" w:color="auto" w:fill="auto"/>
            <w:noWrap/>
          </w:tcPr>
          <w:p w14:paraId="0D718858" w14:textId="77777777" w:rsidR="00DC24F2" w:rsidRDefault="00DC24F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"author" : [ { "dropping-particle" : "", "family" : "Rishi", "given" : "V", "non-dropping-particle" : "", "parse-names" : false, "suffix" : "" }, { "dropping-particle" : "", "family" : "Anjum", "given" : "F", "non-dropping-particle" : "", "parse-names" : false, "suffix" : "" }, { "dropping-particle" : "", "family" : "Ahmad", "given" : "F", "non-dropping-particle" : "", "parse-names" : false, "suffix" : "" }, { "dropping-particle" : "", "family" : "Pfeil", "given" : "W", "non-dropping-particle" : "", "parse-names" : false, "suffix" : "" } ], "container-title" : "Biochemical Journal", "id" : "ITEM-1", "issued" : { "date-parts" : [ [ "1998" ] ] }, "page" : "137-143", "title" : "Role of non-compatible osmolytes in the stabilization of proteins during heat stress", "type" : "article-journal", "volume" : "329" }, "uris" : [ "http://www.mendeley.com/documents/?uuid=3b2b361a-0f24-4722-a583-2435a62adea6" ] } ], "mendeley" : { "formattedCitation" : "(Rishi et al. 1998)", "plainTextFormattedCitation" : "(Rishi et al. 1998)", "previouslyFormattedCitation" : "(Rishi et al.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DC24F2">
              <w:rPr>
                <w:rFonts w:ascii="Calibri" w:eastAsia="Times New Roman" w:hAnsi="Calibri" w:cs="Times New Roman"/>
                <w:noProof/>
                <w:color w:val="000000"/>
                <w:sz w:val="20"/>
                <w:szCs w:val="20"/>
                <w:lang w:eastAsia="en-GB"/>
              </w:rPr>
              <w:t>(Rishi et al. 1998)</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37388213"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20F45AE9" w14:textId="77777777" w:rsidR="00DC24F2" w:rsidRDefault="00DC24F2" w:rsidP="009C5E6B">
            <w:pPr>
              <w:spacing w:before="0"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Arginine</w:t>
            </w:r>
          </w:p>
        </w:tc>
        <w:tc>
          <w:tcPr>
            <w:tcW w:w="1276" w:type="dxa"/>
            <w:shd w:val="clear" w:color="auto" w:fill="auto"/>
            <w:noWrap/>
          </w:tcPr>
          <w:p w14:paraId="59505AFC" w14:textId="77777777" w:rsidR="00DC24F2" w:rsidRDefault="00DC24F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RNase A</w:t>
            </w:r>
          </w:p>
        </w:tc>
        <w:tc>
          <w:tcPr>
            <w:tcW w:w="992" w:type="dxa"/>
            <w:shd w:val="clear" w:color="auto" w:fill="auto"/>
            <w:noWrap/>
          </w:tcPr>
          <w:p w14:paraId="7ABF542E" w14:textId="77777777" w:rsidR="00DC24F2" w:rsidRDefault="00DC24F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w:t>
            </w:r>
          </w:p>
        </w:tc>
        <w:tc>
          <w:tcPr>
            <w:tcW w:w="1418" w:type="dxa"/>
            <w:shd w:val="clear" w:color="auto" w:fill="auto"/>
            <w:noWrap/>
          </w:tcPr>
          <w:p w14:paraId="190D525D" w14:textId="77777777" w:rsidR="00DC24F2" w:rsidRDefault="00DC24F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200</w:t>
            </w:r>
          </w:p>
        </w:tc>
        <w:tc>
          <w:tcPr>
            <w:tcW w:w="1701" w:type="dxa"/>
            <w:shd w:val="clear" w:color="auto" w:fill="auto"/>
            <w:noWrap/>
          </w:tcPr>
          <w:p w14:paraId="2F1D71C2" w14:textId="77777777" w:rsidR="00DC24F2" w:rsidRDefault="00F360E2" w:rsidP="00F360E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50 mM</w:t>
            </w:r>
            <w:r w:rsidR="00DC24F2">
              <w:rPr>
                <w:rFonts w:ascii="Calibri" w:eastAsia="Times New Roman" w:hAnsi="Calibri" w:cs="Times New Roman"/>
                <w:color w:val="000000"/>
                <w:sz w:val="20"/>
                <w:szCs w:val="20"/>
                <w:lang w:eastAsia="en-GB"/>
              </w:rPr>
              <w:t xml:space="preserve"> citrate, </w:t>
            </w:r>
            <w:r>
              <w:rPr>
                <w:rFonts w:ascii="Calibri" w:eastAsia="Times New Roman" w:hAnsi="Calibri" w:cs="Times New Roman"/>
                <w:color w:val="000000"/>
                <w:sz w:val="20"/>
                <w:szCs w:val="20"/>
                <w:lang w:eastAsia="en-GB"/>
              </w:rPr>
              <w:t>100 mM</w:t>
            </w:r>
            <w:r w:rsidR="00DC24F2">
              <w:rPr>
                <w:rFonts w:ascii="Calibri" w:eastAsia="Times New Roman" w:hAnsi="Calibri" w:cs="Times New Roman"/>
                <w:color w:val="000000"/>
                <w:sz w:val="20"/>
                <w:szCs w:val="20"/>
                <w:lang w:eastAsia="en-GB"/>
              </w:rPr>
              <w:t xml:space="preserve"> KCl</w:t>
            </w:r>
          </w:p>
        </w:tc>
        <w:tc>
          <w:tcPr>
            <w:tcW w:w="709" w:type="dxa"/>
            <w:shd w:val="clear" w:color="auto" w:fill="auto"/>
            <w:noWrap/>
          </w:tcPr>
          <w:p w14:paraId="17A1ED41" w14:textId="77777777" w:rsidR="00DC24F2" w:rsidRDefault="00DC24F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Pr>
                <w:rFonts w:ascii="Calibri" w:eastAsia="Times New Roman" w:hAnsi="Calibri" w:cs="Times New Roman"/>
                <w:b/>
                <w:color w:val="000000"/>
                <w:sz w:val="20"/>
                <w:szCs w:val="20"/>
                <w:lang w:eastAsia="en-GB"/>
              </w:rPr>
              <w:t>-3.6</w:t>
            </w:r>
          </w:p>
        </w:tc>
        <w:tc>
          <w:tcPr>
            <w:tcW w:w="1382" w:type="dxa"/>
            <w:shd w:val="clear" w:color="auto" w:fill="auto"/>
            <w:noWrap/>
          </w:tcPr>
          <w:p w14:paraId="3A179EEB" w14:textId="77777777" w:rsidR="00DC24F2" w:rsidRDefault="00DC24F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"author" : [ { "dropping-particle" : "", "family" : "Rishi", "given" : "V", "non-dropping-particle" : "", "parse-names" : false, "suffix" : "" }, { "dropping-particle" : "", "family" : "Anjum", "given" : "F", "non-dropping-particle" : "", "parse-names" : false, "suffix" : "" }, { "dropping-particle" : "", "family" : "Ahmad", "given" : "F", "non-dropping-particle" : "", "parse-names" : false, "suffix" : "" }, { "dropping-particle" : "", "family" : "Pfeil", "given" : "W", "non-dropping-particle" : "", "parse-names" : false, "suffix" : "" } ], "container-title" : "Biochemical Journal", "id" : "ITEM-1", "issued" : { "date-parts" : [ [ "1998" ] ] }, "page" : "137-143", "title" : "Role of non-compatible osmolytes in the stabilization of proteins during heat stress", "type" : "article-journal", "volume" : "329" }, "uris" : [ "http://www.mendeley.com/documents/?uuid=3b2b361a-0f24-4722-a583-2435a62adea6" ] } ], "mendeley" : { "formattedCitation" : "(Rishi et al. 1998)", "plainTextFormattedCitation" : "(Rishi et al. 1998)", "previouslyFormattedCitation" : "(Rishi et al.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DC24F2">
              <w:rPr>
                <w:rFonts w:ascii="Calibri" w:eastAsia="Times New Roman" w:hAnsi="Calibri" w:cs="Times New Roman"/>
                <w:noProof/>
                <w:color w:val="000000"/>
                <w:sz w:val="20"/>
                <w:szCs w:val="20"/>
                <w:lang w:eastAsia="en-GB"/>
              </w:rPr>
              <w:t>(Rishi et al. 1998)</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15877613"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0DE2F18A" w14:textId="77777777" w:rsidR="00DC24F2" w:rsidRDefault="00DC24F2" w:rsidP="009C5E6B">
            <w:pPr>
              <w:spacing w:before="0"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lastRenderedPageBreak/>
              <w:t>Arginine</w:t>
            </w:r>
          </w:p>
        </w:tc>
        <w:tc>
          <w:tcPr>
            <w:tcW w:w="1276" w:type="dxa"/>
            <w:shd w:val="clear" w:color="auto" w:fill="auto"/>
            <w:noWrap/>
          </w:tcPr>
          <w:p w14:paraId="5658FE6B" w14:textId="77777777" w:rsidR="00DC24F2" w:rsidRDefault="00DC24F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RNase A</w:t>
            </w:r>
          </w:p>
        </w:tc>
        <w:tc>
          <w:tcPr>
            <w:tcW w:w="992" w:type="dxa"/>
            <w:shd w:val="clear" w:color="auto" w:fill="auto"/>
            <w:noWrap/>
          </w:tcPr>
          <w:p w14:paraId="2F252D0F" w14:textId="77777777" w:rsidR="00DC24F2" w:rsidRDefault="00DC24F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w:t>
            </w:r>
          </w:p>
        </w:tc>
        <w:tc>
          <w:tcPr>
            <w:tcW w:w="1418" w:type="dxa"/>
            <w:shd w:val="clear" w:color="auto" w:fill="auto"/>
            <w:noWrap/>
          </w:tcPr>
          <w:p w14:paraId="403E584A" w14:textId="77777777" w:rsidR="00DC24F2" w:rsidRDefault="00DC24F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1000</w:t>
            </w:r>
          </w:p>
        </w:tc>
        <w:tc>
          <w:tcPr>
            <w:tcW w:w="1701" w:type="dxa"/>
            <w:shd w:val="clear" w:color="auto" w:fill="auto"/>
            <w:noWrap/>
          </w:tcPr>
          <w:p w14:paraId="32CDDF6F" w14:textId="77777777" w:rsidR="00DC24F2" w:rsidRDefault="00F360E2" w:rsidP="00F360E2">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50 mM</w:t>
            </w:r>
            <w:r w:rsidR="00DC24F2">
              <w:rPr>
                <w:rFonts w:ascii="Calibri" w:eastAsia="Times New Roman" w:hAnsi="Calibri" w:cs="Times New Roman"/>
                <w:color w:val="000000"/>
                <w:sz w:val="20"/>
                <w:szCs w:val="20"/>
                <w:lang w:eastAsia="en-GB"/>
              </w:rPr>
              <w:t xml:space="preserve"> citrate, </w:t>
            </w:r>
            <w:r>
              <w:rPr>
                <w:rFonts w:ascii="Calibri" w:eastAsia="Times New Roman" w:hAnsi="Calibri" w:cs="Times New Roman"/>
                <w:color w:val="000000"/>
                <w:sz w:val="20"/>
                <w:szCs w:val="20"/>
                <w:lang w:eastAsia="en-GB"/>
              </w:rPr>
              <w:t>100 mM</w:t>
            </w:r>
            <w:r w:rsidR="00DC24F2">
              <w:rPr>
                <w:rFonts w:ascii="Calibri" w:eastAsia="Times New Roman" w:hAnsi="Calibri" w:cs="Times New Roman"/>
                <w:color w:val="000000"/>
                <w:sz w:val="20"/>
                <w:szCs w:val="20"/>
                <w:lang w:eastAsia="en-GB"/>
              </w:rPr>
              <w:t xml:space="preserve"> KCl</w:t>
            </w:r>
          </w:p>
        </w:tc>
        <w:tc>
          <w:tcPr>
            <w:tcW w:w="709" w:type="dxa"/>
            <w:shd w:val="clear" w:color="auto" w:fill="auto"/>
            <w:noWrap/>
          </w:tcPr>
          <w:p w14:paraId="1F0162EB" w14:textId="77777777" w:rsidR="00DC24F2" w:rsidRDefault="00DC24F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Pr>
                <w:rFonts w:ascii="Calibri" w:eastAsia="Times New Roman" w:hAnsi="Calibri" w:cs="Times New Roman"/>
                <w:b/>
                <w:color w:val="000000"/>
                <w:sz w:val="20"/>
                <w:szCs w:val="20"/>
                <w:lang w:eastAsia="en-GB"/>
              </w:rPr>
              <w:t>-4.5</w:t>
            </w:r>
          </w:p>
        </w:tc>
        <w:tc>
          <w:tcPr>
            <w:tcW w:w="1382" w:type="dxa"/>
            <w:shd w:val="clear" w:color="auto" w:fill="auto"/>
            <w:noWrap/>
          </w:tcPr>
          <w:p w14:paraId="133C90B0" w14:textId="77777777" w:rsidR="00DC24F2" w:rsidRDefault="00DC24F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B80E18">
              <w:rPr>
                <w:rFonts w:ascii="Calibri" w:eastAsia="Times New Roman" w:hAnsi="Calibri" w:cs="Times New Roman"/>
                <w:color w:val="000000"/>
                <w:sz w:val="20"/>
                <w:szCs w:val="20"/>
                <w:lang w:eastAsia="en-GB"/>
              </w:rPr>
              <w:instrText>ADDIN CSL_CITATION { "citationItems" : [ { "id" : "ITEM-1", "itemData" : { "author" : [ { "dropping-particle" : "", "family" : "Rishi", "given" : "V", "non-dropping-particle" : "", "parse-names" : false, "suffix" : "" }, { "dropping-particle" : "", "family" : "Anjum", "given" : "F", "non-dropping-particle" : "", "parse-names" : false, "suffix" : "" }, { "dropping-particle" : "", "family" : "Ahmad", "given" : "F", "non-dropping-particle" : "", "parse-names" : false, "suffix" : "" }, { "dropping-particle" : "", "family" : "Pfeil", "given" : "W", "non-dropping-particle" : "", "parse-names" : false, "suffix" : "" } ], "container-title" : "Biochemical Journal", "id" : "ITEM-1", "issued" : { "date-parts" : [ [ "1998" ] ] }, "page" : "137-143", "title" : "Role of non-compatible osmolytes in the stabilization of proteins during heat stress", "type" : "article-journal", "volume" : "329" }, "uris" : [ "http://www.mendeley.com/documents/?uuid=3b2b361a-0f24-4722-a583-2435a62adea6" ] } ], "mendeley" : { "formattedCitation" : "(Rishi et al. 1998)", "plainTextFormattedCitation" : "(Rishi et al. 1998)", "previouslyFormattedCitation" : "(Rishi et al.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DC24F2">
              <w:rPr>
                <w:rFonts w:ascii="Calibri" w:eastAsia="Times New Roman" w:hAnsi="Calibri" w:cs="Times New Roman"/>
                <w:noProof/>
                <w:color w:val="000000"/>
                <w:sz w:val="20"/>
                <w:szCs w:val="20"/>
                <w:lang w:eastAsia="en-GB"/>
              </w:rPr>
              <w:t>(Rishi et al. 1998)</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4C473DBF"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08C96AFB" w14:textId="77777777" w:rsidR="00235AE3" w:rsidRPr="00235AE3" w:rsidRDefault="00235AE3"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Arginine</w:t>
            </w:r>
          </w:p>
        </w:tc>
        <w:tc>
          <w:tcPr>
            <w:tcW w:w="1276" w:type="dxa"/>
            <w:shd w:val="clear" w:color="auto" w:fill="auto"/>
            <w:noWrap/>
            <w:hideMark/>
          </w:tcPr>
          <w:p w14:paraId="3219DBE0" w14:textId="77777777" w:rsidR="00235AE3" w:rsidRPr="00235AE3" w:rsidRDefault="00816A08"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235AE3" w:rsidRPr="00235AE3">
              <w:rPr>
                <w:rFonts w:ascii="Calibri" w:eastAsia="Times New Roman" w:hAnsi="Calibri" w:cs="Times New Roman"/>
                <w:color w:val="000000"/>
                <w:sz w:val="20"/>
                <w:szCs w:val="20"/>
                <w:lang w:eastAsia="en-GB"/>
              </w:rPr>
              <w:t>ase A</w:t>
            </w:r>
          </w:p>
        </w:tc>
        <w:tc>
          <w:tcPr>
            <w:tcW w:w="992" w:type="dxa"/>
            <w:shd w:val="clear" w:color="auto" w:fill="auto"/>
            <w:noWrap/>
            <w:hideMark/>
          </w:tcPr>
          <w:p w14:paraId="2514FF29" w14:textId="77777777" w:rsidR="00235AE3" w:rsidRPr="00235AE3"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6.7</w:t>
            </w:r>
          </w:p>
        </w:tc>
        <w:tc>
          <w:tcPr>
            <w:tcW w:w="1418" w:type="dxa"/>
            <w:shd w:val="clear" w:color="auto" w:fill="auto"/>
            <w:noWrap/>
            <w:hideMark/>
          </w:tcPr>
          <w:p w14:paraId="318D991E" w14:textId="77777777" w:rsidR="00235AE3" w:rsidRPr="00235AE3"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400</w:t>
            </w:r>
          </w:p>
        </w:tc>
        <w:tc>
          <w:tcPr>
            <w:tcW w:w="1701" w:type="dxa"/>
            <w:shd w:val="clear" w:color="auto" w:fill="auto"/>
            <w:noWrap/>
            <w:hideMark/>
          </w:tcPr>
          <w:p w14:paraId="2037E9D8" w14:textId="77777777" w:rsidR="00235AE3" w:rsidRPr="00E3274E" w:rsidRDefault="00235AE3" w:rsidP="00F360E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de-DE" w:eastAsia="en-GB"/>
              </w:rPr>
            </w:pPr>
            <w:r w:rsidRPr="00E3274E">
              <w:rPr>
                <w:rFonts w:ascii="Calibri" w:eastAsia="Times New Roman" w:hAnsi="Calibri" w:cs="Times New Roman"/>
                <w:color w:val="000000"/>
                <w:sz w:val="20"/>
                <w:szCs w:val="20"/>
                <w:lang w:val="de-DE" w:eastAsia="en-GB"/>
              </w:rPr>
              <w:t>25</w:t>
            </w:r>
            <w:r w:rsidR="0041345C" w:rsidRPr="00E3274E">
              <w:rPr>
                <w:rFonts w:ascii="Calibri" w:eastAsia="Times New Roman" w:hAnsi="Calibri" w:cs="Times New Roman"/>
                <w:color w:val="000000"/>
                <w:sz w:val="20"/>
                <w:szCs w:val="20"/>
                <w:lang w:val="de-DE" w:eastAsia="en-GB"/>
              </w:rPr>
              <w:t xml:space="preserve"> </w:t>
            </w:r>
            <w:r w:rsidRPr="00E3274E">
              <w:rPr>
                <w:rFonts w:ascii="Calibri" w:eastAsia="Times New Roman" w:hAnsi="Calibri" w:cs="Times New Roman"/>
                <w:color w:val="000000"/>
                <w:sz w:val="20"/>
                <w:szCs w:val="20"/>
                <w:lang w:val="de-DE" w:eastAsia="en-GB"/>
              </w:rPr>
              <w:t xml:space="preserve">mM potassium phosphate, </w:t>
            </w:r>
            <w:r w:rsidR="00F360E2" w:rsidRPr="00E3274E">
              <w:rPr>
                <w:rFonts w:ascii="Calibri" w:eastAsia="Times New Roman" w:hAnsi="Calibri" w:cs="Times New Roman"/>
                <w:color w:val="000000"/>
                <w:sz w:val="20"/>
                <w:szCs w:val="20"/>
                <w:lang w:val="de-DE" w:eastAsia="en-GB"/>
              </w:rPr>
              <w:t>150 mM</w:t>
            </w:r>
            <w:r w:rsidRPr="00E3274E">
              <w:rPr>
                <w:rFonts w:ascii="Calibri" w:eastAsia="Times New Roman" w:hAnsi="Calibri" w:cs="Times New Roman"/>
                <w:color w:val="000000"/>
                <w:sz w:val="20"/>
                <w:szCs w:val="20"/>
                <w:lang w:val="de-DE" w:eastAsia="en-GB"/>
              </w:rPr>
              <w:t xml:space="preserve"> KCl</w:t>
            </w:r>
          </w:p>
        </w:tc>
        <w:tc>
          <w:tcPr>
            <w:tcW w:w="709" w:type="dxa"/>
            <w:shd w:val="clear" w:color="auto" w:fill="auto"/>
            <w:noWrap/>
            <w:hideMark/>
          </w:tcPr>
          <w:p w14:paraId="1C12C40F" w14:textId="77777777" w:rsidR="00235AE3" w:rsidRPr="0041345C"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-2</w:t>
            </w:r>
          </w:p>
        </w:tc>
        <w:tc>
          <w:tcPr>
            <w:tcW w:w="1382" w:type="dxa"/>
            <w:shd w:val="clear" w:color="auto" w:fill="auto"/>
            <w:noWrap/>
            <w:hideMark/>
          </w:tcPr>
          <w:p w14:paraId="16F83CF5" w14:textId="77777777" w:rsidR="00235AE3" w:rsidRPr="00235AE3"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"10.1002/jez.1402080202", "ISSN" : "0022-104X", "PMID" : "469480", "abstract" : "The major nitrogenous osmolytes present in the cells of marine invertebrates, notably the free amino acids glycine, alanine and proline, and trimethylamine oxide and betaine, are highly compatible with proper enzyme function and structure. These nitrogenous osmolytes display either non-perturbing or, in some cases, favorable effects on enzyme-substrate and enzyme-cofactor complex formation, catalytic velocity and protein structural stability. In contrast, inorganic salts (KCl and NaCl) and certain of the free amino acids which play only a minor osmotic role, e.g., arginine and lysine, have strongly perturbing effects on one or more of these enzymic parameters. The compatible nitrogenous solutes therefore are suitable for use at high (several tenths molar) concentrations and at widely varying concentrations in osmo-conforming species. Certain nitrogenous solutes, especially trimethylamine oxide, betaine and glutamate, offset some of the perturbing effects of inorganic ions on enzyme function. The selective accumulation of osmolytes thus involves not only the concentration of non-perturbing solutes, but also a balanced accumulation of solutes with opposing effects on enzymes. The selection of end-products of anaerobic metabolism also appears to be based, in part, on considerations of solute compatibility with enzyme function. Octopine is a non-perturbing solute, whereas arginine, which is condensed with pyruvate to form octopine, is very strongly perturbing. Succinate has marked stabilizing effects on protein structure. We conclude that the composition of the intracellular fluids of marine invertebrates reflects selection for osmolytes and end-products whose net effects create a cellular microenvironment which is conducive to optimal enzyme function and structure. The accumulation of compatible solutes may preclude the necessity for widespread changes in protein structure in adapting to concentrated or highly variable osmotic environments.", "author" : [ { "dropping-particle" : "", "family" : "Bowlus", "given" : "R D", "non-dropping-particle" : "", "parse-names" : false, "suffix" : "" }, { "dropping-particle" : "", "family" : "Somero", "given" : "G N", "non-dropping-particle" : "", "parse-names" : false, "suffix" : "" } ], "container-title" : "Journal of Experimental Zoology", "id" : "ITEM-1", "issued" : { "date-parts" : [ [ "1979" ] ] }, "page" : "137-151", "title" : "Solute compatibility with enzyme function and structure: rationales for the selection of osmotic agents and end-products of anaerobic metabolism in marine invertebrates", "type" : "article-journal", "volume" : "208" }, "uris" : [ "http://www.mendeley.com/documents/?uuid=7dde3bd3-612c-4dc0-b5b3-9e57c8eb9a26" ] } ], "mendeley" : { "formattedCitation" : "(Bowlus &amp; Somero 1979)", "plainTextFormattedCitation" : "(Bowlus &amp; Somero 1979)", "previouslyFormattedCitation" : "(Bowlus &amp; Somero 1979)"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35AE3">
              <w:rPr>
                <w:rFonts w:ascii="Calibri" w:eastAsia="Times New Roman" w:hAnsi="Calibri" w:cs="Times New Roman"/>
                <w:noProof/>
                <w:color w:val="000000"/>
                <w:sz w:val="20"/>
                <w:szCs w:val="20"/>
                <w:lang w:eastAsia="en-GB"/>
              </w:rPr>
              <w:t>(Bowlus &amp; Somero 1979)</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0DC7A1FD"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6418B1CF" w14:textId="77777777" w:rsidR="00235AE3" w:rsidRPr="00235AE3" w:rsidRDefault="00235AE3"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Arginine</w:t>
            </w:r>
          </w:p>
        </w:tc>
        <w:tc>
          <w:tcPr>
            <w:tcW w:w="1276" w:type="dxa"/>
            <w:shd w:val="clear" w:color="auto" w:fill="auto"/>
            <w:noWrap/>
            <w:hideMark/>
          </w:tcPr>
          <w:p w14:paraId="226A41D8" w14:textId="77777777" w:rsidR="00235AE3" w:rsidRPr="00235AE3" w:rsidRDefault="00816A08"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235AE3" w:rsidRPr="00235AE3">
              <w:rPr>
                <w:rFonts w:ascii="Calibri" w:eastAsia="Times New Roman" w:hAnsi="Calibri" w:cs="Times New Roman"/>
                <w:color w:val="000000"/>
                <w:sz w:val="20"/>
                <w:szCs w:val="20"/>
                <w:lang w:eastAsia="en-GB"/>
              </w:rPr>
              <w:t>ase A</w:t>
            </w:r>
          </w:p>
        </w:tc>
        <w:tc>
          <w:tcPr>
            <w:tcW w:w="992" w:type="dxa"/>
            <w:shd w:val="clear" w:color="auto" w:fill="auto"/>
            <w:noWrap/>
            <w:hideMark/>
          </w:tcPr>
          <w:p w14:paraId="616CC7AB" w14:textId="77777777" w:rsidR="00235AE3" w:rsidRPr="00235AE3" w:rsidRDefault="00235AE3"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7.5</w:t>
            </w:r>
          </w:p>
        </w:tc>
        <w:tc>
          <w:tcPr>
            <w:tcW w:w="1418" w:type="dxa"/>
            <w:shd w:val="clear" w:color="auto" w:fill="auto"/>
            <w:noWrap/>
            <w:hideMark/>
          </w:tcPr>
          <w:p w14:paraId="2534E0E9" w14:textId="77777777" w:rsidR="00235AE3" w:rsidRPr="00235AE3" w:rsidRDefault="00235AE3"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500</w:t>
            </w:r>
          </w:p>
        </w:tc>
        <w:tc>
          <w:tcPr>
            <w:tcW w:w="1701" w:type="dxa"/>
            <w:shd w:val="clear" w:color="auto" w:fill="auto"/>
            <w:noWrap/>
            <w:hideMark/>
          </w:tcPr>
          <w:p w14:paraId="78A512CC" w14:textId="77777777" w:rsidR="00235AE3" w:rsidRPr="00235AE3" w:rsidRDefault="00235AE3"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40</w:t>
            </w:r>
            <w:r w:rsidR="0041345C">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Tris-HCl</w:t>
            </w:r>
          </w:p>
        </w:tc>
        <w:tc>
          <w:tcPr>
            <w:tcW w:w="709" w:type="dxa"/>
            <w:shd w:val="clear" w:color="auto" w:fill="auto"/>
            <w:noWrap/>
            <w:hideMark/>
          </w:tcPr>
          <w:p w14:paraId="6FCF193D" w14:textId="77777777" w:rsidR="00235AE3" w:rsidRPr="0041345C" w:rsidRDefault="00235AE3"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-1</w:t>
            </w:r>
          </w:p>
        </w:tc>
        <w:tc>
          <w:tcPr>
            <w:tcW w:w="1382" w:type="dxa"/>
            <w:shd w:val="clear" w:color="auto" w:fill="auto"/>
            <w:noWrap/>
            <w:hideMark/>
          </w:tcPr>
          <w:p w14:paraId="7708202F" w14:textId="77777777" w:rsidR="00235AE3" w:rsidRPr="00235AE3" w:rsidRDefault="00235AE3"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DD6047">
              <w:rPr>
                <w:rFonts w:ascii="Calibri" w:eastAsia="Times New Roman" w:hAnsi="Calibri" w:cs="Times New Roman"/>
                <w:color w:val="000000"/>
                <w:sz w:val="20"/>
                <w:szCs w:val="20"/>
                <w:lang w:eastAsia="en-GB"/>
              </w:rPr>
              <w:instrText>ADDIN CSL_CITATION { "citationItems" : [ { "id" : "ITEM-1", "itemData" : { "DOI" : "10.1016/S0006-291X(03)00578-3", "ISSN" : "0006291X", "author" : [ { "dropping-particle" : "", "family" : "Arakawa", "given" : "T", "non-dropping-particle" : "", "parse-names" : false, "suffix" : "" }, { "dropping-particle" : "", "family" : "Tsumoto", "given" : "K", "non-dropping-particle" : "", "parse-names" : false, "suffix" : "" } ], "container-title" : "Biochemical and Biophysical Research Communications", "id" : "ITEM-1", "issued" : { "date-parts" : [ [ "2003", "4" ] ] }, "page" : "148-152", "title" : "The effects of arginine on refolding of aggregated proteins: Not facilitate refolding, but suppress aggregation", "type" : "article-journal", "volume" : "304" }, "uris" : [ "http://www.mendeley.com/documents/?uuid=1ec5f6bb-8e7b-444e-9655-b3d9189f70c9" ] } ], "mendeley" : { "formattedCitation" : "(Arakawa &amp; Tsumoto 2003)", "plainTextFormattedCitation" : "(Arakawa &amp; Tsumoto 2003)", "previouslyFormattedCitation" : "(Arakawa &amp; Tsumoto 2003)"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35AE3">
              <w:rPr>
                <w:rFonts w:ascii="Calibri" w:eastAsia="Times New Roman" w:hAnsi="Calibri" w:cs="Times New Roman"/>
                <w:noProof/>
                <w:color w:val="000000"/>
                <w:sz w:val="20"/>
                <w:szCs w:val="20"/>
                <w:lang w:eastAsia="en-GB"/>
              </w:rPr>
              <w:t>(Arakawa &amp; Tsumoto 2003)</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33E0C225"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3E9E2494" w14:textId="77777777" w:rsidR="00235AE3" w:rsidRPr="00235AE3" w:rsidRDefault="00235AE3"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Arginine</w:t>
            </w:r>
          </w:p>
        </w:tc>
        <w:tc>
          <w:tcPr>
            <w:tcW w:w="1276" w:type="dxa"/>
            <w:shd w:val="clear" w:color="auto" w:fill="auto"/>
            <w:noWrap/>
            <w:hideMark/>
          </w:tcPr>
          <w:p w14:paraId="53EE080C" w14:textId="77777777" w:rsidR="00235AE3" w:rsidRPr="00235AE3" w:rsidRDefault="00816A08"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235AE3" w:rsidRPr="00235AE3">
              <w:rPr>
                <w:rFonts w:ascii="Calibri" w:eastAsia="Times New Roman" w:hAnsi="Calibri" w:cs="Times New Roman"/>
                <w:color w:val="000000"/>
                <w:sz w:val="20"/>
                <w:szCs w:val="20"/>
                <w:lang w:eastAsia="en-GB"/>
              </w:rPr>
              <w:t>ase A</w:t>
            </w:r>
          </w:p>
        </w:tc>
        <w:tc>
          <w:tcPr>
            <w:tcW w:w="992" w:type="dxa"/>
            <w:shd w:val="clear" w:color="auto" w:fill="auto"/>
            <w:noWrap/>
            <w:hideMark/>
          </w:tcPr>
          <w:p w14:paraId="6DB79CBB" w14:textId="77777777" w:rsidR="00235AE3" w:rsidRPr="00235AE3"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7.5</w:t>
            </w:r>
          </w:p>
        </w:tc>
        <w:tc>
          <w:tcPr>
            <w:tcW w:w="1418" w:type="dxa"/>
            <w:shd w:val="clear" w:color="auto" w:fill="auto"/>
            <w:noWrap/>
            <w:hideMark/>
          </w:tcPr>
          <w:p w14:paraId="3804B31C" w14:textId="77777777" w:rsidR="00235AE3" w:rsidRPr="00235AE3"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1000</w:t>
            </w:r>
          </w:p>
        </w:tc>
        <w:tc>
          <w:tcPr>
            <w:tcW w:w="1701" w:type="dxa"/>
            <w:shd w:val="clear" w:color="auto" w:fill="auto"/>
            <w:noWrap/>
            <w:hideMark/>
          </w:tcPr>
          <w:p w14:paraId="275818B5" w14:textId="77777777" w:rsidR="00235AE3" w:rsidRPr="00235AE3"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40</w:t>
            </w:r>
            <w:r w:rsidR="0041345C">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Tris-HCl</w:t>
            </w:r>
          </w:p>
        </w:tc>
        <w:tc>
          <w:tcPr>
            <w:tcW w:w="709" w:type="dxa"/>
            <w:shd w:val="clear" w:color="auto" w:fill="auto"/>
            <w:noWrap/>
            <w:hideMark/>
          </w:tcPr>
          <w:p w14:paraId="79B8A1EE" w14:textId="77777777" w:rsidR="00235AE3" w:rsidRPr="0041345C"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-3</w:t>
            </w:r>
          </w:p>
        </w:tc>
        <w:tc>
          <w:tcPr>
            <w:tcW w:w="1382" w:type="dxa"/>
            <w:shd w:val="clear" w:color="auto" w:fill="auto"/>
            <w:noWrap/>
            <w:hideMark/>
          </w:tcPr>
          <w:p w14:paraId="3B2920EC" w14:textId="77777777" w:rsidR="00235AE3" w:rsidRPr="00235AE3"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DD6047">
              <w:rPr>
                <w:rFonts w:ascii="Calibri" w:eastAsia="Times New Roman" w:hAnsi="Calibri" w:cs="Times New Roman"/>
                <w:color w:val="000000"/>
                <w:sz w:val="20"/>
                <w:szCs w:val="20"/>
                <w:lang w:eastAsia="en-GB"/>
              </w:rPr>
              <w:instrText>ADDIN CSL_CITATION { "citationItems" : [ { "id" : "ITEM-1", "itemData" : { "DOI" : "10.1016/S0006-291X(03)00578-3", "ISSN" : "0006291X", "author" : [ { "dropping-particle" : "", "family" : "Arakawa", "given" : "T", "non-dropping-particle" : "", "parse-names" : false, "suffix" : "" }, { "dropping-particle" : "", "family" : "Tsumoto", "given" : "K", "non-dropping-particle" : "", "parse-names" : false, "suffix" : "" } ], "container-title" : "Biochemical and Biophysical Research Communications", "id" : "ITEM-1", "issued" : { "date-parts" : [ [ "2003", "4" ] ] }, "page" : "148-152", "title" : "The effects of arginine on refolding of aggregated proteins: Not facilitate refolding, but suppress aggregation", "type" : "article-journal", "volume" : "304" }, "uris" : [ "http://www.mendeley.com/documents/?uuid=1ec5f6bb-8e7b-444e-9655-b3d9189f70c9" ] } ], "mendeley" : { "formattedCitation" : "(Arakawa &amp; Tsumoto 2003)", "plainTextFormattedCitation" : "(Arakawa &amp; Tsumoto 2003)", "previouslyFormattedCitation" : "(Arakawa &amp; Tsumoto 2003)"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35AE3">
              <w:rPr>
                <w:rFonts w:ascii="Calibri" w:eastAsia="Times New Roman" w:hAnsi="Calibri" w:cs="Times New Roman"/>
                <w:noProof/>
                <w:color w:val="000000"/>
                <w:sz w:val="20"/>
                <w:szCs w:val="20"/>
                <w:lang w:eastAsia="en-GB"/>
              </w:rPr>
              <w:t>(Arakawa &amp; Tsumoto 2003)</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4BAB8591"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5084D910" w14:textId="77777777" w:rsidR="00235AE3" w:rsidRPr="00235AE3" w:rsidRDefault="00235AE3"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Arginine</w:t>
            </w:r>
          </w:p>
        </w:tc>
        <w:tc>
          <w:tcPr>
            <w:tcW w:w="1276" w:type="dxa"/>
            <w:shd w:val="clear" w:color="auto" w:fill="auto"/>
            <w:noWrap/>
            <w:hideMark/>
          </w:tcPr>
          <w:p w14:paraId="13880991" w14:textId="77777777" w:rsidR="00235AE3" w:rsidRPr="00235AE3" w:rsidRDefault="00816A08"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235AE3" w:rsidRPr="00235AE3">
              <w:rPr>
                <w:rFonts w:ascii="Calibri" w:eastAsia="Times New Roman" w:hAnsi="Calibri" w:cs="Times New Roman"/>
                <w:color w:val="000000"/>
                <w:sz w:val="20"/>
                <w:szCs w:val="20"/>
                <w:lang w:eastAsia="en-GB"/>
              </w:rPr>
              <w:t>ase A</w:t>
            </w:r>
          </w:p>
        </w:tc>
        <w:tc>
          <w:tcPr>
            <w:tcW w:w="992" w:type="dxa"/>
            <w:shd w:val="clear" w:color="auto" w:fill="auto"/>
            <w:noWrap/>
            <w:hideMark/>
          </w:tcPr>
          <w:p w14:paraId="64E3AF7A" w14:textId="77777777" w:rsidR="00235AE3" w:rsidRPr="00235AE3" w:rsidRDefault="00235AE3"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w:t>
            </w:r>
          </w:p>
        </w:tc>
        <w:tc>
          <w:tcPr>
            <w:tcW w:w="1418" w:type="dxa"/>
            <w:shd w:val="clear" w:color="auto" w:fill="auto"/>
            <w:noWrap/>
            <w:hideMark/>
          </w:tcPr>
          <w:p w14:paraId="0DCFD72E" w14:textId="77777777" w:rsidR="00235AE3" w:rsidRPr="00235AE3" w:rsidRDefault="00235AE3"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1000</w:t>
            </w:r>
          </w:p>
        </w:tc>
        <w:tc>
          <w:tcPr>
            <w:tcW w:w="1701" w:type="dxa"/>
            <w:shd w:val="clear" w:color="auto" w:fill="auto"/>
            <w:noWrap/>
            <w:hideMark/>
          </w:tcPr>
          <w:p w14:paraId="797EBCD9" w14:textId="77777777" w:rsidR="00235AE3" w:rsidRPr="00235AE3" w:rsidRDefault="00235AE3"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40</w:t>
            </w:r>
            <w:r w:rsidR="0041345C">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Tris-HCl</w:t>
            </w:r>
          </w:p>
        </w:tc>
        <w:tc>
          <w:tcPr>
            <w:tcW w:w="709" w:type="dxa"/>
            <w:shd w:val="clear" w:color="auto" w:fill="auto"/>
            <w:noWrap/>
            <w:hideMark/>
          </w:tcPr>
          <w:p w14:paraId="0E1FD96E" w14:textId="77777777" w:rsidR="00235AE3" w:rsidRPr="0041345C" w:rsidRDefault="00235AE3"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-4</w:t>
            </w:r>
          </w:p>
        </w:tc>
        <w:tc>
          <w:tcPr>
            <w:tcW w:w="1382" w:type="dxa"/>
            <w:shd w:val="clear" w:color="auto" w:fill="auto"/>
            <w:noWrap/>
            <w:hideMark/>
          </w:tcPr>
          <w:p w14:paraId="76E50987" w14:textId="77777777" w:rsidR="00235AE3" w:rsidRPr="00235AE3" w:rsidRDefault="00235AE3"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DD6047">
              <w:rPr>
                <w:rFonts w:ascii="Calibri" w:eastAsia="Times New Roman" w:hAnsi="Calibri" w:cs="Times New Roman"/>
                <w:color w:val="000000"/>
                <w:sz w:val="20"/>
                <w:szCs w:val="20"/>
                <w:lang w:eastAsia="en-GB"/>
              </w:rPr>
              <w:instrText>ADDIN CSL_CITATION { "citationItems" : [ { "id" : "ITEM-1", "itemData" : { "DOI" : "10.1016/S0006-291X(03)00578-3", "ISSN" : "0006291X", "author" : [ { "dropping-particle" : "", "family" : "Arakawa", "given" : "T", "non-dropping-particle" : "", "parse-names" : false, "suffix" : "" }, { "dropping-particle" : "", "family" : "Tsumoto", "given" : "K", "non-dropping-particle" : "", "parse-names" : false, "suffix" : "" } ], "container-title" : "Biochemical and Biophysical Research Communications", "id" : "ITEM-1", "issued" : { "date-parts" : [ [ "2003", "4" ] ] }, "page" : "148-152", "title" : "The effects of arginine on refolding of aggregated proteins: Not facilitate refolding, but suppress aggregation", "type" : "article-journal", "volume" : "304" }, "uris" : [ "http://www.mendeley.com/documents/?uuid=1ec5f6bb-8e7b-444e-9655-b3d9189f70c9" ] } ], "mendeley" : { "formattedCitation" : "(Arakawa &amp; Tsumoto 2003)", "plainTextFormattedCitation" : "(Arakawa &amp; Tsumoto 2003)", "previouslyFormattedCitation" : "(Arakawa &amp; Tsumoto 2003)"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35AE3">
              <w:rPr>
                <w:rFonts w:ascii="Calibri" w:eastAsia="Times New Roman" w:hAnsi="Calibri" w:cs="Times New Roman"/>
                <w:noProof/>
                <w:color w:val="000000"/>
                <w:sz w:val="20"/>
                <w:szCs w:val="20"/>
                <w:lang w:eastAsia="en-GB"/>
              </w:rPr>
              <w:t>(Arakawa &amp; Tsumoto 2003)</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47E5A99D"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0E2FD988" w14:textId="77777777" w:rsidR="00235AE3" w:rsidRPr="00235AE3" w:rsidRDefault="00235AE3"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Aspartate</w:t>
            </w:r>
          </w:p>
        </w:tc>
        <w:tc>
          <w:tcPr>
            <w:tcW w:w="1276" w:type="dxa"/>
            <w:shd w:val="clear" w:color="auto" w:fill="auto"/>
            <w:noWrap/>
            <w:hideMark/>
          </w:tcPr>
          <w:p w14:paraId="5CB8DF51" w14:textId="77777777" w:rsidR="00235AE3" w:rsidRPr="00235AE3"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IgG Fab domain</w:t>
            </w:r>
          </w:p>
        </w:tc>
        <w:tc>
          <w:tcPr>
            <w:tcW w:w="992" w:type="dxa"/>
            <w:shd w:val="clear" w:color="auto" w:fill="auto"/>
            <w:noWrap/>
            <w:hideMark/>
          </w:tcPr>
          <w:p w14:paraId="3B5C0702" w14:textId="77777777" w:rsidR="00235AE3" w:rsidRPr="00235AE3"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3.5</w:t>
            </w:r>
          </w:p>
        </w:tc>
        <w:tc>
          <w:tcPr>
            <w:tcW w:w="1418" w:type="dxa"/>
            <w:shd w:val="clear" w:color="auto" w:fill="auto"/>
            <w:noWrap/>
            <w:hideMark/>
          </w:tcPr>
          <w:p w14:paraId="5485B6BC" w14:textId="77777777" w:rsidR="00235AE3" w:rsidRPr="00235AE3"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62.5</w:t>
            </w:r>
          </w:p>
        </w:tc>
        <w:tc>
          <w:tcPr>
            <w:tcW w:w="1701" w:type="dxa"/>
            <w:shd w:val="clear" w:color="auto" w:fill="auto"/>
            <w:noWrap/>
            <w:hideMark/>
          </w:tcPr>
          <w:p w14:paraId="28C0306D" w14:textId="77777777" w:rsidR="00235AE3" w:rsidRPr="00235AE3"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w:t>
            </w:r>
            <w:r w:rsidR="0041345C">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glycine</w:t>
            </w:r>
          </w:p>
        </w:tc>
        <w:tc>
          <w:tcPr>
            <w:tcW w:w="709" w:type="dxa"/>
            <w:shd w:val="clear" w:color="auto" w:fill="auto"/>
            <w:noWrap/>
            <w:hideMark/>
          </w:tcPr>
          <w:p w14:paraId="700E8F2D" w14:textId="77777777" w:rsidR="00235AE3" w:rsidRPr="0041345C"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-1.1</w:t>
            </w:r>
          </w:p>
        </w:tc>
        <w:tc>
          <w:tcPr>
            <w:tcW w:w="1382" w:type="dxa"/>
            <w:shd w:val="clear" w:color="auto" w:fill="auto"/>
            <w:noWrap/>
            <w:hideMark/>
          </w:tcPr>
          <w:p w14:paraId="7997996B" w14:textId="77777777" w:rsidR="00235AE3" w:rsidRPr="00235AE3" w:rsidRDefault="00235AE3"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023DC1">
              <w:rPr>
                <w:rFonts w:ascii="Calibri" w:eastAsia="Times New Roman" w:hAnsi="Calibri" w:cs="Times New Roman"/>
                <w:color w:val="000000"/>
                <w:sz w:val="20"/>
                <w:szCs w:val="20"/>
                <w:lang w:eastAsia="en-GB"/>
              </w:rPr>
              <w:instrText>ADDIN CSL_CITATION { "citationItems" : [ { "id" : "ITEM-1", "itemData" : { "DOI" : "10.1002/jctb.2657", "ISSN" : "02682575", "author" : [ { "dropping-particle" : "", "family" : "Falconer", "given" : "R J", "non-dropping-particle" : "", "parse-names" : false, "suffix" : "" }, { "dropping-particle" : "", "family" : "Chan", "given" : "C", "non-dropping-particle" : "", "parse-names" : false, "suffix" : "" }, { "dropping-particle" : "", "family" : "Hughes", "given" : "K", "non-dropping-particle" : "", "parse-names" : false, "suffix" : "" }, { "dropping-particle" : "", "family" : "Munro", "given" : "T P", "non-dropping-particle" : "", "parse-names" : false, "suffix" : "" } ], "container-title" : "Journal of Chemical Technology &amp; Biotechnology", "id" : "ITEM-1", "issued" : { "date-parts" : [ [ "2011", "7", "7" ] ] }, "page" : "942-948", "title" : "Stabilization of a monoclonal antibody during purification and formulation by addition of basic amino acid excipients", "type" : "article-journal", "volume" : "86" }, "uris" : [ "http://www.mendeley.com/documents/?uuid=0fd7d4b0-b0a9-40ec-8c2a-8ec42fa3572d" ] } ], "mendeley" : { "formattedCitation" : "(Falconer et al. 2011)", "plainTextFormattedCitation" : "(Falconer et al. 2011)", "previouslyFormattedCitation" : "(Falconer et al. 2011)"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35AE3">
              <w:rPr>
                <w:rFonts w:ascii="Calibri" w:eastAsia="Times New Roman" w:hAnsi="Calibri" w:cs="Times New Roman"/>
                <w:noProof/>
                <w:color w:val="000000"/>
                <w:sz w:val="20"/>
                <w:szCs w:val="20"/>
                <w:lang w:eastAsia="en-GB"/>
              </w:rPr>
              <w:t>(Falconer et al. 2011)</w:t>
            </w:r>
            <w:r>
              <w:rPr>
                <w:rFonts w:ascii="Calibri" w:eastAsia="Times New Roman" w:hAnsi="Calibri" w:cs="Times New Roman"/>
                <w:color w:val="000000"/>
                <w:sz w:val="20"/>
                <w:szCs w:val="20"/>
                <w:lang w:eastAsia="en-GB"/>
              </w:rPr>
              <w:fldChar w:fldCharType="end"/>
            </w:r>
          </w:p>
        </w:tc>
      </w:tr>
      <w:tr w:rsidR="00DC24F2" w:rsidRPr="00235AE3" w14:paraId="1E00F789"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50A8BCBB" w14:textId="77777777" w:rsidR="0041345C" w:rsidRPr="00235AE3" w:rsidRDefault="0041345C"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Glutamate</w:t>
            </w:r>
          </w:p>
        </w:tc>
        <w:tc>
          <w:tcPr>
            <w:tcW w:w="1276" w:type="dxa"/>
            <w:shd w:val="clear" w:color="auto" w:fill="auto"/>
            <w:noWrap/>
          </w:tcPr>
          <w:p w14:paraId="745D43D2"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IgG Fab domain</w:t>
            </w:r>
          </w:p>
        </w:tc>
        <w:tc>
          <w:tcPr>
            <w:tcW w:w="992" w:type="dxa"/>
            <w:shd w:val="clear" w:color="auto" w:fill="auto"/>
            <w:noWrap/>
          </w:tcPr>
          <w:p w14:paraId="38FFD317"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3.5</w:t>
            </w:r>
          </w:p>
        </w:tc>
        <w:tc>
          <w:tcPr>
            <w:tcW w:w="1418" w:type="dxa"/>
            <w:shd w:val="clear" w:color="auto" w:fill="auto"/>
            <w:noWrap/>
          </w:tcPr>
          <w:p w14:paraId="4951E050"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62.5</w:t>
            </w:r>
          </w:p>
        </w:tc>
        <w:tc>
          <w:tcPr>
            <w:tcW w:w="1701" w:type="dxa"/>
            <w:shd w:val="clear" w:color="auto" w:fill="auto"/>
            <w:noWrap/>
          </w:tcPr>
          <w:p w14:paraId="6517376D"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w:t>
            </w:r>
            <w:r>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glycine</w:t>
            </w:r>
          </w:p>
        </w:tc>
        <w:tc>
          <w:tcPr>
            <w:tcW w:w="709" w:type="dxa"/>
            <w:shd w:val="clear" w:color="auto" w:fill="auto"/>
            <w:noWrap/>
          </w:tcPr>
          <w:p w14:paraId="46B62CAF" w14:textId="77777777" w:rsidR="0041345C" w:rsidRPr="0041345C"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-0.9</w:t>
            </w:r>
          </w:p>
        </w:tc>
        <w:tc>
          <w:tcPr>
            <w:tcW w:w="1382" w:type="dxa"/>
            <w:shd w:val="clear" w:color="auto" w:fill="auto"/>
            <w:noWrap/>
          </w:tcPr>
          <w:p w14:paraId="55DD187B"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"10.1002/jctb.2657", "ISSN" : "02682575", "author" : [ { "dropping-particle" : "", "family" : "Falconer", "given" : "R J", "non-dropping-particle" : "", "parse-names" : false, "suffix" : "" }, { "dropping-particle" : "", "family" : "Chan", "given" : "C", "non-dropping-particle" : "", "parse-names" : false, "suffix" : "" }, { "dropping-particle" : "", "family" : "Hughes", "given" : "K", "non-dropping-particle" : "", "parse-names" : false, "suffix" : "" }, { "dropping-particle" : "", "family" : "Munro", "given" : "T P", "non-dropping-particle" : "", "parse-names" : false, "suffix" : "" } ], "container-title" : "Journal of Chemical Technology &amp; Biotechnology", "id" : "ITEM-1", "issued" : { "date-parts" : [ [ "2011", "7", "7" ] ] }, "page" : "942-948", "title" : "Stabilization of a monoclonal antibody during purification and formulation by addition of basic amino acid excipients", "type" : "article-journal", "volume" : "86" }, "uris" : [ "http://www.mendeley.com/documents/?uuid=0fd7d4b0-b0a9-40ec-8c2a-8ec42fa3572d" ] } ], "mendeley" : { "formattedCitation" : "(Falconer et al. 2011)", "plainTextFormattedCitation" : "(Falconer et al. 2011)", "previouslyFormattedCitation" : "(Falconer et al. 2011)"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023DC1">
              <w:rPr>
                <w:rFonts w:ascii="Calibri" w:eastAsia="Times New Roman" w:hAnsi="Calibri" w:cs="Times New Roman"/>
                <w:noProof/>
                <w:color w:val="000000"/>
                <w:sz w:val="20"/>
                <w:szCs w:val="20"/>
                <w:lang w:eastAsia="en-GB"/>
              </w:rPr>
              <w:t>(Falconer et al. 2011)</w:t>
            </w:r>
            <w:r>
              <w:rPr>
                <w:rFonts w:ascii="Calibri" w:eastAsia="Times New Roman" w:hAnsi="Calibri" w:cs="Times New Roman"/>
                <w:color w:val="000000"/>
                <w:sz w:val="20"/>
                <w:szCs w:val="20"/>
                <w:lang w:eastAsia="en-GB"/>
              </w:rPr>
              <w:fldChar w:fldCharType="end"/>
            </w:r>
          </w:p>
        </w:tc>
      </w:tr>
      <w:tr w:rsidR="00DC24F2" w:rsidRPr="00235AE3" w14:paraId="222770F6"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2624F5DF" w14:textId="77777777" w:rsidR="0041345C" w:rsidRPr="00235AE3" w:rsidRDefault="0041345C"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Glutamine</w:t>
            </w:r>
          </w:p>
        </w:tc>
        <w:tc>
          <w:tcPr>
            <w:tcW w:w="1276" w:type="dxa"/>
            <w:shd w:val="clear" w:color="auto" w:fill="auto"/>
            <w:noWrap/>
          </w:tcPr>
          <w:p w14:paraId="72F94134"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IgG Fab domain</w:t>
            </w:r>
          </w:p>
        </w:tc>
        <w:tc>
          <w:tcPr>
            <w:tcW w:w="992" w:type="dxa"/>
            <w:shd w:val="clear" w:color="auto" w:fill="auto"/>
            <w:noWrap/>
          </w:tcPr>
          <w:p w14:paraId="5F4755E2"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3.5</w:t>
            </w:r>
          </w:p>
        </w:tc>
        <w:tc>
          <w:tcPr>
            <w:tcW w:w="1418" w:type="dxa"/>
            <w:shd w:val="clear" w:color="auto" w:fill="auto"/>
            <w:noWrap/>
          </w:tcPr>
          <w:p w14:paraId="4EB6B1D1"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62.5</w:t>
            </w:r>
          </w:p>
        </w:tc>
        <w:tc>
          <w:tcPr>
            <w:tcW w:w="1701" w:type="dxa"/>
            <w:shd w:val="clear" w:color="auto" w:fill="auto"/>
            <w:noWrap/>
          </w:tcPr>
          <w:p w14:paraId="51D07C49"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w:t>
            </w:r>
            <w:r>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glycine</w:t>
            </w:r>
          </w:p>
        </w:tc>
        <w:tc>
          <w:tcPr>
            <w:tcW w:w="709" w:type="dxa"/>
            <w:shd w:val="clear" w:color="auto" w:fill="auto"/>
            <w:noWrap/>
          </w:tcPr>
          <w:p w14:paraId="463CE2CC" w14:textId="77777777" w:rsidR="0041345C" w:rsidRPr="0041345C"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3.7</w:t>
            </w:r>
          </w:p>
        </w:tc>
        <w:tc>
          <w:tcPr>
            <w:tcW w:w="1382" w:type="dxa"/>
            <w:shd w:val="clear" w:color="auto" w:fill="auto"/>
            <w:noWrap/>
          </w:tcPr>
          <w:p w14:paraId="28D583A1"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"10.1002/jctb.2657", "ISSN" : "02682575", "author" : [ { "dropping-particle" : "", "family" : "Falconer", "given" : "R J", "non-dropping-particle" : "", "parse-names" : false, "suffix" : "" }, { "dropping-particle" : "", "family" : "Chan", "given" : "C", "non-dropping-particle" : "", "parse-names" : false, "suffix" : "" }, { "dropping-particle" : "", "family" : "Hughes", "given" : "K", "non-dropping-particle" : "", "parse-names" : false, "suffix" : "" }, { "dropping-particle" : "", "family" : "Munro", "given" : "T P", "non-dropping-particle" : "", "parse-names" : false, "suffix" : "" } ], "container-title" : "Journal of Chemical Technology &amp; Biotechnology", "id" : "ITEM-1", "issued" : { "date-parts" : [ [ "2011", "7", "7" ] ] }, "page" : "942-948", "title" : "Stabilization of a monoclonal antibody during purification and formulation by addition of basic amino acid excipients", "type" : "article-journal", "volume" : "86" }, "uris" : [ "http://www.mendeley.com/documents/?uuid=0fd7d4b0-b0a9-40ec-8c2a-8ec42fa3572d" ] } ], "mendeley" : { "formattedCitation" : "(Falconer et al. 2011)", "plainTextFormattedCitation" : "(Falconer et al. 2011)", "previouslyFormattedCitation" : "(Falconer et al. 2011)"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(Falconer et al. 2011)</w:t>
            </w:r>
            <w:r>
              <w:rPr>
                <w:rFonts w:ascii="Calibri" w:eastAsia="Times New Roman" w:hAnsi="Calibri" w:cs="Times New Roman"/>
                <w:color w:val="000000"/>
                <w:sz w:val="20"/>
                <w:szCs w:val="20"/>
                <w:lang w:eastAsia="en-GB"/>
              </w:rPr>
              <w:fldChar w:fldCharType="end"/>
            </w:r>
          </w:p>
        </w:tc>
      </w:tr>
      <w:tr w:rsidR="00DC24F2" w:rsidRPr="00235AE3" w14:paraId="3D8BF53E"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5E254D0E" w14:textId="77777777" w:rsidR="0041345C" w:rsidRPr="00235AE3" w:rsidRDefault="0041345C"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Glycine</w:t>
            </w:r>
          </w:p>
        </w:tc>
        <w:tc>
          <w:tcPr>
            <w:tcW w:w="1276" w:type="dxa"/>
            <w:shd w:val="clear" w:color="auto" w:fill="auto"/>
            <w:noWrap/>
          </w:tcPr>
          <w:p w14:paraId="5809FB0F"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BSA</w:t>
            </w:r>
          </w:p>
        </w:tc>
        <w:tc>
          <w:tcPr>
            <w:tcW w:w="992" w:type="dxa"/>
            <w:shd w:val="clear" w:color="auto" w:fill="auto"/>
            <w:noWrap/>
          </w:tcPr>
          <w:p w14:paraId="11F15AA6"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6.3</w:t>
            </w:r>
          </w:p>
        </w:tc>
        <w:tc>
          <w:tcPr>
            <w:tcW w:w="1418" w:type="dxa"/>
            <w:shd w:val="clear" w:color="auto" w:fill="auto"/>
            <w:noWrap/>
          </w:tcPr>
          <w:p w14:paraId="732F50DE"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1000</w:t>
            </w:r>
          </w:p>
        </w:tc>
        <w:tc>
          <w:tcPr>
            <w:tcW w:w="1701" w:type="dxa"/>
            <w:shd w:val="clear" w:color="auto" w:fill="auto"/>
            <w:noWrap/>
          </w:tcPr>
          <w:p w14:paraId="793E482F" w14:textId="77777777" w:rsidR="0041345C" w:rsidRPr="00235AE3" w:rsidRDefault="0041345C" w:rsidP="00F360E2">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w:t>
            </w:r>
            <w:r w:rsidR="00F360E2">
              <w:rPr>
                <w:rFonts w:ascii="Calibri" w:eastAsia="Times New Roman" w:hAnsi="Calibri" w:cs="Times New Roman"/>
                <w:color w:val="000000"/>
                <w:sz w:val="20"/>
                <w:szCs w:val="20"/>
                <w:lang w:eastAsia="en-GB"/>
              </w:rPr>
              <w:t>800 mM</w:t>
            </w:r>
            <w:r w:rsidRPr="00235AE3">
              <w:rPr>
                <w:rFonts w:ascii="Calibri" w:eastAsia="Times New Roman" w:hAnsi="Calibri" w:cs="Times New Roman"/>
                <w:color w:val="000000"/>
                <w:sz w:val="20"/>
                <w:szCs w:val="20"/>
                <w:lang w:eastAsia="en-GB"/>
              </w:rPr>
              <w:t xml:space="preserve"> GdnHCl</w:t>
            </w:r>
          </w:p>
        </w:tc>
        <w:tc>
          <w:tcPr>
            <w:tcW w:w="709" w:type="dxa"/>
            <w:shd w:val="clear" w:color="auto" w:fill="auto"/>
            <w:noWrap/>
          </w:tcPr>
          <w:p w14:paraId="656436DF" w14:textId="77777777" w:rsidR="0041345C" w:rsidRPr="0041345C"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13-27</w:t>
            </w:r>
          </w:p>
        </w:tc>
        <w:tc>
          <w:tcPr>
            <w:tcW w:w="1382" w:type="dxa"/>
            <w:shd w:val="clear" w:color="auto" w:fill="auto"/>
            <w:noWrap/>
          </w:tcPr>
          <w:p w14:paraId="5099F655"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"ISSN" : "0003-9861", "PMID" : "6870251", "abstract" : "The preferential interactions of proteins with solvent components in concentrated amino acid solutions were measured by high-precision densimetry. Bovine serum albumin and lysozyme were preferentially hydrated in all of the amino acids examined, glycine, alpha- and beta-alanine, and betaine, i.e., addition of these amino acids resulted in an unfavorable free energy change. It was shown that, for the former three amino acids, known to have a positive surface tension increment, their perturbation of the surface free energy of water is consistent with their preferential exclusion from the protein surface. In the case of betaine, which does not increase the surface tension of water, preferential exclusion from protein surface must reflect the chemical structure of this cosolvent, which is considerably more hydrophobic than that of the other three amino acids.", "author" : [ { "dropping-particle" : "", "family" : "Arakawa", "given" : "T", "non-dropping-particle" : "", "parse-names" : false, "suffix" : "" }, { "dropping-particle" : "", "family" : "Timasheff", "given" : "S N", "non-dropping-particle" : "", "parse-names" : false, "suffix" : "" } ], "container-title" : "Archives of Biochemistry and Biophysics", "id" : "ITEM-1", "issued" : { "date-parts" : [ [ "1983", "7", "1" ] ] }, "page" : "169-177", "title" : "Preferential interactions of proteins with solvent components in aqueous amino acid solutions", "type" : "article-journal", "volume" : "224" }, "uris" : [ "http://www.mendeley.com/documents/?uuid=1a6cbc50-77f9-4f1c-84c3-3f29af9f71b8" ] } ], "mendeley" : { "formattedCitation" : "(Arakawa &amp; Timasheff 1983)", "plainTextFormattedCitation" : "(Arakawa &amp; Timasheff 1983)", "previouslyFormattedCitation" : "(Arakawa &amp; Timasheff 1983)"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(Arakawa &amp; Timasheff 1983)</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400D34BA"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3D4C279C" w14:textId="77777777" w:rsidR="0041345C" w:rsidRPr="00235AE3" w:rsidRDefault="0041345C"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Glycine</w:t>
            </w:r>
          </w:p>
        </w:tc>
        <w:tc>
          <w:tcPr>
            <w:tcW w:w="1276" w:type="dxa"/>
            <w:shd w:val="clear" w:color="auto" w:fill="auto"/>
            <w:noWrap/>
          </w:tcPr>
          <w:p w14:paraId="2D986E94"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Cytochrome c</w:t>
            </w:r>
          </w:p>
        </w:tc>
        <w:tc>
          <w:tcPr>
            <w:tcW w:w="992" w:type="dxa"/>
            <w:shd w:val="clear" w:color="auto" w:fill="auto"/>
            <w:noWrap/>
          </w:tcPr>
          <w:p w14:paraId="4BD6F49D"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3</w:t>
            </w:r>
          </w:p>
        </w:tc>
        <w:tc>
          <w:tcPr>
            <w:tcW w:w="1418" w:type="dxa"/>
            <w:shd w:val="clear" w:color="auto" w:fill="auto"/>
            <w:noWrap/>
          </w:tcPr>
          <w:p w14:paraId="10730481"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1000</w:t>
            </w:r>
          </w:p>
        </w:tc>
        <w:tc>
          <w:tcPr>
            <w:tcW w:w="1701" w:type="dxa"/>
            <w:shd w:val="clear" w:color="auto" w:fill="auto"/>
            <w:noWrap/>
          </w:tcPr>
          <w:p w14:paraId="278077B2" w14:textId="77777777" w:rsidR="0041345C" w:rsidRPr="00235AE3" w:rsidRDefault="00F360E2" w:rsidP="00F360E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50 mM</w:t>
            </w:r>
            <w:r w:rsidR="0041345C" w:rsidRPr="00235AE3">
              <w:rPr>
                <w:rFonts w:ascii="Calibri" w:eastAsia="Times New Roman" w:hAnsi="Calibri" w:cs="Times New Roman"/>
                <w:color w:val="000000"/>
                <w:sz w:val="20"/>
                <w:szCs w:val="20"/>
                <w:lang w:eastAsia="en-GB"/>
              </w:rPr>
              <w:t xml:space="preserve"> citrate &amp; </w:t>
            </w:r>
            <w:r>
              <w:rPr>
                <w:rFonts w:ascii="Calibri" w:eastAsia="Times New Roman" w:hAnsi="Calibri" w:cs="Times New Roman"/>
                <w:color w:val="000000"/>
                <w:sz w:val="20"/>
                <w:szCs w:val="20"/>
                <w:lang w:eastAsia="en-GB"/>
              </w:rPr>
              <w:t>100 mM</w:t>
            </w:r>
            <w:r w:rsidR="0041345C" w:rsidRPr="00235AE3">
              <w:rPr>
                <w:rFonts w:ascii="Calibri" w:eastAsia="Times New Roman" w:hAnsi="Calibri" w:cs="Times New Roman"/>
                <w:color w:val="000000"/>
                <w:sz w:val="20"/>
                <w:szCs w:val="20"/>
                <w:lang w:eastAsia="en-GB"/>
              </w:rPr>
              <w:t xml:space="preserve"> KCl</w:t>
            </w:r>
          </w:p>
        </w:tc>
        <w:tc>
          <w:tcPr>
            <w:tcW w:w="709" w:type="dxa"/>
            <w:shd w:val="clear" w:color="auto" w:fill="auto"/>
            <w:noWrap/>
          </w:tcPr>
          <w:p w14:paraId="067CAF4D" w14:textId="77777777" w:rsidR="0041345C" w:rsidRPr="0041345C"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3.3</w:t>
            </w:r>
          </w:p>
        </w:tc>
        <w:tc>
          <w:tcPr>
            <w:tcW w:w="1382" w:type="dxa"/>
            <w:shd w:val="clear" w:color="auto" w:fill="auto"/>
            <w:noWrap/>
          </w:tcPr>
          <w:p w14:paraId="785DC2F5"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054313">
              <w:rPr>
                <w:rFonts w:ascii="Calibri" w:eastAsia="Times New Roman" w:hAnsi="Calibri" w:cs="Times New Roman"/>
                <w:color w:val="000000"/>
                <w:sz w:val="20"/>
                <w:szCs w:val="20"/>
                <w:lang w:eastAsia="en-GB"/>
              </w:rPr>
              <w:instrText>ADDIN CSL_CITATION { "citationItems" : [ { "id" : "ITEM-1", "itemData" : { "ISSN" : "0264-6021", "PMID" : "7945233", "abstract" : "This study is a systematic attempt to understand the roles of osmolytes in protecting proteins against denaturing stress. Thermal denaturation of cytochrome c has been studied in the presence of various concentrations of all L-amino acids that are more hydrophobic than glycine and have a solubility of 0.1 M or higher in water at 25 degrees C. The basic observations are as follows. (1) Arginine and histidine destabilize the native protein; both Tm (the midpoint of thermal transition) and delta GDH2O (25 degrees C) (the Gibbs energy of stabilization) decrease with increasing amino acid concentration. (2) Isoleucine, leucine and phenylalanine have no effect on Tm and deltaGDH2O (25 degrees C). (3) Valine and less hydrophobic amino acids stabilize the protein in terms of Tm but deltaGDH2O (25 degrees C) is unchanged. This observation was confirmed by the study of isothermal denaturation of cytochrome c by guanidinium chloride which suggested that delta GDH2O is independent of osmolyte concentration, but Cm (the midpoint of transition) is increased in their presence. (4) In the case of stabilizers, change in Tm/mol of amino acid decreases with increasing hydrophobicity of these osmolytes.", "author" : [ { "dropping-particle" : "", "family" : "Taneja", "given" : "S", "non-dropping-particle" : "", "parse-names" : false, "suffix" : "" }, { "dropping-particle" : "", "family" : "Ahmad", "given" : "F", "non-dropping-particle" : "", "parse-names" : false, "suffix" : "" } ], "container-title" : "Biochemical Journal", "id" : "ITEM-1", "issued" : { "date-parts" : [ [ "1994", "10", "1" ] ] }, "page" : "147-153", "title" : "Increased thermal stability of proteins in the presence of amino acids", "type" : "article-journal", "volume" : "303" }, "uris" : [ "http://www.mendeley.com/documents/?uuid=58de2c9a-4375-44f3-b3b7-972049f9dc42" ] } ], "mendeley" : { "formattedCitation" : "(Taneja &amp; Ahmad 1994)", "plainTextFormattedCitation" : "(Taneja &amp; Ahmad 1994)", "previouslyFormattedCitation" : "(Taneja &amp; Ahmad 1994)"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(Taneja &amp; Ahmad 1994)</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6D75F919"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55ACA9FF" w14:textId="77777777" w:rsidR="0041345C" w:rsidRPr="00235AE3" w:rsidRDefault="0041345C"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Glycine</w:t>
            </w:r>
          </w:p>
        </w:tc>
        <w:tc>
          <w:tcPr>
            <w:tcW w:w="1276" w:type="dxa"/>
            <w:shd w:val="clear" w:color="auto" w:fill="auto"/>
            <w:noWrap/>
          </w:tcPr>
          <w:p w14:paraId="5C028117"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Lysozyme</w:t>
            </w:r>
          </w:p>
        </w:tc>
        <w:tc>
          <w:tcPr>
            <w:tcW w:w="992" w:type="dxa"/>
            <w:shd w:val="clear" w:color="auto" w:fill="auto"/>
            <w:noWrap/>
          </w:tcPr>
          <w:p w14:paraId="671F26F2"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w:t>
            </w:r>
          </w:p>
        </w:tc>
        <w:tc>
          <w:tcPr>
            <w:tcW w:w="1418" w:type="dxa"/>
            <w:shd w:val="clear" w:color="auto" w:fill="auto"/>
            <w:noWrap/>
          </w:tcPr>
          <w:p w14:paraId="3125F8B8"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1000</w:t>
            </w:r>
          </w:p>
        </w:tc>
        <w:tc>
          <w:tcPr>
            <w:tcW w:w="1701" w:type="dxa"/>
            <w:shd w:val="clear" w:color="auto" w:fill="auto"/>
            <w:noWrap/>
          </w:tcPr>
          <w:p w14:paraId="18C3666A" w14:textId="77777777" w:rsidR="0041345C" w:rsidRPr="00235AE3" w:rsidRDefault="00F360E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 mM</w:t>
            </w:r>
            <w:r w:rsidR="0041345C" w:rsidRPr="00235AE3">
              <w:rPr>
                <w:rFonts w:ascii="Calibri" w:eastAsia="Times New Roman" w:hAnsi="Calibri" w:cs="Times New Roman"/>
                <w:color w:val="000000"/>
                <w:sz w:val="20"/>
                <w:szCs w:val="20"/>
                <w:lang w:eastAsia="en-GB"/>
              </w:rPr>
              <w:t xml:space="preserve"> NaCl</w:t>
            </w:r>
          </w:p>
        </w:tc>
        <w:tc>
          <w:tcPr>
            <w:tcW w:w="709" w:type="dxa"/>
            <w:shd w:val="clear" w:color="auto" w:fill="auto"/>
            <w:noWrap/>
          </w:tcPr>
          <w:p w14:paraId="1B3CB37F" w14:textId="77777777" w:rsidR="0041345C" w:rsidRPr="0041345C"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7</w:t>
            </w:r>
          </w:p>
        </w:tc>
        <w:tc>
          <w:tcPr>
            <w:tcW w:w="1382" w:type="dxa"/>
            <w:shd w:val="clear" w:color="auto" w:fill="auto"/>
            <w:noWrap/>
          </w:tcPr>
          <w:p w14:paraId="02BED174"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"10.1016/S0006-3495(85)83932-1", "ISSN" : "0006-3495", "PMID" : "3978211", "abstract" : "The preferential interactions of lysozyme with solvent components and the effects of solvent additives on its stability were examined for several neutral osmolytes: L-proline, L-serine, gamma-aminobutyric acid, sarcosine, taurine, alpha-alanine, beta-alanine, glycine, betaine, and trimethylamine N-oxide. It was shown that all these substances stabilize the protein structure against thermal denaturation and (except for trimethylamine N-oxide for which interaction measurements could not be made) are strongly excluded from the protein domain, rendering unlikely their direct binding to proteins. On the other hand, valine, not known as an osmolyte, had no stabilizing effect, although it induced a large protein-preferential hydration. A possible explanation is given for the use of these substances as osmotic-pressure-regulating agents in organisms living under high osmotic pressure.", "author" : [ { "dropping-particle" : "", "family" : "Arakawa", "given" : "T", "non-dropping-particle" : "", "parse-names" : false, "suffix" : "" }, { "dropping-particle" : "", "family" : "Timasheff", "given" : "S N", "non-dropping-particle" : "", "parse-names" : false, "suffix" : "" } ], "container-title" : "Biophysical Journal", "id" : "ITEM-1", "issued" : { "date-parts" : [ [ "1985", "3" ] ] }, "page" : "411-414", "title" : "The stabilization of proteins by osmolytes", "type" : "article-journal", "volume" : "47" }, "uris" : [ "http://www.mendeley.com/documents/?uuid=a1e19a58-b0d0-4a61-ada1-8d4bd546989a" ] } ], "mendeley" : { "formattedCitation" : "(Arakawa &amp; Timasheff 1985)", "plainTextFormattedCitation" : "(Arakawa &amp; Timasheff 1985)", "previouslyFormattedCitation" : "(Arakawa &amp; Timasheff 1985)"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(Arakawa &amp; Timasheff 1985)</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663228E2"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61E2297F" w14:textId="77777777" w:rsidR="0041345C" w:rsidRPr="00235AE3" w:rsidRDefault="0041345C"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Glycine</w:t>
            </w:r>
          </w:p>
        </w:tc>
        <w:tc>
          <w:tcPr>
            <w:tcW w:w="1276" w:type="dxa"/>
            <w:shd w:val="clear" w:color="auto" w:fill="auto"/>
            <w:noWrap/>
          </w:tcPr>
          <w:p w14:paraId="3C5ECFD1"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Lysozyme</w:t>
            </w:r>
          </w:p>
        </w:tc>
        <w:tc>
          <w:tcPr>
            <w:tcW w:w="992" w:type="dxa"/>
            <w:shd w:val="clear" w:color="auto" w:fill="auto"/>
            <w:noWrap/>
          </w:tcPr>
          <w:p w14:paraId="1C57673C"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5.8/6</w:t>
            </w:r>
          </w:p>
        </w:tc>
        <w:tc>
          <w:tcPr>
            <w:tcW w:w="1418" w:type="dxa"/>
            <w:shd w:val="clear" w:color="auto" w:fill="auto"/>
            <w:noWrap/>
          </w:tcPr>
          <w:p w14:paraId="60202842"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2000</w:t>
            </w:r>
          </w:p>
        </w:tc>
        <w:tc>
          <w:tcPr>
            <w:tcW w:w="1701" w:type="dxa"/>
            <w:shd w:val="clear" w:color="auto" w:fill="auto"/>
            <w:noWrap/>
          </w:tcPr>
          <w:p w14:paraId="4CB56669"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w:t>
            </w:r>
            <w:r>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citrate &amp; 55</w:t>
            </w:r>
            <w:r>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NaCl</w:t>
            </w:r>
          </w:p>
        </w:tc>
        <w:tc>
          <w:tcPr>
            <w:tcW w:w="709" w:type="dxa"/>
            <w:shd w:val="clear" w:color="auto" w:fill="auto"/>
            <w:noWrap/>
          </w:tcPr>
          <w:p w14:paraId="66269C57" w14:textId="77777777" w:rsidR="0041345C" w:rsidRPr="0041345C"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9</w:t>
            </w:r>
          </w:p>
        </w:tc>
        <w:tc>
          <w:tcPr>
            <w:tcW w:w="1382" w:type="dxa"/>
            <w:shd w:val="clear" w:color="auto" w:fill="auto"/>
            <w:noWrap/>
          </w:tcPr>
          <w:p w14:paraId="72489968"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054313">
              <w:rPr>
                <w:rFonts w:ascii="Calibri" w:eastAsia="Times New Roman" w:hAnsi="Calibri" w:cs="Times New Roman"/>
                <w:color w:val="000000"/>
                <w:sz w:val="20"/>
                <w:szCs w:val="20"/>
                <w:lang w:eastAsia="en-GB"/>
              </w:rPr>
              <w:instrText>ADDIN CSL_CITATION { "citationItems" : [ { "id" : "ITEM-1", "itemData" : { "ISSN" : "0006-2960", "PMID" : "1376620", "abstract" : "Organisms and cellular systems which have adapted to stresses such as high temperature, desiccation, and urea-concentrating environments have responded by concentrating particular organic solutes known as osmolytes. These osmolytes are believed to confer protection to enzyme and other macromolecular systems against such denaturing stresses. Differential scanning calorimetric (DSC) experiments were performed on ribonuclease A and hen egg white lysozyme in the presence of varying concentrations of the osmolytes glycine, sarcosine, N,N-dimethylglycine, and betaine. Solutions containing up to several molar concentrations of these solutes were found to result in considerable increases in the thermal unfolding transition temperature (Tm) for these proteins. DSC scans of ribonuclease A in the presence of up to 8.2 M sarcosine resulted in reversible two-state unfolding transitions with Tm increases of up to 22 degrees C and unfolding enthalpy changes which were independent of Tm. On the basis of the thermodynamic parameters observed, 8.2 M sarcosine results in a stabilization free energy increase of 7.2 kcal/mol for ribonuclease A at 65 degrees C. This translates into more than a 45,000-fold increase in stability of the native form of ribonuclease A over that in the absence of sarcosine at this temperature. Catalytic activity measurements in the presence of 4 M sarcosine give kcat and Km values that are largely unchanged from those in the absence of sarcosine. DSC of lysozyme unfolding in the presence of these osmolytes also results in Tm increases of up to 23 degrees C; however, significant irreversibly occurs with this protein.(ABSTRACT TRUNCATED AT 250 WORDS)", "author" : [ { "dropping-particle" : "", "family" : "Santoro", "given" : "M M", "non-dropping-particle" : "", "parse-names" : false, "suffix" : "" }, { "dropping-particle" : "", "family" : "Liu", "given" : "Y", "non-dropping-particle" : "", "parse-names" : false, "suffix" : "" }, { "dropping-particle" : "", "family" : "Khan", "given" : "S M A", "non-dropping-particle" : "", "parse-names" : false, "suffix" : "" }, { "dropping-particle" : "", "family" : "Hou", "given" : "L X", "non-dropping-particle" : "", "parse-names" : false, "suffix" : "" }, { "dropping-particle" : "", "family" : "Bolen", "given" : "D W", "non-dropping-particle" : "", "parse-names" : false, "suffix" : "" } ], "container-title" : "Biochemistry", "id" : "ITEM-1", "issued" : { "date-parts" : [ [ "1992", "6", "16" ] ] }, "page" : "5278-5283", "title" : "Increased thermal stability of proteins in the presence of naturally occurring osmolytes", "type" : "article-journal", "volume" : "31" }, "uris" : [ "http://www.mendeley.com/documents/?uuid=43f8c6ce-f911-44c3-88ac-ffd899b1fb4f" ] } ], "mendeley" : { "formattedCitation" : "(Santoro et al. 1992)", "plainTextFormattedCitation" : "(Santoro et al. 1992)", "previouslyFormattedCitation" : "(Santoro et al. 1992)"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(Santoro et al. 1992)</w:t>
            </w:r>
            <w:r>
              <w:rPr>
                <w:rFonts w:ascii="Calibri" w:eastAsia="Times New Roman" w:hAnsi="Calibri" w:cs="Times New Roman"/>
                <w:color w:val="000000"/>
                <w:sz w:val="20"/>
                <w:szCs w:val="20"/>
                <w:lang w:eastAsia="en-GB"/>
              </w:rPr>
              <w:fldChar w:fldCharType="end"/>
            </w:r>
          </w:p>
        </w:tc>
      </w:tr>
      <w:tr w:rsidR="00DC24F2" w:rsidRPr="00235AE3" w14:paraId="1E5EF77F"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2D575AEB" w14:textId="77777777" w:rsidR="0041345C" w:rsidRPr="00235AE3" w:rsidRDefault="0041345C"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Glycine</w:t>
            </w:r>
          </w:p>
        </w:tc>
        <w:tc>
          <w:tcPr>
            <w:tcW w:w="1276" w:type="dxa"/>
            <w:shd w:val="clear" w:color="auto" w:fill="auto"/>
            <w:noWrap/>
          </w:tcPr>
          <w:p w14:paraId="0B47A3AB" w14:textId="77777777" w:rsidR="0041345C" w:rsidRPr="00235AE3" w:rsidRDefault="00816A08"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41345C" w:rsidRPr="00235AE3">
              <w:rPr>
                <w:rFonts w:ascii="Calibri" w:eastAsia="Times New Roman" w:hAnsi="Calibri" w:cs="Times New Roman"/>
                <w:color w:val="000000"/>
                <w:sz w:val="20"/>
                <w:szCs w:val="20"/>
                <w:lang w:eastAsia="en-GB"/>
              </w:rPr>
              <w:t>ase A</w:t>
            </w:r>
          </w:p>
        </w:tc>
        <w:tc>
          <w:tcPr>
            <w:tcW w:w="992" w:type="dxa"/>
            <w:shd w:val="clear" w:color="auto" w:fill="auto"/>
            <w:noWrap/>
          </w:tcPr>
          <w:p w14:paraId="565E96BC"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4.2</w:t>
            </w:r>
          </w:p>
        </w:tc>
        <w:tc>
          <w:tcPr>
            <w:tcW w:w="1418" w:type="dxa"/>
            <w:shd w:val="clear" w:color="auto" w:fill="auto"/>
            <w:noWrap/>
          </w:tcPr>
          <w:p w14:paraId="05C98C4F"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2000</w:t>
            </w:r>
          </w:p>
        </w:tc>
        <w:tc>
          <w:tcPr>
            <w:tcW w:w="1701" w:type="dxa"/>
            <w:shd w:val="clear" w:color="auto" w:fill="auto"/>
            <w:noWrap/>
          </w:tcPr>
          <w:p w14:paraId="2018564B" w14:textId="77777777" w:rsidR="0041345C" w:rsidRPr="00235AE3" w:rsidRDefault="00374721" w:rsidP="003747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40 mM acetate</w:t>
            </w:r>
          </w:p>
        </w:tc>
        <w:tc>
          <w:tcPr>
            <w:tcW w:w="709" w:type="dxa"/>
            <w:shd w:val="clear" w:color="auto" w:fill="auto"/>
            <w:noWrap/>
          </w:tcPr>
          <w:p w14:paraId="60B3396F" w14:textId="77777777" w:rsidR="0041345C" w:rsidRPr="0041345C"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5.5</w:t>
            </w:r>
          </w:p>
        </w:tc>
        <w:tc>
          <w:tcPr>
            <w:tcW w:w="1382" w:type="dxa"/>
            <w:shd w:val="clear" w:color="auto" w:fill="auto"/>
            <w:noWrap/>
          </w:tcPr>
          <w:p w14:paraId="56AF4E62"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"10.1016/j.bpc.2013.10.004", "ISBN" : "1873-4200 (Electronic)\\r0301-4622 (Linking)", "ISSN" : "03014622", "PMID" : "24292629", "abstract" : "Thermal unfolding of ribonuclease A (RNase) was analyzed in various osmolyte solutions of glycine, proline, sarcosine, N,N-dimethylglycine, betaine, myo-inositol, taurine, and trimethylamine-N-oxide (TMAO). All the osmolytes tested stabilized the protein. The thermal unfolding curve was described well by the van't Hoff equation and the melting temperature and the enthalpy of protein unfolding were obtained. The Wyman-Tanford equation, which describes the unfolded-to-folded protein ratio as a function of water activity, was successfully applied to obtain a linear plot. In consideration of this experimentally obtained linearity, the Wyman-Tanford plot could be integrated to calculate the stabilization free energy of the protein (??????? ???????G) in the solution. The ??????????? ???G was proved to be described by the property of the microstructure around the protein surface, which is composed of the protein hydration, the cosolute-binding, and the preferential exclusion, and the property of the bulk solution; water activity. The m-values of osmolytes for protein unfolding were obtained from ??????????????G calculated. Among the osmolytes tested, myo-inositol showed the highest m-value. ?? 2013 Elsevier Ltd. All rights reserved.", "author" : [ { "dropping-particle" : "", "family" : "Miyawaki", "given" : "O", "non-dropping-particle" : "", "parse-names" : false, "suffix" : "" }, { "dropping-particle" : "", "family" : "Dozen", "given" : "M", "non-dropping-particle" : "", "parse-names" : false, "suffix" : "" }, { "dropping-particle" : "", "family" : "Nomura", "given" : "K", "non-dropping-particle" : "", "parse-names" : false, "suffix" : "" } ], "container-title" : "Biophysical Chemistry", "id" : "ITEM-1", "issued" : { "date-parts" : [ [ "2014" ] ] }, "page" : "19-24", "publisher" : "Elsevier B.V.", "title" : "Thermodynamic analysis of osmolyte effect on thermal stability of ribonuclease A in terms of water activity", "type" : "article-journal", "volume" : "185" }, "uris" : [ "http://www.mendeley.com/documents/?uuid=7914a675-1b34-43aa-92ca-51687220293e" ] } ], "mendeley" : { "formattedCitation" : "(Miyawaki et al. 2014)", "plainTextFormattedCitation" : "(Miyawaki et al. 2014)", "previouslyFormattedCitation" : "(Miyawaki et al. 2014)"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(Miyawaki et al. 2014)</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7E078755"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3C497A36" w14:textId="77777777" w:rsidR="0041345C" w:rsidRPr="00235AE3" w:rsidRDefault="0041345C"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Glycine</w:t>
            </w:r>
          </w:p>
        </w:tc>
        <w:tc>
          <w:tcPr>
            <w:tcW w:w="1276" w:type="dxa"/>
            <w:shd w:val="clear" w:color="auto" w:fill="auto"/>
            <w:noWrap/>
          </w:tcPr>
          <w:p w14:paraId="69E2307F" w14:textId="77777777" w:rsidR="0041345C" w:rsidRPr="00235AE3" w:rsidRDefault="00816A08"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41345C" w:rsidRPr="00235AE3">
              <w:rPr>
                <w:rFonts w:ascii="Calibri" w:eastAsia="Times New Roman" w:hAnsi="Calibri" w:cs="Times New Roman"/>
                <w:color w:val="000000"/>
                <w:sz w:val="20"/>
                <w:szCs w:val="20"/>
                <w:lang w:eastAsia="en-GB"/>
              </w:rPr>
              <w:t>ase A</w:t>
            </w:r>
          </w:p>
        </w:tc>
        <w:tc>
          <w:tcPr>
            <w:tcW w:w="992" w:type="dxa"/>
            <w:shd w:val="clear" w:color="auto" w:fill="auto"/>
            <w:noWrap/>
          </w:tcPr>
          <w:p w14:paraId="256B71E6"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5.5</w:t>
            </w:r>
          </w:p>
        </w:tc>
        <w:tc>
          <w:tcPr>
            <w:tcW w:w="1418" w:type="dxa"/>
            <w:shd w:val="clear" w:color="auto" w:fill="auto"/>
            <w:noWrap/>
          </w:tcPr>
          <w:p w14:paraId="25FD3E67"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2000</w:t>
            </w:r>
          </w:p>
        </w:tc>
        <w:tc>
          <w:tcPr>
            <w:tcW w:w="1701" w:type="dxa"/>
            <w:shd w:val="clear" w:color="auto" w:fill="auto"/>
            <w:noWrap/>
          </w:tcPr>
          <w:p w14:paraId="7F4FB195" w14:textId="77777777" w:rsidR="0041345C" w:rsidRPr="00235AE3" w:rsidRDefault="00374721" w:rsidP="003747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40 mM acetate</w:t>
            </w:r>
          </w:p>
        </w:tc>
        <w:tc>
          <w:tcPr>
            <w:tcW w:w="709" w:type="dxa"/>
            <w:shd w:val="clear" w:color="auto" w:fill="auto"/>
            <w:noWrap/>
          </w:tcPr>
          <w:p w14:paraId="2F5C9BDD" w14:textId="77777777" w:rsidR="0041345C" w:rsidRPr="0041345C"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7.2</w:t>
            </w:r>
          </w:p>
        </w:tc>
        <w:tc>
          <w:tcPr>
            <w:tcW w:w="1382" w:type="dxa"/>
            <w:shd w:val="clear" w:color="auto" w:fill="auto"/>
            <w:noWrap/>
          </w:tcPr>
          <w:p w14:paraId="0ED43525"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"10.1016/j.bpc.2013.10.004", "ISBN" : "1873-4200 (Electronic)\\r0301-4622 (Linking)", "ISSN" : "03014622", "PMID" : "24292629", "abstract" : "Thermal unfolding of ribonuclease A (RNase) was analyzed in various osmolyte solutions of glycine, proline, sarcosine, N,N-dimethylglycine, betaine, myo-inositol, taurine, and trimethylamine-N-oxide (TMAO). All the osmolytes tested stabilized the protein. The thermal unfolding curve was described well by the van't Hoff equation and the melting temperature and the enthalpy of protein unfolding were obtained. The Wyman-Tanford equation, which describes the unfolded-to-folded protein ratio as a function of water activity, was successfully applied to obtain a linear plot. In consideration of this experimentally obtained linearity, the Wyman-Tanford plot could be integrated to calculate the stabilization free energy of the protein (??????? ???????G) in the solution. The ??????????? ???G was proved to be described by the property of the microstructure around the protein surface, which is composed of the protein hydration, the cosolute-binding, and the preferential exclusion, and the property of the bulk solution; water activity. The m-values of osmolytes for protein unfolding were obtained from ??????????????G calculated. Among the osmolytes tested, myo-inositol showed the highest m-value. ?? 2013 Elsevier Ltd. All rights reserved.", "author" : [ { "dropping-particle" : "", "family" : "Miyawaki", "given" : "O", "non-dropping-particle" : "", "parse-names" : false, "suffix" : "" }, { "dropping-particle" : "", "family" : "Dozen", "given" : "M", "non-dropping-particle" : "", "parse-names" : false, "suffix" : "" }, { "dropping-particle" : "", "family" : "Nomura", "given" : "K", "non-dropping-particle" : "", "parse-names" : false, "suffix" : "" } ], "container-title" : "Biophysical Chemistry", "id" : "ITEM-1", "issued" : { "date-parts" : [ [ "2014" ] ] }, "page" : "19-24", "publisher" : "Elsevier B.V.", "title" : "Thermodynamic analysis of osmolyte effect on thermal stability of ribonuclease A in terms of water activity", "type" : "article-journal", "volume" : "185" }, "uris" : [ "http://www.mendeley.com/documents/?uuid=7914a675-1b34-43aa-92ca-51687220293e" ] } ], "mendeley" : { "formattedCitation" : "(Miyawaki et al. 2014)", "plainTextFormattedCitation" : "(Miyawaki et al. 2014)", "previouslyFormattedCitation" : "(Miyawaki et al. 2014)"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(Miyawaki et al. 2014)</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565AB34E"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01DFBF3E" w14:textId="77777777" w:rsidR="0041345C" w:rsidRPr="00235AE3" w:rsidRDefault="0041345C"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lastRenderedPageBreak/>
              <w:t>Glycine</w:t>
            </w:r>
          </w:p>
        </w:tc>
        <w:tc>
          <w:tcPr>
            <w:tcW w:w="1276" w:type="dxa"/>
            <w:shd w:val="clear" w:color="auto" w:fill="auto"/>
            <w:noWrap/>
          </w:tcPr>
          <w:p w14:paraId="7FB86EA2" w14:textId="77777777" w:rsidR="0041345C" w:rsidRPr="00235AE3" w:rsidRDefault="00816A08"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41345C" w:rsidRPr="00235AE3">
              <w:rPr>
                <w:rFonts w:ascii="Calibri" w:eastAsia="Times New Roman" w:hAnsi="Calibri" w:cs="Times New Roman"/>
                <w:color w:val="000000"/>
                <w:sz w:val="20"/>
                <w:szCs w:val="20"/>
                <w:lang w:eastAsia="en-GB"/>
              </w:rPr>
              <w:t>ase A</w:t>
            </w:r>
          </w:p>
        </w:tc>
        <w:tc>
          <w:tcPr>
            <w:tcW w:w="992" w:type="dxa"/>
            <w:shd w:val="clear" w:color="auto" w:fill="auto"/>
            <w:noWrap/>
          </w:tcPr>
          <w:p w14:paraId="61793723"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6.7</w:t>
            </w:r>
          </w:p>
        </w:tc>
        <w:tc>
          <w:tcPr>
            <w:tcW w:w="1418" w:type="dxa"/>
            <w:shd w:val="clear" w:color="auto" w:fill="auto"/>
            <w:noWrap/>
          </w:tcPr>
          <w:p w14:paraId="0245150E"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200</w:t>
            </w:r>
          </w:p>
        </w:tc>
        <w:tc>
          <w:tcPr>
            <w:tcW w:w="1701" w:type="dxa"/>
            <w:shd w:val="clear" w:color="auto" w:fill="auto"/>
            <w:noWrap/>
          </w:tcPr>
          <w:p w14:paraId="2F457DAC" w14:textId="77777777" w:rsidR="0041345C" w:rsidRPr="00E3274E" w:rsidRDefault="0041345C" w:rsidP="003747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de-DE" w:eastAsia="en-GB"/>
              </w:rPr>
            </w:pPr>
            <w:r w:rsidRPr="00E3274E">
              <w:rPr>
                <w:rFonts w:ascii="Calibri" w:eastAsia="Times New Roman" w:hAnsi="Calibri" w:cs="Times New Roman"/>
                <w:color w:val="000000"/>
                <w:sz w:val="20"/>
                <w:szCs w:val="20"/>
                <w:lang w:val="de-DE" w:eastAsia="en-GB"/>
              </w:rPr>
              <w:t xml:space="preserve">25 mM potassium phosphate, </w:t>
            </w:r>
            <w:r w:rsidR="00374721" w:rsidRPr="00E3274E">
              <w:rPr>
                <w:rFonts w:ascii="Calibri" w:eastAsia="Times New Roman" w:hAnsi="Calibri" w:cs="Times New Roman"/>
                <w:color w:val="000000"/>
                <w:sz w:val="20"/>
                <w:szCs w:val="20"/>
                <w:lang w:val="de-DE" w:eastAsia="en-GB"/>
              </w:rPr>
              <w:t>150 mM</w:t>
            </w:r>
            <w:r w:rsidRPr="00E3274E">
              <w:rPr>
                <w:rFonts w:ascii="Calibri" w:eastAsia="Times New Roman" w:hAnsi="Calibri" w:cs="Times New Roman"/>
                <w:color w:val="000000"/>
                <w:sz w:val="20"/>
                <w:szCs w:val="20"/>
                <w:lang w:val="de-DE" w:eastAsia="en-GB"/>
              </w:rPr>
              <w:t xml:space="preserve"> KCl</w:t>
            </w:r>
          </w:p>
        </w:tc>
        <w:tc>
          <w:tcPr>
            <w:tcW w:w="709" w:type="dxa"/>
            <w:shd w:val="clear" w:color="auto" w:fill="auto"/>
            <w:noWrap/>
          </w:tcPr>
          <w:p w14:paraId="17F3032F" w14:textId="77777777" w:rsidR="0041345C" w:rsidRPr="0041345C"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0.6</w:t>
            </w:r>
          </w:p>
        </w:tc>
        <w:tc>
          <w:tcPr>
            <w:tcW w:w="1382" w:type="dxa"/>
            <w:shd w:val="clear" w:color="auto" w:fill="auto"/>
            <w:noWrap/>
          </w:tcPr>
          <w:p w14:paraId="60CDE86E"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"10.1002/jez.1402080202", "ISSN" : "0022-104X", "PMID" : "469480", "abstract" : "The major nitrogenous osmolytes present in the cells of marine invertebrates, notably the free amino acids glycine, alanine and proline, and trimethylamine oxide and betaine, are highly compatible with proper enzyme function and structure. These nitrogenous osmolytes display either non-perturbing or, in some cases, favorable effects on enzyme-substrate and enzyme-cofactor complex formation, catalytic velocity and protein structural stability. In contrast, inorganic salts (KCl and NaCl) and certain of the free amino acids which play only a minor osmotic role, e.g., arginine and lysine, have strongly perturbing effects on one or more of these enzymic parameters. The compatible nitrogenous solutes therefore are suitable for use at high (several tenths molar) concentrations and at widely varying concentrations in osmo-conforming species. Certain nitrogenous solutes, especially trimethylamine oxide, betaine and glutamate, offset some of the perturbing effects of inorganic ions on enzyme function. The selective accumulation of osmolytes thus involves not only the concentration of non-perturbing solutes, but also a balanced accumulation of solutes with opposing effects on enzymes. The selection of end-products of anaerobic metabolism also appears to be based, in part, on considerations of solute compatibility with enzyme function. Octopine is a non-perturbing solute, whereas arginine, which is condensed with pyruvate to form octopine, is very strongly perturbing. Succinate has marked stabilizing effects on protein structure. We conclude that the composition of the intracellular fluids of marine invertebrates reflects selection for osmolytes and end-products whose net effects create a cellular microenvironment which is conducive to optimal enzyme function and structure. The accumulation of compatible solutes may preclude the necessity for widespread changes in protein structure in adapting to concentrated or highly variable osmotic environments.", "author" : [ { "dropping-particle" : "", "family" : "Bowlus", "given" : "R D", "non-dropping-particle" : "", "parse-names" : false, "suffix" : "" }, { "dropping-particle" : "", "family" : "Somero", "given" : "G N", "non-dropping-particle" : "", "parse-names" : false, "suffix" : "" } ], "container-title" : "Journal of Experimental Zoology", "id" : "ITEM-1", "issued" : { "date-parts" : [ [ "1979" ] ] }, "page" : "137-151", "title" : "Solute compatibility with enzyme function and structure: rationales for the selection of osmotic agents and end-products of anaerobic metabolism in marine invertebrates", "type" : "article-journal", "volume" : "208" }, "uris" : [ "http://www.mendeley.com/documents/?uuid=7dde3bd3-612c-4dc0-b5b3-9e57c8eb9a26" ] } ], "mendeley" : { "formattedCitation" : "(Bowlus &amp; Somero 1979)", "plainTextFormattedCitation" : "(Bowlus &amp; Somero 1979)", "previouslyFormattedCitation" : "(Bowlus &amp; Somero 1979)"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(Bowlus &amp; Somero 1979)</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31979A54"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709D8E06" w14:textId="77777777" w:rsidR="0041345C" w:rsidRPr="00235AE3" w:rsidRDefault="0041345C"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Glycine</w:t>
            </w:r>
          </w:p>
        </w:tc>
        <w:tc>
          <w:tcPr>
            <w:tcW w:w="1276" w:type="dxa"/>
            <w:shd w:val="clear" w:color="auto" w:fill="auto"/>
            <w:noWrap/>
          </w:tcPr>
          <w:p w14:paraId="675E8273" w14:textId="77777777" w:rsidR="0041345C" w:rsidRPr="00235AE3" w:rsidRDefault="00816A08"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41345C" w:rsidRPr="00235AE3">
              <w:rPr>
                <w:rFonts w:ascii="Calibri" w:eastAsia="Times New Roman" w:hAnsi="Calibri" w:cs="Times New Roman"/>
                <w:color w:val="000000"/>
                <w:sz w:val="20"/>
                <w:szCs w:val="20"/>
                <w:lang w:eastAsia="en-GB"/>
              </w:rPr>
              <w:t>ase A</w:t>
            </w:r>
          </w:p>
        </w:tc>
        <w:tc>
          <w:tcPr>
            <w:tcW w:w="992" w:type="dxa"/>
            <w:shd w:val="clear" w:color="auto" w:fill="auto"/>
            <w:noWrap/>
          </w:tcPr>
          <w:p w14:paraId="2FBF62CD"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6.7</w:t>
            </w:r>
          </w:p>
        </w:tc>
        <w:tc>
          <w:tcPr>
            <w:tcW w:w="1418" w:type="dxa"/>
            <w:shd w:val="clear" w:color="auto" w:fill="auto"/>
            <w:noWrap/>
          </w:tcPr>
          <w:p w14:paraId="5C3E10F6"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1000</w:t>
            </w:r>
          </w:p>
        </w:tc>
        <w:tc>
          <w:tcPr>
            <w:tcW w:w="1701" w:type="dxa"/>
            <w:shd w:val="clear" w:color="auto" w:fill="auto"/>
            <w:noWrap/>
          </w:tcPr>
          <w:p w14:paraId="541D99F0" w14:textId="77777777" w:rsidR="0041345C" w:rsidRPr="007F0FF0" w:rsidRDefault="0041345C" w:rsidP="003747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de-DE" w:eastAsia="en-GB"/>
              </w:rPr>
            </w:pPr>
            <w:r w:rsidRPr="007F0FF0">
              <w:rPr>
                <w:rFonts w:ascii="Calibri" w:eastAsia="Times New Roman" w:hAnsi="Calibri" w:cs="Times New Roman"/>
                <w:color w:val="000000"/>
                <w:sz w:val="20"/>
                <w:szCs w:val="20"/>
                <w:lang w:val="de-DE" w:eastAsia="en-GB"/>
              </w:rPr>
              <w:t xml:space="preserve">25 mM potassium phosphate, </w:t>
            </w:r>
            <w:r w:rsidR="00374721" w:rsidRPr="007F0FF0">
              <w:rPr>
                <w:rFonts w:ascii="Calibri" w:eastAsia="Times New Roman" w:hAnsi="Calibri" w:cs="Times New Roman"/>
                <w:color w:val="000000"/>
                <w:sz w:val="20"/>
                <w:szCs w:val="20"/>
                <w:lang w:val="de-DE" w:eastAsia="en-GB"/>
              </w:rPr>
              <w:t>150 m</w:t>
            </w:r>
            <w:r w:rsidRPr="007F0FF0">
              <w:rPr>
                <w:rFonts w:ascii="Calibri" w:eastAsia="Times New Roman" w:hAnsi="Calibri" w:cs="Times New Roman"/>
                <w:color w:val="000000"/>
                <w:sz w:val="20"/>
                <w:szCs w:val="20"/>
                <w:lang w:val="de-DE" w:eastAsia="en-GB"/>
              </w:rPr>
              <w:t>M KCl</w:t>
            </w:r>
          </w:p>
        </w:tc>
        <w:tc>
          <w:tcPr>
            <w:tcW w:w="709" w:type="dxa"/>
            <w:shd w:val="clear" w:color="auto" w:fill="auto"/>
            <w:noWrap/>
          </w:tcPr>
          <w:p w14:paraId="0EA76D99" w14:textId="77777777" w:rsidR="0041345C" w:rsidRPr="0041345C"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3.9</w:t>
            </w:r>
          </w:p>
        </w:tc>
        <w:tc>
          <w:tcPr>
            <w:tcW w:w="1382" w:type="dxa"/>
            <w:shd w:val="clear" w:color="auto" w:fill="auto"/>
            <w:noWrap/>
          </w:tcPr>
          <w:p w14:paraId="48243F27"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"10.1002/jez.1402080202", "ISSN" : "0022-104X", "PMID" : "469480", "abstract" : "The major nitrogenous osmolytes present in the cells of marine invertebrates, notably the free amino acids glycine, alanine and proline, and trimethylamine oxide and betaine, are highly compatible with proper enzyme function and structure. These nitrogenous osmolytes display either non-perturbing or, in some cases, favorable effects on enzyme-substrate and enzyme-cofactor complex formation, catalytic velocity and protein structural stability. In contrast, inorganic salts (KCl and NaCl) and certain of the free amino acids which play only a minor osmotic role, e.g., arginine and lysine, have strongly perturbing effects on one or more of these enzymic parameters. The compatible nitrogenous solutes therefore are suitable for use at high (several tenths molar) concentrations and at widely varying concentrations in osmo-conforming species. Certain nitrogenous solutes, especially trimethylamine oxide, betaine and glutamate, offset some of the perturbing effects of inorganic ions on enzyme function. The selective accumulation of osmolytes thus involves not only the concentration of non-perturbing solutes, but also a balanced accumulation of solutes with opposing effects on enzymes. The selection of end-products of anaerobic metabolism also appears to be based, in part, on considerations of solute compatibility with enzyme function. Octopine is a non-perturbing solute, whereas arginine, which is condensed with pyruvate to form octopine, is very strongly perturbing. Succinate has marked stabilizing effects on protein structure. We conclude that the composition of the intracellular fluids of marine invertebrates reflects selection for osmolytes and end-products whose net effects create a cellular microenvironment which is conducive to optimal enzyme function and structure. The accumulation of compatible solutes may preclude the necessity for widespread changes in protein structure in adapting to concentrated or highly variable osmotic environments.", "author" : [ { "dropping-particle" : "", "family" : "Bowlus", "given" : "R D", "non-dropping-particle" : "", "parse-names" : false, "suffix" : "" }, { "dropping-particle" : "", "family" : "Somero", "given" : "G N", "non-dropping-particle" : "", "parse-names" : false, "suffix" : "" } ], "container-title" : "Journal of Experimental Zoology", "id" : "ITEM-1", "issued" : { "date-parts" : [ [ "1979" ] ] }, "page" : "137-151", "title" : "Solute compatibility with enzyme function and structure: rationales for the selection of osmotic agents and end-products of anaerobic metabolism in marine invertebrates", "type" : "article-journal", "volume" : "208" }, "uris" : [ "http://www.mendeley.com/documents/?uuid=7dde3bd3-612c-4dc0-b5b3-9e57c8eb9a26" ] } ], "mendeley" : { "formattedCitation" : "(Bowlus &amp; Somero 1979)", "plainTextFormattedCitation" : "(Bowlus &amp; Somero 1979)", "previouslyFormattedCitation" : "(Bowlus &amp; Somero 1979)"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(Bowlus &amp; Somero 1979)</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58329D91"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20085638" w14:textId="77777777" w:rsidR="0041345C" w:rsidRPr="00235AE3" w:rsidRDefault="0041345C"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Glycine</w:t>
            </w:r>
          </w:p>
        </w:tc>
        <w:tc>
          <w:tcPr>
            <w:tcW w:w="1276" w:type="dxa"/>
            <w:shd w:val="clear" w:color="auto" w:fill="auto"/>
            <w:noWrap/>
          </w:tcPr>
          <w:p w14:paraId="7AE063AE" w14:textId="77777777" w:rsidR="0041345C" w:rsidRPr="00235AE3" w:rsidRDefault="00816A08"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41345C" w:rsidRPr="00235AE3">
              <w:rPr>
                <w:rFonts w:ascii="Calibri" w:eastAsia="Times New Roman" w:hAnsi="Calibri" w:cs="Times New Roman"/>
                <w:color w:val="000000"/>
                <w:sz w:val="20"/>
                <w:szCs w:val="20"/>
                <w:lang w:eastAsia="en-GB"/>
              </w:rPr>
              <w:t>ase A</w:t>
            </w:r>
          </w:p>
        </w:tc>
        <w:tc>
          <w:tcPr>
            <w:tcW w:w="992" w:type="dxa"/>
            <w:shd w:val="clear" w:color="auto" w:fill="auto"/>
            <w:noWrap/>
          </w:tcPr>
          <w:p w14:paraId="0D5CF30A"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5.8/6</w:t>
            </w:r>
          </w:p>
        </w:tc>
        <w:tc>
          <w:tcPr>
            <w:tcW w:w="1418" w:type="dxa"/>
            <w:shd w:val="clear" w:color="auto" w:fill="auto"/>
            <w:noWrap/>
          </w:tcPr>
          <w:p w14:paraId="41E47E9B"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2000</w:t>
            </w:r>
          </w:p>
        </w:tc>
        <w:tc>
          <w:tcPr>
            <w:tcW w:w="1701" w:type="dxa"/>
            <w:shd w:val="clear" w:color="auto" w:fill="auto"/>
            <w:noWrap/>
          </w:tcPr>
          <w:p w14:paraId="75D9CE15"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w:t>
            </w:r>
            <w:r>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citrate &amp; 55</w:t>
            </w:r>
            <w:r>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NaCl</w:t>
            </w:r>
          </w:p>
        </w:tc>
        <w:tc>
          <w:tcPr>
            <w:tcW w:w="709" w:type="dxa"/>
            <w:shd w:val="clear" w:color="auto" w:fill="auto"/>
            <w:noWrap/>
          </w:tcPr>
          <w:p w14:paraId="3FC3EA4C" w14:textId="77777777" w:rsidR="0041345C" w:rsidRPr="0041345C"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8</w:t>
            </w:r>
          </w:p>
        </w:tc>
        <w:tc>
          <w:tcPr>
            <w:tcW w:w="1382" w:type="dxa"/>
            <w:shd w:val="clear" w:color="auto" w:fill="auto"/>
            <w:noWrap/>
          </w:tcPr>
          <w:p w14:paraId="5A004A63"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054313">
              <w:rPr>
                <w:rFonts w:ascii="Calibri" w:eastAsia="Times New Roman" w:hAnsi="Calibri" w:cs="Times New Roman"/>
                <w:color w:val="000000"/>
                <w:sz w:val="20"/>
                <w:szCs w:val="20"/>
                <w:lang w:eastAsia="en-GB"/>
              </w:rPr>
              <w:instrText>ADDIN CSL_CITATION { "citationItems" : [ { "id" : "ITEM-1", "itemData" : { "ISSN" : "0006-2960", "PMID" : "1376620", "abstract" : "Organisms and cellular systems which have adapted to stresses such as high temperature, desiccation, and urea-concentrating environments have responded by concentrating particular organic solutes known as osmolytes. These osmolytes are believed to confer protection to enzyme and other macromolecular systems against such denaturing stresses. Differential scanning calorimetric (DSC) experiments were performed on ribonuclease A and hen egg white lysozyme in the presence of varying concentrations of the osmolytes glycine, sarcosine, N,N-dimethylglycine, and betaine. Solutions containing up to several molar concentrations of these solutes were found to result in considerable increases in the thermal unfolding transition temperature (Tm) for these proteins. DSC scans of ribonuclease A in the presence of up to 8.2 M sarcosine resulted in reversible two-state unfolding transitions with Tm increases of up to 22 degrees C and unfolding enthalpy changes which were independent of Tm. On the basis of the thermodynamic parameters observed, 8.2 M sarcosine results in a stabilization free energy increase of 7.2 kcal/mol for ribonuclease A at 65 degrees C. This translates into more than a 45,000-fold increase in stability of the native form of ribonuclease A over that in the absence of sarcosine at this temperature. Catalytic activity measurements in the presence of 4 M sarcosine give kcat and Km values that are largely unchanged from those in the absence of sarcosine. DSC of lysozyme unfolding in the presence of these osmolytes also results in Tm increases of up to 23 degrees C; however, significant irreversibly occurs with this protein.(ABSTRACT TRUNCATED AT 250 WORDS)", "author" : [ { "dropping-particle" : "", "family" : "Santoro", "given" : "M M", "non-dropping-particle" : "", "parse-names" : false, "suffix" : "" }, { "dropping-particle" : "", "family" : "Liu", "given" : "Y", "non-dropping-particle" : "", "parse-names" : false, "suffix" : "" }, { "dropping-particle" : "", "family" : "Khan", "given" : "S M A", "non-dropping-particle" : "", "parse-names" : false, "suffix" : "" }, { "dropping-particle" : "", "family" : "Hou", "given" : "L X", "non-dropping-particle" : "", "parse-names" : false, "suffix" : "" }, { "dropping-particle" : "", "family" : "Bolen", "given" : "D W", "non-dropping-particle" : "", "parse-names" : false, "suffix" : "" } ], "container-title" : "Biochemistry", "id" : "ITEM-1", "issued" : { "date-parts" : [ [ "1992", "6", "16" ] ] }, "page" : "5278-5283", "title" : "Increased thermal stability of proteins in the presence of naturally occurring osmolytes", "type" : "article-journal", "volume" : "31" }, "uris" : [ "http://www.mendeley.com/documents/?uuid=43f8c6ce-f911-44c3-88ac-ffd899b1fb4f" ] } ], "mendeley" : { "formattedCitation" : "(Santoro et al. 1992)", "plainTextFormattedCitation" : "(Santoro et al. 1992)", "previouslyFormattedCitation" : "(Santoro et al. 1992)"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(Santoro et al. 1992)</w:t>
            </w:r>
            <w:r>
              <w:rPr>
                <w:rFonts w:ascii="Calibri" w:eastAsia="Times New Roman" w:hAnsi="Calibri" w:cs="Times New Roman"/>
                <w:color w:val="000000"/>
                <w:sz w:val="20"/>
                <w:szCs w:val="20"/>
                <w:lang w:eastAsia="en-GB"/>
              </w:rPr>
              <w:fldChar w:fldCharType="end"/>
            </w:r>
          </w:p>
        </w:tc>
      </w:tr>
      <w:tr w:rsidR="00DC24F2" w:rsidRPr="00235AE3" w14:paraId="12BE7F01"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28D3A935" w14:textId="77777777" w:rsidR="0041345C" w:rsidRPr="00235AE3" w:rsidRDefault="0041345C"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Histidine</w:t>
            </w:r>
          </w:p>
        </w:tc>
        <w:tc>
          <w:tcPr>
            <w:tcW w:w="1276" w:type="dxa"/>
            <w:shd w:val="clear" w:color="auto" w:fill="auto"/>
            <w:noWrap/>
          </w:tcPr>
          <w:p w14:paraId="5B0F0E73"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Cytochrome c</w:t>
            </w:r>
          </w:p>
        </w:tc>
        <w:tc>
          <w:tcPr>
            <w:tcW w:w="992" w:type="dxa"/>
            <w:shd w:val="clear" w:color="auto" w:fill="auto"/>
            <w:noWrap/>
          </w:tcPr>
          <w:p w14:paraId="6BAA3475"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3</w:t>
            </w:r>
          </w:p>
        </w:tc>
        <w:tc>
          <w:tcPr>
            <w:tcW w:w="1418" w:type="dxa"/>
            <w:shd w:val="clear" w:color="auto" w:fill="auto"/>
            <w:noWrap/>
          </w:tcPr>
          <w:p w14:paraId="7BAB4ECE"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170</w:t>
            </w:r>
          </w:p>
        </w:tc>
        <w:tc>
          <w:tcPr>
            <w:tcW w:w="1701" w:type="dxa"/>
            <w:shd w:val="clear" w:color="auto" w:fill="auto"/>
            <w:noWrap/>
          </w:tcPr>
          <w:p w14:paraId="75FB4106" w14:textId="77777777" w:rsidR="0041345C" w:rsidRPr="00235AE3" w:rsidRDefault="00374721" w:rsidP="003747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50 mM</w:t>
            </w:r>
            <w:r w:rsidR="0041345C" w:rsidRPr="00235AE3">
              <w:rPr>
                <w:rFonts w:ascii="Calibri" w:eastAsia="Times New Roman" w:hAnsi="Calibri" w:cs="Times New Roman"/>
                <w:color w:val="000000"/>
                <w:sz w:val="20"/>
                <w:szCs w:val="20"/>
                <w:lang w:eastAsia="en-GB"/>
              </w:rPr>
              <w:t xml:space="preserve"> citrate &amp; </w:t>
            </w:r>
            <w:r>
              <w:rPr>
                <w:rFonts w:ascii="Calibri" w:eastAsia="Times New Roman" w:hAnsi="Calibri" w:cs="Times New Roman"/>
                <w:color w:val="000000"/>
                <w:sz w:val="20"/>
                <w:szCs w:val="20"/>
                <w:lang w:eastAsia="en-GB"/>
              </w:rPr>
              <w:t xml:space="preserve">100 mM </w:t>
            </w:r>
            <w:r w:rsidR="0041345C" w:rsidRPr="00235AE3">
              <w:rPr>
                <w:rFonts w:ascii="Calibri" w:eastAsia="Times New Roman" w:hAnsi="Calibri" w:cs="Times New Roman"/>
                <w:color w:val="000000"/>
                <w:sz w:val="20"/>
                <w:szCs w:val="20"/>
                <w:lang w:eastAsia="en-GB"/>
              </w:rPr>
              <w:t>KCl</w:t>
            </w:r>
          </w:p>
        </w:tc>
        <w:tc>
          <w:tcPr>
            <w:tcW w:w="709" w:type="dxa"/>
            <w:shd w:val="clear" w:color="auto" w:fill="auto"/>
            <w:noWrap/>
          </w:tcPr>
          <w:p w14:paraId="42FA7DB0" w14:textId="77777777" w:rsidR="0041345C" w:rsidRPr="0041345C"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-2</w:t>
            </w:r>
          </w:p>
        </w:tc>
        <w:tc>
          <w:tcPr>
            <w:tcW w:w="1382" w:type="dxa"/>
            <w:shd w:val="clear" w:color="auto" w:fill="auto"/>
            <w:noWrap/>
          </w:tcPr>
          <w:p w14:paraId="1EB4A22E"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054313">
              <w:rPr>
                <w:rFonts w:ascii="Calibri" w:eastAsia="Times New Roman" w:hAnsi="Calibri" w:cs="Times New Roman"/>
                <w:color w:val="000000"/>
                <w:sz w:val="20"/>
                <w:szCs w:val="20"/>
                <w:lang w:eastAsia="en-GB"/>
              </w:rPr>
              <w:instrText>ADDIN CSL_CITATION { "citationItems" : [ { "id" : "ITEM-1", "itemData" : { "ISSN" : "0264-6021", "PMID" : "7945233", "abstract" : "This study is a systematic attempt to understand the roles of osmolytes in protecting proteins against denaturing stress. Thermal denaturation of cytochrome c has been studied in the presence of various concentrations of all L-amino acids that are more hydrophobic than glycine and have a solubility of 0.1 M or higher in water at 25 degrees C. The basic observations are as follows. (1) Arginine and histidine destabilize the native protein; both Tm (the midpoint of thermal transition) and delta GDH2O (25 degrees C) (the Gibbs energy of stabilization) decrease with increasing amino acid concentration. (2) Isoleucine, leucine and phenylalanine have no effect on Tm and deltaGDH2O (25 degrees C). (3) Valine and less hydrophobic amino acids stabilize the protein in terms of Tm but deltaGDH2O (25 degrees C) is unchanged. This observation was confirmed by the study of isothermal denaturation of cytochrome c by guanidinium chloride which suggested that delta GDH2O is independent of osmolyte concentration, but Cm (the midpoint of transition) is increased in their presence. (4) In the case of stabilizers, change in Tm/mol of amino acid decreases with increasing hydrophobicity of these osmolytes.", "author" : [ { "dropping-particle" : "", "family" : "Taneja", "given" : "S", "non-dropping-particle" : "", "parse-names" : false, "suffix" : "" }, { "dropping-particle" : "", "family" : "Ahmad", "given" : "F", "non-dropping-particle" : "", "parse-names" : false, "suffix" : "" } ], "container-title" : "Biochemical Journal", "id" : "ITEM-1", "issued" : { "date-parts" : [ [ "1994", "10", "1" ] ] }, "page" : "147-153", "title" : "Increased thermal stability of proteins in the presence of amino acids", "type" : "article-journal", "volume" : "303" }, "uris" : [ "http://www.mendeley.com/documents/?uuid=58de2c9a-4375-44f3-b3b7-972049f9dc42" ] } ], "mendeley" : { "formattedCitation" : "(Taneja &amp; Ahmad 1994)", "plainTextFormattedCitation" : "(Taneja &amp; Ahmad 1994)", "previouslyFormattedCitation" : "(Taneja &amp; Ahmad 1994)"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(Taneja &amp; Ahmad 1994)</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37876B69"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311AF6FF" w14:textId="77777777" w:rsidR="0041345C" w:rsidRPr="00235AE3" w:rsidRDefault="0041345C"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Histidine</w:t>
            </w:r>
          </w:p>
        </w:tc>
        <w:tc>
          <w:tcPr>
            <w:tcW w:w="1276" w:type="dxa"/>
            <w:shd w:val="clear" w:color="auto" w:fill="auto"/>
            <w:noWrap/>
          </w:tcPr>
          <w:p w14:paraId="72825FDD"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IgG Fab domain</w:t>
            </w:r>
          </w:p>
        </w:tc>
        <w:tc>
          <w:tcPr>
            <w:tcW w:w="992" w:type="dxa"/>
            <w:shd w:val="clear" w:color="auto" w:fill="auto"/>
            <w:noWrap/>
          </w:tcPr>
          <w:p w14:paraId="0EA48937"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3.5</w:t>
            </w:r>
          </w:p>
        </w:tc>
        <w:tc>
          <w:tcPr>
            <w:tcW w:w="1418" w:type="dxa"/>
            <w:shd w:val="clear" w:color="auto" w:fill="auto"/>
            <w:noWrap/>
          </w:tcPr>
          <w:p w14:paraId="5930B40F"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62.5</w:t>
            </w:r>
          </w:p>
        </w:tc>
        <w:tc>
          <w:tcPr>
            <w:tcW w:w="1701" w:type="dxa"/>
            <w:shd w:val="clear" w:color="auto" w:fill="auto"/>
            <w:noWrap/>
          </w:tcPr>
          <w:p w14:paraId="3C787C51"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w:t>
            </w:r>
            <w:r>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glycine</w:t>
            </w:r>
          </w:p>
        </w:tc>
        <w:tc>
          <w:tcPr>
            <w:tcW w:w="709" w:type="dxa"/>
            <w:shd w:val="clear" w:color="auto" w:fill="auto"/>
            <w:noWrap/>
          </w:tcPr>
          <w:p w14:paraId="7545F33C" w14:textId="77777777" w:rsidR="0041345C" w:rsidRPr="0041345C"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5.8</w:t>
            </w:r>
          </w:p>
        </w:tc>
        <w:tc>
          <w:tcPr>
            <w:tcW w:w="1382" w:type="dxa"/>
            <w:shd w:val="clear" w:color="auto" w:fill="auto"/>
            <w:noWrap/>
          </w:tcPr>
          <w:p w14:paraId="17912D66"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"10.1002/jctb.2657", "ISSN" : "02682575", "author" : [ { "dropping-particle" : "", "family" : "Falconer", "given" : "R J", "non-dropping-particle" : "", "parse-names" : false, "suffix" : "" }, { "dropping-particle" : "", "family" : "Chan", "given" : "C", "non-dropping-particle" : "", "parse-names" : false, "suffix" : "" }, { "dropping-particle" : "", "family" : "Hughes", "given" : "K", "non-dropping-particle" : "", "parse-names" : false, "suffix" : "" }, { "dropping-particle" : "", "family" : "Munro", "given" : "T P", "non-dropping-particle" : "", "parse-names" : false, "suffix" : "" } ], "container-title" : "Journal of Chemical Technology &amp; Biotechnology", "id" : "ITEM-1", "issued" : { "date-parts" : [ [ "2011", "7", "7" ] ] }, "page" : "942-948", "title" : "Stabilization of a monoclonal antibody during purification and formulation by addition of basic amino acid excipients", "type" : "article-journal", "volume" : "86" }, "uris" : [ "http://www.mendeley.com/documents/?uuid=0fd7d4b0-b0a9-40ec-8c2a-8ec42fa3572d" ] } ], "mendeley" : { "formattedCitation" : "(Falconer et al. 2011)", "plainTextFormattedCitation" : "(Falconer et al. 2011)", "previouslyFormattedCitation" : "(Falconer et al. 2011)"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(Falconer et al. 2011)</w:t>
            </w:r>
            <w:r>
              <w:rPr>
                <w:rFonts w:ascii="Calibri" w:eastAsia="Times New Roman" w:hAnsi="Calibri" w:cs="Times New Roman"/>
                <w:color w:val="000000"/>
                <w:sz w:val="20"/>
                <w:szCs w:val="20"/>
                <w:lang w:eastAsia="en-GB"/>
              </w:rPr>
              <w:fldChar w:fldCharType="end"/>
            </w:r>
          </w:p>
        </w:tc>
      </w:tr>
      <w:tr w:rsidR="00DC24F2" w:rsidRPr="00235AE3" w14:paraId="08906BED"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61306E50" w14:textId="77777777" w:rsidR="00925E75" w:rsidRPr="00235AE3" w:rsidRDefault="00925E75" w:rsidP="009C5E6B">
            <w:pPr>
              <w:spacing w:before="0"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Histidine</w:t>
            </w:r>
          </w:p>
        </w:tc>
        <w:tc>
          <w:tcPr>
            <w:tcW w:w="1276" w:type="dxa"/>
            <w:shd w:val="clear" w:color="auto" w:fill="auto"/>
            <w:noWrap/>
          </w:tcPr>
          <w:p w14:paraId="1A04E4BB" w14:textId="77777777" w:rsidR="00925E75" w:rsidRPr="00235AE3" w:rsidRDefault="00925E7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Lysozyme</w:t>
            </w:r>
          </w:p>
        </w:tc>
        <w:tc>
          <w:tcPr>
            <w:tcW w:w="992" w:type="dxa"/>
            <w:shd w:val="clear" w:color="auto" w:fill="auto"/>
            <w:noWrap/>
          </w:tcPr>
          <w:p w14:paraId="48C7A277" w14:textId="77777777" w:rsidR="00925E75" w:rsidRPr="00235AE3" w:rsidRDefault="00925E7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w:t>
            </w:r>
          </w:p>
        </w:tc>
        <w:tc>
          <w:tcPr>
            <w:tcW w:w="1418" w:type="dxa"/>
            <w:shd w:val="clear" w:color="auto" w:fill="auto"/>
            <w:noWrap/>
          </w:tcPr>
          <w:p w14:paraId="2DB0827A" w14:textId="77777777" w:rsidR="00925E75" w:rsidRPr="00235AE3" w:rsidRDefault="00925E7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150</w:t>
            </w:r>
          </w:p>
        </w:tc>
        <w:tc>
          <w:tcPr>
            <w:tcW w:w="1701" w:type="dxa"/>
            <w:shd w:val="clear" w:color="auto" w:fill="auto"/>
            <w:noWrap/>
          </w:tcPr>
          <w:p w14:paraId="678A5497" w14:textId="77777777" w:rsidR="00925E75" w:rsidRPr="00235AE3" w:rsidRDefault="00374721" w:rsidP="003747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50 mM</w:t>
            </w:r>
            <w:r w:rsidR="00925E75">
              <w:rPr>
                <w:rFonts w:ascii="Calibri" w:eastAsia="Times New Roman" w:hAnsi="Calibri" w:cs="Times New Roman"/>
                <w:color w:val="000000"/>
                <w:sz w:val="20"/>
                <w:szCs w:val="20"/>
                <w:lang w:eastAsia="en-GB"/>
              </w:rPr>
              <w:t xml:space="preserve"> citrate, </w:t>
            </w:r>
            <w:r>
              <w:rPr>
                <w:rFonts w:ascii="Calibri" w:eastAsia="Times New Roman" w:hAnsi="Calibri" w:cs="Times New Roman"/>
                <w:color w:val="000000"/>
                <w:sz w:val="20"/>
                <w:szCs w:val="20"/>
                <w:lang w:eastAsia="en-GB"/>
              </w:rPr>
              <w:t>100 mM</w:t>
            </w:r>
            <w:r w:rsidR="00925E75">
              <w:rPr>
                <w:rFonts w:ascii="Calibri" w:eastAsia="Times New Roman" w:hAnsi="Calibri" w:cs="Times New Roman"/>
                <w:color w:val="000000"/>
                <w:sz w:val="20"/>
                <w:szCs w:val="20"/>
                <w:lang w:eastAsia="en-GB"/>
              </w:rPr>
              <w:t xml:space="preserve"> KCl</w:t>
            </w:r>
          </w:p>
        </w:tc>
        <w:tc>
          <w:tcPr>
            <w:tcW w:w="709" w:type="dxa"/>
            <w:shd w:val="clear" w:color="auto" w:fill="auto"/>
            <w:noWrap/>
          </w:tcPr>
          <w:p w14:paraId="40DC0FA1" w14:textId="77777777" w:rsidR="00925E75" w:rsidRPr="0041345C" w:rsidRDefault="00925E7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Pr>
                <w:rFonts w:ascii="Calibri" w:eastAsia="Times New Roman" w:hAnsi="Calibri" w:cs="Times New Roman"/>
                <w:b/>
                <w:color w:val="000000"/>
                <w:sz w:val="20"/>
                <w:szCs w:val="20"/>
                <w:lang w:eastAsia="en-GB"/>
              </w:rPr>
              <w:t>-3.8</w:t>
            </w:r>
          </w:p>
        </w:tc>
        <w:tc>
          <w:tcPr>
            <w:tcW w:w="1382" w:type="dxa"/>
            <w:shd w:val="clear" w:color="auto" w:fill="auto"/>
            <w:noWrap/>
          </w:tcPr>
          <w:p w14:paraId="5550671B" w14:textId="77777777" w:rsidR="00925E75" w:rsidRDefault="00925E7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"author" : [ { "dropping-particle" : "", "family" : "Rishi", "given" : "V", "non-dropping-particle" : "", "parse-names" : false, "suffix" : "" }, { "dropping-particle" : "", "family" : "Anjum", "given" : "F", "non-dropping-particle" : "", "parse-names" : false, "suffix" : "" }, { "dropping-particle" : "", "family" : "Ahmad", "given" : "F", "non-dropping-particle" : "", "parse-names" : false, "suffix" : "" }, { "dropping-particle" : "", "family" : "Pfeil", "given" : "W", "non-dropping-particle" : "", "parse-names" : false, "suffix" : "" } ], "container-title" : "Biochemical Journal", "id" : "ITEM-1", "issued" : { "date-parts" : [ [ "1998" ] ] }, "page" : "137-143", "title" : "Role of non-compatible osmolytes in the stabilization of proteins during heat stress", "type" : "article-journal", "volume" : "329" }, "uris" : [ "http://www.mendeley.com/documents/?uuid=3b2b361a-0f24-4722-a583-2435a62adea6" ] } ], "mendeley" : { "formattedCitation" : "(Rishi et al. 1998)", "plainTextFormattedCitation" : "(Rishi et al. 1998)", "previouslyFormattedCitation" : "(Rishi et al.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925E75">
              <w:rPr>
                <w:rFonts w:ascii="Calibri" w:eastAsia="Times New Roman" w:hAnsi="Calibri" w:cs="Times New Roman"/>
                <w:noProof/>
                <w:color w:val="000000"/>
                <w:sz w:val="20"/>
                <w:szCs w:val="20"/>
                <w:lang w:eastAsia="en-GB"/>
              </w:rPr>
              <w:t>(Rishi et al. 1998)</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5CA64B3B"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278912E7" w14:textId="77777777" w:rsidR="00925E75" w:rsidRPr="00235AE3" w:rsidRDefault="00925E75" w:rsidP="009C5E6B">
            <w:pPr>
              <w:spacing w:before="0"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Histidine</w:t>
            </w:r>
          </w:p>
        </w:tc>
        <w:tc>
          <w:tcPr>
            <w:tcW w:w="1276" w:type="dxa"/>
            <w:shd w:val="clear" w:color="auto" w:fill="auto"/>
            <w:noWrap/>
          </w:tcPr>
          <w:p w14:paraId="50A6FD69" w14:textId="77777777" w:rsidR="00925E75" w:rsidRPr="00235AE3" w:rsidRDefault="00925E75"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Myoglobin</w:t>
            </w:r>
          </w:p>
        </w:tc>
        <w:tc>
          <w:tcPr>
            <w:tcW w:w="992" w:type="dxa"/>
            <w:shd w:val="clear" w:color="auto" w:fill="auto"/>
            <w:noWrap/>
          </w:tcPr>
          <w:p w14:paraId="315488A7" w14:textId="77777777" w:rsidR="00925E75" w:rsidRPr="00235AE3" w:rsidRDefault="00925E75"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w:t>
            </w:r>
          </w:p>
        </w:tc>
        <w:tc>
          <w:tcPr>
            <w:tcW w:w="1418" w:type="dxa"/>
            <w:shd w:val="clear" w:color="auto" w:fill="auto"/>
            <w:noWrap/>
          </w:tcPr>
          <w:p w14:paraId="130B2A8A" w14:textId="77777777" w:rsidR="00925E75" w:rsidRPr="00235AE3" w:rsidRDefault="00925E75"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150</w:t>
            </w:r>
          </w:p>
        </w:tc>
        <w:tc>
          <w:tcPr>
            <w:tcW w:w="1701" w:type="dxa"/>
            <w:shd w:val="clear" w:color="auto" w:fill="auto"/>
            <w:noWrap/>
          </w:tcPr>
          <w:p w14:paraId="2E6BA8A1" w14:textId="77777777" w:rsidR="00925E75" w:rsidRPr="00235AE3" w:rsidRDefault="00374721" w:rsidP="003747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50 mM</w:t>
            </w:r>
            <w:r w:rsidR="00925E75">
              <w:rPr>
                <w:rFonts w:ascii="Calibri" w:eastAsia="Times New Roman" w:hAnsi="Calibri" w:cs="Times New Roman"/>
                <w:color w:val="000000"/>
                <w:sz w:val="20"/>
                <w:szCs w:val="20"/>
                <w:lang w:eastAsia="en-GB"/>
              </w:rPr>
              <w:t xml:space="preserve"> citrate, </w:t>
            </w:r>
            <w:r>
              <w:rPr>
                <w:rFonts w:ascii="Calibri" w:eastAsia="Times New Roman" w:hAnsi="Calibri" w:cs="Times New Roman"/>
                <w:color w:val="000000"/>
                <w:sz w:val="20"/>
                <w:szCs w:val="20"/>
                <w:lang w:eastAsia="en-GB"/>
              </w:rPr>
              <w:t xml:space="preserve">100 mM </w:t>
            </w:r>
            <w:r w:rsidR="00925E75">
              <w:rPr>
                <w:rFonts w:ascii="Calibri" w:eastAsia="Times New Roman" w:hAnsi="Calibri" w:cs="Times New Roman"/>
                <w:color w:val="000000"/>
                <w:sz w:val="20"/>
                <w:szCs w:val="20"/>
                <w:lang w:eastAsia="en-GB"/>
              </w:rPr>
              <w:t>KCl</w:t>
            </w:r>
          </w:p>
        </w:tc>
        <w:tc>
          <w:tcPr>
            <w:tcW w:w="709" w:type="dxa"/>
            <w:shd w:val="clear" w:color="auto" w:fill="auto"/>
            <w:noWrap/>
          </w:tcPr>
          <w:p w14:paraId="733100AD" w14:textId="77777777" w:rsidR="00925E75" w:rsidRPr="0041345C" w:rsidRDefault="00925E75"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Pr>
                <w:rFonts w:ascii="Calibri" w:eastAsia="Times New Roman" w:hAnsi="Calibri" w:cs="Times New Roman"/>
                <w:b/>
                <w:color w:val="000000"/>
                <w:sz w:val="20"/>
                <w:szCs w:val="20"/>
                <w:lang w:eastAsia="en-GB"/>
              </w:rPr>
              <w:t>-7.4</w:t>
            </w:r>
          </w:p>
        </w:tc>
        <w:tc>
          <w:tcPr>
            <w:tcW w:w="1382" w:type="dxa"/>
            <w:shd w:val="clear" w:color="auto" w:fill="auto"/>
            <w:noWrap/>
          </w:tcPr>
          <w:p w14:paraId="39F3E509" w14:textId="77777777" w:rsidR="00925E75" w:rsidRDefault="00925E75"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"author" : [ { "dropping-particle" : "", "family" : "Rishi", "given" : "V", "non-dropping-particle" : "", "parse-names" : false, "suffix" : "" }, { "dropping-particle" : "", "family" : "Anjum", "given" : "F", "non-dropping-particle" : "", "parse-names" : false, "suffix" : "" }, { "dropping-particle" : "", "family" : "Ahmad", "given" : "F", "non-dropping-particle" : "", "parse-names" : false, "suffix" : "" }, { "dropping-particle" : "", "family" : "Pfeil", "given" : "W", "non-dropping-particle" : "", "parse-names" : false, "suffix" : "" } ], "container-title" : "Biochemical Journal", "id" : "ITEM-1", "issued" : { "date-parts" : [ [ "1998" ] ] }, "page" : "137-143", "title" : "Role of non-compatible osmolytes in the stabilization of proteins during heat stress", "type" : "article-journal", "volume" : "329" }, "uris" : [ "http://www.mendeley.com/documents/?uuid=3b2b361a-0f24-4722-a583-2435a62adea6" ] } ], "mendeley" : { "formattedCitation" : "(Rishi et al. 1998)", "plainTextFormattedCitation" : "(Rishi et al. 1998)", "previouslyFormattedCitation" : "(Rishi et al.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925E75">
              <w:rPr>
                <w:rFonts w:ascii="Calibri" w:eastAsia="Times New Roman" w:hAnsi="Calibri" w:cs="Times New Roman"/>
                <w:noProof/>
                <w:color w:val="000000"/>
                <w:sz w:val="20"/>
                <w:szCs w:val="20"/>
                <w:lang w:eastAsia="en-GB"/>
              </w:rPr>
              <w:t>(Rishi et al. 1998)</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78CF980F"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72A102C7" w14:textId="77777777" w:rsidR="00925E75" w:rsidRPr="00235AE3" w:rsidRDefault="00925E75" w:rsidP="009C5E6B">
            <w:pPr>
              <w:spacing w:before="0"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Histidine</w:t>
            </w:r>
          </w:p>
        </w:tc>
        <w:tc>
          <w:tcPr>
            <w:tcW w:w="1276" w:type="dxa"/>
            <w:shd w:val="clear" w:color="auto" w:fill="auto"/>
            <w:noWrap/>
          </w:tcPr>
          <w:p w14:paraId="25F47F29" w14:textId="77777777" w:rsidR="00925E75" w:rsidRPr="00235AE3" w:rsidRDefault="00925E7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RNase A</w:t>
            </w:r>
          </w:p>
        </w:tc>
        <w:tc>
          <w:tcPr>
            <w:tcW w:w="992" w:type="dxa"/>
            <w:shd w:val="clear" w:color="auto" w:fill="auto"/>
            <w:noWrap/>
          </w:tcPr>
          <w:p w14:paraId="2FBF0CE8" w14:textId="77777777" w:rsidR="00925E75" w:rsidRPr="00235AE3" w:rsidRDefault="00925E7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w:t>
            </w:r>
          </w:p>
        </w:tc>
        <w:tc>
          <w:tcPr>
            <w:tcW w:w="1418" w:type="dxa"/>
            <w:shd w:val="clear" w:color="auto" w:fill="auto"/>
            <w:noWrap/>
          </w:tcPr>
          <w:p w14:paraId="4F5EDEEC" w14:textId="77777777" w:rsidR="00925E75" w:rsidRPr="00235AE3" w:rsidRDefault="00925E7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200</w:t>
            </w:r>
          </w:p>
        </w:tc>
        <w:tc>
          <w:tcPr>
            <w:tcW w:w="1701" w:type="dxa"/>
            <w:shd w:val="clear" w:color="auto" w:fill="auto"/>
            <w:noWrap/>
          </w:tcPr>
          <w:p w14:paraId="059AD7E2" w14:textId="77777777" w:rsidR="00925E75" w:rsidRPr="00235AE3" w:rsidRDefault="00374721" w:rsidP="003747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50 mM</w:t>
            </w:r>
            <w:r w:rsidR="00925E75">
              <w:rPr>
                <w:rFonts w:ascii="Calibri" w:eastAsia="Times New Roman" w:hAnsi="Calibri" w:cs="Times New Roman"/>
                <w:color w:val="000000"/>
                <w:sz w:val="20"/>
                <w:szCs w:val="20"/>
                <w:lang w:eastAsia="en-GB"/>
              </w:rPr>
              <w:t xml:space="preserve"> citrate, </w:t>
            </w:r>
            <w:r>
              <w:rPr>
                <w:rFonts w:ascii="Calibri" w:eastAsia="Times New Roman" w:hAnsi="Calibri" w:cs="Times New Roman"/>
                <w:color w:val="000000"/>
                <w:sz w:val="20"/>
                <w:szCs w:val="20"/>
                <w:lang w:eastAsia="en-GB"/>
              </w:rPr>
              <w:t>100 mM</w:t>
            </w:r>
            <w:r w:rsidR="00925E75">
              <w:rPr>
                <w:rFonts w:ascii="Calibri" w:eastAsia="Times New Roman" w:hAnsi="Calibri" w:cs="Times New Roman"/>
                <w:color w:val="000000"/>
                <w:sz w:val="20"/>
                <w:szCs w:val="20"/>
                <w:lang w:eastAsia="en-GB"/>
              </w:rPr>
              <w:t xml:space="preserve"> KCl</w:t>
            </w:r>
          </w:p>
        </w:tc>
        <w:tc>
          <w:tcPr>
            <w:tcW w:w="709" w:type="dxa"/>
            <w:shd w:val="clear" w:color="auto" w:fill="auto"/>
            <w:noWrap/>
          </w:tcPr>
          <w:p w14:paraId="2058ABE8" w14:textId="77777777" w:rsidR="00925E75" w:rsidRPr="0041345C" w:rsidRDefault="00925E7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Pr>
                <w:rFonts w:ascii="Calibri" w:eastAsia="Times New Roman" w:hAnsi="Calibri" w:cs="Times New Roman"/>
                <w:b/>
                <w:color w:val="000000"/>
                <w:sz w:val="20"/>
                <w:szCs w:val="20"/>
                <w:lang w:eastAsia="en-GB"/>
              </w:rPr>
              <w:t>-4.3</w:t>
            </w:r>
          </w:p>
        </w:tc>
        <w:tc>
          <w:tcPr>
            <w:tcW w:w="1382" w:type="dxa"/>
            <w:shd w:val="clear" w:color="auto" w:fill="auto"/>
            <w:noWrap/>
          </w:tcPr>
          <w:p w14:paraId="04C79C9B" w14:textId="77777777" w:rsidR="00925E75" w:rsidRDefault="00925E7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DC24F2">
              <w:rPr>
                <w:rFonts w:ascii="Calibri" w:eastAsia="Times New Roman" w:hAnsi="Calibri" w:cs="Times New Roman"/>
                <w:color w:val="000000"/>
                <w:sz w:val="20"/>
                <w:szCs w:val="20"/>
                <w:lang w:eastAsia="en-GB"/>
              </w:rPr>
              <w:instrText>ADDIN CSL_CITATION { "citationItems" : [ { "id" : "ITEM-1", "itemData" : { "author" : [ { "dropping-particle" : "", "family" : "Rishi", "given" : "V", "non-dropping-particle" : "", "parse-names" : false, "suffix" : "" }, { "dropping-particle" : "", "family" : "Anjum", "given" : "F", "non-dropping-particle" : "", "parse-names" : false, "suffix" : "" }, { "dropping-particle" : "", "family" : "Ahmad", "given" : "F", "non-dropping-particle" : "", "parse-names" : false, "suffix" : "" }, { "dropping-particle" : "", "family" : "Pfeil", "given" : "W", "non-dropping-particle" : "", "parse-names" : false, "suffix" : "" } ], "container-title" : "Biochemical Journal", "id" : "ITEM-1", "issued" : { "date-parts" : [ [ "1998" ] ] }, "page" : "137-143", "title" : "Role of non-compatible osmolytes in the stabilization of proteins during heat stress", "type" : "article-journal", "volume" : "329" }, "uris" : [ "http://www.mendeley.com/documents/?uuid=3b2b361a-0f24-4722-a583-2435a62adea6" ] } ], "mendeley" : { "formattedCitation" : "(Rishi et al. 1998)", "plainTextFormattedCitation" : "(Rishi et al. 1998)", "previouslyFormattedCitation" : "(Rishi et al.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925E75">
              <w:rPr>
                <w:rFonts w:ascii="Calibri" w:eastAsia="Times New Roman" w:hAnsi="Calibri" w:cs="Times New Roman"/>
                <w:noProof/>
                <w:color w:val="000000"/>
                <w:sz w:val="20"/>
                <w:szCs w:val="20"/>
                <w:lang w:eastAsia="en-GB"/>
              </w:rPr>
              <w:t>(Rishi et al. 1998)</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2AF92EA4"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4F0968AA" w14:textId="77777777" w:rsidR="0041345C" w:rsidRPr="00235AE3" w:rsidRDefault="0041345C"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Lysine</w:t>
            </w:r>
          </w:p>
        </w:tc>
        <w:tc>
          <w:tcPr>
            <w:tcW w:w="1276" w:type="dxa"/>
            <w:shd w:val="clear" w:color="auto" w:fill="auto"/>
            <w:noWrap/>
          </w:tcPr>
          <w:p w14:paraId="37012D48"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Cytochrome c</w:t>
            </w:r>
          </w:p>
        </w:tc>
        <w:tc>
          <w:tcPr>
            <w:tcW w:w="992" w:type="dxa"/>
            <w:shd w:val="clear" w:color="auto" w:fill="auto"/>
            <w:noWrap/>
          </w:tcPr>
          <w:p w14:paraId="4332EFBC"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3</w:t>
            </w:r>
          </w:p>
        </w:tc>
        <w:tc>
          <w:tcPr>
            <w:tcW w:w="1418" w:type="dxa"/>
            <w:shd w:val="clear" w:color="auto" w:fill="auto"/>
            <w:noWrap/>
          </w:tcPr>
          <w:p w14:paraId="1423CB34"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700</w:t>
            </w:r>
          </w:p>
        </w:tc>
        <w:tc>
          <w:tcPr>
            <w:tcW w:w="1701" w:type="dxa"/>
            <w:shd w:val="clear" w:color="auto" w:fill="auto"/>
            <w:noWrap/>
          </w:tcPr>
          <w:p w14:paraId="3C373D71" w14:textId="77777777" w:rsidR="0041345C" w:rsidRPr="00235AE3" w:rsidRDefault="00374721" w:rsidP="003747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50 mM</w:t>
            </w:r>
            <w:r w:rsidR="00DC24F2">
              <w:rPr>
                <w:rFonts w:ascii="Calibri" w:eastAsia="Times New Roman" w:hAnsi="Calibri" w:cs="Times New Roman"/>
                <w:color w:val="000000"/>
                <w:sz w:val="20"/>
                <w:szCs w:val="20"/>
                <w:lang w:eastAsia="en-GB"/>
              </w:rPr>
              <w:t xml:space="preserve"> citrate,</w:t>
            </w:r>
            <w:r w:rsidR="0041345C" w:rsidRPr="00235AE3">
              <w:rPr>
                <w:rFonts w:ascii="Calibri" w:eastAsia="Times New Roman" w:hAnsi="Calibri" w:cs="Times New Roman"/>
                <w:color w:val="000000"/>
                <w:sz w:val="20"/>
                <w:szCs w:val="20"/>
                <w:lang w:eastAsia="en-GB"/>
              </w:rPr>
              <w:t xml:space="preserve"> </w:t>
            </w:r>
            <w:r>
              <w:rPr>
                <w:rFonts w:ascii="Calibri" w:eastAsia="Times New Roman" w:hAnsi="Calibri" w:cs="Times New Roman"/>
                <w:color w:val="000000"/>
                <w:sz w:val="20"/>
                <w:szCs w:val="20"/>
                <w:lang w:eastAsia="en-GB"/>
              </w:rPr>
              <w:t>100 mM</w:t>
            </w:r>
            <w:r w:rsidR="0041345C" w:rsidRPr="00235AE3">
              <w:rPr>
                <w:rFonts w:ascii="Calibri" w:eastAsia="Times New Roman" w:hAnsi="Calibri" w:cs="Times New Roman"/>
                <w:color w:val="000000"/>
                <w:sz w:val="20"/>
                <w:szCs w:val="20"/>
                <w:lang w:eastAsia="en-GB"/>
              </w:rPr>
              <w:t xml:space="preserve"> KCl</w:t>
            </w:r>
          </w:p>
        </w:tc>
        <w:tc>
          <w:tcPr>
            <w:tcW w:w="709" w:type="dxa"/>
            <w:shd w:val="clear" w:color="auto" w:fill="auto"/>
            <w:noWrap/>
          </w:tcPr>
          <w:p w14:paraId="2E3CF0B1" w14:textId="77777777" w:rsidR="0041345C" w:rsidRPr="0041345C"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6.5</w:t>
            </w:r>
          </w:p>
        </w:tc>
        <w:tc>
          <w:tcPr>
            <w:tcW w:w="1382" w:type="dxa"/>
            <w:shd w:val="clear" w:color="auto" w:fill="auto"/>
            <w:noWrap/>
          </w:tcPr>
          <w:p w14:paraId="72EA8B91"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054313">
              <w:rPr>
                <w:rFonts w:ascii="Calibri" w:eastAsia="Times New Roman" w:hAnsi="Calibri" w:cs="Times New Roman"/>
                <w:color w:val="000000"/>
                <w:sz w:val="20"/>
                <w:szCs w:val="20"/>
                <w:lang w:eastAsia="en-GB"/>
              </w:rPr>
              <w:instrText>ADDIN CSL_CITATION { "citationItems" : [ { "id" : "ITEM-1", "itemData" : { "ISSN" : "0264-6021", "PMID" : "7945233", "abstract" : "This study is a systematic attempt to understand the roles of osmolytes in protecting proteins against denaturing stress. Thermal denaturation of cytochrome c has been studied in the presence of various concentrations of all L-amino acids that are more hydrophobic than glycine and have a solubility of 0.1 M or higher in water at 25 degrees C. The basic observations are as follows. (1) Arginine and histidine destabilize the native protein; both Tm (the midpoint of thermal transition) and delta GDH2O (25 degrees C) (the Gibbs energy of stabilization) decrease with increasing amino acid concentration. (2) Isoleucine, leucine and phenylalanine have no effect on Tm and deltaGDH2O (25 degrees C). (3) Valine and less hydrophobic amino acids stabilize the protein in terms of Tm but deltaGDH2O (25 degrees C) is unchanged. This observation was confirmed by the study of isothermal denaturation of cytochrome c by guanidinium chloride which suggested that delta GDH2O is independent of osmolyte concentration, but Cm (the midpoint of transition) is increased in their presence. (4) In the case of stabilizers, change in Tm/mol of amino acid decreases with increasing hydrophobicity of these osmolytes.", "author" : [ { "dropping-particle" : "", "family" : "Taneja", "given" : "S", "non-dropping-particle" : "", "parse-names" : false, "suffix" : "" }, { "dropping-particle" : "", "family" : "Ahmad", "given" : "F", "non-dropping-particle" : "", "parse-names" : false, "suffix" : "" } ], "container-title" : "Biochemical Journal", "id" : "ITEM-1", "issued" : { "date-parts" : [ [ "1994", "10", "1" ] ] }, "page" : "147-153", "title" : "Increased thermal stability of proteins in the presence of amino acids", "type" : "article-journal", "volume" : "303" }, "uris" : [ "http://www.mendeley.com/documents/?uuid=58de2c9a-4375-44f3-b3b7-972049f9dc42" ] } ], "mendeley" : { "formattedCitation" : "(Taneja &amp; Ahmad 1994)", "plainTextFormattedCitation" : "(Taneja &amp; Ahmad 1994)", "previouslyFormattedCitation" : "(Taneja &amp; Ahmad 1994)"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(Taneja &amp; Ahmad 1994)</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20780A2E"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347F11E3" w14:textId="77777777" w:rsidR="0041345C" w:rsidRPr="00235AE3" w:rsidRDefault="0041345C"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Lysine</w:t>
            </w:r>
          </w:p>
        </w:tc>
        <w:tc>
          <w:tcPr>
            <w:tcW w:w="1276" w:type="dxa"/>
            <w:shd w:val="clear" w:color="auto" w:fill="auto"/>
            <w:noWrap/>
          </w:tcPr>
          <w:p w14:paraId="09DDEFCF"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IgG Fab domain</w:t>
            </w:r>
          </w:p>
        </w:tc>
        <w:tc>
          <w:tcPr>
            <w:tcW w:w="992" w:type="dxa"/>
            <w:shd w:val="clear" w:color="auto" w:fill="auto"/>
            <w:noWrap/>
          </w:tcPr>
          <w:p w14:paraId="22459079"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3.5</w:t>
            </w:r>
          </w:p>
        </w:tc>
        <w:tc>
          <w:tcPr>
            <w:tcW w:w="1418" w:type="dxa"/>
            <w:shd w:val="clear" w:color="auto" w:fill="auto"/>
            <w:noWrap/>
          </w:tcPr>
          <w:p w14:paraId="61C4353E"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62.5</w:t>
            </w:r>
          </w:p>
        </w:tc>
        <w:tc>
          <w:tcPr>
            <w:tcW w:w="1701" w:type="dxa"/>
            <w:shd w:val="clear" w:color="auto" w:fill="auto"/>
            <w:noWrap/>
          </w:tcPr>
          <w:p w14:paraId="3F3B69B5"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w:t>
            </w:r>
            <w:r>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glycine</w:t>
            </w:r>
          </w:p>
        </w:tc>
        <w:tc>
          <w:tcPr>
            <w:tcW w:w="709" w:type="dxa"/>
            <w:shd w:val="clear" w:color="auto" w:fill="auto"/>
            <w:noWrap/>
          </w:tcPr>
          <w:p w14:paraId="65532AF4" w14:textId="77777777" w:rsidR="0041345C" w:rsidRPr="0041345C"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5.4</w:t>
            </w:r>
          </w:p>
        </w:tc>
        <w:tc>
          <w:tcPr>
            <w:tcW w:w="1382" w:type="dxa"/>
            <w:shd w:val="clear" w:color="auto" w:fill="auto"/>
            <w:noWrap/>
          </w:tcPr>
          <w:p w14:paraId="42A3C98D"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"10.1002/jctb.2657", "ISSN" : "02682575", "author" : [ { "dropping-particle" : "", "family" : "Falconer", "given" : "R J", "non-dropping-particle" : "", "parse-names" : false, "suffix" : "" }, { "dropping-particle" : "", "family" : "Chan", "given" : "C", "non-dropping-particle" : "", "parse-names" : false, "suffix" : "" }, { "dropping-particle" : "", "family" : "Hughes", "given" : "K", "non-dropping-particle" : "", "parse-names" : false, "suffix" : "" }, { "dropping-particle" : "", "family" : "Munro", "given" : "T P", "non-dropping-particle" : "", "parse-names" : false, "suffix" : "" } ], "container-title" : "Journal of Chemical Technology &amp; Biotechnology", "id" : "ITEM-1", "issued" : { "date-parts" : [ [ "2011", "7", "7" ] ] }, "page" : "942-948", "title" : "Stabilization of a monoclonal antibody during purification and formulation by addition of basic amino acid excipients", "type" : "article-journal", "volume" : "86" }, "uris" : [ "http://www.mendeley.com/documents/?uuid=0fd7d4b0-b0a9-40ec-8c2a-8ec42fa3572d" ] } ], "mendeley" : { "formattedCitation" : "(Falconer et al. 2011)", "plainTextFormattedCitation" : "(Falconer et al. 2011)", "previouslyFormattedCitation" : "(Falconer et al. 2011)"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(Falconer et al. 2011)</w:t>
            </w:r>
            <w:r>
              <w:rPr>
                <w:rFonts w:ascii="Calibri" w:eastAsia="Times New Roman" w:hAnsi="Calibri" w:cs="Times New Roman"/>
                <w:color w:val="000000"/>
                <w:sz w:val="20"/>
                <w:szCs w:val="20"/>
                <w:lang w:eastAsia="en-GB"/>
              </w:rPr>
              <w:fldChar w:fldCharType="end"/>
            </w:r>
          </w:p>
        </w:tc>
      </w:tr>
      <w:tr w:rsidR="00DC24F2" w:rsidRPr="00235AE3" w14:paraId="4B4B287E"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382B4607" w14:textId="77777777" w:rsidR="00DC24F2" w:rsidRPr="00235AE3" w:rsidRDefault="00DC24F2" w:rsidP="009C5E6B">
            <w:pPr>
              <w:spacing w:before="0"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Lysine</w:t>
            </w:r>
          </w:p>
        </w:tc>
        <w:tc>
          <w:tcPr>
            <w:tcW w:w="1276" w:type="dxa"/>
            <w:shd w:val="clear" w:color="auto" w:fill="auto"/>
            <w:noWrap/>
          </w:tcPr>
          <w:p w14:paraId="6F2A40AC" w14:textId="77777777" w:rsidR="00DC24F2" w:rsidRPr="00235AE3" w:rsidRDefault="00DC24F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Lysozyme</w:t>
            </w:r>
          </w:p>
        </w:tc>
        <w:tc>
          <w:tcPr>
            <w:tcW w:w="992" w:type="dxa"/>
            <w:shd w:val="clear" w:color="auto" w:fill="auto"/>
            <w:noWrap/>
          </w:tcPr>
          <w:p w14:paraId="43000749" w14:textId="77777777" w:rsidR="00DC24F2" w:rsidRPr="00235AE3" w:rsidRDefault="00DC24F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w:t>
            </w:r>
          </w:p>
        </w:tc>
        <w:tc>
          <w:tcPr>
            <w:tcW w:w="1418" w:type="dxa"/>
            <w:shd w:val="clear" w:color="auto" w:fill="auto"/>
            <w:noWrap/>
          </w:tcPr>
          <w:p w14:paraId="73245EA6" w14:textId="77777777" w:rsidR="00DC24F2" w:rsidRPr="00235AE3" w:rsidRDefault="00DC24F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1000</w:t>
            </w:r>
          </w:p>
        </w:tc>
        <w:tc>
          <w:tcPr>
            <w:tcW w:w="1701" w:type="dxa"/>
            <w:shd w:val="clear" w:color="auto" w:fill="auto"/>
            <w:noWrap/>
          </w:tcPr>
          <w:p w14:paraId="554FEC0E" w14:textId="77777777" w:rsidR="00DC24F2" w:rsidRPr="00235AE3" w:rsidRDefault="00374721" w:rsidP="003747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50 mM</w:t>
            </w:r>
            <w:r w:rsidR="00DC24F2">
              <w:rPr>
                <w:rFonts w:ascii="Calibri" w:eastAsia="Times New Roman" w:hAnsi="Calibri" w:cs="Times New Roman"/>
                <w:color w:val="000000"/>
                <w:sz w:val="20"/>
                <w:szCs w:val="20"/>
                <w:lang w:eastAsia="en-GB"/>
              </w:rPr>
              <w:t xml:space="preserve"> citrate, </w:t>
            </w:r>
            <w:r>
              <w:rPr>
                <w:rFonts w:ascii="Calibri" w:eastAsia="Times New Roman" w:hAnsi="Calibri" w:cs="Times New Roman"/>
                <w:color w:val="000000"/>
                <w:sz w:val="20"/>
                <w:szCs w:val="20"/>
                <w:lang w:eastAsia="en-GB"/>
              </w:rPr>
              <w:t>100 mM</w:t>
            </w:r>
            <w:r w:rsidR="00DC24F2">
              <w:rPr>
                <w:rFonts w:ascii="Calibri" w:eastAsia="Times New Roman" w:hAnsi="Calibri" w:cs="Times New Roman"/>
                <w:color w:val="000000"/>
                <w:sz w:val="20"/>
                <w:szCs w:val="20"/>
                <w:lang w:eastAsia="en-GB"/>
              </w:rPr>
              <w:t xml:space="preserve"> KCl</w:t>
            </w:r>
          </w:p>
        </w:tc>
        <w:tc>
          <w:tcPr>
            <w:tcW w:w="709" w:type="dxa"/>
            <w:shd w:val="clear" w:color="auto" w:fill="auto"/>
            <w:noWrap/>
          </w:tcPr>
          <w:p w14:paraId="761FC8B3" w14:textId="77777777" w:rsidR="00DC24F2" w:rsidRPr="0041345C" w:rsidRDefault="00DC24F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Pr>
                <w:rFonts w:ascii="Calibri" w:eastAsia="Times New Roman" w:hAnsi="Calibri" w:cs="Times New Roman"/>
                <w:b/>
                <w:color w:val="000000"/>
                <w:sz w:val="20"/>
                <w:szCs w:val="20"/>
                <w:lang w:eastAsia="en-GB"/>
              </w:rPr>
              <w:t>6.7</w:t>
            </w:r>
          </w:p>
        </w:tc>
        <w:tc>
          <w:tcPr>
            <w:tcW w:w="1382" w:type="dxa"/>
            <w:shd w:val="clear" w:color="auto" w:fill="auto"/>
            <w:noWrap/>
          </w:tcPr>
          <w:p w14:paraId="3C635F48" w14:textId="77777777" w:rsidR="00DC24F2" w:rsidRDefault="00DC24F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"author" : [ { "dropping-particle" : "", "family" : "Rishi", "given" : "V", "non-dropping-particle" : "", "parse-names" : false, "suffix" : "" }, { "dropping-particle" : "", "family" : "Anjum", "given" : "F", "non-dropping-particle" : "", "parse-names" : false, "suffix" : "" }, { "dropping-particle" : "", "family" : "Ahmad", "given" : "F", "non-dropping-particle" : "", "parse-names" : false, "suffix" : "" }, { "dropping-particle" : "", "family" : "Pfeil", "given" : "W", "non-dropping-particle" : "", "parse-names" : false, "suffix" : "" } ], "container-title" : "Biochemical Journal", "id" : "ITEM-1", "issued" : { "date-parts" : [ [ "1998" ] ] }, "page" : "137-143", "title" : "Role of non-compatible osmolytes in the stabilization of proteins during heat stress", "type" : "article-journal", "volume" : "329" }, "uris" : [ "http://www.mendeley.com/documents/?uuid=3b2b361a-0f24-4722-a583-2435a62adea6" ] } ], "mendeley" : { "formattedCitation" : "(Rishi et al. 1998)", "plainTextFormattedCitation" : "(Rishi et al. 1998)", "previouslyFormattedCitation" : "(Rishi et al.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DC24F2">
              <w:rPr>
                <w:rFonts w:ascii="Calibri" w:eastAsia="Times New Roman" w:hAnsi="Calibri" w:cs="Times New Roman"/>
                <w:noProof/>
                <w:color w:val="000000"/>
                <w:sz w:val="20"/>
                <w:szCs w:val="20"/>
                <w:lang w:eastAsia="en-GB"/>
              </w:rPr>
              <w:t>(Rishi et al. 1998)</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081E66C1"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1D5D53B9" w14:textId="77777777" w:rsidR="00DC24F2" w:rsidRPr="00235AE3" w:rsidRDefault="00DC24F2" w:rsidP="009C5E6B">
            <w:pPr>
              <w:spacing w:before="0"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Lysine</w:t>
            </w:r>
          </w:p>
        </w:tc>
        <w:tc>
          <w:tcPr>
            <w:tcW w:w="1276" w:type="dxa"/>
            <w:shd w:val="clear" w:color="auto" w:fill="auto"/>
            <w:noWrap/>
          </w:tcPr>
          <w:p w14:paraId="2061B3E7" w14:textId="77777777" w:rsidR="00DC24F2" w:rsidRPr="00235AE3" w:rsidRDefault="00DC24F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Myoglobin</w:t>
            </w:r>
          </w:p>
        </w:tc>
        <w:tc>
          <w:tcPr>
            <w:tcW w:w="992" w:type="dxa"/>
            <w:shd w:val="clear" w:color="auto" w:fill="auto"/>
            <w:noWrap/>
          </w:tcPr>
          <w:p w14:paraId="5F3F7AA2" w14:textId="77777777" w:rsidR="00DC24F2" w:rsidRPr="00235AE3" w:rsidRDefault="00DC24F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w:t>
            </w:r>
          </w:p>
        </w:tc>
        <w:tc>
          <w:tcPr>
            <w:tcW w:w="1418" w:type="dxa"/>
            <w:shd w:val="clear" w:color="auto" w:fill="auto"/>
            <w:noWrap/>
          </w:tcPr>
          <w:p w14:paraId="21509143" w14:textId="77777777" w:rsidR="00DC24F2" w:rsidRPr="00235AE3" w:rsidRDefault="00DC24F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500</w:t>
            </w:r>
          </w:p>
        </w:tc>
        <w:tc>
          <w:tcPr>
            <w:tcW w:w="1701" w:type="dxa"/>
            <w:shd w:val="clear" w:color="auto" w:fill="auto"/>
            <w:noWrap/>
          </w:tcPr>
          <w:p w14:paraId="2AE18D36" w14:textId="77777777" w:rsidR="00DC24F2" w:rsidRPr="00235AE3" w:rsidRDefault="00374721" w:rsidP="003747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50 mM </w:t>
            </w:r>
            <w:r w:rsidR="00DC24F2">
              <w:rPr>
                <w:rFonts w:ascii="Calibri" w:eastAsia="Times New Roman" w:hAnsi="Calibri" w:cs="Times New Roman"/>
                <w:color w:val="000000"/>
                <w:sz w:val="20"/>
                <w:szCs w:val="20"/>
                <w:lang w:eastAsia="en-GB"/>
              </w:rPr>
              <w:t xml:space="preserve">citrate, </w:t>
            </w:r>
            <w:r>
              <w:rPr>
                <w:rFonts w:ascii="Calibri" w:eastAsia="Times New Roman" w:hAnsi="Calibri" w:cs="Times New Roman"/>
                <w:color w:val="000000"/>
                <w:sz w:val="20"/>
                <w:szCs w:val="20"/>
                <w:lang w:eastAsia="en-GB"/>
              </w:rPr>
              <w:t>100 mM</w:t>
            </w:r>
            <w:r w:rsidR="00DC24F2">
              <w:rPr>
                <w:rFonts w:ascii="Calibri" w:eastAsia="Times New Roman" w:hAnsi="Calibri" w:cs="Times New Roman"/>
                <w:color w:val="000000"/>
                <w:sz w:val="20"/>
                <w:szCs w:val="20"/>
                <w:lang w:eastAsia="en-GB"/>
              </w:rPr>
              <w:t xml:space="preserve"> KCl</w:t>
            </w:r>
          </w:p>
        </w:tc>
        <w:tc>
          <w:tcPr>
            <w:tcW w:w="709" w:type="dxa"/>
            <w:shd w:val="clear" w:color="auto" w:fill="auto"/>
            <w:noWrap/>
          </w:tcPr>
          <w:p w14:paraId="29F30A3D" w14:textId="77777777" w:rsidR="00DC24F2" w:rsidRPr="0041345C" w:rsidRDefault="00DC24F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Pr>
                <w:rFonts w:ascii="Calibri" w:eastAsia="Times New Roman" w:hAnsi="Calibri" w:cs="Times New Roman"/>
                <w:b/>
                <w:color w:val="000000"/>
                <w:sz w:val="20"/>
                <w:szCs w:val="20"/>
                <w:lang w:eastAsia="en-GB"/>
              </w:rPr>
              <w:t>0.2</w:t>
            </w:r>
          </w:p>
        </w:tc>
        <w:tc>
          <w:tcPr>
            <w:tcW w:w="1382" w:type="dxa"/>
            <w:shd w:val="clear" w:color="auto" w:fill="auto"/>
            <w:noWrap/>
          </w:tcPr>
          <w:p w14:paraId="6BDC93C9" w14:textId="77777777" w:rsidR="00DC24F2" w:rsidRDefault="00DC24F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"author" : [ { "dropping-particle" : "", "family" : "Rishi", "given" : "V", "non-dropping-particle" : "", "parse-names" : false, "suffix" : "" }, { "dropping-particle" : "", "family" : "Anjum", "given" : "F", "non-dropping-particle" : "", "parse-names" : false, "suffix" : "" }, { "dropping-particle" : "", "family" : "Ahmad", "given" : "F", "non-dropping-particle" : "", "parse-names" : false, "suffix" : "" }, { "dropping-particle" : "", "family" : "Pfeil", "given" : "W", "non-dropping-particle" : "", "parse-names" : false, "suffix" : "" } ], "container-title" : "Biochemical Journal", "id" : "ITEM-1", "issued" : { "date-parts" : [ [ "1998" ] ] }, "page" : "137-143", "title" : "Role of non-compatible osmolytes in the stabilization of proteins during heat stress", "type" : "article-journal", "volume" : "329" }, "uris" : [ "http://www.mendeley.com/documents/?uuid=3b2b361a-0f24-4722-a583-2435a62adea6" ] } ], "mendeley" : { "formattedCitation" : "(Rishi et al. 1998)", "plainTextFormattedCitation" : "(Rishi et al. 1998)", "previouslyFormattedCitation" : "(Rishi et al.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DC24F2">
              <w:rPr>
                <w:rFonts w:ascii="Calibri" w:eastAsia="Times New Roman" w:hAnsi="Calibri" w:cs="Times New Roman"/>
                <w:noProof/>
                <w:color w:val="000000"/>
                <w:sz w:val="20"/>
                <w:szCs w:val="20"/>
                <w:lang w:eastAsia="en-GB"/>
              </w:rPr>
              <w:t>(Rishi et al. 1998)</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2DF4F01C"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1158C0C6" w14:textId="77777777" w:rsidR="00925E75" w:rsidRPr="00235AE3" w:rsidRDefault="00925E75" w:rsidP="009C5E6B">
            <w:pPr>
              <w:spacing w:before="0"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Lysine</w:t>
            </w:r>
          </w:p>
        </w:tc>
        <w:tc>
          <w:tcPr>
            <w:tcW w:w="1276" w:type="dxa"/>
            <w:shd w:val="clear" w:color="auto" w:fill="auto"/>
            <w:noWrap/>
          </w:tcPr>
          <w:p w14:paraId="14E82A6C" w14:textId="77777777" w:rsidR="00925E75" w:rsidRDefault="00925E75"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RNase A</w:t>
            </w:r>
          </w:p>
        </w:tc>
        <w:tc>
          <w:tcPr>
            <w:tcW w:w="992" w:type="dxa"/>
            <w:shd w:val="clear" w:color="auto" w:fill="auto"/>
            <w:noWrap/>
          </w:tcPr>
          <w:p w14:paraId="29B03772" w14:textId="77777777" w:rsidR="00925E75" w:rsidRPr="00235AE3" w:rsidRDefault="00925E75"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w:t>
            </w:r>
          </w:p>
        </w:tc>
        <w:tc>
          <w:tcPr>
            <w:tcW w:w="1418" w:type="dxa"/>
            <w:shd w:val="clear" w:color="auto" w:fill="auto"/>
            <w:noWrap/>
          </w:tcPr>
          <w:p w14:paraId="684BCB75" w14:textId="77777777" w:rsidR="00925E75" w:rsidRPr="00235AE3" w:rsidRDefault="00925E75"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200</w:t>
            </w:r>
          </w:p>
        </w:tc>
        <w:tc>
          <w:tcPr>
            <w:tcW w:w="1701" w:type="dxa"/>
            <w:shd w:val="clear" w:color="auto" w:fill="auto"/>
            <w:noWrap/>
          </w:tcPr>
          <w:p w14:paraId="3EC92670" w14:textId="77777777" w:rsidR="00925E75" w:rsidRPr="00235AE3" w:rsidRDefault="00374721" w:rsidP="003747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50 mM</w:t>
            </w:r>
            <w:r w:rsidR="00925E75">
              <w:rPr>
                <w:rFonts w:ascii="Calibri" w:eastAsia="Times New Roman" w:hAnsi="Calibri" w:cs="Times New Roman"/>
                <w:color w:val="000000"/>
                <w:sz w:val="20"/>
                <w:szCs w:val="20"/>
                <w:lang w:eastAsia="en-GB"/>
              </w:rPr>
              <w:t xml:space="preserve"> citrate, </w:t>
            </w:r>
            <w:r>
              <w:rPr>
                <w:rFonts w:ascii="Calibri" w:eastAsia="Times New Roman" w:hAnsi="Calibri" w:cs="Times New Roman"/>
                <w:color w:val="000000"/>
                <w:sz w:val="20"/>
                <w:szCs w:val="20"/>
                <w:lang w:eastAsia="en-GB"/>
              </w:rPr>
              <w:t>100 mM</w:t>
            </w:r>
            <w:r w:rsidR="00925E75">
              <w:rPr>
                <w:rFonts w:ascii="Calibri" w:eastAsia="Times New Roman" w:hAnsi="Calibri" w:cs="Times New Roman"/>
                <w:color w:val="000000"/>
                <w:sz w:val="20"/>
                <w:szCs w:val="20"/>
                <w:lang w:eastAsia="en-GB"/>
              </w:rPr>
              <w:t xml:space="preserve"> KCl</w:t>
            </w:r>
          </w:p>
        </w:tc>
        <w:tc>
          <w:tcPr>
            <w:tcW w:w="709" w:type="dxa"/>
            <w:shd w:val="clear" w:color="auto" w:fill="auto"/>
            <w:noWrap/>
          </w:tcPr>
          <w:p w14:paraId="45D475D9" w14:textId="77777777" w:rsidR="00925E75" w:rsidRPr="0041345C" w:rsidRDefault="00925E75"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Pr>
                <w:rFonts w:ascii="Calibri" w:eastAsia="Times New Roman" w:hAnsi="Calibri" w:cs="Times New Roman"/>
                <w:b/>
                <w:color w:val="000000"/>
                <w:sz w:val="20"/>
                <w:szCs w:val="20"/>
                <w:lang w:eastAsia="en-GB"/>
              </w:rPr>
              <w:t>-2.2</w:t>
            </w:r>
          </w:p>
        </w:tc>
        <w:tc>
          <w:tcPr>
            <w:tcW w:w="1382" w:type="dxa"/>
            <w:shd w:val="clear" w:color="auto" w:fill="auto"/>
            <w:noWrap/>
          </w:tcPr>
          <w:p w14:paraId="02B9D389" w14:textId="77777777" w:rsidR="00925E75" w:rsidRDefault="00DC24F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"author" : [ { "dropping-particle" : "", "family" : "Rishi", "given" : "V", "non-dropping-particle" : "", "parse-names" : false, "suffix" : "" }, { "dropping-particle" : "", "family" : "Anjum", "given" : "F", "non-dropping-particle" : "", "parse-names" : false, "suffix" : "" }, { "dropping-particle" : "", "family" : "Ahmad", "given" : "F", "non-dropping-particle" : "", "parse-names" : false, "suffix" : "" }, { "dropping-particle" : "", "family" : "Pfeil", "given" : "W", "non-dropping-particle" : "", "parse-names" : false, "suffix" : "" } ], "container-title" : "Biochemical Journal", "id" : "ITEM-1", "issued" : { "date-parts" : [ [ "1998" ] ] }, "page" : "137-143", "title" : "Role of non-compatible osmolytes in the stabilization of proteins during heat stress", "type" : "article-journal", "volume" : "329" }, "uris" : [ "http://www.mendeley.com/documents/?uuid=3b2b361a-0f24-4722-a583-2435a62adea6" ] } ], "mendeley" : { "formattedCitation" : "(Rishi et al. 1998)", "plainTextFormattedCitation" : "(Rishi et al. 1998)", "previouslyFormattedCitation" : "(Rishi et al.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DC24F2">
              <w:rPr>
                <w:rFonts w:ascii="Calibri" w:eastAsia="Times New Roman" w:hAnsi="Calibri" w:cs="Times New Roman"/>
                <w:noProof/>
                <w:color w:val="000000"/>
                <w:sz w:val="20"/>
                <w:szCs w:val="20"/>
                <w:lang w:eastAsia="en-GB"/>
              </w:rPr>
              <w:t>(Rishi et al. 1998)</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71DDB60F"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28AC24A3" w14:textId="77777777" w:rsidR="00925E75" w:rsidRPr="00235AE3" w:rsidRDefault="00925E75" w:rsidP="009C5E6B">
            <w:pPr>
              <w:spacing w:before="0"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Lysine</w:t>
            </w:r>
          </w:p>
        </w:tc>
        <w:tc>
          <w:tcPr>
            <w:tcW w:w="1276" w:type="dxa"/>
            <w:shd w:val="clear" w:color="auto" w:fill="auto"/>
            <w:noWrap/>
          </w:tcPr>
          <w:p w14:paraId="6F06501D" w14:textId="77777777" w:rsidR="00925E75" w:rsidRDefault="00925E7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RNase A</w:t>
            </w:r>
          </w:p>
        </w:tc>
        <w:tc>
          <w:tcPr>
            <w:tcW w:w="992" w:type="dxa"/>
            <w:shd w:val="clear" w:color="auto" w:fill="auto"/>
            <w:noWrap/>
          </w:tcPr>
          <w:p w14:paraId="603C4CA3" w14:textId="77777777" w:rsidR="00925E75" w:rsidRPr="00235AE3" w:rsidRDefault="00925E7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w:t>
            </w:r>
          </w:p>
        </w:tc>
        <w:tc>
          <w:tcPr>
            <w:tcW w:w="1418" w:type="dxa"/>
            <w:shd w:val="clear" w:color="auto" w:fill="auto"/>
            <w:noWrap/>
          </w:tcPr>
          <w:p w14:paraId="0454FCD5" w14:textId="77777777" w:rsidR="00925E75" w:rsidRPr="00235AE3" w:rsidRDefault="00925E7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2000</w:t>
            </w:r>
          </w:p>
        </w:tc>
        <w:tc>
          <w:tcPr>
            <w:tcW w:w="1701" w:type="dxa"/>
            <w:shd w:val="clear" w:color="auto" w:fill="auto"/>
            <w:noWrap/>
          </w:tcPr>
          <w:p w14:paraId="4B743545" w14:textId="77777777" w:rsidR="00925E75" w:rsidRPr="00235AE3" w:rsidRDefault="00374721" w:rsidP="003747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50 mM</w:t>
            </w:r>
            <w:r w:rsidR="00925E75">
              <w:rPr>
                <w:rFonts w:ascii="Calibri" w:eastAsia="Times New Roman" w:hAnsi="Calibri" w:cs="Times New Roman"/>
                <w:color w:val="000000"/>
                <w:sz w:val="20"/>
                <w:szCs w:val="20"/>
                <w:lang w:eastAsia="en-GB"/>
              </w:rPr>
              <w:t xml:space="preserve"> citrate, </w:t>
            </w:r>
            <w:r>
              <w:rPr>
                <w:rFonts w:ascii="Calibri" w:eastAsia="Times New Roman" w:hAnsi="Calibri" w:cs="Times New Roman"/>
                <w:color w:val="000000"/>
                <w:sz w:val="20"/>
                <w:szCs w:val="20"/>
                <w:lang w:eastAsia="en-GB"/>
              </w:rPr>
              <w:t>100 mM</w:t>
            </w:r>
            <w:r w:rsidR="00925E75">
              <w:rPr>
                <w:rFonts w:ascii="Calibri" w:eastAsia="Times New Roman" w:hAnsi="Calibri" w:cs="Times New Roman"/>
                <w:color w:val="000000"/>
                <w:sz w:val="20"/>
                <w:szCs w:val="20"/>
                <w:lang w:eastAsia="en-GB"/>
              </w:rPr>
              <w:t xml:space="preserve"> KCl</w:t>
            </w:r>
          </w:p>
        </w:tc>
        <w:tc>
          <w:tcPr>
            <w:tcW w:w="709" w:type="dxa"/>
            <w:shd w:val="clear" w:color="auto" w:fill="auto"/>
            <w:noWrap/>
          </w:tcPr>
          <w:p w14:paraId="442C7341" w14:textId="77777777" w:rsidR="00925E75" w:rsidRPr="0041345C" w:rsidRDefault="00DC24F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Pr>
                <w:rFonts w:ascii="Calibri" w:eastAsia="Times New Roman" w:hAnsi="Calibri" w:cs="Times New Roman"/>
                <w:b/>
                <w:color w:val="000000"/>
                <w:sz w:val="20"/>
                <w:szCs w:val="20"/>
                <w:lang w:eastAsia="en-GB"/>
              </w:rPr>
              <w:t>4.2</w:t>
            </w:r>
          </w:p>
        </w:tc>
        <w:tc>
          <w:tcPr>
            <w:tcW w:w="1382" w:type="dxa"/>
            <w:shd w:val="clear" w:color="auto" w:fill="auto"/>
            <w:noWrap/>
          </w:tcPr>
          <w:p w14:paraId="784E609F" w14:textId="77777777" w:rsidR="00925E75" w:rsidRDefault="00DC24F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"author" : [ { "dropping-particle" : "", "family" : "Rishi", "given" : "V", "non-dropping-particle" : "", "parse-names" : false, "suffix" : "" }, { "dropping-particle" : "", "family" : "Anjum", "given" : "F", "non-dropping-particle" : "", "parse-names" : false, "suffix" : "" }, { "dropping-particle" : "", "family" : "Ahmad", "given" : "F", "non-dropping-particle" : "", "parse-names" : false, "suffix" : "" }, { "dropping-particle" : "", "family" : "Pfeil", "given" : "W", "non-dropping-particle" : "", "parse-names" : false, "suffix" : "" } ], "container-title" : "Biochemical Journal", "id" : "ITEM-1", "issued" : { "date-parts" : [ [ "1998" ] ] }, "page" : "137-143", "title" : "Role of non-compatible osmolytes in the stabilization of proteins during heat stress", "type" : "article-journal", "volume" : "329" }, "uris" : [ "http://www.mendeley.com/documents/?uuid=3b2b361a-0f24-4722-a583-2435a62adea6" ] } ], "mendeley" : { "formattedCitation" : "(Rishi et al. 1998)", "plainTextFormattedCitation" : "(Rishi et al. 1998)", "previouslyFormattedCitation" : "(Rishi et al.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DC24F2">
              <w:rPr>
                <w:rFonts w:ascii="Calibri" w:eastAsia="Times New Roman" w:hAnsi="Calibri" w:cs="Times New Roman"/>
                <w:noProof/>
                <w:color w:val="000000"/>
                <w:sz w:val="20"/>
                <w:szCs w:val="20"/>
                <w:lang w:eastAsia="en-GB"/>
              </w:rPr>
              <w:t>(Rishi et al. 1998)</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07CA3A63"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619E58DB" w14:textId="77777777" w:rsidR="0041345C" w:rsidRPr="00235AE3" w:rsidRDefault="0041345C"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lastRenderedPageBreak/>
              <w:t>Lysine</w:t>
            </w:r>
          </w:p>
        </w:tc>
        <w:tc>
          <w:tcPr>
            <w:tcW w:w="1276" w:type="dxa"/>
            <w:shd w:val="clear" w:color="auto" w:fill="auto"/>
            <w:noWrap/>
          </w:tcPr>
          <w:p w14:paraId="12C3A9B2" w14:textId="77777777" w:rsidR="0041345C" w:rsidRPr="00235AE3" w:rsidRDefault="00816A08"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41345C" w:rsidRPr="00235AE3">
              <w:rPr>
                <w:rFonts w:ascii="Calibri" w:eastAsia="Times New Roman" w:hAnsi="Calibri" w:cs="Times New Roman"/>
                <w:color w:val="000000"/>
                <w:sz w:val="20"/>
                <w:szCs w:val="20"/>
                <w:lang w:eastAsia="en-GB"/>
              </w:rPr>
              <w:t>ase A</w:t>
            </w:r>
          </w:p>
        </w:tc>
        <w:tc>
          <w:tcPr>
            <w:tcW w:w="992" w:type="dxa"/>
            <w:shd w:val="clear" w:color="auto" w:fill="auto"/>
            <w:noWrap/>
          </w:tcPr>
          <w:p w14:paraId="7751C6DC"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6.7</w:t>
            </w:r>
          </w:p>
        </w:tc>
        <w:tc>
          <w:tcPr>
            <w:tcW w:w="1418" w:type="dxa"/>
            <w:shd w:val="clear" w:color="auto" w:fill="auto"/>
            <w:noWrap/>
          </w:tcPr>
          <w:p w14:paraId="1746E4C7"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200</w:t>
            </w:r>
          </w:p>
        </w:tc>
        <w:tc>
          <w:tcPr>
            <w:tcW w:w="1701" w:type="dxa"/>
            <w:shd w:val="clear" w:color="auto" w:fill="auto"/>
            <w:noWrap/>
          </w:tcPr>
          <w:p w14:paraId="15C36DB4" w14:textId="77777777" w:rsidR="0041345C" w:rsidRPr="00E3274E" w:rsidRDefault="0041345C" w:rsidP="003747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de-DE" w:eastAsia="en-GB"/>
              </w:rPr>
            </w:pPr>
            <w:r w:rsidRPr="00E3274E">
              <w:rPr>
                <w:rFonts w:ascii="Calibri" w:eastAsia="Times New Roman" w:hAnsi="Calibri" w:cs="Times New Roman"/>
                <w:color w:val="000000"/>
                <w:sz w:val="20"/>
                <w:szCs w:val="20"/>
                <w:lang w:val="de-DE" w:eastAsia="en-GB"/>
              </w:rPr>
              <w:t xml:space="preserve">25 mM potassium phosphate, </w:t>
            </w:r>
            <w:r w:rsidR="00374721" w:rsidRPr="00E3274E">
              <w:rPr>
                <w:rFonts w:ascii="Calibri" w:eastAsia="Times New Roman" w:hAnsi="Calibri" w:cs="Times New Roman"/>
                <w:color w:val="000000"/>
                <w:sz w:val="20"/>
                <w:szCs w:val="20"/>
                <w:lang w:val="de-DE" w:eastAsia="en-GB"/>
              </w:rPr>
              <w:t>150 mM</w:t>
            </w:r>
            <w:r w:rsidRPr="00E3274E">
              <w:rPr>
                <w:rFonts w:ascii="Calibri" w:eastAsia="Times New Roman" w:hAnsi="Calibri" w:cs="Times New Roman"/>
                <w:color w:val="000000"/>
                <w:sz w:val="20"/>
                <w:szCs w:val="20"/>
                <w:lang w:val="de-DE" w:eastAsia="en-GB"/>
              </w:rPr>
              <w:t xml:space="preserve"> KCl</w:t>
            </w:r>
          </w:p>
        </w:tc>
        <w:tc>
          <w:tcPr>
            <w:tcW w:w="709" w:type="dxa"/>
            <w:shd w:val="clear" w:color="auto" w:fill="auto"/>
            <w:noWrap/>
          </w:tcPr>
          <w:p w14:paraId="055449D7" w14:textId="77777777" w:rsidR="0041345C" w:rsidRPr="0041345C"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-0.2</w:t>
            </w:r>
          </w:p>
        </w:tc>
        <w:tc>
          <w:tcPr>
            <w:tcW w:w="1382" w:type="dxa"/>
            <w:shd w:val="clear" w:color="auto" w:fill="auto"/>
            <w:noWrap/>
          </w:tcPr>
          <w:p w14:paraId="0DA18078" w14:textId="77777777" w:rsidR="0041345C" w:rsidRPr="00235AE3" w:rsidRDefault="004134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"10.1002/jez.1402080202", "ISSN" : "0022-104X", "PMID" : "469480", "abstract" : "The major nitrogenous osmolytes present in the cells of marine invertebrates, notably the free amino acids glycine, alanine and proline, and trimethylamine oxide and betaine, are highly compatible with proper enzyme function and structure. These nitrogenous osmolytes display either non-perturbing or, in some cases, favorable effects on enzyme-substrate and enzyme-cofactor complex formation, catalytic velocity and protein structural stability. In contrast, inorganic salts (KCl and NaCl) and certain of the free amino acids which play only a minor osmotic role, e.g., arginine and lysine, have strongly perturbing effects on one or more of these enzymic parameters. The compatible nitrogenous solutes therefore are suitable for use at high (several tenths molar) concentrations and at widely varying concentrations in osmo-conforming species. Certain nitrogenous solutes, especially trimethylamine oxide, betaine and glutamate, offset some of the perturbing effects of inorganic ions on enzyme function. The selective accumulation of osmolytes thus involves not only the concentration of non-perturbing solutes, but also a balanced accumulation of solutes with opposing effects on enzymes. The selection of end-products of anaerobic metabolism also appears to be based, in part, on considerations of solute compatibility with enzyme function. Octopine is a non-perturbing solute, whereas arginine, which is condensed with pyruvate to form octopine, is very strongly perturbing. Succinate has marked stabilizing effects on protein structure. We conclude that the composition of the intracellular fluids of marine invertebrates reflects selection for osmolytes and end-products whose net effects create a cellular microenvironment which is conducive to optimal enzyme function and structure. The accumulation of compatible solutes may preclude the necessity for widespread changes in protein structure in adapting to concentrated or highly variable osmotic environments.", "author" : [ { "dropping-particle" : "", "family" : "Bowlus", "given" : "R D", "non-dropping-particle" : "", "parse-names" : false, "suffix" : "" }, { "dropping-particle" : "", "family" : "Somero", "given" : "G N", "non-dropping-particle" : "", "parse-names" : false, "suffix" : "" } ], "container-title" : "Journal of Experimental Zoology", "id" : "ITEM-1", "issued" : { "date-parts" : [ [ "1979" ] ] }, "page" : "137-151", "title" : "Solute compatibility with enzyme function and structure: rationales for the selection of osmotic agents and end-products of anaerobic metabolism in marine invertebrates", "type" : "article-journal", "volume" : "208" }, "uris" : [ "http://www.mendeley.com/documents/?uuid=7dde3bd3-612c-4dc0-b5b3-9e57c8eb9a26" ] } ], "mendeley" : { "formattedCitation" : "(Bowlus &amp; Somero 1979)", "plainTextFormattedCitation" : "(Bowlus &amp; Somero 1979)", "previouslyFormattedCitation" : "(Bowlus &amp; Somero 1979)"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(Bowlus &amp; Somero 1979)</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55F71A37"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742EA3AE" w14:textId="77777777" w:rsidR="0041345C" w:rsidRPr="00235AE3" w:rsidRDefault="0041345C"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Lysine</w:t>
            </w:r>
          </w:p>
        </w:tc>
        <w:tc>
          <w:tcPr>
            <w:tcW w:w="1276" w:type="dxa"/>
            <w:shd w:val="clear" w:color="auto" w:fill="auto"/>
            <w:noWrap/>
          </w:tcPr>
          <w:p w14:paraId="3C4A417F" w14:textId="77777777" w:rsidR="0041345C" w:rsidRPr="00235AE3" w:rsidRDefault="00816A08"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41345C" w:rsidRPr="00235AE3">
              <w:rPr>
                <w:rFonts w:ascii="Calibri" w:eastAsia="Times New Roman" w:hAnsi="Calibri" w:cs="Times New Roman"/>
                <w:color w:val="000000"/>
                <w:sz w:val="20"/>
                <w:szCs w:val="20"/>
                <w:lang w:eastAsia="en-GB"/>
              </w:rPr>
              <w:t>ase A</w:t>
            </w:r>
          </w:p>
        </w:tc>
        <w:tc>
          <w:tcPr>
            <w:tcW w:w="992" w:type="dxa"/>
            <w:shd w:val="clear" w:color="auto" w:fill="auto"/>
            <w:noWrap/>
          </w:tcPr>
          <w:p w14:paraId="07BF8593"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6.7</w:t>
            </w:r>
          </w:p>
        </w:tc>
        <w:tc>
          <w:tcPr>
            <w:tcW w:w="1418" w:type="dxa"/>
            <w:shd w:val="clear" w:color="auto" w:fill="auto"/>
            <w:noWrap/>
          </w:tcPr>
          <w:p w14:paraId="5974031C"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400</w:t>
            </w:r>
          </w:p>
        </w:tc>
        <w:tc>
          <w:tcPr>
            <w:tcW w:w="1701" w:type="dxa"/>
            <w:shd w:val="clear" w:color="auto" w:fill="auto"/>
            <w:noWrap/>
          </w:tcPr>
          <w:p w14:paraId="52A8378A" w14:textId="77777777" w:rsidR="0041345C" w:rsidRPr="007F0FF0" w:rsidRDefault="0041345C" w:rsidP="003747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de-DE" w:eastAsia="en-GB"/>
              </w:rPr>
            </w:pPr>
            <w:r w:rsidRPr="007F0FF0">
              <w:rPr>
                <w:rFonts w:ascii="Calibri" w:eastAsia="Times New Roman" w:hAnsi="Calibri" w:cs="Times New Roman"/>
                <w:color w:val="000000"/>
                <w:sz w:val="20"/>
                <w:szCs w:val="20"/>
                <w:lang w:val="de-DE" w:eastAsia="en-GB"/>
              </w:rPr>
              <w:t xml:space="preserve">25 mM potassium phosphate, </w:t>
            </w:r>
            <w:r w:rsidR="00374721" w:rsidRPr="007F0FF0">
              <w:rPr>
                <w:rFonts w:ascii="Calibri" w:eastAsia="Times New Roman" w:hAnsi="Calibri" w:cs="Times New Roman"/>
                <w:color w:val="000000"/>
                <w:sz w:val="20"/>
                <w:szCs w:val="20"/>
                <w:lang w:val="de-DE" w:eastAsia="en-GB"/>
              </w:rPr>
              <w:t>150 mM</w:t>
            </w:r>
            <w:r w:rsidRPr="007F0FF0">
              <w:rPr>
                <w:rFonts w:ascii="Calibri" w:eastAsia="Times New Roman" w:hAnsi="Calibri" w:cs="Times New Roman"/>
                <w:color w:val="000000"/>
                <w:sz w:val="20"/>
                <w:szCs w:val="20"/>
                <w:lang w:val="de-DE" w:eastAsia="en-GB"/>
              </w:rPr>
              <w:t xml:space="preserve"> KCl</w:t>
            </w:r>
          </w:p>
        </w:tc>
        <w:tc>
          <w:tcPr>
            <w:tcW w:w="709" w:type="dxa"/>
            <w:shd w:val="clear" w:color="auto" w:fill="auto"/>
            <w:noWrap/>
          </w:tcPr>
          <w:p w14:paraId="1A679854" w14:textId="77777777" w:rsidR="0041345C" w:rsidRPr="0041345C"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0</w:t>
            </w:r>
          </w:p>
        </w:tc>
        <w:tc>
          <w:tcPr>
            <w:tcW w:w="1382" w:type="dxa"/>
            <w:shd w:val="clear" w:color="auto" w:fill="auto"/>
            <w:noWrap/>
          </w:tcPr>
          <w:p w14:paraId="134B9746" w14:textId="77777777" w:rsidR="0041345C" w:rsidRPr="00235AE3" w:rsidRDefault="004134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"10.1002/jez.1402080202", "ISSN" : "0022-104X", "PMID" : "469480", "abstract" : "The major nitrogenous osmolytes present in the cells of marine invertebrates, notably the free amino acids glycine, alanine and proline, and trimethylamine oxide and betaine, are highly compatible with proper enzyme function and structure. These nitrogenous osmolytes display either non-perturbing or, in some cases, favorable effects on enzyme-substrate and enzyme-cofactor complex formation, catalytic velocity and protein structural stability. In contrast, inorganic salts (KCl and NaCl) and certain of the free amino acids which play only a minor osmotic role, e.g., arginine and lysine, have strongly perturbing effects on one or more of these enzymic parameters. The compatible nitrogenous solutes therefore are suitable for use at high (several tenths molar) concentrations and at widely varying concentrations in osmo-conforming species. Certain nitrogenous solutes, especially trimethylamine oxide, betaine and glutamate, offset some of the perturbing effects of inorganic ions on enzyme function. The selective accumulation of osmolytes thus involves not only the concentration of non-perturbing solutes, but also a balanced accumulation of solutes with opposing effects on enzymes. The selection of end-products of anaerobic metabolism also appears to be based, in part, on considerations of solute compatibility with enzyme function. Octopine is a non-perturbing solute, whereas arginine, which is condensed with pyruvate to form octopine, is very strongly perturbing. Succinate has marked stabilizing effects on protein structure. We conclude that the composition of the intracellular fluids of marine invertebrates reflects selection for osmolytes and end-products whose net effects create a cellular microenvironment which is conducive to optimal enzyme function and structure. The accumulation of compatible solutes may preclude the necessity for widespread changes in protein structure in adapting to concentrated or highly variable osmotic environments.", "author" : [ { "dropping-particle" : "", "family" : "Bowlus", "given" : "R D", "non-dropping-particle" : "", "parse-names" : false, "suffix" : "" }, { "dropping-particle" : "", "family" : "Somero", "given" : "G N", "non-dropping-particle" : "", "parse-names" : false, "suffix" : "" } ], "container-title" : "Journal of Experimental Zoology", "id" : "ITEM-1", "issued" : { "date-parts" : [ [ "1979" ] ] }, "page" : "137-151", "title" : "Solute compatibility with enzyme function and structure: rationales for the selection of osmotic agents and end-products of anaerobic metabolism in marine invertebrates", "type" : "article-journal", "volume" : "208" }, "uris" : [ "http://www.mendeley.com/documents/?uuid=7dde3bd3-612c-4dc0-b5b3-9e57c8eb9a26" ] } ], "mendeley" : { "formattedCitation" : "(Bowlus &amp; Somero 1979)", "plainTextFormattedCitation" : "(Bowlus &amp; Somero 1979)", "previouslyFormattedCitation" : "(Bowlus &amp; Somero 1979)"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(Bowlus &amp; Somero 1979)</w:t>
            </w:r>
            <w:r>
              <w:rPr>
                <w:rFonts w:ascii="Calibri" w:eastAsia="Times New Roman" w:hAnsi="Calibri" w:cs="Times New Roman"/>
                <w:color w:val="000000"/>
                <w:sz w:val="20"/>
                <w:szCs w:val="20"/>
                <w:lang w:eastAsia="en-GB"/>
              </w:rPr>
              <w:fldChar w:fldCharType="end"/>
            </w:r>
            <w:r w:rsidR="00775716">
              <w:rPr>
                <w:rFonts w:ascii="Calibri" w:eastAsia="Times New Roman" w:hAnsi="Calibri" w:cs="Times New Roman"/>
                <w:color w:val="000000"/>
                <w:sz w:val="20"/>
                <w:szCs w:val="20"/>
                <w:lang w:eastAsia="en-GB"/>
              </w:rPr>
              <w:t>*</w:t>
            </w:r>
          </w:p>
        </w:tc>
      </w:tr>
      <w:tr w:rsidR="00DC24F2" w:rsidRPr="00235AE3" w14:paraId="596C74B7"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03B59C41"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Octopine</w:t>
            </w:r>
          </w:p>
        </w:tc>
        <w:tc>
          <w:tcPr>
            <w:tcW w:w="1276" w:type="dxa"/>
            <w:shd w:val="clear" w:color="auto" w:fill="auto"/>
            <w:noWrap/>
          </w:tcPr>
          <w:p w14:paraId="69382F25" w14:textId="77777777" w:rsidR="00ED2E8B" w:rsidRPr="00235AE3" w:rsidRDefault="00816A08"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ED2E8B" w:rsidRPr="00235AE3">
              <w:rPr>
                <w:rFonts w:ascii="Calibri" w:eastAsia="Times New Roman" w:hAnsi="Calibri" w:cs="Times New Roman"/>
                <w:color w:val="000000"/>
                <w:sz w:val="20"/>
                <w:szCs w:val="20"/>
                <w:lang w:eastAsia="en-GB"/>
              </w:rPr>
              <w:t>ase A</w:t>
            </w:r>
          </w:p>
        </w:tc>
        <w:tc>
          <w:tcPr>
            <w:tcW w:w="992" w:type="dxa"/>
            <w:shd w:val="clear" w:color="auto" w:fill="auto"/>
            <w:noWrap/>
          </w:tcPr>
          <w:p w14:paraId="2B758DDD"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6.7</w:t>
            </w:r>
          </w:p>
        </w:tc>
        <w:tc>
          <w:tcPr>
            <w:tcW w:w="1418" w:type="dxa"/>
            <w:shd w:val="clear" w:color="auto" w:fill="auto"/>
            <w:noWrap/>
          </w:tcPr>
          <w:p w14:paraId="57D00E95"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200</w:t>
            </w:r>
          </w:p>
        </w:tc>
        <w:tc>
          <w:tcPr>
            <w:tcW w:w="1701" w:type="dxa"/>
            <w:shd w:val="clear" w:color="auto" w:fill="auto"/>
            <w:noWrap/>
          </w:tcPr>
          <w:p w14:paraId="63CC45EA" w14:textId="77777777" w:rsidR="00ED2E8B" w:rsidRPr="007F0FF0" w:rsidRDefault="00ED2E8B" w:rsidP="003747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de-DE" w:eastAsia="en-GB"/>
              </w:rPr>
            </w:pPr>
            <w:r w:rsidRPr="007F0FF0">
              <w:rPr>
                <w:rFonts w:ascii="Calibri" w:eastAsia="Times New Roman" w:hAnsi="Calibri" w:cs="Times New Roman"/>
                <w:color w:val="000000"/>
                <w:sz w:val="20"/>
                <w:szCs w:val="20"/>
                <w:lang w:val="de-DE" w:eastAsia="en-GB"/>
              </w:rPr>
              <w:t xml:space="preserve">25 mM potassium phosphate, </w:t>
            </w:r>
            <w:r w:rsidR="00374721" w:rsidRPr="007F0FF0">
              <w:rPr>
                <w:rFonts w:ascii="Calibri" w:eastAsia="Times New Roman" w:hAnsi="Calibri" w:cs="Times New Roman"/>
                <w:color w:val="000000"/>
                <w:sz w:val="20"/>
                <w:szCs w:val="20"/>
                <w:lang w:val="de-DE" w:eastAsia="en-GB"/>
              </w:rPr>
              <w:t>150 m</w:t>
            </w:r>
            <w:r w:rsidRPr="007F0FF0">
              <w:rPr>
                <w:rFonts w:ascii="Calibri" w:eastAsia="Times New Roman" w:hAnsi="Calibri" w:cs="Times New Roman"/>
                <w:color w:val="000000"/>
                <w:sz w:val="20"/>
                <w:szCs w:val="20"/>
                <w:lang w:val="de-DE" w:eastAsia="en-GB"/>
              </w:rPr>
              <w:t>M KCl</w:t>
            </w:r>
          </w:p>
        </w:tc>
        <w:tc>
          <w:tcPr>
            <w:tcW w:w="709" w:type="dxa"/>
            <w:shd w:val="clear" w:color="auto" w:fill="auto"/>
            <w:noWrap/>
          </w:tcPr>
          <w:p w14:paraId="2EA30F68" w14:textId="77777777" w:rsidR="00ED2E8B" w:rsidRPr="0041345C"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0</w:t>
            </w:r>
          </w:p>
        </w:tc>
        <w:tc>
          <w:tcPr>
            <w:tcW w:w="1382" w:type="dxa"/>
            <w:shd w:val="clear" w:color="auto" w:fill="auto"/>
            <w:noWrap/>
          </w:tcPr>
          <w:p w14:paraId="4092C3C0"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"10.1002/jez.1402080202", "ISSN" : "0022-104X", "PMID" : "469480", "abstract" : "The major nitrogenous osmolytes present in the cells of marine invertebrates, notably the free amino acids glycine, alanine and proline, and trimethylamine oxide and betaine, are highly compatible with proper enzyme function and structure. These nitrogenous osmolytes display either non-perturbing or, in some cases, favorable effects on enzyme-substrate and enzyme-cofactor complex formation, catalytic velocity and protein structural stability. In contrast, inorganic salts (KCl and NaCl) and certain of the free amino acids which play only a minor osmotic role, e.g., arginine and lysine, have strongly perturbing effects on one or more of these enzymic parameters. The compatible nitrogenous solutes therefore are suitable for use at high (several tenths molar) concentrations and at widely varying concentrations in osmo-conforming species. Certain nitrogenous solutes, especially trimethylamine oxide, betaine and glutamate, offset some of the perturbing effects of inorganic ions on enzyme function. The selective accumulation of osmolytes thus involves not only the concentration of non-perturbing solutes, but also a balanced accumulation of solutes with opposing effects on enzymes. The selection of end-products of anaerobic metabolism also appears to be based, in part, on considerations of solute compatibility with enzyme function. Octopine is a non-perturbing solute, whereas arginine, which is condensed with pyruvate to form octopine, is very strongly perturbing. Succinate has marked stabilizing effects on protein structure. We conclude that the composition of the intracellular fluids of marine invertebrates reflects selection for osmolytes and end-products whose net effects create a cellular microenvironment which is conducive to optimal enzyme function and structure. The accumulation of compatible solutes may preclude the necessity for widespread changes in protein structure in adapting to concentrated or highly variable osmotic environments.", "author" : [ { "dropping-particle" : "", "family" : "Bowlus", "given" : "R D", "non-dropping-particle" : "", "parse-names" : false, "suffix" : "" }, { "dropping-particle" : "", "family" : "Somero", "given" : "G N", "non-dropping-particle" : "", "parse-names" : false, "suffix" : "" } ], "container-title" : "Journal of Experimental Zoology", "id" : "ITEM-1", "issued" : { "date-parts" : [ [ "1979" ] ] }, "page" : "137-151", "title" : "Solute compatibility with enzyme function and structure: rationales for the selection of osmotic agents and end-products of anaerobic metabolism in marine invertebrates", "type" : "article-journal", "volume" : "208" }, "uris" : [ "http://www.mendeley.com/documents/?uuid=7dde3bd3-612c-4dc0-b5b3-9e57c8eb9a26" ] } ], "mendeley" : { "formattedCitation" : "(Bowlus &amp; Somero 1979)", "plainTextFormattedCitation" : "(Bowlus &amp; Somero 1979)", "previouslyFormattedCitation" : "(Bowlus &amp; Somero 1979)"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(Bowlus &amp; Somero 1979)</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51BD5085"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30C673C3"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Proline</w:t>
            </w:r>
          </w:p>
        </w:tc>
        <w:tc>
          <w:tcPr>
            <w:tcW w:w="1276" w:type="dxa"/>
            <w:shd w:val="clear" w:color="auto" w:fill="auto"/>
            <w:noWrap/>
          </w:tcPr>
          <w:p w14:paraId="4853CD2A"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Cytochrome c</w:t>
            </w:r>
          </w:p>
        </w:tc>
        <w:tc>
          <w:tcPr>
            <w:tcW w:w="992" w:type="dxa"/>
            <w:shd w:val="clear" w:color="auto" w:fill="auto"/>
            <w:noWrap/>
          </w:tcPr>
          <w:p w14:paraId="51F2AF7B"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3</w:t>
            </w:r>
          </w:p>
        </w:tc>
        <w:tc>
          <w:tcPr>
            <w:tcW w:w="1418" w:type="dxa"/>
            <w:shd w:val="clear" w:color="auto" w:fill="auto"/>
            <w:noWrap/>
          </w:tcPr>
          <w:p w14:paraId="6642D8C0"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1000</w:t>
            </w:r>
          </w:p>
        </w:tc>
        <w:tc>
          <w:tcPr>
            <w:tcW w:w="1701" w:type="dxa"/>
            <w:shd w:val="clear" w:color="auto" w:fill="auto"/>
            <w:noWrap/>
          </w:tcPr>
          <w:p w14:paraId="2D821A23" w14:textId="77777777" w:rsidR="00ED2E8B" w:rsidRPr="00235AE3" w:rsidRDefault="00374721" w:rsidP="003747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50 mM</w:t>
            </w:r>
            <w:r w:rsidR="00ED2E8B" w:rsidRPr="00235AE3">
              <w:rPr>
                <w:rFonts w:ascii="Calibri" w:eastAsia="Times New Roman" w:hAnsi="Calibri" w:cs="Times New Roman"/>
                <w:color w:val="000000"/>
                <w:sz w:val="20"/>
                <w:szCs w:val="20"/>
                <w:lang w:eastAsia="en-GB"/>
              </w:rPr>
              <w:t xml:space="preserve"> citrate &amp; </w:t>
            </w:r>
            <w:r>
              <w:rPr>
                <w:rFonts w:ascii="Calibri" w:eastAsia="Times New Roman" w:hAnsi="Calibri" w:cs="Times New Roman"/>
                <w:color w:val="000000"/>
                <w:sz w:val="20"/>
                <w:szCs w:val="20"/>
                <w:lang w:eastAsia="en-GB"/>
              </w:rPr>
              <w:t>100 mM</w:t>
            </w:r>
            <w:r w:rsidR="00ED2E8B" w:rsidRPr="00235AE3">
              <w:rPr>
                <w:rFonts w:ascii="Calibri" w:eastAsia="Times New Roman" w:hAnsi="Calibri" w:cs="Times New Roman"/>
                <w:color w:val="000000"/>
                <w:sz w:val="20"/>
                <w:szCs w:val="20"/>
                <w:lang w:eastAsia="en-GB"/>
              </w:rPr>
              <w:t xml:space="preserve"> KCl</w:t>
            </w:r>
          </w:p>
        </w:tc>
        <w:tc>
          <w:tcPr>
            <w:tcW w:w="709" w:type="dxa"/>
            <w:shd w:val="clear" w:color="auto" w:fill="auto"/>
            <w:noWrap/>
          </w:tcPr>
          <w:p w14:paraId="73318921" w14:textId="77777777" w:rsidR="00ED2E8B" w:rsidRPr="0041345C"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4.3</w:t>
            </w:r>
          </w:p>
        </w:tc>
        <w:tc>
          <w:tcPr>
            <w:tcW w:w="1382" w:type="dxa"/>
            <w:shd w:val="clear" w:color="auto" w:fill="auto"/>
            <w:noWrap/>
          </w:tcPr>
          <w:p w14:paraId="4E669DB7"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054313">
              <w:rPr>
                <w:rFonts w:ascii="Calibri" w:eastAsia="Times New Roman" w:hAnsi="Calibri" w:cs="Times New Roman"/>
                <w:color w:val="000000"/>
                <w:sz w:val="20"/>
                <w:szCs w:val="20"/>
                <w:lang w:eastAsia="en-GB"/>
              </w:rPr>
              <w:instrText>ADDIN CSL_CITATION { "citationItems" : [ { "id" : "ITEM-1", "itemData" : { "ISSN" : "0264-6021", "PMID" : "7945233", "abstract" : "This study is a systematic attempt to understand the roles of osmolytes in protecting proteins against denaturing stress. Thermal denaturation of cytochrome c has been studied in the presence of various concentrations of all L-amino acids that are more hydrophobic than glycine and have a solubility of 0.1 M or higher in water at 25 degrees C. The basic observations are as follows. (1) Arginine and histidine destabilize the native protein; both Tm (the midpoint of thermal transition) and delta GDH2O (25 degrees C) (the Gibbs energy of stabilization) decrease with increasing amino acid concentration. (2) Isoleucine, leucine and phenylalanine have no effect on Tm and deltaGDH2O (25 degrees C). (3) Valine and less hydrophobic amino acids stabilize the protein in terms of Tm but deltaGDH2O (25 degrees C) is unchanged. This observation was confirmed by the study of isothermal denaturation of cytochrome c by guanidinium chloride which suggested that delta GDH2O is independent of osmolyte concentration, but Cm (the midpoint of transition) is increased in their presence. (4) In the case of stabilizers, change in Tm/mol of amino acid decreases with increasing hydrophobicity of these osmolytes.", "author" : [ { "dropping-particle" : "", "family" : "Taneja", "given" : "S", "non-dropping-particle" : "", "parse-names" : false, "suffix" : "" }, { "dropping-particle" : "", "family" : "Ahmad", "given" : "F", "non-dropping-particle" : "", "parse-names" : false, "suffix" : "" } ], "container-title" : "Biochemical Journal", "id" : "ITEM-1", "issued" : { "date-parts" : [ [ "1994", "10", "1" ] ] }, "page" : "147-153", "title" : "Increased thermal stability of proteins in the presence of amino acids", "type" : "article-journal", "volume" : "303" }, "uris" : [ "http://www.mendeley.com/documents/?uuid=58de2c9a-4375-44f3-b3b7-972049f9dc42" ] } ], "mendeley" : { "formattedCitation" : "(Taneja &amp; Ahmad 1994)", "plainTextFormattedCitation" : "(Taneja &amp; Ahmad 1994)", "previouslyFormattedCitation" : "(Taneja &amp; Ahmad 1994)"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(Taneja &amp; Ahmad 1994)</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185733C3"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66C6CC64"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Proline</w:t>
            </w:r>
          </w:p>
        </w:tc>
        <w:tc>
          <w:tcPr>
            <w:tcW w:w="1276" w:type="dxa"/>
            <w:shd w:val="clear" w:color="auto" w:fill="auto"/>
            <w:noWrap/>
          </w:tcPr>
          <w:p w14:paraId="739BFC81"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IgG Fab domain</w:t>
            </w:r>
          </w:p>
        </w:tc>
        <w:tc>
          <w:tcPr>
            <w:tcW w:w="992" w:type="dxa"/>
            <w:shd w:val="clear" w:color="auto" w:fill="auto"/>
            <w:noWrap/>
          </w:tcPr>
          <w:p w14:paraId="4232DB72"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3.5</w:t>
            </w:r>
          </w:p>
        </w:tc>
        <w:tc>
          <w:tcPr>
            <w:tcW w:w="1418" w:type="dxa"/>
            <w:shd w:val="clear" w:color="auto" w:fill="auto"/>
            <w:noWrap/>
          </w:tcPr>
          <w:p w14:paraId="3419848C"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62.5</w:t>
            </w:r>
          </w:p>
        </w:tc>
        <w:tc>
          <w:tcPr>
            <w:tcW w:w="1701" w:type="dxa"/>
            <w:shd w:val="clear" w:color="auto" w:fill="auto"/>
            <w:noWrap/>
          </w:tcPr>
          <w:p w14:paraId="51FECA6C"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w:t>
            </w:r>
            <w:r>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glycine</w:t>
            </w:r>
          </w:p>
        </w:tc>
        <w:tc>
          <w:tcPr>
            <w:tcW w:w="709" w:type="dxa"/>
            <w:shd w:val="clear" w:color="auto" w:fill="auto"/>
            <w:noWrap/>
          </w:tcPr>
          <w:p w14:paraId="36A869BA" w14:textId="77777777" w:rsidR="00ED2E8B" w:rsidRPr="0041345C"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1.4</w:t>
            </w:r>
          </w:p>
        </w:tc>
        <w:tc>
          <w:tcPr>
            <w:tcW w:w="1382" w:type="dxa"/>
            <w:shd w:val="clear" w:color="auto" w:fill="auto"/>
            <w:noWrap/>
          </w:tcPr>
          <w:p w14:paraId="75ECCBE6"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"10.1002/jctb.2657", "ISSN" : "02682575", "author" : [ { "dropping-particle" : "", "family" : "Falconer", "given" : "R J", "non-dropping-particle" : "", "parse-names" : false, "suffix" : "" }, { "dropping-particle" : "", "family" : "Chan", "given" : "C", "non-dropping-particle" : "", "parse-names" : false, "suffix" : "" }, { "dropping-particle" : "", "family" : "Hughes", "given" : "K", "non-dropping-particle" : "", "parse-names" : false, "suffix" : "" }, { "dropping-particle" : "", "family" : "Munro", "given" : "T P", "non-dropping-particle" : "", "parse-names" : false, "suffix" : "" } ], "container-title" : "Journal of Chemical Technology &amp; Biotechnology", "id" : "ITEM-1", "issued" : { "date-parts" : [ [ "2011", "7", "7" ] ] }, "page" : "942-948", "title" : "Stabilization of a monoclonal antibody during purification and formulation by addition of basic amino acid excipients", "type" : "article-journal", "volume" : "86" }, "uris" : [ "http://www.mendeley.com/documents/?uuid=0fd7d4b0-b0a9-40ec-8c2a-8ec42fa3572d" ] } ], "mendeley" : { "formattedCitation" : "(Falconer et al. 2011)", "plainTextFormattedCitation" : "(Falconer et al. 2011)", "previouslyFormattedCitation" : "(Falconer et al. 2011)"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(Falconer et al. 2011)</w:t>
            </w:r>
            <w:r>
              <w:rPr>
                <w:rFonts w:ascii="Calibri" w:eastAsia="Times New Roman" w:hAnsi="Calibri" w:cs="Times New Roman"/>
                <w:color w:val="000000"/>
                <w:sz w:val="20"/>
                <w:szCs w:val="20"/>
                <w:lang w:eastAsia="en-GB"/>
              </w:rPr>
              <w:fldChar w:fldCharType="end"/>
            </w:r>
          </w:p>
        </w:tc>
      </w:tr>
      <w:tr w:rsidR="00DC24F2" w:rsidRPr="00235AE3" w14:paraId="455C1355"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64698765"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Proline</w:t>
            </w:r>
          </w:p>
        </w:tc>
        <w:tc>
          <w:tcPr>
            <w:tcW w:w="1276" w:type="dxa"/>
            <w:shd w:val="clear" w:color="auto" w:fill="auto"/>
            <w:noWrap/>
          </w:tcPr>
          <w:p w14:paraId="3F7C1970"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Lysozyme</w:t>
            </w:r>
          </w:p>
        </w:tc>
        <w:tc>
          <w:tcPr>
            <w:tcW w:w="992" w:type="dxa"/>
            <w:shd w:val="clear" w:color="auto" w:fill="auto"/>
            <w:noWrap/>
          </w:tcPr>
          <w:p w14:paraId="16E8BF2C"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w:t>
            </w:r>
          </w:p>
        </w:tc>
        <w:tc>
          <w:tcPr>
            <w:tcW w:w="1418" w:type="dxa"/>
            <w:shd w:val="clear" w:color="auto" w:fill="auto"/>
            <w:noWrap/>
          </w:tcPr>
          <w:p w14:paraId="79FABA85"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1000</w:t>
            </w:r>
          </w:p>
        </w:tc>
        <w:tc>
          <w:tcPr>
            <w:tcW w:w="1701" w:type="dxa"/>
            <w:shd w:val="clear" w:color="auto" w:fill="auto"/>
            <w:noWrap/>
          </w:tcPr>
          <w:p w14:paraId="22D281B8" w14:textId="77777777" w:rsidR="00ED2E8B" w:rsidRPr="00235AE3" w:rsidRDefault="00374721"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 mM</w:t>
            </w:r>
            <w:r w:rsidR="00ED2E8B" w:rsidRPr="00235AE3">
              <w:rPr>
                <w:rFonts w:ascii="Calibri" w:eastAsia="Times New Roman" w:hAnsi="Calibri" w:cs="Times New Roman"/>
                <w:color w:val="000000"/>
                <w:sz w:val="20"/>
                <w:szCs w:val="20"/>
                <w:lang w:eastAsia="en-GB"/>
              </w:rPr>
              <w:t xml:space="preserve"> NaCl</w:t>
            </w:r>
          </w:p>
        </w:tc>
        <w:tc>
          <w:tcPr>
            <w:tcW w:w="709" w:type="dxa"/>
            <w:shd w:val="clear" w:color="auto" w:fill="auto"/>
            <w:noWrap/>
          </w:tcPr>
          <w:p w14:paraId="00C73E00" w14:textId="77777777" w:rsidR="00ED2E8B" w:rsidRPr="0041345C"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4</w:t>
            </w:r>
          </w:p>
        </w:tc>
        <w:tc>
          <w:tcPr>
            <w:tcW w:w="1382" w:type="dxa"/>
            <w:shd w:val="clear" w:color="auto" w:fill="auto"/>
            <w:noWrap/>
          </w:tcPr>
          <w:p w14:paraId="76A2246B"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"10.1016/S0006-3495(85)83932-1", "ISSN" : "0006-3495", "PMID" : "3978211", "abstract" : "The preferential interactions of lysozyme with solvent components and the effects of solvent additives on its stability were examined for several neutral osmolytes: L-proline, L-serine, gamma-aminobutyric acid, sarcosine, taurine, alpha-alanine, beta-alanine, glycine, betaine, and trimethylamine N-oxide. It was shown that all these substances stabilize the protein structure against thermal denaturation and (except for trimethylamine N-oxide for which interaction measurements could not be made) are strongly excluded from the protein domain, rendering unlikely their direct binding to proteins. On the other hand, valine, not known as an osmolyte, had no stabilizing effect, although it induced a large protein-preferential hydration. A possible explanation is given for the use of these substances as osmotic-pressure-regulating agents in organisms living under high osmotic pressure.", "author" : [ { "dropping-particle" : "", "family" : "Arakawa", "given" : "T", "non-dropping-particle" : "", "parse-names" : false, "suffix" : "" }, { "dropping-particle" : "", "family" : "Timasheff", "given" : "S N", "non-dropping-particle" : "", "parse-names" : false, "suffix" : "" } ], "container-title" : "Biophysical Journal", "id" : "ITEM-1", "issued" : { "date-parts" : [ [ "1985", "3" ] ] }, "page" : "411-414", "title" : "The stabilization of proteins by osmolytes", "type" : "article-journal", "volume" : "47" }, "uris" : [ "http://www.mendeley.com/documents/?uuid=a1e19a58-b0d0-4a61-ada1-8d4bd546989a" ] } ], "mendeley" : { "formattedCitation" : "(Arakawa &amp; Timasheff 1985)", "plainTextFormattedCitation" : "(Arakawa &amp; Timasheff 1985)", "previouslyFormattedCitation" : "(Arakawa &amp; Timasheff 1985)"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(Arakawa &amp; Timasheff 1985)</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52399C8D"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785E8FFF"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Proline</w:t>
            </w:r>
          </w:p>
        </w:tc>
        <w:tc>
          <w:tcPr>
            <w:tcW w:w="1276" w:type="dxa"/>
            <w:shd w:val="clear" w:color="auto" w:fill="auto"/>
            <w:noWrap/>
          </w:tcPr>
          <w:p w14:paraId="5EC72DF5" w14:textId="77777777" w:rsidR="00ED2E8B" w:rsidRPr="00235AE3" w:rsidRDefault="00816A08"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ED2E8B" w:rsidRPr="00235AE3">
              <w:rPr>
                <w:rFonts w:ascii="Calibri" w:eastAsia="Times New Roman" w:hAnsi="Calibri" w:cs="Times New Roman"/>
                <w:color w:val="000000"/>
                <w:sz w:val="20"/>
                <w:szCs w:val="20"/>
                <w:lang w:eastAsia="en-GB"/>
              </w:rPr>
              <w:t>ase A</w:t>
            </w:r>
          </w:p>
        </w:tc>
        <w:tc>
          <w:tcPr>
            <w:tcW w:w="992" w:type="dxa"/>
            <w:shd w:val="clear" w:color="auto" w:fill="auto"/>
            <w:noWrap/>
          </w:tcPr>
          <w:p w14:paraId="1A3B07D1"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4.2</w:t>
            </w:r>
          </w:p>
        </w:tc>
        <w:tc>
          <w:tcPr>
            <w:tcW w:w="1418" w:type="dxa"/>
            <w:shd w:val="clear" w:color="auto" w:fill="auto"/>
            <w:noWrap/>
          </w:tcPr>
          <w:p w14:paraId="65A7A169"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2000</w:t>
            </w:r>
          </w:p>
        </w:tc>
        <w:tc>
          <w:tcPr>
            <w:tcW w:w="1701" w:type="dxa"/>
            <w:shd w:val="clear" w:color="auto" w:fill="auto"/>
            <w:noWrap/>
          </w:tcPr>
          <w:p w14:paraId="6AE813BB" w14:textId="77777777" w:rsidR="00ED2E8B" w:rsidRPr="00235AE3" w:rsidRDefault="00374721" w:rsidP="003747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40 mM acetate</w:t>
            </w:r>
          </w:p>
        </w:tc>
        <w:tc>
          <w:tcPr>
            <w:tcW w:w="709" w:type="dxa"/>
            <w:shd w:val="clear" w:color="auto" w:fill="auto"/>
            <w:noWrap/>
          </w:tcPr>
          <w:p w14:paraId="6449DDEC" w14:textId="77777777" w:rsidR="00ED2E8B" w:rsidRPr="0041345C"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0.2</w:t>
            </w:r>
          </w:p>
        </w:tc>
        <w:tc>
          <w:tcPr>
            <w:tcW w:w="1382" w:type="dxa"/>
            <w:shd w:val="clear" w:color="auto" w:fill="auto"/>
            <w:noWrap/>
          </w:tcPr>
          <w:p w14:paraId="00D3A3A5"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"10.1016/j.bpc.2013.10.004", "ISBN" : "1873-4200 (Electronic)\\r0301-4622 (Linking)", "ISSN" : "03014622", "PMID" : "24292629", "abstract" : "Thermal unfolding of ribonuclease A (RNase) was analyzed in various osmolyte solutions of glycine, proline, sarcosine, N,N-dimethylglycine, betaine, myo-inositol, taurine, and trimethylamine-N-oxide (TMAO). All the osmolytes tested stabilized the protein. The thermal unfolding curve was described well by the van't Hoff equation and the melting temperature and the enthalpy of protein unfolding were obtained. The Wyman-Tanford equation, which describes the unfolded-to-folded protein ratio as a function of water activity, was successfully applied to obtain a linear plot. In consideration of this experimentally obtained linearity, the Wyman-Tanford plot could be integrated to calculate the stabilization free energy of the protein (??????? ???????G) in the solution. The ??????????? ???G was proved to be described by the property of the microstructure around the protein surface, which is composed of the protein hydration, the cosolute-binding, and the preferential exclusion, and the property of the bulk solution; water activity. The m-values of osmolytes for protein unfolding were obtained from ??????????????G calculated. Among the osmolytes tested, myo-inositol showed the highest m-value. ?? 2013 Elsevier Ltd. All rights reserved.", "author" : [ { "dropping-particle" : "", "family" : "Miyawaki", "given" : "O", "non-dropping-particle" : "", "parse-names" : false, "suffix" : "" }, { "dropping-particle" : "", "family" : "Dozen", "given" : "M", "non-dropping-particle" : "", "parse-names" : false, "suffix" : "" }, { "dropping-particle" : "", "family" : "Nomura", "given" : "K", "non-dropping-particle" : "", "parse-names" : false, "suffix" : "" } ], "container-title" : "Biophysical Chemistry", "id" : "ITEM-1", "issued" : { "date-parts" : [ [ "2014" ] ] }, "page" : "19-24", "publisher" : "Elsevier B.V.", "title" : "Thermodynamic analysis of osmolyte effect on thermal stability of ribonuclease A in terms of water activity", "type" : "article-journal", "volume" : "185" }, "uris" : [ "http://www.mendeley.com/documents/?uuid=7914a675-1b34-43aa-92ca-51687220293e" ] } ], "mendeley" : { "formattedCitation" : "(Miyawaki et al. 2014)", "plainTextFormattedCitation" : "(Miyawaki et al. 2014)", "previouslyFormattedCitation" : "(Miyawaki et al. 2014)"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(Miyawaki et al. 2014)</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5311DE5C"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07379C21"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Proline</w:t>
            </w:r>
          </w:p>
        </w:tc>
        <w:tc>
          <w:tcPr>
            <w:tcW w:w="1276" w:type="dxa"/>
            <w:shd w:val="clear" w:color="auto" w:fill="auto"/>
            <w:noWrap/>
          </w:tcPr>
          <w:p w14:paraId="7B6D40D4" w14:textId="77777777" w:rsidR="00ED2E8B" w:rsidRPr="00235AE3" w:rsidRDefault="00816A08"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ED2E8B" w:rsidRPr="00235AE3">
              <w:rPr>
                <w:rFonts w:ascii="Calibri" w:eastAsia="Times New Roman" w:hAnsi="Calibri" w:cs="Times New Roman"/>
                <w:color w:val="000000"/>
                <w:sz w:val="20"/>
                <w:szCs w:val="20"/>
                <w:lang w:eastAsia="en-GB"/>
              </w:rPr>
              <w:t>ase A</w:t>
            </w:r>
          </w:p>
        </w:tc>
        <w:tc>
          <w:tcPr>
            <w:tcW w:w="992" w:type="dxa"/>
            <w:shd w:val="clear" w:color="auto" w:fill="auto"/>
            <w:noWrap/>
          </w:tcPr>
          <w:p w14:paraId="295CF09D"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5.5</w:t>
            </w:r>
          </w:p>
        </w:tc>
        <w:tc>
          <w:tcPr>
            <w:tcW w:w="1418" w:type="dxa"/>
            <w:shd w:val="clear" w:color="auto" w:fill="auto"/>
            <w:noWrap/>
          </w:tcPr>
          <w:p w14:paraId="6D878A94"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2000</w:t>
            </w:r>
          </w:p>
        </w:tc>
        <w:tc>
          <w:tcPr>
            <w:tcW w:w="1701" w:type="dxa"/>
            <w:shd w:val="clear" w:color="auto" w:fill="auto"/>
            <w:noWrap/>
          </w:tcPr>
          <w:p w14:paraId="03DC3DEA" w14:textId="77777777" w:rsidR="00ED2E8B" w:rsidRPr="00235AE3" w:rsidRDefault="00374721" w:rsidP="003747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40 mM acetate</w:t>
            </w:r>
          </w:p>
        </w:tc>
        <w:tc>
          <w:tcPr>
            <w:tcW w:w="709" w:type="dxa"/>
            <w:shd w:val="clear" w:color="auto" w:fill="auto"/>
            <w:noWrap/>
          </w:tcPr>
          <w:p w14:paraId="333FEE16" w14:textId="77777777" w:rsidR="00ED2E8B" w:rsidRPr="0041345C"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2.3</w:t>
            </w:r>
          </w:p>
        </w:tc>
        <w:tc>
          <w:tcPr>
            <w:tcW w:w="1382" w:type="dxa"/>
            <w:shd w:val="clear" w:color="auto" w:fill="auto"/>
            <w:noWrap/>
          </w:tcPr>
          <w:p w14:paraId="369D7EAF"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"10.1016/j.bpc.2013.10.004", "ISBN" : "1873-4200 (Electronic)\\r0301-4622 (Linking)", "ISSN" : "03014622", "PMID" : "24292629", "abstract" : "Thermal unfolding of ribonuclease A (RNase) was analyzed in various osmolyte solutions of glycine, proline, sarcosine, N,N-dimethylglycine, betaine, myo-inositol, taurine, and trimethylamine-N-oxide (TMAO). All the osmolytes tested stabilized the protein. The thermal unfolding curve was described well by the van't Hoff equation and the melting temperature and the enthalpy of protein unfolding were obtained. The Wyman-Tanford equation, which describes the unfolded-to-folded protein ratio as a function of water activity, was successfully applied to obtain a linear plot. In consideration of this experimentally obtained linearity, the Wyman-Tanford plot could be integrated to calculate the stabilization free energy of the protein (??????? ???????G) in the solution. The ??????????? ???G was proved to be described by the property of the microstructure around the protein surface, which is composed of the protein hydration, the cosolute-binding, and the preferential exclusion, and the property of the bulk solution; water activity. The m-values of osmolytes for protein unfolding were obtained from ??????????????G calculated. Among the osmolytes tested, myo-inositol showed the highest m-value. ?? 2013 Elsevier Ltd. All rights reserved.", "author" : [ { "dropping-particle" : "", "family" : "Miyawaki", "given" : "O", "non-dropping-particle" : "", "parse-names" : false, "suffix" : "" }, { "dropping-particle" : "", "family" : "Dozen", "given" : "M", "non-dropping-particle" : "", "parse-names" : false, "suffix" : "" }, { "dropping-particle" : "", "family" : "Nomura", "given" : "K", "non-dropping-particle" : "", "parse-names" : false, "suffix" : "" } ], "container-title" : "Biophysical Chemistry", "id" : "ITEM-1", "issued" : { "date-parts" : [ [ "2014" ] ] }, "page" : "19-24", "publisher" : "Elsevier B.V.", "title" : "Thermodynamic analysis of osmolyte effect on thermal stability of ribonuclease A in terms of water activity", "type" : "article-journal", "volume" : "185" }, "uris" : [ "http://www.mendeley.com/documents/?uuid=7914a675-1b34-43aa-92ca-51687220293e" ] } ], "mendeley" : { "formattedCitation" : "(Miyawaki et al. 2014)", "plainTextFormattedCitation" : "(Miyawaki et al. 2014)", "previouslyFormattedCitation" : "(Miyawaki et al. 2014)"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(Miyawaki et al. 2014)</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41D69939"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6F8C40A4" w14:textId="77777777" w:rsidR="00ED2E8B" w:rsidRPr="00235AE3" w:rsidRDefault="00ED2E8B" w:rsidP="009C5E6B">
            <w:pPr>
              <w:tabs>
                <w:tab w:val="left" w:pos="1020"/>
              </w:tabs>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Proline</w:t>
            </w:r>
            <w:r w:rsidR="00C466F7">
              <w:rPr>
                <w:rFonts w:ascii="Calibri" w:eastAsia="Times New Roman" w:hAnsi="Calibri" w:cs="Times New Roman"/>
                <w:color w:val="000000"/>
                <w:sz w:val="20"/>
                <w:szCs w:val="20"/>
                <w:lang w:eastAsia="en-GB"/>
              </w:rPr>
              <w:tab/>
            </w:r>
          </w:p>
        </w:tc>
        <w:tc>
          <w:tcPr>
            <w:tcW w:w="1276" w:type="dxa"/>
            <w:shd w:val="clear" w:color="auto" w:fill="auto"/>
            <w:noWrap/>
          </w:tcPr>
          <w:p w14:paraId="7298CFE2" w14:textId="77777777" w:rsidR="00ED2E8B" w:rsidRPr="00235AE3" w:rsidRDefault="00816A08"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ED2E8B" w:rsidRPr="00235AE3">
              <w:rPr>
                <w:rFonts w:ascii="Calibri" w:eastAsia="Times New Roman" w:hAnsi="Calibri" w:cs="Times New Roman"/>
                <w:color w:val="000000"/>
                <w:sz w:val="20"/>
                <w:szCs w:val="20"/>
                <w:lang w:eastAsia="en-GB"/>
              </w:rPr>
              <w:t>ase A</w:t>
            </w:r>
          </w:p>
        </w:tc>
        <w:tc>
          <w:tcPr>
            <w:tcW w:w="992" w:type="dxa"/>
            <w:shd w:val="clear" w:color="auto" w:fill="auto"/>
            <w:noWrap/>
          </w:tcPr>
          <w:p w14:paraId="6B6BF820"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6.7</w:t>
            </w:r>
          </w:p>
        </w:tc>
        <w:tc>
          <w:tcPr>
            <w:tcW w:w="1418" w:type="dxa"/>
            <w:shd w:val="clear" w:color="auto" w:fill="auto"/>
            <w:noWrap/>
          </w:tcPr>
          <w:p w14:paraId="281ADA8A"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1000</w:t>
            </w:r>
          </w:p>
        </w:tc>
        <w:tc>
          <w:tcPr>
            <w:tcW w:w="1701" w:type="dxa"/>
            <w:shd w:val="clear" w:color="auto" w:fill="auto"/>
            <w:noWrap/>
          </w:tcPr>
          <w:p w14:paraId="293E9DCD" w14:textId="77777777" w:rsidR="00ED2E8B" w:rsidRPr="00E3274E" w:rsidRDefault="00ED2E8B" w:rsidP="003747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de-DE" w:eastAsia="en-GB"/>
              </w:rPr>
            </w:pPr>
            <w:r w:rsidRPr="00E3274E">
              <w:rPr>
                <w:rFonts w:ascii="Calibri" w:eastAsia="Times New Roman" w:hAnsi="Calibri" w:cs="Times New Roman"/>
                <w:color w:val="000000"/>
                <w:sz w:val="20"/>
                <w:szCs w:val="20"/>
                <w:lang w:val="de-DE" w:eastAsia="en-GB"/>
              </w:rPr>
              <w:t xml:space="preserve">25 mM potassium phosphate, </w:t>
            </w:r>
            <w:r w:rsidR="00374721" w:rsidRPr="00E3274E">
              <w:rPr>
                <w:rFonts w:ascii="Calibri" w:eastAsia="Times New Roman" w:hAnsi="Calibri" w:cs="Times New Roman"/>
                <w:color w:val="000000"/>
                <w:sz w:val="20"/>
                <w:szCs w:val="20"/>
                <w:lang w:val="de-DE" w:eastAsia="en-GB"/>
              </w:rPr>
              <w:t>150 mM</w:t>
            </w:r>
            <w:r w:rsidRPr="00E3274E">
              <w:rPr>
                <w:rFonts w:ascii="Calibri" w:eastAsia="Times New Roman" w:hAnsi="Calibri" w:cs="Times New Roman"/>
                <w:color w:val="000000"/>
                <w:sz w:val="20"/>
                <w:szCs w:val="20"/>
                <w:lang w:val="de-DE" w:eastAsia="en-GB"/>
              </w:rPr>
              <w:t xml:space="preserve"> KCl</w:t>
            </w:r>
          </w:p>
        </w:tc>
        <w:tc>
          <w:tcPr>
            <w:tcW w:w="709" w:type="dxa"/>
            <w:shd w:val="clear" w:color="auto" w:fill="auto"/>
            <w:noWrap/>
          </w:tcPr>
          <w:p w14:paraId="623887C1" w14:textId="77777777" w:rsidR="00ED2E8B" w:rsidRPr="0041345C"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1</w:t>
            </w:r>
          </w:p>
        </w:tc>
        <w:tc>
          <w:tcPr>
            <w:tcW w:w="1382" w:type="dxa"/>
            <w:shd w:val="clear" w:color="auto" w:fill="auto"/>
            <w:noWrap/>
          </w:tcPr>
          <w:p w14:paraId="2DBCDF7D"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"10.1002/jez.1402080202", "ISSN" : "0022-104X", "PMID" : "469480", "abstract" : "The major nitrogenous osmolytes present in the cells of marine invertebrates, notably the free amino acids glycine, alanine and proline, and trimethylamine oxide and betaine, are highly compatible with proper enzyme function and structure. These nitrogenous osmolytes display either non-perturbing or, in some cases, favorable effects on enzyme-substrate and enzyme-cofactor complex formation, catalytic velocity and protein structural stability. In contrast, inorganic salts (KCl and NaCl) and certain of the free amino acids which play only a minor osmotic role, e.g., arginine and lysine, have strongly perturbing effects on one or more of these enzymic parameters. The compatible nitrogenous solutes therefore are suitable for use at high (several tenths molar) concentrations and at widely varying concentrations in osmo-conforming species. Certain nitrogenous solutes, especially trimethylamine oxide, betaine and glutamate, offset some of the perturbing effects of inorganic ions on enzyme function. The selective accumulation of osmolytes thus involves not only the concentration of non-perturbing solutes, but also a balanced accumulation of solutes with opposing effects on enzymes. The selection of end-products of anaerobic metabolism also appears to be based, in part, on considerations of solute compatibility with enzyme function. Octopine is a non-perturbing solute, whereas arginine, which is condensed with pyruvate to form octopine, is very strongly perturbing. Succinate has marked stabilizing effects on protein structure. We conclude that the composition of the intracellular fluids of marine invertebrates reflects selection for osmolytes and end-products whose net effects create a cellular microenvironment which is conducive to optimal enzyme function and structure. The accumulation of compatible solutes may preclude the necessity for widespread changes in protein structure in adapting to concentrated or highly variable osmotic environments.", "author" : [ { "dropping-particle" : "", "family" : "Bowlus", "given" : "R D", "non-dropping-particle" : "", "parse-names" : false, "suffix" : "" }, { "dropping-particle" : "", "family" : "Somero", "given" : "G N", "non-dropping-particle" : "", "parse-names" : false, "suffix" : "" } ], "container-title" : "Journal of Experimental Zoology", "id" : "ITEM-1", "issued" : { "date-parts" : [ [ "1979" ] ] }, "page" : "137-151", "title" : "Solute compatibility with enzyme function and structure: rationales for the selection of osmotic agents and end-products of anaerobic metabolism in marine invertebrates", "type" : "article-journal", "volume" : "208" }, "uris" : [ "http://www.mendeley.com/documents/?uuid=7dde3bd3-612c-4dc0-b5b3-9e57c8eb9a26" ] } ], "mendeley" : { "formattedCitation" : "(Bowlus &amp; Somero 1979)", "plainTextFormattedCitation" : "(Bowlus &amp; Somero 1979)", "previouslyFormattedCitation" : "(Bowlus &amp; Somero 1979)"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(Bowlus &amp; Somero 1979)</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516E300C"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60C0FF3D"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Serine</w:t>
            </w:r>
          </w:p>
        </w:tc>
        <w:tc>
          <w:tcPr>
            <w:tcW w:w="1276" w:type="dxa"/>
            <w:shd w:val="clear" w:color="auto" w:fill="auto"/>
            <w:noWrap/>
          </w:tcPr>
          <w:p w14:paraId="670CB7B3"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Cytochrome c</w:t>
            </w:r>
          </w:p>
        </w:tc>
        <w:tc>
          <w:tcPr>
            <w:tcW w:w="992" w:type="dxa"/>
            <w:shd w:val="clear" w:color="auto" w:fill="auto"/>
            <w:noWrap/>
          </w:tcPr>
          <w:p w14:paraId="6DF0477C"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3</w:t>
            </w:r>
          </w:p>
        </w:tc>
        <w:tc>
          <w:tcPr>
            <w:tcW w:w="1418" w:type="dxa"/>
            <w:shd w:val="clear" w:color="auto" w:fill="auto"/>
            <w:noWrap/>
          </w:tcPr>
          <w:p w14:paraId="35F34ABF"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1000</w:t>
            </w:r>
          </w:p>
        </w:tc>
        <w:tc>
          <w:tcPr>
            <w:tcW w:w="1701" w:type="dxa"/>
            <w:shd w:val="clear" w:color="auto" w:fill="auto"/>
            <w:noWrap/>
          </w:tcPr>
          <w:p w14:paraId="51874E0A" w14:textId="77777777" w:rsidR="00ED2E8B" w:rsidRPr="00235AE3" w:rsidRDefault="00374721" w:rsidP="003747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50 mM citrate &amp; 100 mM</w:t>
            </w:r>
            <w:r w:rsidR="00ED2E8B" w:rsidRPr="00235AE3">
              <w:rPr>
                <w:rFonts w:ascii="Calibri" w:eastAsia="Times New Roman" w:hAnsi="Calibri" w:cs="Times New Roman"/>
                <w:color w:val="000000"/>
                <w:sz w:val="20"/>
                <w:szCs w:val="20"/>
                <w:lang w:eastAsia="en-GB"/>
              </w:rPr>
              <w:t xml:space="preserve"> KCl</w:t>
            </w:r>
          </w:p>
        </w:tc>
        <w:tc>
          <w:tcPr>
            <w:tcW w:w="709" w:type="dxa"/>
            <w:shd w:val="clear" w:color="auto" w:fill="auto"/>
            <w:noWrap/>
          </w:tcPr>
          <w:p w14:paraId="4EC9A881" w14:textId="77777777" w:rsidR="00ED2E8B" w:rsidRPr="0041345C"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3.5</w:t>
            </w:r>
          </w:p>
        </w:tc>
        <w:tc>
          <w:tcPr>
            <w:tcW w:w="1382" w:type="dxa"/>
            <w:shd w:val="clear" w:color="auto" w:fill="auto"/>
            <w:noWrap/>
          </w:tcPr>
          <w:p w14:paraId="295232A8"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054313">
              <w:rPr>
                <w:rFonts w:ascii="Calibri" w:eastAsia="Times New Roman" w:hAnsi="Calibri" w:cs="Times New Roman"/>
                <w:color w:val="000000"/>
                <w:sz w:val="20"/>
                <w:szCs w:val="20"/>
                <w:lang w:eastAsia="en-GB"/>
              </w:rPr>
              <w:instrText>ADDIN CSL_CITATION { "citationItems" : [ { "id" : "ITEM-1", "itemData" : { "ISSN" : "0264-6021", "PMID" : "7945233", "abstract" : "This study is a systematic attempt to understand the roles of osmolytes in protecting proteins against denaturing stress. Thermal denaturation of cytochrome c has been studied in the presence of various concentrations of all L-amino acids that are more hydrophobic than glycine and have a solubility of 0.1 M or higher in water at 25 degrees C. The basic observations are as follows. (1) Arginine and histidine destabilize the native protein; both Tm (the midpoint of thermal transition) and delta GDH2O (25 degrees C) (the Gibbs energy of stabilization) decrease with increasing amino acid concentration. (2) Isoleucine, leucine and phenylalanine have no effect on Tm and deltaGDH2O (25 degrees C). (3) Valine and less hydrophobic amino acids stabilize the protein in terms of Tm but deltaGDH2O (25 degrees C) is unchanged. This observation was confirmed by the study of isothermal denaturation of cytochrome c by guanidinium chloride which suggested that delta GDH2O is independent of osmolyte concentration, but Cm (the midpoint of transition) is increased in their presence. (4) In the case of stabilizers, change in Tm/mol of amino acid decreases with increasing hydrophobicity of these osmolytes.", "author" : [ { "dropping-particle" : "", "family" : "Taneja", "given" : "S", "non-dropping-particle" : "", "parse-names" : false, "suffix" : "" }, { "dropping-particle" : "", "family" : "Ahmad", "given" : "F", "non-dropping-particle" : "", "parse-names" : false, "suffix" : "" } ], "container-title" : "Biochemical Journal", "id" : "ITEM-1", "issued" : { "date-parts" : [ [ "1994", "10", "1" ] ] }, "page" : "147-153", "title" : "Increased thermal stability of proteins in the presence of amino acids", "type" : "article-journal", "volume" : "303" }, "uris" : [ "http://www.mendeley.com/documents/?uuid=58de2c9a-4375-44f3-b3b7-972049f9dc42" ] } ], "mendeley" : { "formattedCitation" : "(Taneja &amp; Ahmad 1994)", "plainTextFormattedCitation" : "(Taneja &amp; Ahmad 1994)", "previouslyFormattedCitation" : "(Taneja &amp; Ahmad 1994)"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BA7232">
              <w:rPr>
                <w:rFonts w:ascii="Calibri" w:eastAsia="Times New Roman" w:hAnsi="Calibri" w:cs="Times New Roman"/>
                <w:noProof/>
                <w:color w:val="000000"/>
                <w:sz w:val="20"/>
                <w:szCs w:val="20"/>
                <w:lang w:eastAsia="en-GB"/>
              </w:rPr>
              <w:t>(Taneja &amp; Ahmad 1994)</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101CC8F9"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0B360E1C"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Serine</w:t>
            </w:r>
          </w:p>
        </w:tc>
        <w:tc>
          <w:tcPr>
            <w:tcW w:w="1276" w:type="dxa"/>
            <w:shd w:val="clear" w:color="auto" w:fill="auto"/>
            <w:noWrap/>
          </w:tcPr>
          <w:p w14:paraId="33C8022B"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IgG Fab domain</w:t>
            </w:r>
          </w:p>
        </w:tc>
        <w:tc>
          <w:tcPr>
            <w:tcW w:w="992" w:type="dxa"/>
            <w:shd w:val="clear" w:color="auto" w:fill="auto"/>
            <w:noWrap/>
          </w:tcPr>
          <w:p w14:paraId="1B07F5BA"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3.5</w:t>
            </w:r>
          </w:p>
        </w:tc>
        <w:tc>
          <w:tcPr>
            <w:tcW w:w="1418" w:type="dxa"/>
            <w:shd w:val="clear" w:color="auto" w:fill="auto"/>
            <w:noWrap/>
          </w:tcPr>
          <w:p w14:paraId="1B6AACB3"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62.5</w:t>
            </w:r>
          </w:p>
        </w:tc>
        <w:tc>
          <w:tcPr>
            <w:tcW w:w="1701" w:type="dxa"/>
            <w:shd w:val="clear" w:color="auto" w:fill="auto"/>
            <w:noWrap/>
          </w:tcPr>
          <w:p w14:paraId="6670177B"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w:t>
            </w:r>
            <w:r>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glycine</w:t>
            </w:r>
          </w:p>
        </w:tc>
        <w:tc>
          <w:tcPr>
            <w:tcW w:w="709" w:type="dxa"/>
            <w:shd w:val="clear" w:color="auto" w:fill="auto"/>
            <w:noWrap/>
          </w:tcPr>
          <w:p w14:paraId="7541BC52" w14:textId="77777777" w:rsidR="00ED2E8B" w:rsidRPr="0041345C"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3.7</w:t>
            </w:r>
          </w:p>
        </w:tc>
        <w:tc>
          <w:tcPr>
            <w:tcW w:w="1382" w:type="dxa"/>
            <w:shd w:val="clear" w:color="auto" w:fill="auto"/>
            <w:noWrap/>
          </w:tcPr>
          <w:p w14:paraId="75E2928B"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"10.1002/jctb.2657", "ISSN" : "02682575", "author" : [ { "dropping-particle" : "", "family" : "Falconer", "given" : "R J", "non-dropping-particle" : "", "parse-names" : false, "suffix" : "" }, { "dropping-particle" : "", "family" : "Chan", "given" : "C", "non-dropping-particle" : "", "parse-names" : false, "suffix" : "" }, { "dropping-particle" : "", "family" : "Hughes", "given" : "K", "non-dropping-particle" : "", "parse-names" : false, "suffix" : "" }, { "dropping-particle" : "", "family" : "Munro", "given" : "T P", "non-dropping-particle" : "", "parse-names" : false, "suffix" : "" } ], "container-title" : "Journal of Chemical Technology &amp; Biotechnology", "id" : "ITEM-1", "issued" : { "date-parts" : [ [ "2011", "7", "7" ] ] }, "page" : "942-948", "title" : "Stabilization of a monoclonal antibody during purification and formulation by addition of basic amino acid excipients", "type" : "article-journal", "volume" : "86" }, "uris" : [ "http://www.mendeley.com/documents/?uuid=0fd7d4b0-b0a9-40ec-8c2a-8ec42fa3572d" ] } ], "mendeley" : { "formattedCitation" : "(Falconer et al. 2011)", "plainTextFormattedCitation" : "(Falconer et al. 2011)", "previouslyFormattedCitation" : "(Falconer et al. 2011)"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BA7232">
              <w:rPr>
                <w:rFonts w:ascii="Calibri" w:eastAsia="Times New Roman" w:hAnsi="Calibri" w:cs="Times New Roman"/>
                <w:noProof/>
                <w:color w:val="000000"/>
                <w:sz w:val="20"/>
                <w:szCs w:val="20"/>
                <w:lang w:eastAsia="en-GB"/>
              </w:rPr>
              <w:t>(Falconer et al. 2011)</w:t>
            </w:r>
            <w:r>
              <w:rPr>
                <w:rFonts w:ascii="Calibri" w:eastAsia="Times New Roman" w:hAnsi="Calibri" w:cs="Times New Roman"/>
                <w:color w:val="000000"/>
                <w:sz w:val="20"/>
                <w:szCs w:val="20"/>
                <w:lang w:eastAsia="en-GB"/>
              </w:rPr>
              <w:fldChar w:fldCharType="end"/>
            </w:r>
          </w:p>
        </w:tc>
      </w:tr>
      <w:tr w:rsidR="00DC24F2" w:rsidRPr="00235AE3" w14:paraId="3728368D"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3B56B047"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Serine</w:t>
            </w:r>
          </w:p>
        </w:tc>
        <w:tc>
          <w:tcPr>
            <w:tcW w:w="1276" w:type="dxa"/>
            <w:shd w:val="clear" w:color="auto" w:fill="auto"/>
            <w:noWrap/>
          </w:tcPr>
          <w:p w14:paraId="07B57A00"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Lysozyme</w:t>
            </w:r>
          </w:p>
        </w:tc>
        <w:tc>
          <w:tcPr>
            <w:tcW w:w="992" w:type="dxa"/>
            <w:shd w:val="clear" w:color="auto" w:fill="auto"/>
            <w:noWrap/>
          </w:tcPr>
          <w:p w14:paraId="5815FC2F"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w:t>
            </w:r>
          </w:p>
        </w:tc>
        <w:tc>
          <w:tcPr>
            <w:tcW w:w="1418" w:type="dxa"/>
            <w:shd w:val="clear" w:color="auto" w:fill="auto"/>
            <w:noWrap/>
          </w:tcPr>
          <w:p w14:paraId="5E787B07"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1000</w:t>
            </w:r>
          </w:p>
        </w:tc>
        <w:tc>
          <w:tcPr>
            <w:tcW w:w="1701" w:type="dxa"/>
            <w:shd w:val="clear" w:color="auto" w:fill="auto"/>
            <w:noWrap/>
          </w:tcPr>
          <w:p w14:paraId="4F14A138" w14:textId="77777777" w:rsidR="00ED2E8B" w:rsidRPr="00235AE3" w:rsidRDefault="00374721"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 mM</w:t>
            </w:r>
            <w:r w:rsidR="00ED2E8B" w:rsidRPr="00235AE3">
              <w:rPr>
                <w:rFonts w:ascii="Calibri" w:eastAsia="Times New Roman" w:hAnsi="Calibri" w:cs="Times New Roman"/>
                <w:color w:val="000000"/>
                <w:sz w:val="20"/>
                <w:szCs w:val="20"/>
                <w:lang w:eastAsia="en-GB"/>
              </w:rPr>
              <w:t xml:space="preserve"> NaCl</w:t>
            </w:r>
          </w:p>
        </w:tc>
        <w:tc>
          <w:tcPr>
            <w:tcW w:w="709" w:type="dxa"/>
            <w:shd w:val="clear" w:color="auto" w:fill="auto"/>
            <w:noWrap/>
          </w:tcPr>
          <w:p w14:paraId="6579CDD7" w14:textId="77777777" w:rsidR="00ED2E8B" w:rsidRPr="0041345C"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7</w:t>
            </w:r>
          </w:p>
        </w:tc>
        <w:tc>
          <w:tcPr>
            <w:tcW w:w="1382" w:type="dxa"/>
            <w:shd w:val="clear" w:color="auto" w:fill="auto"/>
            <w:noWrap/>
          </w:tcPr>
          <w:p w14:paraId="0CDA8B8C"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"10.1016/S0006-3495(85)83932-1", "ISSN" : "0006-3495", "PMID" : "3978211", "abstract" : "The preferential interactions of lysozyme with solvent components and the effects of solvent additives on its stability were examined for several neutral osmolytes: L-proline, L-serine, gamma-aminobutyric acid, sarcosine, taurine, alpha-alanine, beta-alanine, glycine, betaine, and trimethylamine N-oxide. It was shown that all these substances stabilize the protein structure against thermal denaturation and (except for trimethylamine N-oxide for which interaction measurements could not be made) are strongly excluded from the protein domain, rendering unlikely their direct binding to proteins. On the other hand, valine, not known as an osmolyte, had no stabilizing effect, although it induced a large protein-preferential hydration. A possible explanation is given for the use of these substances as osmotic-pressure-regulating agents in organisms living under high osmotic pressure.", "author" : [ { "dropping-particle" : "", "family" : "Arakawa", "given" : "T", "non-dropping-particle" : "", "parse-names" : false, "suffix" : "" }, { "dropping-particle" : "", "family" : "Timasheff", "given" : "S N", "non-dropping-particle" : "", "parse-names" : false, "suffix" : "" } ], "container-title" : "Biophysical Journal", "id" : "ITEM-1", "issued" : { "date-parts" : [ [ "1985", "3" ] ] }, "page" : "411-414", "title" : "The stabilization of proteins by osmolytes", "type" : "article-journal", "volume" : "47" }, "uris" : [ "http://www.mendeley.com/documents/?uuid=a1e19a58-b0d0-4a61-ada1-8d4bd546989a" ] } ], "mendeley" : { "formattedCitation" : "(Arakawa &amp; Timasheff 1985)", "plainTextFormattedCitation" : "(Arakawa &amp; Timasheff 1985)", "previouslyFormattedCitation" : "(Arakawa &amp; Timasheff 1985)"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BA7232">
              <w:rPr>
                <w:rFonts w:ascii="Calibri" w:eastAsia="Times New Roman" w:hAnsi="Calibri" w:cs="Times New Roman"/>
                <w:noProof/>
                <w:color w:val="000000"/>
                <w:sz w:val="20"/>
                <w:szCs w:val="20"/>
                <w:lang w:eastAsia="en-GB"/>
              </w:rPr>
              <w:t>(Arakawa &amp; Timasheff 1985)</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661840B7"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1CC19E02"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Taurine</w:t>
            </w:r>
          </w:p>
        </w:tc>
        <w:tc>
          <w:tcPr>
            <w:tcW w:w="1276" w:type="dxa"/>
            <w:shd w:val="clear" w:color="auto" w:fill="auto"/>
            <w:noWrap/>
          </w:tcPr>
          <w:p w14:paraId="4AD783F3" w14:textId="77777777" w:rsidR="00ED2E8B" w:rsidRPr="00235AE3" w:rsidRDefault="00816A08"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ED2E8B" w:rsidRPr="00235AE3">
              <w:rPr>
                <w:rFonts w:ascii="Calibri" w:eastAsia="Times New Roman" w:hAnsi="Calibri" w:cs="Times New Roman"/>
                <w:color w:val="000000"/>
                <w:sz w:val="20"/>
                <w:szCs w:val="20"/>
                <w:lang w:eastAsia="en-GB"/>
              </w:rPr>
              <w:t>ase A</w:t>
            </w:r>
          </w:p>
        </w:tc>
        <w:tc>
          <w:tcPr>
            <w:tcW w:w="992" w:type="dxa"/>
            <w:shd w:val="clear" w:color="auto" w:fill="auto"/>
            <w:noWrap/>
          </w:tcPr>
          <w:p w14:paraId="48EDD738"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4.2</w:t>
            </w:r>
          </w:p>
        </w:tc>
        <w:tc>
          <w:tcPr>
            <w:tcW w:w="1418" w:type="dxa"/>
            <w:shd w:val="clear" w:color="auto" w:fill="auto"/>
            <w:noWrap/>
          </w:tcPr>
          <w:p w14:paraId="6766664B"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600</w:t>
            </w:r>
          </w:p>
        </w:tc>
        <w:tc>
          <w:tcPr>
            <w:tcW w:w="1701" w:type="dxa"/>
            <w:shd w:val="clear" w:color="auto" w:fill="auto"/>
            <w:noWrap/>
          </w:tcPr>
          <w:p w14:paraId="5E6F3B1D" w14:textId="77777777" w:rsidR="00ED2E8B" w:rsidRPr="00235AE3" w:rsidRDefault="00374721"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40 mM acetate</w:t>
            </w:r>
          </w:p>
        </w:tc>
        <w:tc>
          <w:tcPr>
            <w:tcW w:w="709" w:type="dxa"/>
            <w:shd w:val="clear" w:color="auto" w:fill="auto"/>
            <w:noWrap/>
          </w:tcPr>
          <w:p w14:paraId="6C3BA8A4" w14:textId="77777777" w:rsidR="00ED2E8B" w:rsidRPr="0041345C"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0.2</w:t>
            </w:r>
          </w:p>
        </w:tc>
        <w:tc>
          <w:tcPr>
            <w:tcW w:w="1382" w:type="dxa"/>
            <w:shd w:val="clear" w:color="auto" w:fill="auto"/>
            <w:noWrap/>
          </w:tcPr>
          <w:p w14:paraId="47C18501"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"10.1016/j.bpc.2013.10.004", "ISBN" : "1873-4200 (Electronic)\\r0301-4622 (Linking)", "ISSN" : "03014622", "PMID" : "24292629", "abstract" : "Thermal unfolding of ribonuclease A (RNase) was analyzed in various osmolyte solutions of glycine, proline, sarcosine, N,N-dimethylglycine, betaine, myo-inositol, taurine, and trimethylamine-N-oxide (TMAO). All the osmolytes tested stabilized the protein. The thermal unfolding curve was described well by the van't Hoff equation and the melting temperature and the enthalpy of protein unfolding were obtained. The Wyman-Tanford equation, which describes the unfolded-to-folded protein ratio as a function of water activity, was successfully applied to obtain a linear plot. In consideration of this experimentally obtained linearity, the Wyman-Tanford plot could be integrated to calculate the stabilization free energy of the protein (??????? ???????G) in the solution. The ??????????? ???G was proved to be described by the property of the microstructure around the protein surface, which is composed of the protein hydration, the cosolute-binding, and the preferential exclusion, and the property of the bulk solution; water activity. The m-values of osmolytes for protein unfolding were obtained from ??????????????G calculated. Among the osmolytes tested, myo-inositol showed the highest m-value. ?? 2013 Elsevier Ltd. All rights reserved.", "author" : [ { "dropping-particle" : "", "family" : "Miyawaki", "given" : "O", "non-dropping-particle" : "", "parse-names" : false, "suffix" : "" }, { "dropping-particle" : "", "family" : "Dozen", "given" : "M", "non-dropping-particle" : "", "parse-names" : false, "suffix" : "" }, { "dropping-particle" : "", "family" : "Nomura", "given" : "K", "non-dropping-particle" : "", "parse-names" : false, "suffix" : "" } ], "container-title" : "Biophysical Chemistry", "id" : "ITEM-1", "issued" : { "date-parts" : [ [ "2014" ] ] }, "page" : "19-24", "publisher" : "Elsevier B.V.", "title" : "Thermodynamic analysis of osmolyte effect on thermal stability of ribonuclease A in terms of water activity", "type" : "article-journal", "volume" : "185" }, "uris" : [ "http://www.mendeley.com/documents/?uuid=7914a675-1b34-43aa-92ca-51687220293e" ] } ], "mendeley" : { "formattedCitation" : "(Miyawaki et al. 2014)", "plainTextFormattedCitation" : "(Miyawaki et al. 2014)", "previouslyFormattedCitation" : "(Miyawaki et al. 2014)"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BA7232">
              <w:rPr>
                <w:rFonts w:ascii="Calibri" w:eastAsia="Times New Roman" w:hAnsi="Calibri" w:cs="Times New Roman"/>
                <w:noProof/>
                <w:color w:val="000000"/>
                <w:sz w:val="20"/>
                <w:szCs w:val="20"/>
                <w:lang w:eastAsia="en-GB"/>
              </w:rPr>
              <w:t>(Miyawaki et al. 2014)</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3F1B1A7A"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4B77A604"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Taurine</w:t>
            </w:r>
          </w:p>
        </w:tc>
        <w:tc>
          <w:tcPr>
            <w:tcW w:w="1276" w:type="dxa"/>
            <w:shd w:val="clear" w:color="auto" w:fill="auto"/>
            <w:noWrap/>
          </w:tcPr>
          <w:p w14:paraId="4828B2C2" w14:textId="77777777" w:rsidR="00ED2E8B" w:rsidRPr="00235AE3" w:rsidRDefault="00816A08"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ED2E8B" w:rsidRPr="00235AE3">
              <w:rPr>
                <w:rFonts w:ascii="Calibri" w:eastAsia="Times New Roman" w:hAnsi="Calibri" w:cs="Times New Roman"/>
                <w:color w:val="000000"/>
                <w:sz w:val="20"/>
                <w:szCs w:val="20"/>
                <w:lang w:eastAsia="en-GB"/>
              </w:rPr>
              <w:t>ase A</w:t>
            </w:r>
          </w:p>
        </w:tc>
        <w:tc>
          <w:tcPr>
            <w:tcW w:w="992" w:type="dxa"/>
            <w:shd w:val="clear" w:color="auto" w:fill="auto"/>
            <w:noWrap/>
          </w:tcPr>
          <w:p w14:paraId="5C5E8501"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5.5</w:t>
            </w:r>
          </w:p>
        </w:tc>
        <w:tc>
          <w:tcPr>
            <w:tcW w:w="1418" w:type="dxa"/>
            <w:shd w:val="clear" w:color="auto" w:fill="auto"/>
            <w:noWrap/>
          </w:tcPr>
          <w:p w14:paraId="312170F9"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600</w:t>
            </w:r>
          </w:p>
        </w:tc>
        <w:tc>
          <w:tcPr>
            <w:tcW w:w="1701" w:type="dxa"/>
            <w:shd w:val="clear" w:color="auto" w:fill="auto"/>
            <w:noWrap/>
          </w:tcPr>
          <w:p w14:paraId="6AF7D2BA" w14:textId="77777777" w:rsidR="00ED2E8B" w:rsidRPr="00235AE3" w:rsidRDefault="00374721"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40 mM acetate</w:t>
            </w:r>
          </w:p>
        </w:tc>
        <w:tc>
          <w:tcPr>
            <w:tcW w:w="709" w:type="dxa"/>
            <w:shd w:val="clear" w:color="auto" w:fill="auto"/>
            <w:noWrap/>
          </w:tcPr>
          <w:p w14:paraId="405C1458" w14:textId="77777777" w:rsidR="00ED2E8B" w:rsidRPr="0041345C"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0.9</w:t>
            </w:r>
          </w:p>
        </w:tc>
        <w:tc>
          <w:tcPr>
            <w:tcW w:w="1382" w:type="dxa"/>
            <w:shd w:val="clear" w:color="auto" w:fill="auto"/>
            <w:noWrap/>
          </w:tcPr>
          <w:p w14:paraId="278547AA"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"10.1016/j.bpc.2013.10.004", "ISBN" : "1873-4200 (Electronic)\\r0301-4622 (Linking)", "ISSN" : "03014622", "PMID" : "24292629", "abstract" : "Thermal unfolding of ribonuclease A (RNase) was analyzed in various osmolyte solutions of glycine, proline, sarcosine, N,N-dimethylglycine, betaine, myo-inositol, taurine, and trimethylamine-N-oxide (TMAO). All the osmolytes tested stabilized the protein. The thermal unfolding curve was described well by the van't Hoff equation and the melting temperature and the enthalpy of protein unfolding were obtained. The Wyman-Tanford equation, which describes the unfolded-to-folded protein ratio as a function of water activity, was successfully applied to obtain a linear plot. In consideration of this experimentally obtained linearity, the Wyman-Tanford plot could be integrated to calculate the stabilization free energy of the protein (??????? ???????G) in the solution. The ??????????? ???G was proved to be described by the property of the microstructure around the protein surface, which is composed of the protein hydration, the cosolute-binding, and the preferential exclusion, and the property of the bulk solution; water activity. The m-values of osmolytes for protein unfolding were obtained from ??????????????G calculated. Among the osmolytes tested, myo-inositol showed the highest m-value. ?? 2013 Elsevier Ltd. All rights reserved.", "author" : [ { "dropping-particle" : "", "family" : "Miyawaki", "given" : "O", "non-dropping-particle" : "", "parse-names" : false, "suffix" : "" }, { "dropping-particle" : "", "family" : "Dozen", "given" : "M", "non-dropping-particle" : "", "parse-names" : false, "suffix" : "" }, { "dropping-particle" : "", "family" : "Nomura", "given" : "K", "non-dropping-particle" : "", "parse-names" : false, "suffix" : "" } ], "container-title" : "Biophysical Chemistry", "id" : "ITEM-1", "issued" : { "date-parts" : [ [ "2014" ] ] }, "page" : "19-24", "publisher" : "Elsevier B.V.", "title" : "Thermodynamic analysis of osmolyte effect on thermal stability of ribonuclease A in terms of water activity", "type" : "article-journal", "volume" : "185" }, "uris" : [ "http://www.mendeley.com/documents/?uuid=7914a675-1b34-43aa-92ca-51687220293e" ] } ], "mendeley" : { "formattedCitation" : "(Miyawaki et al. 2014)", "plainTextFormattedCitation" : "(Miyawaki et al. 2014)", "previouslyFormattedCitation" : "(Miyawaki et al. 2014)"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BA7232">
              <w:rPr>
                <w:rFonts w:ascii="Calibri" w:eastAsia="Times New Roman" w:hAnsi="Calibri" w:cs="Times New Roman"/>
                <w:noProof/>
                <w:color w:val="000000"/>
                <w:sz w:val="20"/>
                <w:szCs w:val="20"/>
                <w:lang w:eastAsia="en-GB"/>
              </w:rPr>
              <w:t>(Miyawaki et al. 2014)</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6E25BBC4"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0DD38C5F"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lastRenderedPageBreak/>
              <w:t>Taurine</w:t>
            </w:r>
          </w:p>
        </w:tc>
        <w:tc>
          <w:tcPr>
            <w:tcW w:w="1276" w:type="dxa"/>
            <w:shd w:val="clear" w:color="auto" w:fill="auto"/>
            <w:noWrap/>
          </w:tcPr>
          <w:p w14:paraId="07BCC805" w14:textId="77777777" w:rsidR="00ED2E8B" w:rsidRPr="00235AE3" w:rsidRDefault="00816A08"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ED2E8B" w:rsidRPr="00235AE3">
              <w:rPr>
                <w:rFonts w:ascii="Calibri" w:eastAsia="Times New Roman" w:hAnsi="Calibri" w:cs="Times New Roman"/>
                <w:color w:val="000000"/>
                <w:sz w:val="20"/>
                <w:szCs w:val="20"/>
                <w:lang w:eastAsia="en-GB"/>
              </w:rPr>
              <w:t>ase A</w:t>
            </w:r>
          </w:p>
        </w:tc>
        <w:tc>
          <w:tcPr>
            <w:tcW w:w="992" w:type="dxa"/>
            <w:shd w:val="clear" w:color="auto" w:fill="auto"/>
            <w:noWrap/>
          </w:tcPr>
          <w:p w14:paraId="7052216F"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6.7</w:t>
            </w:r>
          </w:p>
        </w:tc>
        <w:tc>
          <w:tcPr>
            <w:tcW w:w="1418" w:type="dxa"/>
            <w:shd w:val="clear" w:color="auto" w:fill="auto"/>
            <w:noWrap/>
          </w:tcPr>
          <w:p w14:paraId="19D99351"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w:t>
            </w:r>
          </w:p>
        </w:tc>
        <w:tc>
          <w:tcPr>
            <w:tcW w:w="1701" w:type="dxa"/>
            <w:shd w:val="clear" w:color="auto" w:fill="auto"/>
            <w:noWrap/>
          </w:tcPr>
          <w:p w14:paraId="4AF544CB" w14:textId="77777777" w:rsidR="00ED2E8B" w:rsidRPr="00E3274E" w:rsidRDefault="00ED2E8B" w:rsidP="003747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de-DE" w:eastAsia="en-GB"/>
              </w:rPr>
            </w:pPr>
            <w:r w:rsidRPr="00E3274E">
              <w:rPr>
                <w:rFonts w:ascii="Calibri" w:eastAsia="Times New Roman" w:hAnsi="Calibri" w:cs="Times New Roman"/>
                <w:color w:val="000000"/>
                <w:sz w:val="20"/>
                <w:szCs w:val="20"/>
                <w:lang w:val="de-DE" w:eastAsia="en-GB"/>
              </w:rPr>
              <w:t xml:space="preserve">25 mM potassium phosphate, </w:t>
            </w:r>
            <w:r w:rsidR="00374721" w:rsidRPr="00E3274E">
              <w:rPr>
                <w:rFonts w:ascii="Calibri" w:eastAsia="Times New Roman" w:hAnsi="Calibri" w:cs="Times New Roman"/>
                <w:color w:val="000000"/>
                <w:sz w:val="20"/>
                <w:szCs w:val="20"/>
                <w:lang w:val="de-DE" w:eastAsia="en-GB"/>
              </w:rPr>
              <w:t>150 m</w:t>
            </w:r>
            <w:r w:rsidRPr="00E3274E">
              <w:rPr>
                <w:rFonts w:ascii="Calibri" w:eastAsia="Times New Roman" w:hAnsi="Calibri" w:cs="Times New Roman"/>
                <w:color w:val="000000"/>
                <w:sz w:val="20"/>
                <w:szCs w:val="20"/>
                <w:lang w:val="de-DE" w:eastAsia="en-GB"/>
              </w:rPr>
              <w:t>M KCl</w:t>
            </w:r>
          </w:p>
        </w:tc>
        <w:tc>
          <w:tcPr>
            <w:tcW w:w="709" w:type="dxa"/>
            <w:shd w:val="clear" w:color="auto" w:fill="auto"/>
            <w:noWrap/>
          </w:tcPr>
          <w:p w14:paraId="3E5D0CB1" w14:textId="77777777" w:rsidR="00ED2E8B" w:rsidRPr="0041345C"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0.2</w:t>
            </w:r>
          </w:p>
        </w:tc>
        <w:tc>
          <w:tcPr>
            <w:tcW w:w="1382" w:type="dxa"/>
            <w:shd w:val="clear" w:color="auto" w:fill="auto"/>
            <w:noWrap/>
          </w:tcPr>
          <w:p w14:paraId="12BCC030"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"10.1002/jez.1402080202", "ISSN" : "0022-104X", "PMID" : "469480", "abstract" : "The major nitrogenous osmolytes present in the cells of marine invertebrates, notably the free amino acids glycine, alanine and proline, and trimethylamine oxide and betaine, are highly compatible with proper enzyme function and structure. These nitrogenous osmolytes display either non-perturbing or, in some cases, favorable effects on enzyme-substrate and enzyme-cofactor complex formation, catalytic velocity and protein structural stability. In contrast, inorganic salts (KCl and NaCl) and certain of the free amino acids which play only a minor osmotic role, e.g., arginine and lysine, have strongly perturbing effects on one or more of these enzymic parameters. The compatible nitrogenous solutes therefore are suitable for use at high (several tenths molar) concentrations and at widely varying concentrations in osmo-conforming species. Certain nitrogenous solutes, especially trimethylamine oxide, betaine and glutamate, offset some of the perturbing effects of inorganic ions on enzyme function. The selective accumulation of osmolytes thus involves not only the concentration of non-perturbing solutes, but also a balanced accumulation of solutes with opposing effects on enzymes. The selection of end-products of anaerobic metabolism also appears to be based, in part, on considerations of solute compatibility with enzyme function. Octopine is a non-perturbing solute, whereas arginine, which is condensed with pyruvate to form octopine, is very strongly perturbing. Succinate has marked stabilizing effects on protein structure. We conclude that the composition of the intracellular fluids of marine invertebrates reflects selection for osmolytes and end-products whose net effects create a cellular microenvironment which is conducive to optimal enzyme function and structure. The accumulation of compatible solutes may preclude the necessity for widespread changes in protein structure in adapting to concentrated or highly variable osmotic environments.", "author" : [ { "dropping-particle" : "", "family" : "Bowlus", "given" : "R D", "non-dropping-particle" : "", "parse-names" : false, "suffix" : "" }, { "dropping-particle" : "", "family" : "Somero", "given" : "G N", "non-dropping-particle" : "", "parse-names" : false, "suffix" : "" } ], "container-title" : "Journal of Experimental Zoology", "id" : "ITEM-1", "issued" : { "date-parts" : [ [ "1979" ] ] }, "page" : "137-151", "title" : "Solute compatibility with enzyme function and structure: rationales for the selection of osmotic agents and end-products of anaerobic metabolism in marine invertebrates", "type" : "article-journal", "volume" : "208" }, "uris" : [ "http://www.mendeley.com/documents/?uuid=7dde3bd3-612c-4dc0-b5b3-9e57c8eb9a26" ] } ], "mendeley" : { "formattedCitation" : "(Bowlus &amp; Somero 1979)", "plainTextFormattedCitation" : "(Bowlus &amp; Somero 1979)", "previouslyFormattedCitation" : "(Bowlus &amp; Somero 1979)"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BA7232">
              <w:rPr>
                <w:rFonts w:ascii="Calibri" w:eastAsia="Times New Roman" w:hAnsi="Calibri" w:cs="Times New Roman"/>
                <w:noProof/>
                <w:color w:val="000000"/>
                <w:sz w:val="20"/>
                <w:szCs w:val="20"/>
                <w:lang w:eastAsia="en-GB"/>
              </w:rPr>
              <w:t>(Bowlus &amp; Somero 1979)</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23F97415"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38A12F3C"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Valine</w:t>
            </w:r>
          </w:p>
        </w:tc>
        <w:tc>
          <w:tcPr>
            <w:tcW w:w="1276" w:type="dxa"/>
            <w:shd w:val="clear" w:color="auto" w:fill="auto"/>
            <w:noWrap/>
          </w:tcPr>
          <w:p w14:paraId="1A9DF355"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Cytochrome c</w:t>
            </w:r>
          </w:p>
        </w:tc>
        <w:tc>
          <w:tcPr>
            <w:tcW w:w="992" w:type="dxa"/>
            <w:shd w:val="clear" w:color="auto" w:fill="auto"/>
            <w:noWrap/>
          </w:tcPr>
          <w:p w14:paraId="388CB1E3"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3</w:t>
            </w:r>
          </w:p>
        </w:tc>
        <w:tc>
          <w:tcPr>
            <w:tcW w:w="1418" w:type="dxa"/>
            <w:shd w:val="clear" w:color="auto" w:fill="auto"/>
            <w:noWrap/>
          </w:tcPr>
          <w:p w14:paraId="0891192D"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300</w:t>
            </w:r>
          </w:p>
        </w:tc>
        <w:tc>
          <w:tcPr>
            <w:tcW w:w="1701" w:type="dxa"/>
            <w:shd w:val="clear" w:color="auto" w:fill="auto"/>
            <w:noWrap/>
          </w:tcPr>
          <w:p w14:paraId="417F804E" w14:textId="77777777" w:rsidR="00ED2E8B" w:rsidRPr="00235AE3" w:rsidRDefault="00374721" w:rsidP="003747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50 mM</w:t>
            </w:r>
            <w:r w:rsidR="00ED2E8B" w:rsidRPr="00235AE3">
              <w:rPr>
                <w:rFonts w:ascii="Calibri" w:eastAsia="Times New Roman" w:hAnsi="Calibri" w:cs="Times New Roman"/>
                <w:color w:val="000000"/>
                <w:sz w:val="20"/>
                <w:szCs w:val="20"/>
                <w:lang w:eastAsia="en-GB"/>
              </w:rPr>
              <w:t xml:space="preserve"> citrate &amp; </w:t>
            </w:r>
            <w:r>
              <w:rPr>
                <w:rFonts w:ascii="Calibri" w:eastAsia="Times New Roman" w:hAnsi="Calibri" w:cs="Times New Roman"/>
                <w:color w:val="000000"/>
                <w:sz w:val="20"/>
                <w:szCs w:val="20"/>
                <w:lang w:eastAsia="en-GB"/>
              </w:rPr>
              <w:t>100 mM</w:t>
            </w:r>
            <w:r w:rsidR="00ED2E8B" w:rsidRPr="00235AE3">
              <w:rPr>
                <w:rFonts w:ascii="Calibri" w:eastAsia="Times New Roman" w:hAnsi="Calibri" w:cs="Times New Roman"/>
                <w:color w:val="000000"/>
                <w:sz w:val="20"/>
                <w:szCs w:val="20"/>
                <w:lang w:eastAsia="en-GB"/>
              </w:rPr>
              <w:t xml:space="preserve"> KCl</w:t>
            </w:r>
          </w:p>
        </w:tc>
        <w:tc>
          <w:tcPr>
            <w:tcW w:w="709" w:type="dxa"/>
            <w:shd w:val="clear" w:color="auto" w:fill="auto"/>
            <w:noWrap/>
          </w:tcPr>
          <w:p w14:paraId="536A0993" w14:textId="77777777" w:rsidR="00ED2E8B" w:rsidRPr="0041345C"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1.8</w:t>
            </w:r>
          </w:p>
        </w:tc>
        <w:tc>
          <w:tcPr>
            <w:tcW w:w="1382" w:type="dxa"/>
            <w:shd w:val="clear" w:color="auto" w:fill="auto"/>
            <w:noWrap/>
          </w:tcPr>
          <w:p w14:paraId="25FE330E"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054313">
              <w:rPr>
                <w:rFonts w:ascii="Calibri" w:eastAsia="Times New Roman" w:hAnsi="Calibri" w:cs="Times New Roman"/>
                <w:color w:val="000000"/>
                <w:sz w:val="20"/>
                <w:szCs w:val="20"/>
                <w:lang w:eastAsia="en-GB"/>
              </w:rPr>
              <w:instrText>ADDIN CSL_CITATION { "citationItems" : [ { "id" : "ITEM-1", "itemData" : { "ISSN" : "0264-6021", "PMID" : "7945233", "abstract" : "This study is a systematic attempt to understand the roles of osmolytes in protecting proteins against denaturing stress. Thermal denaturation of cytochrome c has been studied in the presence of various concentrations of all L-amino acids that are more hydrophobic than glycine and have a solubility of 0.1 M or higher in water at 25 degrees C. The basic observations are as follows. (1) Arginine and histidine destabilize the native protein; both Tm (the midpoint of thermal transition) and delta GDH2O (25 degrees C) (the Gibbs energy of stabilization) decrease with increasing amino acid concentration. (2) Isoleucine, leucine and phenylalanine have no effect on Tm and deltaGDH2O (25 degrees C). (3) Valine and less hydrophobic amino acids stabilize the protein in terms of Tm but deltaGDH2O (25 degrees C) is unchanged. This observation was confirmed by the study of isothermal denaturation of cytochrome c by guanidinium chloride which suggested that delta GDH2O is independent of osmolyte concentration, but Cm (the midpoint of transition) is increased in their presence. (4) In the case of stabilizers, change in Tm/mol of amino acid decreases with increasing hydrophobicity of these osmolytes.", "author" : [ { "dropping-particle" : "", "family" : "Taneja", "given" : "S", "non-dropping-particle" : "", "parse-names" : false, "suffix" : "" }, { "dropping-particle" : "", "family" : "Ahmad", "given" : "F", "non-dropping-particle" : "", "parse-names" : false, "suffix" : "" } ], "container-title" : "Biochemical Journal", "id" : "ITEM-1", "issued" : { "date-parts" : [ [ "1994", "10", "1" ] ] }, "page" : "147-153", "title" : "Increased thermal stability of proteins in the presence of amino acids", "type" : "article-journal", "volume" : "303" }, "uris" : [ "http://www.mendeley.com/documents/?uuid=58de2c9a-4375-44f3-b3b7-972049f9dc42" ] } ], "mendeley" : { "formattedCitation" : "(Taneja &amp; Ahmad 1994)", "plainTextFormattedCitation" : "(Taneja &amp; Ahmad 1994)", "previouslyFormattedCitation" : "(Taneja &amp; Ahmad 1994)"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BA7232">
              <w:rPr>
                <w:rFonts w:ascii="Calibri" w:eastAsia="Times New Roman" w:hAnsi="Calibri" w:cs="Times New Roman"/>
                <w:noProof/>
                <w:color w:val="000000"/>
                <w:sz w:val="20"/>
                <w:szCs w:val="20"/>
                <w:lang w:eastAsia="en-GB"/>
              </w:rPr>
              <w:t>(Taneja &amp; Ahmad 1994)</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36E7663F"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33E714DC"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Valine</w:t>
            </w:r>
          </w:p>
        </w:tc>
        <w:tc>
          <w:tcPr>
            <w:tcW w:w="1276" w:type="dxa"/>
            <w:shd w:val="clear" w:color="auto" w:fill="auto"/>
            <w:noWrap/>
          </w:tcPr>
          <w:p w14:paraId="4317FD7C"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Lysozyme</w:t>
            </w:r>
          </w:p>
        </w:tc>
        <w:tc>
          <w:tcPr>
            <w:tcW w:w="992" w:type="dxa"/>
            <w:shd w:val="clear" w:color="auto" w:fill="auto"/>
            <w:noWrap/>
          </w:tcPr>
          <w:p w14:paraId="0A64556B"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w:t>
            </w:r>
          </w:p>
        </w:tc>
        <w:tc>
          <w:tcPr>
            <w:tcW w:w="1418" w:type="dxa"/>
            <w:shd w:val="clear" w:color="auto" w:fill="auto"/>
            <w:noWrap/>
          </w:tcPr>
          <w:p w14:paraId="462D9568"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1000</w:t>
            </w:r>
          </w:p>
        </w:tc>
        <w:tc>
          <w:tcPr>
            <w:tcW w:w="1701" w:type="dxa"/>
            <w:shd w:val="clear" w:color="auto" w:fill="auto"/>
            <w:noWrap/>
          </w:tcPr>
          <w:p w14:paraId="5DC97EB6" w14:textId="77777777" w:rsidR="00ED2E8B" w:rsidRPr="00235AE3" w:rsidRDefault="00374721"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 mM</w:t>
            </w:r>
            <w:r w:rsidR="00ED2E8B" w:rsidRPr="00235AE3">
              <w:rPr>
                <w:rFonts w:ascii="Calibri" w:eastAsia="Times New Roman" w:hAnsi="Calibri" w:cs="Times New Roman"/>
                <w:color w:val="000000"/>
                <w:sz w:val="20"/>
                <w:szCs w:val="20"/>
                <w:lang w:eastAsia="en-GB"/>
              </w:rPr>
              <w:t xml:space="preserve"> NaCl</w:t>
            </w:r>
          </w:p>
        </w:tc>
        <w:tc>
          <w:tcPr>
            <w:tcW w:w="709" w:type="dxa"/>
            <w:shd w:val="clear" w:color="auto" w:fill="auto"/>
            <w:noWrap/>
          </w:tcPr>
          <w:p w14:paraId="160EF458" w14:textId="77777777" w:rsidR="00ED2E8B" w:rsidRPr="0041345C"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-2</w:t>
            </w:r>
          </w:p>
        </w:tc>
        <w:tc>
          <w:tcPr>
            <w:tcW w:w="1382" w:type="dxa"/>
            <w:shd w:val="clear" w:color="auto" w:fill="auto"/>
            <w:noWrap/>
          </w:tcPr>
          <w:p w14:paraId="56C0A0D8"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"10.1016/S0006-3495(85)83932-1", "ISSN" : "0006-3495", "PMID" : "3978211", "abstract" : "The preferential interactions of lysozyme with solvent components and the effects of solvent additives on its stability were examined for several neutral osmolytes: L-proline, L-serine, gamma-aminobutyric acid, sarcosine, taurine, alpha-alanine, beta-alanine, glycine, betaine, and trimethylamine N-oxide. It was shown that all these substances stabilize the protein structure against thermal denaturation and (except for trimethylamine N-oxide for which interaction measurements could not be made) are strongly excluded from the protein domain, rendering unlikely their direct binding to proteins. On the other hand, valine, not known as an osmolyte, had no stabilizing effect, although it induced a large protein-preferential hydration. A possible explanation is given for the use of these substances as osmotic-pressure-regulating agents in organisms living under high osmotic pressure.", "author" : [ { "dropping-particle" : "", "family" : "Arakawa", "given" : "T", "non-dropping-particle" : "", "parse-names" : false, "suffix" : "" }, { "dropping-particle" : "", "family" : "Timasheff", "given" : "S N", "non-dropping-particle" : "", "parse-names" : false, "suffix" : "" } ], "container-title" : "Biophysical Journal", "id" : "ITEM-1", "issued" : { "date-parts" : [ [ "1985", "3" ] ] }, "page" : "411-414", "title" : "The stabilization of proteins by osmolytes", "type" : "article-journal", "volume" : "47" }, "uris" : [ "http://www.mendeley.com/documents/?uuid=a1e19a58-b0d0-4a61-ada1-8d4bd546989a" ] } ], "mendeley" : { "formattedCitation" : "(Arakawa &amp; Timasheff 1985)", "plainTextFormattedCitation" : "(Arakawa &amp; Timasheff 1985)", "previouslyFormattedCitation" : "(Arakawa &amp; Timasheff 1985)"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BA7232">
              <w:rPr>
                <w:rFonts w:ascii="Calibri" w:eastAsia="Times New Roman" w:hAnsi="Calibri" w:cs="Times New Roman"/>
                <w:noProof/>
                <w:color w:val="000000"/>
                <w:sz w:val="20"/>
                <w:szCs w:val="20"/>
                <w:lang w:eastAsia="en-GB"/>
              </w:rPr>
              <w:t>(Arakawa &amp; Timasheff 1985)</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5C40A2" w:rsidRPr="00235AE3" w14:paraId="4AC52590" w14:textId="77777777" w:rsidTr="00585CA3">
        <w:trPr>
          <w:trHeight w:val="1023"/>
        </w:trPr>
        <w:tc>
          <w:tcPr>
            <w:cnfStyle w:val="001000000000" w:firstRow="0" w:lastRow="0" w:firstColumn="1" w:lastColumn="0" w:oddVBand="0" w:evenVBand="0" w:oddHBand="0" w:evenHBand="0" w:firstRowFirstColumn="0" w:firstRowLastColumn="0" w:lastRowFirstColumn="0" w:lastRowLastColumn="0"/>
            <w:tcW w:w="8720" w:type="dxa"/>
            <w:gridSpan w:val="7"/>
            <w:shd w:val="clear" w:color="auto" w:fill="BFBFBF" w:themeFill="background1" w:themeFillShade="BF"/>
            <w:noWrap/>
          </w:tcPr>
          <w:p w14:paraId="664A4850" w14:textId="77777777" w:rsidR="005C40A2" w:rsidRPr="005C40A2" w:rsidRDefault="005C40A2" w:rsidP="00C46546">
            <w:pPr>
              <w:spacing w:after="0" w:line="240" w:lineRule="auto"/>
              <w:rPr>
                <w:rFonts w:ascii="Calibri" w:eastAsia="Times New Roman" w:hAnsi="Calibri" w:cs="Times New Roman"/>
                <w:color w:val="000000"/>
                <w:szCs w:val="24"/>
                <w:lang w:eastAsia="en-GB"/>
              </w:rPr>
            </w:pPr>
            <w:r w:rsidRPr="005C40A2">
              <w:rPr>
                <w:rFonts w:ascii="Calibri" w:eastAsia="Times New Roman" w:hAnsi="Calibri" w:cs="Times New Roman"/>
                <w:b w:val="0"/>
                <w:i/>
                <w:color w:val="000000"/>
                <w:szCs w:val="24"/>
                <w:lang w:eastAsia="en-GB"/>
              </w:rPr>
              <w:t>Methylamines</w:t>
            </w:r>
          </w:p>
        </w:tc>
      </w:tr>
      <w:tr w:rsidR="00DC24F2" w:rsidRPr="00235AE3" w14:paraId="5D902B61"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083EF2DD"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Betaine</w:t>
            </w:r>
          </w:p>
        </w:tc>
        <w:tc>
          <w:tcPr>
            <w:tcW w:w="1276" w:type="dxa"/>
            <w:shd w:val="clear" w:color="auto" w:fill="auto"/>
            <w:noWrap/>
            <w:hideMark/>
          </w:tcPr>
          <w:p w14:paraId="71F7AAD3"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BSA</w:t>
            </w:r>
          </w:p>
        </w:tc>
        <w:tc>
          <w:tcPr>
            <w:tcW w:w="992" w:type="dxa"/>
            <w:shd w:val="clear" w:color="auto" w:fill="auto"/>
            <w:noWrap/>
            <w:hideMark/>
          </w:tcPr>
          <w:p w14:paraId="456156BD"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6.3</w:t>
            </w:r>
          </w:p>
        </w:tc>
        <w:tc>
          <w:tcPr>
            <w:tcW w:w="1418" w:type="dxa"/>
            <w:shd w:val="clear" w:color="auto" w:fill="auto"/>
            <w:noWrap/>
            <w:hideMark/>
          </w:tcPr>
          <w:p w14:paraId="424974B1"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1000</w:t>
            </w:r>
          </w:p>
        </w:tc>
        <w:tc>
          <w:tcPr>
            <w:tcW w:w="1701" w:type="dxa"/>
            <w:shd w:val="clear" w:color="auto" w:fill="auto"/>
            <w:noWrap/>
            <w:hideMark/>
          </w:tcPr>
          <w:p w14:paraId="170E7096" w14:textId="77777777" w:rsidR="00ED2E8B" w:rsidRPr="00235AE3" w:rsidRDefault="00374721"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1800 mM</w:t>
            </w:r>
            <w:r w:rsidR="00ED2E8B" w:rsidRPr="00235AE3">
              <w:rPr>
                <w:rFonts w:ascii="Calibri" w:eastAsia="Times New Roman" w:hAnsi="Calibri" w:cs="Times New Roman"/>
                <w:color w:val="000000"/>
                <w:sz w:val="20"/>
                <w:szCs w:val="20"/>
                <w:lang w:eastAsia="en-GB"/>
              </w:rPr>
              <w:t xml:space="preserve"> GdnHCl</w:t>
            </w:r>
          </w:p>
        </w:tc>
        <w:tc>
          <w:tcPr>
            <w:tcW w:w="709" w:type="dxa"/>
            <w:shd w:val="clear" w:color="auto" w:fill="auto"/>
            <w:noWrap/>
            <w:hideMark/>
          </w:tcPr>
          <w:p w14:paraId="2001EC82" w14:textId="77777777" w:rsidR="00ED2E8B" w:rsidRPr="0041345C"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8-22</w:t>
            </w:r>
          </w:p>
        </w:tc>
        <w:tc>
          <w:tcPr>
            <w:tcW w:w="1382" w:type="dxa"/>
            <w:shd w:val="clear" w:color="auto" w:fill="auto"/>
            <w:noWrap/>
            <w:hideMark/>
          </w:tcPr>
          <w:p w14:paraId="04DAEBAE"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"ISSN" : "0003-9861", "PMID" : "6870251", "abstract" : "The preferential interactions of proteins with solvent components in concentrated amino acid solutions were measured by high-precision densimetry. Bovine serum albumin and lysozyme were preferentially hydrated in all of the amino acids examined, glycine, alpha- and beta-alanine, and betaine, i.e., addition of these amino acids resulted in an unfavorable free energy change. It was shown that, for the former three amino acids, known to have a positive surface tension increment, their perturbation of the surface free energy of water is consistent with their preferential exclusion from the protein surface. In the case of betaine, which does not increase the surface tension of water, preferential exclusion from protein surface must reflect the chemical structure of this cosolvent, which is considerably more hydrophobic than that of the other three amino acids.", "author" : [ { "dropping-particle" : "", "family" : "Arakawa", "given" : "T", "non-dropping-particle" : "", "parse-names" : false, "suffix" : "" }, { "dropping-particle" : "", "family" : "Timasheff", "given" : "S N", "non-dropping-particle" : "", "parse-names" : false, "suffix" : "" } ], "container-title" : "Archives of Biochemistry and Biophysics", "id" : "ITEM-1", "issued" : { "date-parts" : [ [ "1983", "7", "1" ] ] }, "page" : "169-177", "title" : "Preferential interactions of proteins with solvent components in aqueous amino acid solutions", "type" : "article-journal", "volume" : "224" }, "uris" : [ "http://www.mendeley.com/documents/?uuid=1a6cbc50-77f9-4f1c-84c3-3f29af9f71b8" ] } ], "mendeley" : { "formattedCitation" : "(Arakawa &amp; Timasheff 1983)", "plainTextFormattedCitation" : "(Arakawa &amp; Timasheff 1983)", "previouslyFormattedCitation" : "(Arakawa &amp; Timasheff 1983)"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023DC1">
              <w:rPr>
                <w:rFonts w:ascii="Calibri" w:eastAsia="Times New Roman" w:hAnsi="Calibri" w:cs="Times New Roman"/>
                <w:noProof/>
                <w:color w:val="000000"/>
                <w:sz w:val="20"/>
                <w:szCs w:val="20"/>
                <w:lang w:eastAsia="en-GB"/>
              </w:rPr>
              <w:t>(Arakawa &amp; Timasheff 1983)</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482DA1E7"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7EDD18C7" w14:textId="77777777" w:rsidR="00342B2B" w:rsidRPr="00235AE3" w:rsidRDefault="00342B2B" w:rsidP="009C5E6B">
            <w:pPr>
              <w:spacing w:before="0"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Betaine</w:t>
            </w:r>
          </w:p>
        </w:tc>
        <w:tc>
          <w:tcPr>
            <w:tcW w:w="1276" w:type="dxa"/>
            <w:shd w:val="clear" w:color="auto" w:fill="auto"/>
            <w:noWrap/>
          </w:tcPr>
          <w:p w14:paraId="030C83C1" w14:textId="77777777" w:rsidR="00342B2B" w:rsidRPr="00235AE3" w:rsidRDefault="00342B2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Lysozyme</w:t>
            </w:r>
          </w:p>
        </w:tc>
        <w:tc>
          <w:tcPr>
            <w:tcW w:w="992" w:type="dxa"/>
            <w:shd w:val="clear" w:color="auto" w:fill="auto"/>
            <w:noWrap/>
          </w:tcPr>
          <w:p w14:paraId="12274787" w14:textId="77777777" w:rsidR="00342B2B" w:rsidRPr="00235AE3" w:rsidRDefault="00342B2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w:t>
            </w:r>
          </w:p>
        </w:tc>
        <w:tc>
          <w:tcPr>
            <w:tcW w:w="1418" w:type="dxa"/>
            <w:shd w:val="clear" w:color="auto" w:fill="auto"/>
            <w:noWrap/>
          </w:tcPr>
          <w:p w14:paraId="07EFB34E" w14:textId="77777777" w:rsidR="00342B2B" w:rsidRPr="00235AE3" w:rsidRDefault="00342B2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1000</w:t>
            </w:r>
          </w:p>
        </w:tc>
        <w:tc>
          <w:tcPr>
            <w:tcW w:w="1701" w:type="dxa"/>
            <w:shd w:val="clear" w:color="auto" w:fill="auto"/>
            <w:noWrap/>
          </w:tcPr>
          <w:p w14:paraId="11BE76BA" w14:textId="77777777" w:rsidR="00342B2B" w:rsidRPr="00235AE3" w:rsidRDefault="00374721" w:rsidP="00FF6F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100 mM KCl</w:t>
            </w:r>
            <w:r w:rsidR="00342B2B">
              <w:rPr>
                <w:rFonts w:ascii="Calibri" w:eastAsia="Times New Roman" w:hAnsi="Calibri" w:cs="Times New Roman"/>
                <w:color w:val="000000"/>
                <w:sz w:val="20"/>
                <w:szCs w:val="20"/>
                <w:lang w:eastAsia="en-GB"/>
              </w:rPr>
              <w:t xml:space="preserve">, </w:t>
            </w:r>
            <w:r>
              <w:rPr>
                <w:rFonts w:ascii="Calibri" w:eastAsia="Times New Roman" w:hAnsi="Calibri" w:cs="Times New Roman"/>
                <w:color w:val="000000"/>
                <w:sz w:val="20"/>
                <w:szCs w:val="20"/>
                <w:lang w:eastAsia="en-GB"/>
              </w:rPr>
              <w:t>50 mM</w:t>
            </w:r>
            <w:r w:rsidR="00342B2B">
              <w:rPr>
                <w:rFonts w:ascii="Calibri" w:eastAsia="Times New Roman" w:hAnsi="Calibri" w:cs="Times New Roman"/>
                <w:color w:val="000000"/>
                <w:sz w:val="20"/>
                <w:szCs w:val="20"/>
                <w:lang w:eastAsia="en-GB"/>
              </w:rPr>
              <w:t xml:space="preserve"> glycine </w:t>
            </w:r>
            <w:r w:rsidR="00FF6FE4">
              <w:rPr>
                <w:rFonts w:ascii="Calibri" w:eastAsia="Times New Roman" w:hAnsi="Calibri" w:cs="Times New Roman"/>
                <w:color w:val="000000"/>
                <w:sz w:val="20"/>
                <w:szCs w:val="20"/>
                <w:lang w:eastAsia="en-GB"/>
              </w:rPr>
              <w:t>HCl</w:t>
            </w:r>
          </w:p>
        </w:tc>
        <w:tc>
          <w:tcPr>
            <w:tcW w:w="709" w:type="dxa"/>
            <w:shd w:val="clear" w:color="auto" w:fill="auto"/>
            <w:noWrap/>
          </w:tcPr>
          <w:p w14:paraId="52DD8AAC" w14:textId="77777777" w:rsidR="00342B2B" w:rsidRPr="0041345C" w:rsidRDefault="00342B2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Pr>
                <w:rFonts w:ascii="Calibri" w:eastAsia="Times New Roman" w:hAnsi="Calibri" w:cs="Times New Roman"/>
                <w:b/>
                <w:color w:val="000000"/>
                <w:sz w:val="20"/>
                <w:szCs w:val="20"/>
                <w:lang w:eastAsia="en-GB"/>
              </w:rPr>
              <w:t>0.5</w:t>
            </w:r>
          </w:p>
        </w:tc>
        <w:tc>
          <w:tcPr>
            <w:tcW w:w="1382" w:type="dxa"/>
            <w:shd w:val="clear" w:color="auto" w:fill="auto"/>
            <w:noWrap/>
          </w:tcPr>
          <w:p w14:paraId="181DBECE" w14:textId="77777777" w:rsidR="00342B2B" w:rsidRDefault="00342B2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"10.1016/j.bbapap.2009.02.005", "ISSN" : "0006-3002", "PMID" : "19254782", "abstract" : "The compatible osmolyte glycine betaine (GB) is the most efficient osmoprotectant and best excluder from the protein surface. It can reverse protein aggregation and correct mutant protein defects and counter the harmful effects of urea and salts in vivo and in vitro. In this study we have investigated the pH dependence of the stabilizing effect of GB on three different proteins, namely, alpha-lactalbumin (alpha-LA), lysozyme and ribonuclease-A (RNase-A). We show here that (a) GB stabilizes RNase-A at all pH values, and (b) GB has opposite effects on two proteins at high pH and low pH values, namely, alpha-LA and lysozyme. This conclusion was reached by determining T(m) (midpoint of denaturation), DeltaH(m) (denaturational enthalpy change at T(m)), DeltaC(p) (constant-pressure heat capacity change) and DeltaG(D)(o) (denaturational Gibbs energy change at 25 degrees C) of proteins in the presence of different GB concentrations. Another conclusion of this study is that DeltaH(m) and DeltaC(p) are not significantly changed in the presence of GB. This study suggests that other methylated glycine osmolytes may also behave in the same manner.", "author" : [ { "dropping-particle" : "", "family" : "Singh", "given" : "L R", "non-dropping-particle" : "", "parse-names" : false, "suffix" : "" }, { "dropping-particle" : "", "family" : "Dar", "given" : "T A", "non-dropping-particle" : "", "parse-names" : false, "suffix" : "" }, { "dropping-particle" : "", "family" : "Rahman", "given" : "S", "non-dropping-particle" : "", "parse-names" : false, "suffix" : "" }, { "dropping-particle" : "", "family" : "Jamal", "given" : "S", "non-dropping-particle" : "", "parse-names" : false, "suffix" : "" }, { "dropping-particle" : "", "family" : "Ahmad", "given" : "F", "non-dropping-particle" : "", "parse-names" : false, "suffix" : "" } ], "container-title" : "Biochimica et Biophysica Acta", "id" : "ITEM-1", "issued" : { "date-parts" : [ [ "2009", "6" ] ] }, "page" : "929-935", "title" : "Glycine betaine may have opposite effects on protein stability at high and low pH values", "type" : "article-journal", "volume" : "1794" }, "uris" : [ "http://www.mendeley.com/documents/?uuid=48b4d17a-3dc0-4580-a4e2-cae05c5feb35" ] } ], "mendeley" : { "formattedCitation" : "(Singh et al. 2009)", "plainTextFormattedCitation" : "(Singh et al. 2009)", "previouslyFormattedCitation" : "(Singh et al. 2009)"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342B2B">
              <w:rPr>
                <w:rFonts w:ascii="Calibri" w:eastAsia="Times New Roman" w:hAnsi="Calibri" w:cs="Times New Roman"/>
                <w:noProof/>
                <w:color w:val="000000"/>
                <w:sz w:val="20"/>
                <w:szCs w:val="20"/>
                <w:lang w:eastAsia="en-GB"/>
              </w:rPr>
              <w:t>(Singh et al. 2009)</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1202231C"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19A8F62F"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Betaine</w:t>
            </w:r>
          </w:p>
        </w:tc>
        <w:tc>
          <w:tcPr>
            <w:tcW w:w="1276" w:type="dxa"/>
            <w:shd w:val="clear" w:color="auto" w:fill="auto"/>
            <w:noWrap/>
            <w:hideMark/>
          </w:tcPr>
          <w:p w14:paraId="01F925B2"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Lysozyme</w:t>
            </w:r>
          </w:p>
        </w:tc>
        <w:tc>
          <w:tcPr>
            <w:tcW w:w="992" w:type="dxa"/>
            <w:shd w:val="clear" w:color="auto" w:fill="auto"/>
            <w:noWrap/>
            <w:hideMark/>
          </w:tcPr>
          <w:p w14:paraId="4E27CF1E"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w:t>
            </w:r>
          </w:p>
        </w:tc>
        <w:tc>
          <w:tcPr>
            <w:tcW w:w="1418" w:type="dxa"/>
            <w:shd w:val="clear" w:color="auto" w:fill="auto"/>
            <w:noWrap/>
            <w:hideMark/>
          </w:tcPr>
          <w:p w14:paraId="6841873E"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1000</w:t>
            </w:r>
          </w:p>
        </w:tc>
        <w:tc>
          <w:tcPr>
            <w:tcW w:w="1701" w:type="dxa"/>
            <w:shd w:val="clear" w:color="auto" w:fill="auto"/>
            <w:noWrap/>
            <w:hideMark/>
          </w:tcPr>
          <w:p w14:paraId="34EE4218" w14:textId="77777777" w:rsidR="00ED2E8B" w:rsidRPr="00235AE3" w:rsidRDefault="00374721"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 mM</w:t>
            </w:r>
            <w:r w:rsidR="00ED2E8B" w:rsidRPr="00235AE3">
              <w:rPr>
                <w:rFonts w:ascii="Calibri" w:eastAsia="Times New Roman" w:hAnsi="Calibri" w:cs="Times New Roman"/>
                <w:color w:val="000000"/>
                <w:sz w:val="20"/>
                <w:szCs w:val="20"/>
                <w:lang w:eastAsia="en-GB"/>
              </w:rPr>
              <w:t xml:space="preserve"> NaCl</w:t>
            </w:r>
          </w:p>
        </w:tc>
        <w:tc>
          <w:tcPr>
            <w:tcW w:w="709" w:type="dxa"/>
            <w:shd w:val="clear" w:color="auto" w:fill="auto"/>
            <w:noWrap/>
            <w:hideMark/>
          </w:tcPr>
          <w:p w14:paraId="336A7420" w14:textId="77777777" w:rsidR="00ED2E8B" w:rsidRPr="0041345C"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4</w:t>
            </w:r>
          </w:p>
        </w:tc>
        <w:tc>
          <w:tcPr>
            <w:tcW w:w="1382" w:type="dxa"/>
            <w:shd w:val="clear" w:color="auto" w:fill="auto"/>
            <w:noWrap/>
            <w:hideMark/>
          </w:tcPr>
          <w:p w14:paraId="15F5CE90"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"10.1016/S0006-3495(85)83932-1", "ISSN" : "0006-3495", "PMID" : "3978211", "abstract" : "The preferential interactions of lysozyme with solvent components and the effects of solvent additives on its stability were examined for several neutral osmolytes: L-proline, L-serine, gamma-aminobutyric acid, sarcosine, taurine, alpha-alanine, beta-alanine, glycine, betaine, and trimethylamine N-oxide. It was shown that all these substances stabilize the protein structure against thermal denaturation and (except for trimethylamine N-oxide for which interaction measurements could not be made) are strongly excluded from the protein domain, rendering unlikely their direct binding to proteins. On the other hand, valine, not known as an osmolyte, had no stabilizing effect, although it induced a large protein-preferential hydration. A possible explanation is given for the use of these substances as osmotic-pressure-regulating agents in organisms living under high osmotic pressure.", "author" : [ { "dropping-particle" : "", "family" : "Arakawa", "given" : "T", "non-dropping-particle" : "", "parse-names" : false, "suffix" : "" }, { "dropping-particle" : "", "family" : "Timasheff", "given" : "S N", "non-dropping-particle" : "", "parse-names" : false, "suffix" : "" } ], "container-title" : "Biophysical Journal", "id" : "ITEM-1", "issued" : { "date-parts" : [ [ "1985", "3" ] ] }, "page" : "411-414", "title" : "The stabilization of proteins by osmolytes", "type" : "article-journal", "volume" : "47" }, "uris" : [ "http://www.mendeley.com/documents/?uuid=a1e19a58-b0d0-4a61-ada1-8d4bd546989a" ] } ], "mendeley" : { "formattedCitation" : "(Arakawa &amp; Timasheff 1985)", "plainTextFormattedCitation" : "(Arakawa &amp; Timasheff 1985)", "previouslyFormattedCitation" : "(Arakawa &amp; Timasheff 1985)"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023DC1">
              <w:rPr>
                <w:rFonts w:ascii="Calibri" w:eastAsia="Times New Roman" w:hAnsi="Calibri" w:cs="Times New Roman"/>
                <w:noProof/>
                <w:color w:val="000000"/>
                <w:sz w:val="20"/>
                <w:szCs w:val="20"/>
                <w:lang w:eastAsia="en-GB"/>
              </w:rPr>
              <w:t>(Arakawa &amp; Timasheff 1985)</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1D7FAC1D"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7709B6DF"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Betaine</w:t>
            </w:r>
          </w:p>
        </w:tc>
        <w:tc>
          <w:tcPr>
            <w:tcW w:w="1276" w:type="dxa"/>
            <w:shd w:val="clear" w:color="auto" w:fill="auto"/>
            <w:noWrap/>
            <w:hideMark/>
          </w:tcPr>
          <w:p w14:paraId="4AB970B6"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Lysozyme</w:t>
            </w:r>
          </w:p>
        </w:tc>
        <w:tc>
          <w:tcPr>
            <w:tcW w:w="992" w:type="dxa"/>
            <w:shd w:val="clear" w:color="auto" w:fill="auto"/>
            <w:noWrap/>
            <w:hideMark/>
          </w:tcPr>
          <w:p w14:paraId="4725DEF1"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5.8/6</w:t>
            </w:r>
          </w:p>
        </w:tc>
        <w:tc>
          <w:tcPr>
            <w:tcW w:w="1418" w:type="dxa"/>
            <w:shd w:val="clear" w:color="auto" w:fill="auto"/>
            <w:noWrap/>
            <w:hideMark/>
          </w:tcPr>
          <w:p w14:paraId="12E6A1D0"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3000</w:t>
            </w:r>
          </w:p>
        </w:tc>
        <w:tc>
          <w:tcPr>
            <w:tcW w:w="1701" w:type="dxa"/>
            <w:shd w:val="clear" w:color="auto" w:fill="auto"/>
            <w:noWrap/>
            <w:hideMark/>
          </w:tcPr>
          <w:p w14:paraId="34DA6F5F"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w:t>
            </w:r>
            <w:r>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citrate &amp; 55mM NaCl</w:t>
            </w:r>
          </w:p>
        </w:tc>
        <w:tc>
          <w:tcPr>
            <w:tcW w:w="709" w:type="dxa"/>
            <w:shd w:val="clear" w:color="auto" w:fill="auto"/>
            <w:noWrap/>
            <w:hideMark/>
          </w:tcPr>
          <w:p w14:paraId="3AEF5BF0" w14:textId="77777777" w:rsidR="00ED2E8B" w:rsidRPr="0041345C"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8</w:t>
            </w:r>
          </w:p>
        </w:tc>
        <w:tc>
          <w:tcPr>
            <w:tcW w:w="1382" w:type="dxa"/>
            <w:shd w:val="clear" w:color="auto" w:fill="auto"/>
            <w:noWrap/>
            <w:hideMark/>
          </w:tcPr>
          <w:p w14:paraId="0BA6EA85"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054313">
              <w:rPr>
                <w:rFonts w:ascii="Calibri" w:eastAsia="Times New Roman" w:hAnsi="Calibri" w:cs="Times New Roman"/>
                <w:color w:val="000000"/>
                <w:sz w:val="20"/>
                <w:szCs w:val="20"/>
                <w:lang w:eastAsia="en-GB"/>
              </w:rPr>
              <w:instrText>ADDIN CSL_CITATION { "citationItems" : [ { "id" : "ITEM-1", "itemData" : { "ISSN" : "0006-2960", "PMID" : "1376620", "abstract" : "Organisms and cellular systems which have adapted to stresses such as high temperature, desiccation, and urea-concentrating environments have responded by concentrating particular organic solutes known as osmolytes. These osmolytes are believed to confer protection to enzyme and other macromolecular systems against such denaturing stresses. Differential scanning calorimetric (DSC) experiments were performed on ribonuclease A and hen egg white lysozyme in the presence of varying concentrations of the osmolytes glycine, sarcosine, N,N-dimethylglycine, and betaine. Solutions containing up to several molar concentrations of these solutes were found to result in considerable increases in the thermal unfolding transition temperature (Tm) for these proteins. DSC scans of ribonuclease A in the presence of up to 8.2 M sarcosine resulted in reversible two-state unfolding transitions with Tm increases of up to 22 degrees C and unfolding enthalpy changes which were independent of Tm. On the basis of the thermodynamic parameters observed, 8.2 M sarcosine results in a stabilization free energy increase of 7.2 kcal/mol for ribonuclease A at 65 degrees C. This translates into more than a 45,000-fold increase in stability of the native form of ribonuclease A over that in the absence of sarcosine at this temperature. Catalytic activity measurements in the presence of 4 M sarcosine give kcat and Km values that are largely unchanged from those in the absence of sarcosine. DSC of lysozyme unfolding in the presence of these osmolytes also results in Tm increases of up to 23 degrees C; however, significant irreversibly occurs with this protein.(ABSTRACT TRUNCATED AT 250 WORDS)", "author" : [ { "dropping-particle" : "", "family" : "Santoro", "given" : "M M", "non-dropping-particle" : "", "parse-names" : false, "suffix" : "" }, { "dropping-particle" : "", "family" : "Liu", "given" : "Y", "non-dropping-particle" : "", "parse-names" : false, "suffix" : "" }, { "dropping-particle" : "", "family" : "Khan", "given" : "S M A", "non-dropping-particle" : "", "parse-names" : false, "suffix" : "" }, { "dropping-particle" : "", "family" : "Hou", "given" : "L X", "non-dropping-particle" : "", "parse-names" : false, "suffix" : "" }, { "dropping-particle" : "", "family" : "Bolen", "given" : "D W", "non-dropping-particle" : "", "parse-names" : false, "suffix" : "" } ], "container-title" : "Biochemistry", "id" : "ITEM-1", "issued" : { "date-parts" : [ [ "1992", "6", "16" ] ] }, "page" : "5278-5283", "title" : "Increased thermal stability of proteins in the presence of naturally occurring osmolytes", "type" : "article-journal", "volume" : "31" }, "uris" : [ "http://www.mendeley.com/documents/?uuid=43f8c6ce-f911-44c3-88ac-ffd899b1fb4f" ] } ], "mendeley" : { "formattedCitation" : "(Santoro et al. 1992)", "plainTextFormattedCitation" : "(Santoro et al. 1992)", "previouslyFormattedCitation" : "(Santoro et al. 1992)"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023DC1">
              <w:rPr>
                <w:rFonts w:ascii="Calibri" w:eastAsia="Times New Roman" w:hAnsi="Calibri" w:cs="Times New Roman"/>
                <w:noProof/>
                <w:color w:val="000000"/>
                <w:sz w:val="20"/>
                <w:szCs w:val="20"/>
                <w:lang w:eastAsia="en-GB"/>
              </w:rPr>
              <w:t>(Santoro et al. 1992)</w:t>
            </w:r>
            <w:r>
              <w:rPr>
                <w:rFonts w:ascii="Calibri" w:eastAsia="Times New Roman" w:hAnsi="Calibri" w:cs="Times New Roman"/>
                <w:color w:val="000000"/>
                <w:sz w:val="20"/>
                <w:szCs w:val="20"/>
                <w:lang w:eastAsia="en-GB"/>
              </w:rPr>
              <w:fldChar w:fldCharType="end"/>
            </w:r>
          </w:p>
        </w:tc>
      </w:tr>
      <w:tr w:rsidR="00DC24F2" w:rsidRPr="00235AE3" w14:paraId="445EB2BA"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45FA8610" w14:textId="77777777" w:rsidR="00342B2B" w:rsidRPr="00235AE3" w:rsidRDefault="00342B2B" w:rsidP="009C5E6B">
            <w:pPr>
              <w:spacing w:before="0"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Betaine</w:t>
            </w:r>
          </w:p>
        </w:tc>
        <w:tc>
          <w:tcPr>
            <w:tcW w:w="1276" w:type="dxa"/>
            <w:shd w:val="clear" w:color="auto" w:fill="auto"/>
            <w:noWrap/>
          </w:tcPr>
          <w:p w14:paraId="36F5F020" w14:textId="77777777" w:rsidR="00342B2B" w:rsidRDefault="00342B2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Lysozyme</w:t>
            </w:r>
          </w:p>
        </w:tc>
        <w:tc>
          <w:tcPr>
            <w:tcW w:w="992" w:type="dxa"/>
            <w:shd w:val="clear" w:color="auto" w:fill="auto"/>
            <w:noWrap/>
          </w:tcPr>
          <w:p w14:paraId="1409CD13" w14:textId="77777777" w:rsidR="00342B2B" w:rsidRPr="00235AE3" w:rsidRDefault="00342B2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7</w:t>
            </w:r>
          </w:p>
        </w:tc>
        <w:tc>
          <w:tcPr>
            <w:tcW w:w="1418" w:type="dxa"/>
            <w:shd w:val="clear" w:color="auto" w:fill="auto"/>
            <w:noWrap/>
          </w:tcPr>
          <w:p w14:paraId="570D1663" w14:textId="77777777" w:rsidR="00342B2B" w:rsidRPr="00235AE3" w:rsidRDefault="00342B2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1000</w:t>
            </w:r>
          </w:p>
        </w:tc>
        <w:tc>
          <w:tcPr>
            <w:tcW w:w="1701" w:type="dxa"/>
            <w:shd w:val="clear" w:color="auto" w:fill="auto"/>
            <w:noWrap/>
          </w:tcPr>
          <w:p w14:paraId="2C20AE8E" w14:textId="77777777" w:rsidR="00342B2B" w:rsidRPr="00235AE3" w:rsidRDefault="00374721" w:rsidP="003747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100 mM</w:t>
            </w:r>
            <w:r w:rsidR="00342B2B">
              <w:rPr>
                <w:rFonts w:ascii="Calibri" w:eastAsia="Times New Roman" w:hAnsi="Calibri" w:cs="Times New Roman"/>
                <w:color w:val="000000"/>
                <w:sz w:val="20"/>
                <w:szCs w:val="20"/>
                <w:lang w:eastAsia="en-GB"/>
              </w:rPr>
              <w:t xml:space="preserve"> KCl, </w:t>
            </w:r>
            <w:r>
              <w:rPr>
                <w:rFonts w:ascii="Calibri" w:eastAsia="Times New Roman" w:hAnsi="Calibri" w:cs="Times New Roman"/>
                <w:color w:val="000000"/>
                <w:sz w:val="20"/>
                <w:szCs w:val="20"/>
                <w:lang w:eastAsia="en-GB"/>
              </w:rPr>
              <w:t>50 mM</w:t>
            </w:r>
            <w:r w:rsidR="00342B2B">
              <w:rPr>
                <w:rFonts w:ascii="Calibri" w:eastAsia="Times New Roman" w:hAnsi="Calibri" w:cs="Times New Roman"/>
                <w:color w:val="000000"/>
                <w:sz w:val="20"/>
                <w:szCs w:val="20"/>
                <w:lang w:eastAsia="en-GB"/>
              </w:rPr>
              <w:t xml:space="preserve"> cacodylic acid</w:t>
            </w:r>
          </w:p>
        </w:tc>
        <w:tc>
          <w:tcPr>
            <w:tcW w:w="709" w:type="dxa"/>
            <w:shd w:val="clear" w:color="auto" w:fill="auto"/>
            <w:noWrap/>
          </w:tcPr>
          <w:p w14:paraId="7CD54836" w14:textId="77777777" w:rsidR="00342B2B" w:rsidRPr="0041345C" w:rsidRDefault="00342B2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Pr>
                <w:rFonts w:ascii="Calibri" w:eastAsia="Times New Roman" w:hAnsi="Calibri" w:cs="Times New Roman"/>
                <w:b/>
                <w:color w:val="000000"/>
                <w:sz w:val="20"/>
                <w:szCs w:val="20"/>
                <w:lang w:eastAsia="en-GB"/>
              </w:rPr>
              <w:t>3.3</w:t>
            </w:r>
          </w:p>
        </w:tc>
        <w:tc>
          <w:tcPr>
            <w:tcW w:w="1382" w:type="dxa"/>
            <w:shd w:val="clear" w:color="auto" w:fill="auto"/>
            <w:noWrap/>
          </w:tcPr>
          <w:p w14:paraId="1D403C86" w14:textId="77777777" w:rsidR="00342B2B" w:rsidRDefault="00342B2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"10.1016/j.bbapap.2009.02.005", "ISSN" : "0006-3002", "PMID" : "19254782", "abstract" : "The compatible osmolyte glycine betaine (GB) is the most efficient osmoprotectant and best excluder from the protein surface. It can reverse protein aggregation and correct mutant protein defects and counter the harmful effects of urea and salts in vivo and in vitro. In this study we have investigated the pH dependence of the stabilizing effect of GB on three different proteins, namely, alpha-lactalbumin (alpha-LA), lysozyme and ribonuclease-A (RNase-A). We show here that (a) GB stabilizes RNase-A at all pH values, and (b) GB has opposite effects on two proteins at high pH and low pH values, namely, alpha-LA and lysozyme. This conclusion was reached by determining T(m) (midpoint of denaturation), DeltaH(m) (denaturational enthalpy change at T(m)), DeltaC(p) (constant-pressure heat capacity change) and DeltaG(D)(o) (denaturational Gibbs energy change at 25 degrees C) of proteins in the presence of different GB concentrations. Another conclusion of this study is that DeltaH(m) and DeltaC(p) are not significantly changed in the presence of GB. This study suggests that other methylated glycine osmolytes may also behave in the same manner.", "author" : [ { "dropping-particle" : "", "family" : "Singh", "given" : "L R", "non-dropping-particle" : "", "parse-names" : false, "suffix" : "" }, { "dropping-particle" : "", "family" : "Dar", "given" : "T A", "non-dropping-particle" : "", "parse-names" : false, "suffix" : "" }, { "dropping-particle" : "", "family" : "Rahman", "given" : "S", "non-dropping-particle" : "", "parse-names" : false, "suffix" : "" }, { "dropping-particle" : "", "family" : "Jamal", "given" : "S", "non-dropping-particle" : "", "parse-names" : false, "suffix" : "" }, { "dropping-particle" : "", "family" : "Ahmad", "given" : "F", "non-dropping-particle" : "", "parse-names" : false, "suffix" : "" } ], "container-title" : "Biochimica et Biophysica Acta", "id" : "ITEM-1", "issued" : { "date-parts" : [ [ "2009", "6" ] ] }, "page" : "929-935", "title" : "Glycine betaine may have opposite effects on protein stability at high and low pH values", "type" : "article-journal", "volume" : "1794" }, "uris" : [ "http://www.mendeley.com/documents/?uuid=48b4d17a-3dc0-4580-a4e2-cae05c5feb35" ] } ], "mendeley" : { "formattedCitation" : "(Singh et al. 2009)", "plainTextFormattedCitation" : "(Singh et al. 2009)", "previouslyFormattedCitation" : "(Singh et al. 2009)"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342B2B">
              <w:rPr>
                <w:rFonts w:ascii="Calibri" w:eastAsia="Times New Roman" w:hAnsi="Calibri" w:cs="Times New Roman"/>
                <w:noProof/>
                <w:color w:val="000000"/>
                <w:sz w:val="20"/>
                <w:szCs w:val="20"/>
                <w:lang w:eastAsia="en-GB"/>
              </w:rPr>
              <w:t>(Singh et al. 2009)</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30E43201"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7FFB5F6F" w14:textId="77777777" w:rsidR="00B92046" w:rsidRDefault="00B92046" w:rsidP="009C5E6B">
            <w:pPr>
              <w:spacing w:before="0"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Betaine</w:t>
            </w:r>
          </w:p>
        </w:tc>
        <w:tc>
          <w:tcPr>
            <w:tcW w:w="1276" w:type="dxa"/>
            <w:shd w:val="clear" w:color="auto" w:fill="auto"/>
            <w:noWrap/>
          </w:tcPr>
          <w:p w14:paraId="69892BAB" w14:textId="77777777" w:rsidR="00B92046" w:rsidRDefault="00B92046"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RNase A</w:t>
            </w:r>
          </w:p>
        </w:tc>
        <w:tc>
          <w:tcPr>
            <w:tcW w:w="992" w:type="dxa"/>
            <w:shd w:val="clear" w:color="auto" w:fill="auto"/>
            <w:noWrap/>
          </w:tcPr>
          <w:p w14:paraId="4E5D332F" w14:textId="77777777" w:rsidR="00B92046" w:rsidRDefault="00B92046"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w:t>
            </w:r>
          </w:p>
        </w:tc>
        <w:tc>
          <w:tcPr>
            <w:tcW w:w="1418" w:type="dxa"/>
            <w:shd w:val="clear" w:color="auto" w:fill="auto"/>
            <w:noWrap/>
          </w:tcPr>
          <w:p w14:paraId="688179C6" w14:textId="77777777" w:rsidR="00B92046" w:rsidRDefault="00B92046"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1000</w:t>
            </w:r>
          </w:p>
        </w:tc>
        <w:tc>
          <w:tcPr>
            <w:tcW w:w="1701" w:type="dxa"/>
            <w:shd w:val="clear" w:color="auto" w:fill="auto"/>
            <w:noWrap/>
          </w:tcPr>
          <w:p w14:paraId="4A2989C1" w14:textId="77777777" w:rsidR="00B92046" w:rsidRDefault="00374721" w:rsidP="00FF6F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100 mM</w:t>
            </w:r>
            <w:r w:rsidR="00B92046">
              <w:rPr>
                <w:rFonts w:ascii="Calibri" w:eastAsia="Times New Roman" w:hAnsi="Calibri" w:cs="Times New Roman"/>
                <w:color w:val="000000"/>
                <w:sz w:val="20"/>
                <w:szCs w:val="20"/>
                <w:lang w:eastAsia="en-GB"/>
              </w:rPr>
              <w:t xml:space="preserve"> KCl, </w:t>
            </w:r>
            <w:r>
              <w:rPr>
                <w:rFonts w:ascii="Calibri" w:eastAsia="Times New Roman" w:hAnsi="Calibri" w:cs="Times New Roman"/>
                <w:color w:val="000000"/>
                <w:sz w:val="20"/>
                <w:szCs w:val="20"/>
                <w:lang w:eastAsia="en-GB"/>
              </w:rPr>
              <w:t>50</w:t>
            </w:r>
            <w:r w:rsidR="00B92046">
              <w:rPr>
                <w:rFonts w:ascii="Calibri" w:eastAsia="Times New Roman" w:hAnsi="Calibri" w:cs="Times New Roman"/>
                <w:color w:val="000000"/>
                <w:sz w:val="20"/>
                <w:szCs w:val="20"/>
                <w:lang w:eastAsia="en-GB"/>
              </w:rPr>
              <w:t xml:space="preserve"> </w:t>
            </w:r>
            <w:r>
              <w:rPr>
                <w:rFonts w:ascii="Calibri" w:eastAsia="Times New Roman" w:hAnsi="Calibri" w:cs="Times New Roman"/>
                <w:color w:val="000000"/>
                <w:sz w:val="20"/>
                <w:szCs w:val="20"/>
                <w:lang w:eastAsia="en-GB"/>
              </w:rPr>
              <w:t>m</w:t>
            </w:r>
            <w:r w:rsidR="00B92046">
              <w:rPr>
                <w:rFonts w:ascii="Calibri" w:eastAsia="Times New Roman" w:hAnsi="Calibri" w:cs="Times New Roman"/>
                <w:color w:val="000000"/>
                <w:sz w:val="20"/>
                <w:szCs w:val="20"/>
                <w:lang w:eastAsia="en-GB"/>
              </w:rPr>
              <w:t xml:space="preserve">M glycine </w:t>
            </w:r>
            <w:r w:rsidR="00FF6FE4">
              <w:rPr>
                <w:rFonts w:ascii="Calibri" w:eastAsia="Times New Roman" w:hAnsi="Calibri" w:cs="Times New Roman"/>
                <w:color w:val="000000"/>
                <w:sz w:val="20"/>
                <w:szCs w:val="20"/>
                <w:lang w:eastAsia="en-GB"/>
              </w:rPr>
              <w:t>HCl</w:t>
            </w:r>
          </w:p>
        </w:tc>
        <w:tc>
          <w:tcPr>
            <w:tcW w:w="709" w:type="dxa"/>
            <w:shd w:val="clear" w:color="auto" w:fill="auto"/>
            <w:noWrap/>
          </w:tcPr>
          <w:p w14:paraId="36968F60" w14:textId="77777777" w:rsidR="00B92046" w:rsidRDefault="00B92046"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Pr>
                <w:rFonts w:ascii="Calibri" w:eastAsia="Times New Roman" w:hAnsi="Calibri" w:cs="Times New Roman"/>
                <w:b/>
                <w:color w:val="000000"/>
                <w:sz w:val="20"/>
                <w:szCs w:val="20"/>
                <w:lang w:eastAsia="en-GB"/>
              </w:rPr>
              <w:t>4.7</w:t>
            </w:r>
          </w:p>
        </w:tc>
        <w:tc>
          <w:tcPr>
            <w:tcW w:w="1382" w:type="dxa"/>
            <w:shd w:val="clear" w:color="auto" w:fill="auto"/>
            <w:noWrap/>
          </w:tcPr>
          <w:p w14:paraId="49071CAF" w14:textId="77777777" w:rsidR="00B92046" w:rsidRDefault="00B92046"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CD5BBB">
              <w:rPr>
                <w:rFonts w:ascii="Calibri" w:eastAsia="Times New Roman" w:hAnsi="Calibri" w:cs="Times New Roman"/>
                <w:color w:val="000000"/>
                <w:sz w:val="20"/>
                <w:szCs w:val="20"/>
                <w:lang w:eastAsia="en-GB"/>
              </w:rPr>
              <w:instrText>ADDIN CSL_CITATION { "citationItems" : [ { "id" : "ITEM-1", "itemData" : { "DOI" : "10.1016/j.bbapap.2009.02.005", "ISSN" : "0006-3002", "PMID" : "19254782", "abstract" : "The compatible osmolyte glycine betaine (GB) is the most efficient osmoprotectant and best excluder from the protein surface. It can reverse protein aggregation and correct mutant protein defects and counter the harmful effects of urea and salts in vivo and in vitro. In this study we have investigated the pH dependence of the stabilizing effect of GB on three different proteins, namely, alpha-lactalbumin (alpha-LA), lysozyme and ribonuclease-A (RNase-A). We show here that (a) GB stabilizes RNase-A at all pH values, and (b) GB has opposite effects on two proteins at high pH and low pH values, namely, alpha-LA and lysozyme. This conclusion was reached by determining T(m) (midpoint of denaturation), DeltaH(m) (denaturational enthalpy change at T(m)), DeltaC(p) (constant-pressure heat capacity change) and DeltaG(D)(o) (denaturational Gibbs energy change at 25 degrees C) of proteins in the presence of different GB concentrations. Another conclusion of this study is that DeltaH(m) and DeltaC(p) are not significantly changed in the presence of GB. This study suggests that other methylated glycine osmolytes may also behave in the same manner.", "author" : [ { "dropping-particle" : "", "family" : "Singh", "given" : "L R", "non-dropping-particle" : "", "parse-names" : false, "suffix" : "" }, { "dropping-particle" : "", "family" : "Dar", "given" : "T A", "non-dropping-particle" : "", "parse-names" : false, "suffix" : "" }, { "dropping-particle" : "", "family" : "Rahman", "given" : "S", "non-dropping-particle" : "", "parse-names" : false, "suffix" : "" }, { "dropping-particle" : "", "family" : "Jamal", "given" : "S", "non-dropping-particle" : "", "parse-names" : false, "suffix" : "" }, { "dropping-particle" : "", "family" : "Ahmad", "given" : "F", "non-dropping-particle" : "", "parse-names" : false, "suffix" : "" } ], "container-title" : "Biochimica et Biophysica Acta", "id" : "ITEM-1", "issued" : { "date-parts" : [ [ "2009", "6" ] ] }, "page" : "929-935", "title" : "Glycine betaine may have opposite effects on protein stability at high and low pH values", "type" : "article-journal", "volume" : "1794" }, "uris" : [ "http://www.mendeley.com/documents/?uuid=48b4d17a-3dc0-4580-a4e2-cae05c5feb35" ] } ], "mendeley" : { "formattedCitation" : "(Singh et al. 2009)", "plainTextFormattedCitation" : "(Singh et al. 2009)", "previouslyFormattedCitation" : "(Singh et al. 2009)"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B92046">
              <w:rPr>
                <w:rFonts w:ascii="Calibri" w:eastAsia="Times New Roman" w:hAnsi="Calibri" w:cs="Times New Roman"/>
                <w:noProof/>
                <w:color w:val="000000"/>
                <w:sz w:val="20"/>
                <w:szCs w:val="20"/>
                <w:lang w:eastAsia="en-GB"/>
              </w:rPr>
              <w:t>(Singh et al. 2009)</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16BDA4CB"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3D5F0E54"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Betaine</w:t>
            </w:r>
          </w:p>
        </w:tc>
        <w:tc>
          <w:tcPr>
            <w:tcW w:w="1276" w:type="dxa"/>
            <w:shd w:val="clear" w:color="auto" w:fill="auto"/>
            <w:noWrap/>
            <w:hideMark/>
          </w:tcPr>
          <w:p w14:paraId="02B58EAD" w14:textId="77777777" w:rsidR="00ED2E8B" w:rsidRPr="00235AE3" w:rsidRDefault="00816A08"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ED2E8B" w:rsidRPr="00235AE3">
              <w:rPr>
                <w:rFonts w:ascii="Calibri" w:eastAsia="Times New Roman" w:hAnsi="Calibri" w:cs="Times New Roman"/>
                <w:color w:val="000000"/>
                <w:sz w:val="20"/>
                <w:szCs w:val="20"/>
                <w:lang w:eastAsia="en-GB"/>
              </w:rPr>
              <w:t>ase A</w:t>
            </w:r>
          </w:p>
        </w:tc>
        <w:tc>
          <w:tcPr>
            <w:tcW w:w="992" w:type="dxa"/>
            <w:shd w:val="clear" w:color="auto" w:fill="auto"/>
            <w:noWrap/>
            <w:hideMark/>
          </w:tcPr>
          <w:p w14:paraId="0A2F3461"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4.2</w:t>
            </w:r>
          </w:p>
        </w:tc>
        <w:tc>
          <w:tcPr>
            <w:tcW w:w="1418" w:type="dxa"/>
            <w:shd w:val="clear" w:color="auto" w:fill="auto"/>
            <w:noWrap/>
            <w:hideMark/>
          </w:tcPr>
          <w:p w14:paraId="4FF92330"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1853</w:t>
            </w:r>
          </w:p>
        </w:tc>
        <w:tc>
          <w:tcPr>
            <w:tcW w:w="1701" w:type="dxa"/>
            <w:shd w:val="clear" w:color="auto" w:fill="auto"/>
            <w:noWrap/>
            <w:hideMark/>
          </w:tcPr>
          <w:p w14:paraId="23C7D0E1" w14:textId="77777777" w:rsidR="00ED2E8B" w:rsidRPr="00235AE3" w:rsidRDefault="00374721"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40 mM acetate</w:t>
            </w:r>
          </w:p>
        </w:tc>
        <w:tc>
          <w:tcPr>
            <w:tcW w:w="709" w:type="dxa"/>
            <w:shd w:val="clear" w:color="auto" w:fill="auto"/>
            <w:noWrap/>
            <w:hideMark/>
          </w:tcPr>
          <w:p w14:paraId="43A51A3C" w14:textId="77777777" w:rsidR="00ED2E8B" w:rsidRPr="0041345C"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3.3</w:t>
            </w:r>
          </w:p>
        </w:tc>
        <w:tc>
          <w:tcPr>
            <w:tcW w:w="1382" w:type="dxa"/>
            <w:shd w:val="clear" w:color="auto" w:fill="auto"/>
            <w:noWrap/>
            <w:hideMark/>
          </w:tcPr>
          <w:p w14:paraId="2FEC491D"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"10.1016/j.bpc.2013.10.004", "ISBN" : "1873-4200 (Electronic)\\r0301-4622 (Linking)", "ISSN" : "03014622", "PMID" : "24292629", "abstract" : "Thermal unfolding of ribonuclease A (RNase) was analyzed in various osmolyte solutions of glycine, proline, sarcosine, N,N-dimethylglycine, betaine, myo-inositol, taurine, and trimethylamine-N-oxide (TMAO). All the osmolytes tested stabilized the protein. The thermal unfolding curve was described well by the van't Hoff equation and the melting temperature and the enthalpy of protein unfolding were obtained. The Wyman-Tanford equation, which describes the unfolded-to-folded protein ratio as a function of water activity, was successfully applied to obtain a linear plot. In consideration of this experimentally obtained linearity, the Wyman-Tanford plot could be integrated to calculate the stabilization free energy of the protein (??????? ???????G) in the solution. The ??????????? ???G was proved to be described by the property of the microstructure around the protein surface, which is composed of the protein hydration, the cosolute-binding, and the preferential exclusion, and the property of the bulk solution; water activity. The m-values of osmolytes for protein unfolding were obtained from ??????????????G calculated. Among the osmolytes tested, myo-inositol showed the highest m-value. ?? 2013 Elsevier Ltd. All rights reserved.", "author" : [ { "dropping-particle" : "", "family" : "Miyawaki", "given" : "O", "non-dropping-particle" : "", "parse-names" : false, "suffix" : "" }, { "dropping-particle" : "", "family" : "Dozen", "given" : "M", "non-dropping-particle" : "", "parse-names" : false, "suffix" : "" }, { "dropping-particle" : "", "family" : "Nomura", "given" : "K", "non-dropping-particle" : "", "parse-names" : false, "suffix" : "" } ], "container-title" : "Biophysical Chemistry", "id" : "ITEM-1", "issued" : { "date-parts" : [ [ "2014" ] ] }, "page" : "19-24", "publisher" : "Elsevier B.V.", "title" : "Thermodynamic analysis of osmolyte effect on thermal stability of ribonuclease A in terms of water activity", "type" : "article-journal", "volume" : "185" }, "uris" : [ "http://www.mendeley.com/documents/?uuid=7914a675-1b34-43aa-92ca-51687220293e" ] } ], "mendeley" : { "formattedCitation" : "(Miyawaki et al. 2014)", "plainTextFormattedCitation" : "(Miyawaki et al. 2014)", "previouslyFormattedCitation" : "(Miyawaki et al. 2014)"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023DC1">
              <w:rPr>
                <w:rFonts w:ascii="Calibri" w:eastAsia="Times New Roman" w:hAnsi="Calibri" w:cs="Times New Roman"/>
                <w:noProof/>
                <w:color w:val="000000"/>
                <w:sz w:val="20"/>
                <w:szCs w:val="20"/>
                <w:lang w:eastAsia="en-GB"/>
              </w:rPr>
              <w:t>(Miyawaki et al. 2014)</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17C1CA25"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0467CFA0"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Betaine</w:t>
            </w:r>
          </w:p>
        </w:tc>
        <w:tc>
          <w:tcPr>
            <w:tcW w:w="1276" w:type="dxa"/>
            <w:shd w:val="clear" w:color="auto" w:fill="auto"/>
            <w:noWrap/>
            <w:hideMark/>
          </w:tcPr>
          <w:p w14:paraId="1D94D25E" w14:textId="77777777" w:rsidR="00ED2E8B" w:rsidRPr="00235AE3" w:rsidRDefault="00816A08"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ED2E8B" w:rsidRPr="00235AE3">
              <w:rPr>
                <w:rFonts w:ascii="Calibri" w:eastAsia="Times New Roman" w:hAnsi="Calibri" w:cs="Times New Roman"/>
                <w:color w:val="000000"/>
                <w:sz w:val="20"/>
                <w:szCs w:val="20"/>
                <w:lang w:eastAsia="en-GB"/>
              </w:rPr>
              <w:t>ase A</w:t>
            </w:r>
          </w:p>
        </w:tc>
        <w:tc>
          <w:tcPr>
            <w:tcW w:w="992" w:type="dxa"/>
            <w:shd w:val="clear" w:color="auto" w:fill="auto"/>
            <w:noWrap/>
            <w:hideMark/>
          </w:tcPr>
          <w:p w14:paraId="71571E30"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5.5</w:t>
            </w:r>
          </w:p>
        </w:tc>
        <w:tc>
          <w:tcPr>
            <w:tcW w:w="1418" w:type="dxa"/>
            <w:shd w:val="clear" w:color="auto" w:fill="auto"/>
            <w:noWrap/>
            <w:hideMark/>
          </w:tcPr>
          <w:p w14:paraId="362E0090"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2000</w:t>
            </w:r>
          </w:p>
        </w:tc>
        <w:tc>
          <w:tcPr>
            <w:tcW w:w="1701" w:type="dxa"/>
            <w:shd w:val="clear" w:color="auto" w:fill="auto"/>
            <w:noWrap/>
            <w:hideMark/>
          </w:tcPr>
          <w:p w14:paraId="1DD86829" w14:textId="77777777" w:rsidR="00ED2E8B" w:rsidRPr="00235AE3" w:rsidRDefault="00374721" w:rsidP="003747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40 mM acetate</w:t>
            </w:r>
          </w:p>
        </w:tc>
        <w:tc>
          <w:tcPr>
            <w:tcW w:w="709" w:type="dxa"/>
            <w:shd w:val="clear" w:color="auto" w:fill="auto"/>
            <w:noWrap/>
            <w:hideMark/>
          </w:tcPr>
          <w:p w14:paraId="1220AA30" w14:textId="77777777" w:rsidR="00ED2E8B" w:rsidRPr="0041345C"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3.7</w:t>
            </w:r>
          </w:p>
        </w:tc>
        <w:tc>
          <w:tcPr>
            <w:tcW w:w="1382" w:type="dxa"/>
            <w:shd w:val="clear" w:color="auto" w:fill="auto"/>
            <w:noWrap/>
            <w:hideMark/>
          </w:tcPr>
          <w:p w14:paraId="0A2DBD3F"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"10.1016/j.bpc.2013.10.004", "ISBN" : "1873-4200 (Electronic)\\r0301-4622 (Linking)", "ISSN" : "03014622", "PMID" : "24292629", "abstract" : "Thermal unfolding of ribonuclease A (RNase) was analyzed in various osmolyte solutions of glycine, proline, sarcosine, N,N-dimethylglycine, betaine, myo-inositol, taurine, and trimethylamine-N-oxide (TMAO). All the osmolytes tested stabilized the protein. The thermal unfolding curve was described well by the van't Hoff equation and the melting temperature and the enthalpy of protein unfolding were obtained. The Wyman-Tanford equation, which describes the unfolded-to-folded protein ratio as a function of water activity, was successfully applied to obtain a linear plot. In consideration of this experimentally obtained linearity, the Wyman-Tanford plot could be integrated to calculate the stabilization free energy of the protein (??????? ???????G) in the solution. The ??????????? ???G was proved to be described by the property of the microstructure around the protein surface, which is composed of the protein hydration, the cosolute-binding, and the preferential exclusion, and the property of the bulk solution; water activity. The m-values of osmolytes for protein unfolding were obtained from ??????????????G calculated. Among the osmolytes tested, myo-inositol showed the highest m-value. ?? 2013 Elsevier Ltd. All rights reserved.", "author" : [ { "dropping-particle" : "", "family" : "Miyawaki", "given" : "O", "non-dropping-particle" : "", "parse-names" : false, "suffix" : "" }, { "dropping-particle" : "", "family" : "Dozen", "given" : "M", "non-dropping-particle" : "", "parse-names" : false, "suffix" : "" }, { "dropping-particle" : "", "family" : "Nomura", "given" : "K", "non-dropping-particle" : "", "parse-names" : false, "suffix" : "" } ], "container-title" : "Biophysical Chemistry", "id" : "ITEM-1", "issued" : { "date-parts" : [ [ "2014" ] ] }, "page" : "19-24", "publisher" : "Elsevier B.V.", "title" : "Thermodynamic analysis of osmolyte effect on thermal stability of ribonuclease A in terms of water activity", "type" : "article-journal", "volume" : "185" }, "uris" : [ "http://www.mendeley.com/documents/?uuid=7914a675-1b34-43aa-92ca-51687220293e" ] } ], "mendeley" : { "formattedCitation" : "(Miyawaki et al. 2014)", "plainTextFormattedCitation" : "(Miyawaki et al. 2014)", "previouslyFormattedCitation" : "(Miyawaki et al. 2014)"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023DC1">
              <w:rPr>
                <w:rFonts w:ascii="Calibri" w:eastAsia="Times New Roman" w:hAnsi="Calibri" w:cs="Times New Roman"/>
                <w:noProof/>
                <w:color w:val="000000"/>
                <w:sz w:val="20"/>
                <w:szCs w:val="20"/>
                <w:lang w:eastAsia="en-GB"/>
              </w:rPr>
              <w:t>(Miyawaki et al. 2014)</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0945996E"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0074A006"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Betaine</w:t>
            </w:r>
          </w:p>
        </w:tc>
        <w:tc>
          <w:tcPr>
            <w:tcW w:w="1276" w:type="dxa"/>
            <w:shd w:val="clear" w:color="auto" w:fill="auto"/>
            <w:noWrap/>
            <w:hideMark/>
          </w:tcPr>
          <w:p w14:paraId="152BAA99" w14:textId="77777777" w:rsidR="00ED2E8B" w:rsidRPr="00235AE3" w:rsidRDefault="00816A08"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ED2E8B" w:rsidRPr="00235AE3">
              <w:rPr>
                <w:rFonts w:ascii="Calibri" w:eastAsia="Times New Roman" w:hAnsi="Calibri" w:cs="Times New Roman"/>
                <w:color w:val="000000"/>
                <w:sz w:val="20"/>
                <w:szCs w:val="20"/>
                <w:lang w:eastAsia="en-GB"/>
              </w:rPr>
              <w:t>ase A</w:t>
            </w:r>
          </w:p>
        </w:tc>
        <w:tc>
          <w:tcPr>
            <w:tcW w:w="992" w:type="dxa"/>
            <w:shd w:val="clear" w:color="auto" w:fill="auto"/>
            <w:noWrap/>
            <w:hideMark/>
          </w:tcPr>
          <w:p w14:paraId="473C6DB3"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5.5</w:t>
            </w:r>
          </w:p>
        </w:tc>
        <w:tc>
          <w:tcPr>
            <w:tcW w:w="1418" w:type="dxa"/>
            <w:shd w:val="clear" w:color="auto" w:fill="auto"/>
            <w:noWrap/>
            <w:hideMark/>
          </w:tcPr>
          <w:p w14:paraId="74494141"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2000</w:t>
            </w:r>
          </w:p>
        </w:tc>
        <w:tc>
          <w:tcPr>
            <w:tcW w:w="1701" w:type="dxa"/>
            <w:shd w:val="clear" w:color="auto" w:fill="auto"/>
            <w:noWrap/>
            <w:hideMark/>
          </w:tcPr>
          <w:p w14:paraId="39595F3D"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50</w:t>
            </w:r>
            <w:r>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phosphate, 200</w:t>
            </w:r>
            <w:r>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NaCl</w:t>
            </w:r>
          </w:p>
        </w:tc>
        <w:tc>
          <w:tcPr>
            <w:tcW w:w="709" w:type="dxa"/>
            <w:shd w:val="clear" w:color="auto" w:fill="auto"/>
            <w:noWrap/>
            <w:hideMark/>
          </w:tcPr>
          <w:p w14:paraId="34A76E1E" w14:textId="77777777" w:rsidR="00ED2E8B" w:rsidRPr="0041345C"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6.5</w:t>
            </w:r>
          </w:p>
        </w:tc>
        <w:tc>
          <w:tcPr>
            <w:tcW w:w="1382" w:type="dxa"/>
            <w:shd w:val="clear" w:color="auto" w:fill="auto"/>
            <w:noWrap/>
            <w:hideMark/>
          </w:tcPr>
          <w:p w14:paraId="16384F44"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FF6FB8">
              <w:rPr>
                <w:rFonts w:ascii="Calibri" w:eastAsia="Times New Roman" w:hAnsi="Calibri" w:cs="Times New Roman"/>
                <w:color w:val="000000"/>
                <w:sz w:val="20"/>
                <w:szCs w:val="20"/>
                <w:lang w:eastAsia="en-GB"/>
              </w:rPr>
              <w:instrText>ADDIN CSL_CITATION { "citationItems" : [ { "id" : "ITEM-1", "itemData" : { "ISSN" : "1431-0651", "PMID" : "10484175", "abstract" : "Thermodynamic aspects of protein stabilization by two widespread naturally occurring osmolytes, beta-hydroxyectoine and betaine, were studied using differential scanning calorimetry (DSC) and bovine ribonuclease A (RNase A) as a model protein. The osmolyte beta-hydroxyectoine purified from Marinococcus was found to be a very efficient stabilizer. At a concentration of 3M it increased the melting temperature of RNase A (Tm) by more than 12K and gave rise to a stability increase of 10.6kJ/mol at room temperature. The heat capacity difference between the folded and unfolded state (deltaC(p)) was found to be significantly increased. Betaine stabilized RNase A only at concentrations less than 3M. Also, here deltaCp was found to be increased. Calculation of the number of water molecules that additionally bind to unfolded RNase A resulted in surprisingly low numbers for both osmolytes. The significant stabilization of RNase A by beta-hydroxyectoine makes this osmolyte an interesting stabilizer in biotechnological processes in which enzymes are applied in the presence of denaturants or at high temperature.", "author" : [ { "dropping-particle" : "", "family" : "Knapp", "given" : "S", "non-dropping-particle" : "", "parse-names" : false, "suffix" : "" }, { "dropping-particle" : "", "family" : "Ladenstein", "given" : "R", "non-dropping-particle" : "", "parse-names" : false, "suffix" : "" }, { "dropping-particle" : "", "family" : "Galinski", "given" : "E a", "non-dropping-particle" : "", "parse-names" : false, "suffix" : "" } ], "container-title" : "Extremophiles", "id" : "ITEM-1", "issued" : { "date-parts" : [ [ "1999", "8" ] ] }, "page" : "191-198", "title" : "Extrinsic protein stabilization by the naturally occurring osmolytes beta-hydroxyectoine and betaine", "type" : "article-journal", "volume" : "3" }, "uris" : [ "http://www.mendeley.com/documents/?uuid=77f36eb8-1975-44c4-b99c-5e2b144468ef" ] } ], "mendeley" : { "formattedCitation" : "(Knapp et al. 1999)", "plainTextFormattedCitation" : "(Knapp et al. 1999)", "previouslyFormattedCitation" : "(Knapp et al. 1999)"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008D5309" w:rsidRPr="008D5309">
              <w:rPr>
                <w:rFonts w:ascii="Calibri" w:eastAsia="Times New Roman" w:hAnsi="Calibri" w:cs="Times New Roman"/>
                <w:noProof/>
                <w:color w:val="000000"/>
                <w:sz w:val="20"/>
                <w:szCs w:val="20"/>
                <w:lang w:eastAsia="en-GB"/>
              </w:rPr>
              <w:t>(Knapp et al. 1999)</w:t>
            </w:r>
            <w:r>
              <w:rPr>
                <w:rFonts w:ascii="Calibri" w:eastAsia="Times New Roman" w:hAnsi="Calibri" w:cs="Times New Roman"/>
                <w:color w:val="000000"/>
                <w:sz w:val="20"/>
                <w:szCs w:val="20"/>
                <w:lang w:eastAsia="en-GB"/>
              </w:rPr>
              <w:fldChar w:fldCharType="end"/>
            </w:r>
          </w:p>
        </w:tc>
      </w:tr>
      <w:tr w:rsidR="00DC24F2" w:rsidRPr="00235AE3" w14:paraId="76417628"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4E1BCD81" w14:textId="77777777" w:rsidR="00342B2B" w:rsidRPr="00235AE3" w:rsidRDefault="00342B2B" w:rsidP="009C5E6B">
            <w:pPr>
              <w:spacing w:before="0"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Betaine</w:t>
            </w:r>
          </w:p>
        </w:tc>
        <w:tc>
          <w:tcPr>
            <w:tcW w:w="1276" w:type="dxa"/>
            <w:shd w:val="clear" w:color="auto" w:fill="auto"/>
            <w:noWrap/>
          </w:tcPr>
          <w:p w14:paraId="1BA79EB7" w14:textId="77777777" w:rsidR="00342B2B" w:rsidRDefault="00342B2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RNase A</w:t>
            </w:r>
          </w:p>
        </w:tc>
        <w:tc>
          <w:tcPr>
            <w:tcW w:w="992" w:type="dxa"/>
            <w:shd w:val="clear" w:color="auto" w:fill="auto"/>
            <w:noWrap/>
          </w:tcPr>
          <w:p w14:paraId="08808596" w14:textId="77777777" w:rsidR="00342B2B" w:rsidRPr="00235AE3" w:rsidRDefault="00342B2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6</w:t>
            </w:r>
          </w:p>
        </w:tc>
        <w:tc>
          <w:tcPr>
            <w:tcW w:w="1418" w:type="dxa"/>
            <w:shd w:val="clear" w:color="auto" w:fill="auto"/>
            <w:noWrap/>
          </w:tcPr>
          <w:p w14:paraId="45917A53" w14:textId="77777777" w:rsidR="00342B2B" w:rsidRPr="00235AE3" w:rsidRDefault="00342B2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1000</w:t>
            </w:r>
          </w:p>
        </w:tc>
        <w:tc>
          <w:tcPr>
            <w:tcW w:w="1701" w:type="dxa"/>
            <w:shd w:val="clear" w:color="auto" w:fill="auto"/>
            <w:noWrap/>
          </w:tcPr>
          <w:p w14:paraId="790E89C8" w14:textId="77777777" w:rsidR="00342B2B" w:rsidRPr="00235AE3" w:rsidRDefault="00374721" w:rsidP="003747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100 mM</w:t>
            </w:r>
            <w:r w:rsidR="00342B2B">
              <w:rPr>
                <w:rFonts w:ascii="Calibri" w:eastAsia="Times New Roman" w:hAnsi="Calibri" w:cs="Times New Roman"/>
                <w:color w:val="000000"/>
                <w:sz w:val="20"/>
                <w:szCs w:val="20"/>
                <w:lang w:eastAsia="en-GB"/>
              </w:rPr>
              <w:t xml:space="preserve"> KCl, </w:t>
            </w:r>
            <w:r>
              <w:rPr>
                <w:rFonts w:ascii="Calibri" w:eastAsia="Times New Roman" w:hAnsi="Calibri" w:cs="Times New Roman"/>
                <w:color w:val="000000"/>
                <w:sz w:val="20"/>
                <w:szCs w:val="20"/>
                <w:lang w:eastAsia="en-GB"/>
              </w:rPr>
              <w:t>50 mM</w:t>
            </w:r>
            <w:r w:rsidR="00342B2B">
              <w:rPr>
                <w:rFonts w:ascii="Calibri" w:eastAsia="Times New Roman" w:hAnsi="Calibri" w:cs="Times New Roman"/>
                <w:color w:val="000000"/>
                <w:sz w:val="20"/>
                <w:szCs w:val="20"/>
                <w:lang w:eastAsia="en-GB"/>
              </w:rPr>
              <w:t xml:space="preserve"> cacodylic acid</w:t>
            </w:r>
          </w:p>
        </w:tc>
        <w:tc>
          <w:tcPr>
            <w:tcW w:w="709" w:type="dxa"/>
            <w:shd w:val="clear" w:color="auto" w:fill="auto"/>
            <w:noWrap/>
          </w:tcPr>
          <w:p w14:paraId="3DC8B05F" w14:textId="77777777" w:rsidR="00342B2B" w:rsidRPr="0041345C" w:rsidRDefault="00342B2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Pr>
                <w:rFonts w:ascii="Calibri" w:eastAsia="Times New Roman" w:hAnsi="Calibri" w:cs="Times New Roman"/>
                <w:b/>
                <w:color w:val="000000"/>
                <w:sz w:val="20"/>
                <w:szCs w:val="20"/>
                <w:lang w:eastAsia="en-GB"/>
              </w:rPr>
              <w:t>2.2</w:t>
            </w:r>
          </w:p>
        </w:tc>
        <w:tc>
          <w:tcPr>
            <w:tcW w:w="1382" w:type="dxa"/>
            <w:shd w:val="clear" w:color="auto" w:fill="auto"/>
            <w:noWrap/>
          </w:tcPr>
          <w:p w14:paraId="572309F2" w14:textId="77777777" w:rsidR="00342B2B" w:rsidRDefault="00342B2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B92046">
              <w:rPr>
                <w:rFonts w:ascii="Calibri" w:eastAsia="Times New Roman" w:hAnsi="Calibri" w:cs="Times New Roman"/>
                <w:color w:val="000000"/>
                <w:sz w:val="20"/>
                <w:szCs w:val="20"/>
                <w:lang w:eastAsia="en-GB"/>
              </w:rPr>
              <w:instrText>ADDIN CSL_CITATION { "citationItems" : [ { "id" : "ITEM-1", "itemData" : { "DOI" : "10.1016/j.bbapap.2009.02.005", "ISSN" : "0006-3002", "PMID" : "19254782", "abstract" : "The compatible osmolyte glycine betaine (GB) is the most efficient osmoprotectant and best excluder from the protein surface. It can reverse protein aggregation and correct mutant protein defects and counter the harmful effects of urea and salts in vivo and in vitro. In this study we have investigated the pH dependence of the stabilizing effect of GB on three different proteins, namely, alpha-lactalbumin (alpha-LA), lysozyme and ribonuclease-A (RNase-A). We show here that (a) GB stabilizes RNase-A at all pH values, and (b) GB has opposite effects on two proteins at high pH and low pH values, namely, alpha-LA and lysozyme. This conclusion was reached by determining T(m) (midpoint of denaturation), DeltaH(m) (denaturational enthalpy change at T(m)), DeltaC(p) (constant-pressure heat capacity change) and DeltaG(D)(o) (denaturational Gibbs energy change at 25 degrees C) of proteins in the presence of different GB concentrations. Another conclusion of this study is that DeltaH(m) and DeltaC(p) are not significantly changed in the presence of GB. This study suggests that other methylated glycine osmolytes may also behave in the same manner.", "author" : [ { "dropping-particle" : "", "family" : "Singh", "given" : "L R", "non-dropping-particle" : "", "parse-names" : false, "suffix" : "" }, { "dropping-particle" : "", "family" : "Dar", "given" : "T A", "non-dropping-particle" : "", "parse-names" : false, "suffix" : "" }, { "dropping-particle" : "", "family" : "Rahman", "given" : "S", "non-dropping-particle" : "", "parse-names" : false, "suffix" : "" }, { "dropping-particle" : "", "family" : "Jamal", "given" : "S", "non-dropping-particle" : "", "parse-names" : false, "suffix" : "" }, { "dropping-particle" : "", "family" : "Ahmad", "given" : "F", "non-dropping-particle" : "", "parse-names" : false, "suffix" : "" } ], "container-title" : "Biochimica et Biophysica Acta", "id" : "ITEM-1", "issued" : { "date-parts" : [ [ "2009", "6" ] ] }, "page" : "929-935", "title" : "Glycine betaine may have opposite effects on protein stability at high and low pH values", "type" : "article-journal", "volume" : "1794" }, "uris" : [ "http://www.mendeley.com/documents/?uuid=48b4d17a-3dc0-4580-a4e2-cae05c5feb35" ] } ], "mendeley" : { "formattedCitation" : "(Singh et al. 2009)", "plainTextFormattedCitation" : "(Singh et al. 2009)", "previouslyFormattedCitation" : "(Singh et al. 2009)"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342B2B">
              <w:rPr>
                <w:rFonts w:ascii="Calibri" w:eastAsia="Times New Roman" w:hAnsi="Calibri" w:cs="Times New Roman"/>
                <w:noProof/>
                <w:color w:val="000000"/>
                <w:sz w:val="20"/>
                <w:szCs w:val="20"/>
                <w:lang w:eastAsia="en-GB"/>
              </w:rPr>
              <w:t>(Singh et al. 2009)</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7A5E5BEB"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485ED64A"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lastRenderedPageBreak/>
              <w:t>Betaine</w:t>
            </w:r>
          </w:p>
        </w:tc>
        <w:tc>
          <w:tcPr>
            <w:tcW w:w="1276" w:type="dxa"/>
            <w:shd w:val="clear" w:color="auto" w:fill="auto"/>
            <w:noWrap/>
            <w:hideMark/>
          </w:tcPr>
          <w:p w14:paraId="794FB52A" w14:textId="77777777" w:rsidR="00ED2E8B" w:rsidRPr="00235AE3" w:rsidRDefault="00816A08"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ED2E8B" w:rsidRPr="00235AE3">
              <w:rPr>
                <w:rFonts w:ascii="Calibri" w:eastAsia="Times New Roman" w:hAnsi="Calibri" w:cs="Times New Roman"/>
                <w:color w:val="000000"/>
                <w:sz w:val="20"/>
                <w:szCs w:val="20"/>
                <w:lang w:eastAsia="en-GB"/>
              </w:rPr>
              <w:t>ase A</w:t>
            </w:r>
          </w:p>
        </w:tc>
        <w:tc>
          <w:tcPr>
            <w:tcW w:w="992" w:type="dxa"/>
            <w:shd w:val="clear" w:color="auto" w:fill="auto"/>
            <w:noWrap/>
            <w:hideMark/>
          </w:tcPr>
          <w:p w14:paraId="01E5F5C3"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6.7</w:t>
            </w:r>
          </w:p>
        </w:tc>
        <w:tc>
          <w:tcPr>
            <w:tcW w:w="1418" w:type="dxa"/>
            <w:shd w:val="clear" w:color="auto" w:fill="auto"/>
            <w:noWrap/>
            <w:hideMark/>
          </w:tcPr>
          <w:p w14:paraId="6E11E3B9"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400</w:t>
            </w:r>
          </w:p>
        </w:tc>
        <w:tc>
          <w:tcPr>
            <w:tcW w:w="1701" w:type="dxa"/>
            <w:shd w:val="clear" w:color="auto" w:fill="auto"/>
            <w:noWrap/>
            <w:hideMark/>
          </w:tcPr>
          <w:p w14:paraId="3F5A1EA7" w14:textId="77777777" w:rsidR="00ED2E8B" w:rsidRPr="00E3274E" w:rsidRDefault="00ED2E8B" w:rsidP="003747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de-DE" w:eastAsia="en-GB"/>
              </w:rPr>
            </w:pPr>
            <w:r w:rsidRPr="00E3274E">
              <w:rPr>
                <w:rFonts w:ascii="Calibri" w:eastAsia="Times New Roman" w:hAnsi="Calibri" w:cs="Times New Roman"/>
                <w:color w:val="000000"/>
                <w:sz w:val="20"/>
                <w:szCs w:val="20"/>
                <w:lang w:val="de-DE" w:eastAsia="en-GB"/>
              </w:rPr>
              <w:t xml:space="preserve">25 mM potassium phosphate, </w:t>
            </w:r>
            <w:r w:rsidR="00374721" w:rsidRPr="00E3274E">
              <w:rPr>
                <w:rFonts w:ascii="Calibri" w:eastAsia="Times New Roman" w:hAnsi="Calibri" w:cs="Times New Roman"/>
                <w:color w:val="000000"/>
                <w:sz w:val="20"/>
                <w:szCs w:val="20"/>
                <w:lang w:val="de-DE" w:eastAsia="en-GB"/>
              </w:rPr>
              <w:t>150</w:t>
            </w:r>
            <w:r w:rsidRPr="00E3274E">
              <w:rPr>
                <w:rFonts w:ascii="Calibri" w:eastAsia="Times New Roman" w:hAnsi="Calibri" w:cs="Times New Roman"/>
                <w:color w:val="000000"/>
                <w:sz w:val="20"/>
                <w:szCs w:val="20"/>
                <w:lang w:val="de-DE" w:eastAsia="en-GB"/>
              </w:rPr>
              <w:t xml:space="preserve"> </w:t>
            </w:r>
            <w:r w:rsidR="00374721" w:rsidRPr="00E3274E">
              <w:rPr>
                <w:rFonts w:ascii="Calibri" w:eastAsia="Times New Roman" w:hAnsi="Calibri" w:cs="Times New Roman"/>
                <w:color w:val="000000"/>
                <w:sz w:val="20"/>
                <w:szCs w:val="20"/>
                <w:lang w:val="de-DE" w:eastAsia="en-GB"/>
              </w:rPr>
              <w:t>m</w:t>
            </w:r>
            <w:r w:rsidRPr="00E3274E">
              <w:rPr>
                <w:rFonts w:ascii="Calibri" w:eastAsia="Times New Roman" w:hAnsi="Calibri" w:cs="Times New Roman"/>
                <w:color w:val="000000"/>
                <w:sz w:val="20"/>
                <w:szCs w:val="20"/>
                <w:lang w:val="de-DE" w:eastAsia="en-GB"/>
              </w:rPr>
              <w:t>M KCl</w:t>
            </w:r>
          </w:p>
        </w:tc>
        <w:tc>
          <w:tcPr>
            <w:tcW w:w="709" w:type="dxa"/>
            <w:shd w:val="clear" w:color="auto" w:fill="auto"/>
            <w:noWrap/>
            <w:hideMark/>
          </w:tcPr>
          <w:p w14:paraId="7F56D38A" w14:textId="77777777" w:rsidR="00ED2E8B" w:rsidRPr="0041345C"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0.6</w:t>
            </w:r>
          </w:p>
        </w:tc>
        <w:tc>
          <w:tcPr>
            <w:tcW w:w="1382" w:type="dxa"/>
            <w:shd w:val="clear" w:color="auto" w:fill="auto"/>
            <w:noWrap/>
            <w:hideMark/>
          </w:tcPr>
          <w:p w14:paraId="40FE6465"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"10.1002/jez.1402080202", "ISSN" : "0022-104X", "PMID" : "469480", "abstract" : "The major nitrogenous osmolytes present in the cells of marine invertebrates, notably the free amino acids glycine, alanine and proline, and trimethylamine oxide and betaine, are highly compatible with proper enzyme function and structure. These nitrogenous osmolytes display either non-perturbing or, in some cases, favorable effects on enzyme-substrate and enzyme-cofactor complex formation, catalytic velocity and protein structural stability. In contrast, inorganic salts (KCl and NaCl) and certain of the free amino acids which play only a minor osmotic role, e.g., arginine and lysine, have strongly perturbing effects on one or more of these enzymic parameters. The compatible nitrogenous solutes therefore are suitable for use at high (several tenths molar) concentrations and at widely varying concentrations in osmo-conforming species. Certain nitrogenous solutes, especially trimethylamine oxide, betaine and glutamate, offset some of the perturbing effects of inorganic ions on enzyme function. The selective accumulation of osmolytes thus involves not only the concentration of non-perturbing solutes, but also a balanced accumulation of solutes with opposing effects on enzymes. The selection of end-products of anaerobic metabolism also appears to be based, in part, on considerations of solute compatibility with enzyme function. Octopine is a non-perturbing solute, whereas arginine, which is condensed with pyruvate to form octopine, is very strongly perturbing. Succinate has marked stabilizing effects on protein structure. We conclude that the composition of the intracellular fluids of marine invertebrates reflects selection for osmolytes and end-products whose net effects create a cellular microenvironment which is conducive to optimal enzyme function and structure. The accumulation of compatible solutes may preclude the necessity for widespread changes in protein structure in adapting to concentrated or highly variable osmotic environments.", "author" : [ { "dropping-particle" : "", "family" : "Bowlus", "given" : "R D", "non-dropping-particle" : "", "parse-names" : false, "suffix" : "" }, { "dropping-particle" : "", "family" : "Somero", "given" : "G N", "non-dropping-particle" : "", "parse-names" : false, "suffix" : "" } ], "container-title" : "Journal of Experimental Zoology", "id" : "ITEM-1", "issued" : { "date-parts" : [ [ "1979" ] ] }, "page" : "137-151", "title" : "Solute compatibility with enzyme function and structure: rationales for the selection of osmotic agents and end-products of anaerobic metabolism in marine invertebrates", "type" : "article-journal", "volume" : "208" }, "uris" : [ "http://www.mendeley.com/documents/?uuid=7dde3bd3-612c-4dc0-b5b3-9e57c8eb9a26" ] } ], "mendeley" : { "formattedCitation" : "(Bowlus &amp; Somero 1979)", "plainTextFormattedCitation" : "(Bowlus &amp; Somero 1979)", "previouslyFormattedCitation" : "(Bowlus &amp; Somero 1979)"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023DC1">
              <w:rPr>
                <w:rFonts w:ascii="Calibri" w:eastAsia="Times New Roman" w:hAnsi="Calibri" w:cs="Times New Roman"/>
                <w:noProof/>
                <w:color w:val="000000"/>
                <w:sz w:val="20"/>
                <w:szCs w:val="20"/>
                <w:lang w:eastAsia="en-GB"/>
              </w:rPr>
              <w:t>(Bowlus &amp; Somero 1979)</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5BE81B88"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10F92F6C"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Betaine</w:t>
            </w:r>
          </w:p>
        </w:tc>
        <w:tc>
          <w:tcPr>
            <w:tcW w:w="1276" w:type="dxa"/>
            <w:shd w:val="clear" w:color="auto" w:fill="auto"/>
            <w:noWrap/>
            <w:hideMark/>
          </w:tcPr>
          <w:p w14:paraId="429D0F30" w14:textId="77777777" w:rsidR="00ED2E8B" w:rsidRPr="00235AE3" w:rsidRDefault="000D0B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ED2E8B" w:rsidRPr="00235AE3">
              <w:rPr>
                <w:rFonts w:ascii="Calibri" w:eastAsia="Times New Roman" w:hAnsi="Calibri" w:cs="Times New Roman"/>
                <w:color w:val="000000"/>
                <w:sz w:val="20"/>
                <w:szCs w:val="20"/>
                <w:lang w:eastAsia="en-GB"/>
              </w:rPr>
              <w:t>ase A</w:t>
            </w:r>
          </w:p>
        </w:tc>
        <w:tc>
          <w:tcPr>
            <w:tcW w:w="992" w:type="dxa"/>
            <w:shd w:val="clear" w:color="auto" w:fill="auto"/>
            <w:noWrap/>
            <w:hideMark/>
          </w:tcPr>
          <w:p w14:paraId="1E5C6CD2"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5.8/6</w:t>
            </w:r>
          </w:p>
        </w:tc>
        <w:tc>
          <w:tcPr>
            <w:tcW w:w="1418" w:type="dxa"/>
            <w:shd w:val="clear" w:color="auto" w:fill="auto"/>
            <w:noWrap/>
            <w:hideMark/>
          </w:tcPr>
          <w:p w14:paraId="5AC77999"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3000</w:t>
            </w:r>
          </w:p>
        </w:tc>
        <w:tc>
          <w:tcPr>
            <w:tcW w:w="1701" w:type="dxa"/>
            <w:shd w:val="clear" w:color="auto" w:fill="auto"/>
            <w:noWrap/>
            <w:hideMark/>
          </w:tcPr>
          <w:p w14:paraId="3190BD19"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w:t>
            </w:r>
            <w:r>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citrate &amp; 55mM NaCl</w:t>
            </w:r>
          </w:p>
        </w:tc>
        <w:tc>
          <w:tcPr>
            <w:tcW w:w="709" w:type="dxa"/>
            <w:shd w:val="clear" w:color="auto" w:fill="auto"/>
            <w:noWrap/>
            <w:hideMark/>
          </w:tcPr>
          <w:p w14:paraId="18B32BBF" w14:textId="77777777" w:rsidR="00ED2E8B" w:rsidRPr="0041345C"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9</w:t>
            </w:r>
          </w:p>
        </w:tc>
        <w:tc>
          <w:tcPr>
            <w:tcW w:w="1382" w:type="dxa"/>
            <w:shd w:val="clear" w:color="auto" w:fill="auto"/>
            <w:noWrap/>
            <w:hideMark/>
          </w:tcPr>
          <w:p w14:paraId="2CA1F2B0"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054313">
              <w:rPr>
                <w:rFonts w:ascii="Calibri" w:eastAsia="Times New Roman" w:hAnsi="Calibri" w:cs="Times New Roman"/>
                <w:color w:val="000000"/>
                <w:sz w:val="20"/>
                <w:szCs w:val="20"/>
                <w:lang w:eastAsia="en-GB"/>
              </w:rPr>
              <w:instrText>ADDIN CSL_CITATION { "citationItems" : [ { "id" : "ITEM-1", "itemData" : { "ISSN" : "0006-2960", "PMID" : "1376620", "abstract" : "Organisms and cellular systems which have adapted to stresses such as high temperature, desiccation, and urea-concentrating environments have responded by concentrating particular organic solutes known as osmolytes. These osmolytes are believed to confer protection to enzyme and other macromolecular systems against such denaturing stresses. Differential scanning calorimetric (DSC) experiments were performed on ribonuclease A and hen egg white lysozyme in the presence of varying concentrations of the osmolytes glycine, sarcosine, N,N-dimethylglycine, and betaine. Solutions containing up to several molar concentrations of these solutes were found to result in considerable increases in the thermal unfolding transition temperature (Tm) for these proteins. DSC scans of ribonuclease A in the presence of up to 8.2 M sarcosine resulted in reversible two-state unfolding transitions with Tm increases of up to 22 degrees C and unfolding enthalpy changes which were independent of Tm. On the basis of the thermodynamic parameters observed, 8.2 M sarcosine results in a stabilization free energy increase of 7.2 kcal/mol for ribonuclease A at 65 degrees C. This translates into more than a 45,000-fold increase in stability of the native form of ribonuclease A over that in the absence of sarcosine at this temperature. Catalytic activity measurements in the presence of 4 M sarcosine give kcat and Km values that are largely unchanged from those in the absence of sarcosine. DSC of lysozyme unfolding in the presence of these osmolytes also results in Tm increases of up to 23 degrees C; however, significant irreversibly occurs with this protein.(ABSTRACT TRUNCATED AT 250 WORDS)", "author" : [ { "dropping-particle" : "", "family" : "Santoro", "given" : "M M", "non-dropping-particle" : "", "parse-names" : false, "suffix" : "" }, { "dropping-particle" : "", "family" : "Liu", "given" : "Y", "non-dropping-particle" : "", "parse-names" : false, "suffix" : "" }, { "dropping-particle" : "", "family" : "Khan", "given" : "S M A", "non-dropping-particle" : "", "parse-names" : false, "suffix" : "" }, { "dropping-particle" : "", "family" : "Hou", "given" : "L X", "non-dropping-particle" : "", "parse-names" : false, "suffix" : "" }, { "dropping-particle" : "", "family" : "Bolen", "given" : "D W", "non-dropping-particle" : "", "parse-names" : false, "suffix" : "" } ], "container-title" : "Biochemistry", "id" : "ITEM-1", "issued" : { "date-parts" : [ [ "1992", "6", "16" ] ] }, "page" : "5278-5283", "title" : "Increased thermal stability of proteins in the presence of naturally occurring osmolytes", "type" : "article-journal", "volume" : "31" }, "uris" : [ "http://www.mendeley.com/documents/?uuid=43f8c6ce-f911-44c3-88ac-ffd899b1fb4f" ] } ], "mendeley" : { "formattedCitation" : "(Santoro et al. 1992)", "plainTextFormattedCitation" : "(Santoro et al. 1992)", "previouslyFormattedCitation" : "(Santoro et al. 1992)"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023DC1">
              <w:rPr>
                <w:rFonts w:ascii="Calibri" w:eastAsia="Times New Roman" w:hAnsi="Calibri" w:cs="Times New Roman"/>
                <w:noProof/>
                <w:color w:val="000000"/>
                <w:sz w:val="20"/>
                <w:szCs w:val="20"/>
                <w:lang w:eastAsia="en-GB"/>
              </w:rPr>
              <w:t>(Santoro et al. 1992)</w:t>
            </w:r>
            <w:r>
              <w:rPr>
                <w:rFonts w:ascii="Calibri" w:eastAsia="Times New Roman" w:hAnsi="Calibri" w:cs="Times New Roman"/>
                <w:color w:val="000000"/>
                <w:sz w:val="20"/>
                <w:szCs w:val="20"/>
                <w:lang w:eastAsia="en-GB"/>
              </w:rPr>
              <w:fldChar w:fldCharType="end"/>
            </w:r>
          </w:p>
        </w:tc>
      </w:tr>
      <w:tr w:rsidR="00DC24F2" w:rsidRPr="00235AE3" w14:paraId="72E3B1B8"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72752930"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Sarcosine</w:t>
            </w:r>
          </w:p>
        </w:tc>
        <w:tc>
          <w:tcPr>
            <w:tcW w:w="1276" w:type="dxa"/>
            <w:shd w:val="clear" w:color="auto" w:fill="auto"/>
            <w:noWrap/>
          </w:tcPr>
          <w:p w14:paraId="13BA0F26"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Lysozyme</w:t>
            </w:r>
          </w:p>
        </w:tc>
        <w:tc>
          <w:tcPr>
            <w:tcW w:w="992" w:type="dxa"/>
            <w:shd w:val="clear" w:color="auto" w:fill="auto"/>
            <w:noWrap/>
          </w:tcPr>
          <w:p w14:paraId="63E3F041"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w:t>
            </w:r>
          </w:p>
        </w:tc>
        <w:tc>
          <w:tcPr>
            <w:tcW w:w="1418" w:type="dxa"/>
            <w:shd w:val="clear" w:color="auto" w:fill="auto"/>
            <w:noWrap/>
          </w:tcPr>
          <w:p w14:paraId="3A84EA72"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1000</w:t>
            </w:r>
          </w:p>
        </w:tc>
        <w:tc>
          <w:tcPr>
            <w:tcW w:w="1701" w:type="dxa"/>
            <w:shd w:val="clear" w:color="auto" w:fill="auto"/>
            <w:noWrap/>
          </w:tcPr>
          <w:p w14:paraId="1822E26C" w14:textId="77777777" w:rsidR="00ED2E8B" w:rsidRPr="00235AE3" w:rsidRDefault="00ED2E8B" w:rsidP="003747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0</w:t>
            </w:r>
            <w:r w:rsidR="00374721">
              <w:rPr>
                <w:rFonts w:ascii="Calibri" w:eastAsia="Times New Roman" w:hAnsi="Calibri" w:cs="Times New Roman"/>
                <w:color w:val="000000"/>
                <w:sz w:val="20"/>
                <w:szCs w:val="20"/>
                <w:lang w:eastAsia="en-GB"/>
              </w:rPr>
              <w:t xml:space="preserve">20 mM </w:t>
            </w:r>
            <w:r w:rsidRPr="00235AE3">
              <w:rPr>
                <w:rFonts w:ascii="Calibri" w:eastAsia="Times New Roman" w:hAnsi="Calibri" w:cs="Times New Roman"/>
                <w:color w:val="000000"/>
                <w:sz w:val="20"/>
                <w:szCs w:val="20"/>
                <w:lang w:eastAsia="en-GB"/>
              </w:rPr>
              <w:t>NaCl</w:t>
            </w:r>
          </w:p>
        </w:tc>
        <w:tc>
          <w:tcPr>
            <w:tcW w:w="709" w:type="dxa"/>
            <w:shd w:val="clear" w:color="auto" w:fill="auto"/>
            <w:noWrap/>
          </w:tcPr>
          <w:p w14:paraId="0D54F5E5" w14:textId="77777777" w:rsidR="00ED2E8B" w:rsidRPr="0041345C"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6</w:t>
            </w:r>
          </w:p>
        </w:tc>
        <w:tc>
          <w:tcPr>
            <w:tcW w:w="1382" w:type="dxa"/>
            <w:shd w:val="clear" w:color="auto" w:fill="auto"/>
            <w:noWrap/>
          </w:tcPr>
          <w:p w14:paraId="0F6A0F90"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"10.1016/S0006-3495(85)83932-1", "ISSN" : "0006-3495", "PMID" : "3978211", "abstract" : "The preferential interactions of lysozyme with solvent components and the effects of solvent additives on its stability were examined for several neutral osmolytes: L-proline, L-serine, gamma-aminobutyric acid, sarcosine, taurine, alpha-alanine, beta-alanine, glycine, betaine, and trimethylamine N-oxide. It was shown that all these substances stabilize the protein structure against thermal denaturation and (except for trimethylamine N-oxide for which interaction measurements could not be made) are strongly excluded from the protein domain, rendering unlikely their direct binding to proteins. On the other hand, valine, not known as an osmolyte, had no stabilizing effect, although it induced a large protein-preferential hydration. A possible explanation is given for the use of these substances as osmotic-pressure-regulating agents in organisms living under high osmotic pressure.", "author" : [ { "dropping-particle" : "", "family" : "Arakawa", "given" : "T", "non-dropping-particle" : "", "parse-names" : false, "suffix" : "" }, { "dropping-particle" : "", "family" : "Timasheff", "given" : "S N", "non-dropping-particle" : "", "parse-names" : false, "suffix" : "" } ], "container-title" : "Biophysical Journal", "id" : "ITEM-1", "issued" : { "date-parts" : [ [ "1985", "3" ] ] }, "page" : "411-414", "title" : "The stabilization of proteins by osmolytes", "type" : "article-journal", "volume" : "47" }, "uris" : [ "http://www.mendeley.com/documents/?uuid=a1e19a58-b0d0-4a61-ada1-8d4bd546989a" ] } ], "mendeley" : { "formattedCitation" : "(Arakawa &amp; Timasheff 1985)", "plainTextFormattedCitation" : "(Arakawa &amp; Timasheff 1985)", "previouslyFormattedCitation" : "(Arakawa &amp; Timasheff 1985)"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(Arakawa &amp; Timasheff 1985)</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3243DB8C"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2425D8B5"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Sarcosine</w:t>
            </w:r>
          </w:p>
        </w:tc>
        <w:tc>
          <w:tcPr>
            <w:tcW w:w="1276" w:type="dxa"/>
            <w:shd w:val="clear" w:color="auto" w:fill="auto"/>
            <w:noWrap/>
          </w:tcPr>
          <w:p w14:paraId="5AF74AC7" w14:textId="77777777" w:rsidR="00ED2E8B" w:rsidRPr="00235AE3" w:rsidRDefault="000D0B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ED2E8B" w:rsidRPr="00235AE3">
              <w:rPr>
                <w:rFonts w:ascii="Calibri" w:eastAsia="Times New Roman" w:hAnsi="Calibri" w:cs="Times New Roman"/>
                <w:color w:val="000000"/>
                <w:sz w:val="20"/>
                <w:szCs w:val="20"/>
                <w:lang w:eastAsia="en-GB"/>
              </w:rPr>
              <w:t>ase A</w:t>
            </w:r>
          </w:p>
        </w:tc>
        <w:tc>
          <w:tcPr>
            <w:tcW w:w="992" w:type="dxa"/>
            <w:shd w:val="clear" w:color="auto" w:fill="auto"/>
            <w:noWrap/>
          </w:tcPr>
          <w:p w14:paraId="5BFCA8E1"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4.2</w:t>
            </w:r>
          </w:p>
        </w:tc>
        <w:tc>
          <w:tcPr>
            <w:tcW w:w="1418" w:type="dxa"/>
            <w:shd w:val="clear" w:color="auto" w:fill="auto"/>
            <w:noWrap/>
          </w:tcPr>
          <w:p w14:paraId="06E7B1DC"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2000</w:t>
            </w:r>
          </w:p>
        </w:tc>
        <w:tc>
          <w:tcPr>
            <w:tcW w:w="1701" w:type="dxa"/>
            <w:shd w:val="clear" w:color="auto" w:fill="auto"/>
            <w:noWrap/>
          </w:tcPr>
          <w:p w14:paraId="019EEA8A" w14:textId="77777777" w:rsidR="00ED2E8B" w:rsidRPr="00235AE3" w:rsidRDefault="00374721" w:rsidP="003747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40 mM acetate</w:t>
            </w:r>
          </w:p>
        </w:tc>
        <w:tc>
          <w:tcPr>
            <w:tcW w:w="709" w:type="dxa"/>
            <w:shd w:val="clear" w:color="auto" w:fill="auto"/>
            <w:noWrap/>
          </w:tcPr>
          <w:p w14:paraId="48986AA7" w14:textId="77777777" w:rsidR="00ED2E8B" w:rsidRPr="0041345C"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5.3</w:t>
            </w:r>
          </w:p>
        </w:tc>
        <w:tc>
          <w:tcPr>
            <w:tcW w:w="1382" w:type="dxa"/>
            <w:shd w:val="clear" w:color="auto" w:fill="auto"/>
            <w:noWrap/>
          </w:tcPr>
          <w:p w14:paraId="1A405D31"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"10.1016/j.bpc.2013.10.004", "ISBN" : "1873-4200 (Electronic)\\r0301-4622 (Linking)", "ISSN" : "03014622", "PMID" : "24292629", "abstract" : "Thermal unfolding of ribonuclease A (RNase) was analyzed in various osmolyte solutions of glycine, proline, sarcosine, N,N-dimethylglycine, betaine, myo-inositol, taurine, and trimethylamine-N-oxide (TMAO). All the osmolytes tested stabilized the protein. The thermal unfolding curve was described well by the van't Hoff equation and the melting temperature and the enthalpy of protein unfolding were obtained. The Wyman-Tanford equation, which describes the unfolded-to-folded protein ratio as a function of water activity, was successfully applied to obtain a linear plot. In consideration of this experimentally obtained linearity, the Wyman-Tanford plot could be integrated to calculate the stabilization free energy of the protein (??????? ???????G) in the solution. The ??????????? ???G was proved to be described by the property of the microstructure around the protein surface, which is composed of the protein hydration, the cosolute-binding, and the preferential exclusion, and the property of the bulk solution; water activity. The m-values of osmolytes for protein unfolding were obtained from ??????????????G calculated. Among the osmolytes tested, myo-inositol showed the highest m-value. ?? 2013 Elsevier Ltd. All rights reserved.", "author" : [ { "dropping-particle" : "", "family" : "Miyawaki", "given" : "O", "non-dropping-particle" : "", "parse-names" : false, "suffix" : "" }, { "dropping-particle" : "", "family" : "Dozen", "given" : "M", "non-dropping-particle" : "", "parse-names" : false, "suffix" : "" }, { "dropping-particle" : "", "family" : "Nomura", "given" : "K", "non-dropping-particle" : "", "parse-names" : false, "suffix" : "" } ], "container-title" : "Biophysical Chemistry", "id" : "ITEM-1", "issued" : { "date-parts" : [ [ "2014" ] ] }, "page" : "19-24", "publisher" : "Elsevier B.V.", "title" : "Thermodynamic analysis of osmolyte effect on thermal stability of ribonuclease A in terms of water activity", "type" : "article-journal", "volume" : "185" }, "uris" : [ "http://www.mendeley.com/documents/?uuid=7914a675-1b34-43aa-92ca-51687220293e" ] } ], "mendeley" : { "formattedCitation" : "(Miyawaki et al. 2014)", "plainTextFormattedCitation" : "(Miyawaki et al. 2014)", "previouslyFormattedCitation" : "(Miyawaki et al. 2014)"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(Miyawaki et al. 2014)</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7E1E9CA5"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704A4CEB"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Sarcosine</w:t>
            </w:r>
          </w:p>
        </w:tc>
        <w:tc>
          <w:tcPr>
            <w:tcW w:w="1276" w:type="dxa"/>
            <w:shd w:val="clear" w:color="auto" w:fill="auto"/>
            <w:noWrap/>
          </w:tcPr>
          <w:p w14:paraId="6D75C303" w14:textId="77777777" w:rsidR="00ED2E8B" w:rsidRPr="00235AE3" w:rsidRDefault="000D0B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ED2E8B" w:rsidRPr="00235AE3">
              <w:rPr>
                <w:rFonts w:ascii="Calibri" w:eastAsia="Times New Roman" w:hAnsi="Calibri" w:cs="Times New Roman"/>
                <w:color w:val="000000"/>
                <w:sz w:val="20"/>
                <w:szCs w:val="20"/>
                <w:lang w:eastAsia="en-GB"/>
              </w:rPr>
              <w:t>ase A</w:t>
            </w:r>
          </w:p>
        </w:tc>
        <w:tc>
          <w:tcPr>
            <w:tcW w:w="992" w:type="dxa"/>
            <w:shd w:val="clear" w:color="auto" w:fill="auto"/>
            <w:noWrap/>
          </w:tcPr>
          <w:p w14:paraId="59C73CCE"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5.5</w:t>
            </w:r>
          </w:p>
        </w:tc>
        <w:tc>
          <w:tcPr>
            <w:tcW w:w="1418" w:type="dxa"/>
            <w:shd w:val="clear" w:color="auto" w:fill="auto"/>
            <w:noWrap/>
          </w:tcPr>
          <w:p w14:paraId="4B748845"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2000</w:t>
            </w:r>
          </w:p>
        </w:tc>
        <w:tc>
          <w:tcPr>
            <w:tcW w:w="1701" w:type="dxa"/>
            <w:shd w:val="clear" w:color="auto" w:fill="auto"/>
            <w:noWrap/>
          </w:tcPr>
          <w:p w14:paraId="509CAC50" w14:textId="77777777" w:rsidR="00ED2E8B" w:rsidRPr="00235AE3" w:rsidRDefault="00374721"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40 mM acetate</w:t>
            </w:r>
          </w:p>
        </w:tc>
        <w:tc>
          <w:tcPr>
            <w:tcW w:w="709" w:type="dxa"/>
            <w:shd w:val="clear" w:color="auto" w:fill="auto"/>
            <w:noWrap/>
          </w:tcPr>
          <w:p w14:paraId="258B4C76" w14:textId="77777777" w:rsidR="00ED2E8B" w:rsidRPr="0041345C"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6.4</w:t>
            </w:r>
          </w:p>
        </w:tc>
        <w:tc>
          <w:tcPr>
            <w:tcW w:w="1382" w:type="dxa"/>
            <w:shd w:val="clear" w:color="auto" w:fill="auto"/>
            <w:noWrap/>
          </w:tcPr>
          <w:p w14:paraId="6C0104B6" w14:textId="77777777" w:rsidR="00ED2E8B" w:rsidRPr="00235AE3" w:rsidRDefault="00ED2E8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"10.1016/j.bpc.2013.10.004", "ISBN" : "1873-4200 (Electronic)\\r0301-4622 (Linking)", "ISSN" : "03014622", "PMID" : "24292629", "abstract" : "Thermal unfolding of ribonuclease A (RNase) was analyzed in various osmolyte solutions of glycine, proline, sarcosine, N,N-dimethylglycine, betaine, myo-inositol, taurine, and trimethylamine-N-oxide (TMAO). All the osmolytes tested stabilized the protein. The thermal unfolding curve was described well by the van't Hoff equation and the melting temperature and the enthalpy of protein unfolding were obtained. The Wyman-Tanford equation, which describes the unfolded-to-folded protein ratio as a function of water activity, was successfully applied to obtain a linear plot. In consideration of this experimentally obtained linearity, the Wyman-Tanford plot could be integrated to calculate the stabilization free energy of the protein (??????? ???????G) in the solution. The ??????????? ???G was proved to be described by the property of the microstructure around the protein surface, which is composed of the protein hydration, the cosolute-binding, and the preferential exclusion, and the property of the bulk solution; water activity. The m-values of osmolytes for protein unfolding were obtained from ??????????????G calculated. Among the osmolytes tested, myo-inositol showed the highest m-value. ?? 2013 Elsevier Ltd. All rights reserved.", "author" : [ { "dropping-particle" : "", "family" : "Miyawaki", "given" : "O", "non-dropping-particle" : "", "parse-names" : false, "suffix" : "" }, { "dropping-particle" : "", "family" : "Dozen", "given" : "M", "non-dropping-particle" : "", "parse-names" : false, "suffix" : "" }, { "dropping-particle" : "", "family" : "Nomura", "given" : "K", "non-dropping-particle" : "", "parse-names" : false, "suffix" : "" } ], "container-title" : "Biophysical Chemistry", "id" : "ITEM-1", "issued" : { "date-parts" : [ [ "2014" ] ] }, "page" : "19-24", "publisher" : "Elsevier B.V.", "title" : "Thermodynamic analysis of osmolyte effect on thermal stability of ribonuclease A in terms of water activity", "type" : "article-journal", "volume" : "185" }, "uris" : [ "http://www.mendeley.com/documents/?uuid=7914a675-1b34-43aa-92ca-51687220293e" ] } ], "mendeley" : { "formattedCitation" : "(Miyawaki et al. 2014)", "plainTextFormattedCitation" : "(Miyawaki et al. 2014)", "previouslyFormattedCitation" : "(Miyawaki et al. 2014)"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(Miyawaki et al. 2014)</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3FEC5A0A"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776C60BF" w14:textId="77777777" w:rsidR="00ED2E8B" w:rsidRPr="00235AE3" w:rsidRDefault="00ED2E8B"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Sarcosine</w:t>
            </w:r>
          </w:p>
        </w:tc>
        <w:tc>
          <w:tcPr>
            <w:tcW w:w="1276" w:type="dxa"/>
            <w:shd w:val="clear" w:color="auto" w:fill="auto"/>
            <w:noWrap/>
          </w:tcPr>
          <w:p w14:paraId="13C87481" w14:textId="77777777" w:rsidR="00ED2E8B" w:rsidRPr="00235AE3" w:rsidRDefault="000D0B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ED2E8B" w:rsidRPr="00235AE3">
              <w:rPr>
                <w:rFonts w:ascii="Calibri" w:eastAsia="Times New Roman" w:hAnsi="Calibri" w:cs="Times New Roman"/>
                <w:color w:val="000000"/>
                <w:sz w:val="20"/>
                <w:szCs w:val="20"/>
                <w:lang w:eastAsia="en-GB"/>
              </w:rPr>
              <w:t>ase A</w:t>
            </w:r>
          </w:p>
        </w:tc>
        <w:tc>
          <w:tcPr>
            <w:tcW w:w="992" w:type="dxa"/>
            <w:shd w:val="clear" w:color="auto" w:fill="auto"/>
            <w:noWrap/>
          </w:tcPr>
          <w:p w14:paraId="0C2A28BF"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5.8/6</w:t>
            </w:r>
          </w:p>
        </w:tc>
        <w:tc>
          <w:tcPr>
            <w:tcW w:w="1418" w:type="dxa"/>
            <w:shd w:val="clear" w:color="auto" w:fill="auto"/>
            <w:noWrap/>
          </w:tcPr>
          <w:p w14:paraId="4869DD7C"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8000</w:t>
            </w:r>
          </w:p>
        </w:tc>
        <w:tc>
          <w:tcPr>
            <w:tcW w:w="1701" w:type="dxa"/>
            <w:shd w:val="clear" w:color="auto" w:fill="auto"/>
            <w:noWrap/>
          </w:tcPr>
          <w:p w14:paraId="2062BD6F"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w:t>
            </w:r>
            <w:r>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citrate &amp; 55</w:t>
            </w:r>
            <w:r>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NaCl</w:t>
            </w:r>
          </w:p>
        </w:tc>
        <w:tc>
          <w:tcPr>
            <w:tcW w:w="709" w:type="dxa"/>
            <w:shd w:val="clear" w:color="auto" w:fill="auto"/>
            <w:noWrap/>
          </w:tcPr>
          <w:p w14:paraId="070A0792" w14:textId="77777777" w:rsidR="00ED2E8B" w:rsidRPr="0041345C"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20</w:t>
            </w:r>
          </w:p>
        </w:tc>
        <w:tc>
          <w:tcPr>
            <w:tcW w:w="1382" w:type="dxa"/>
            <w:shd w:val="clear" w:color="auto" w:fill="auto"/>
            <w:noWrap/>
          </w:tcPr>
          <w:p w14:paraId="26D12104" w14:textId="77777777" w:rsidR="00ED2E8B" w:rsidRPr="00235AE3" w:rsidRDefault="00ED2E8B"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054313">
              <w:rPr>
                <w:rFonts w:ascii="Calibri" w:eastAsia="Times New Roman" w:hAnsi="Calibri" w:cs="Times New Roman"/>
                <w:color w:val="000000"/>
                <w:sz w:val="20"/>
                <w:szCs w:val="20"/>
                <w:lang w:eastAsia="en-GB"/>
              </w:rPr>
              <w:instrText>ADDIN CSL_CITATION { "citationItems" : [ { "id" : "ITEM-1", "itemData" : { "ISSN" : "0006-2960", "PMID" : "1376620", "abstract" : "Organisms and cellular systems which have adapted to stresses such as high temperature, desiccation, and urea-concentrating environments have responded by concentrating particular organic solutes known as osmolytes. These osmolytes are believed to confer protection to enzyme and other macromolecular systems against such denaturing stresses. Differential scanning calorimetric (DSC) experiments were performed on ribonuclease A and hen egg white lysozyme in the presence of varying concentrations of the osmolytes glycine, sarcosine, N,N-dimethylglycine, and betaine. Solutions containing up to several molar concentrations of these solutes were found to result in considerable increases in the thermal unfolding transition temperature (Tm) for these proteins. DSC scans of ribonuclease A in the presence of up to 8.2 M sarcosine resulted in reversible two-state unfolding transitions with Tm increases of up to 22 degrees C and unfolding enthalpy changes which were independent of Tm. On the basis of the thermodynamic parameters observed, 8.2 M sarcosine results in a stabilization free energy increase of 7.2 kcal/mol for ribonuclease A at 65 degrees C. This translates into more than a 45,000-fold increase in stability of the native form of ribonuclease A over that in the absence of sarcosine at this temperature. Catalytic activity measurements in the presence of 4 M sarcosine give kcat and Km values that are largely unchanged from those in the absence of sarcosine. DSC of lysozyme unfolding in the presence of these osmolytes also results in Tm increases of up to 23 degrees C; however, significant irreversibly occurs with this protein.(ABSTRACT TRUNCATED AT 250 WORDS)", "author" : [ { "dropping-particle" : "", "family" : "Santoro", "given" : "M M", "non-dropping-particle" : "", "parse-names" : false, "suffix" : "" }, { "dropping-particle" : "", "family" : "Liu", "given" : "Y", "non-dropping-particle" : "", "parse-names" : false, "suffix" : "" }, { "dropping-particle" : "", "family" : "Khan", "given" : "S M A", "non-dropping-particle" : "", "parse-names" : false, "suffix" : "" }, { "dropping-particle" : "", "family" : "Hou", "given" : "L X", "non-dropping-particle" : "", "parse-names" : false, "suffix" : "" }, { "dropping-particle" : "", "family" : "Bolen", "given" : "D W", "non-dropping-particle" : "", "parse-names" : false, "suffix" : "" } ], "container-title" : "Biochemistry", "id" : "ITEM-1", "issued" : { "date-parts" : [ [ "1992", "6", "16" ] ] }, "page" : "5278-5283", "title" : "Increased thermal stability of proteins in the presence of naturally occurring osmolytes", "type" : "article-journal", "volume" : "31" }, "uris" : [ "http://www.mendeley.com/documents/?uuid=43f8c6ce-f911-44c3-88ac-ffd899b1fb4f" ] } ], "mendeley" : { "formattedCitation" : "(Santoro et al. 1992)", "plainTextFormattedCitation" : "(Santoro et al. 1992)", "previouslyFormattedCitation" : "(Santoro et al. 1992)"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BA7232">
              <w:rPr>
                <w:rFonts w:ascii="Calibri" w:eastAsia="Times New Roman" w:hAnsi="Calibri" w:cs="Times New Roman"/>
                <w:noProof/>
                <w:color w:val="000000"/>
                <w:sz w:val="20"/>
                <w:szCs w:val="20"/>
                <w:lang w:eastAsia="en-GB"/>
              </w:rPr>
              <w:t>(Santoro et al. 1992)</w:t>
            </w:r>
            <w:r>
              <w:rPr>
                <w:rFonts w:ascii="Calibri" w:eastAsia="Times New Roman" w:hAnsi="Calibri" w:cs="Times New Roman"/>
                <w:color w:val="000000"/>
                <w:sz w:val="20"/>
                <w:szCs w:val="20"/>
                <w:lang w:eastAsia="en-GB"/>
              </w:rPr>
              <w:fldChar w:fldCharType="end"/>
            </w:r>
          </w:p>
        </w:tc>
      </w:tr>
      <w:tr w:rsidR="00DC24F2" w:rsidRPr="00235AE3" w14:paraId="6A0F7B87"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69470553" w14:textId="77777777" w:rsidR="005C40A2" w:rsidRPr="00235AE3" w:rsidRDefault="005C40A2"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TMAO</w:t>
            </w:r>
          </w:p>
        </w:tc>
        <w:tc>
          <w:tcPr>
            <w:tcW w:w="1276" w:type="dxa"/>
            <w:shd w:val="clear" w:color="auto" w:fill="auto"/>
            <w:noWrap/>
          </w:tcPr>
          <w:p w14:paraId="64A43D3B"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Lysozyme</w:t>
            </w:r>
          </w:p>
        </w:tc>
        <w:tc>
          <w:tcPr>
            <w:tcW w:w="992" w:type="dxa"/>
            <w:shd w:val="clear" w:color="auto" w:fill="auto"/>
            <w:noWrap/>
          </w:tcPr>
          <w:p w14:paraId="0BCDF8D9"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w:t>
            </w:r>
          </w:p>
        </w:tc>
        <w:tc>
          <w:tcPr>
            <w:tcW w:w="1418" w:type="dxa"/>
            <w:shd w:val="clear" w:color="auto" w:fill="auto"/>
            <w:noWrap/>
          </w:tcPr>
          <w:p w14:paraId="77D04C55"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1000</w:t>
            </w:r>
          </w:p>
        </w:tc>
        <w:tc>
          <w:tcPr>
            <w:tcW w:w="1701" w:type="dxa"/>
            <w:shd w:val="clear" w:color="auto" w:fill="auto"/>
            <w:noWrap/>
          </w:tcPr>
          <w:p w14:paraId="0D0D5F3B" w14:textId="77777777" w:rsidR="005C40A2" w:rsidRPr="00235AE3" w:rsidRDefault="00374721"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 mM</w:t>
            </w:r>
            <w:r w:rsidR="005C40A2" w:rsidRPr="00235AE3">
              <w:rPr>
                <w:rFonts w:ascii="Calibri" w:eastAsia="Times New Roman" w:hAnsi="Calibri" w:cs="Times New Roman"/>
                <w:color w:val="000000"/>
                <w:sz w:val="20"/>
                <w:szCs w:val="20"/>
                <w:lang w:eastAsia="en-GB"/>
              </w:rPr>
              <w:t xml:space="preserve"> NaCl</w:t>
            </w:r>
          </w:p>
        </w:tc>
        <w:tc>
          <w:tcPr>
            <w:tcW w:w="709" w:type="dxa"/>
            <w:shd w:val="clear" w:color="auto" w:fill="auto"/>
            <w:noWrap/>
          </w:tcPr>
          <w:p w14:paraId="550B01C5" w14:textId="77777777" w:rsidR="005C40A2" w:rsidRPr="0041345C"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3</w:t>
            </w:r>
          </w:p>
        </w:tc>
        <w:tc>
          <w:tcPr>
            <w:tcW w:w="1382" w:type="dxa"/>
            <w:shd w:val="clear" w:color="auto" w:fill="auto"/>
            <w:noWrap/>
          </w:tcPr>
          <w:p w14:paraId="224FCA45"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"10.1016/S0006-3495(85)83932-1", "ISSN" : "0006-3495", "PMID" : "3978211", "abstract" : "The preferential interactions of lysozyme with solvent components and the effects of solvent additives on its stability were examined for several neutral osmolytes: L-proline, L-serine, gamma-aminobutyric acid, sarcosine, taurine, alpha-alanine, beta-alanine, glycine, betaine, and trimethylamine N-oxide. It was shown that all these substances stabilize the protein structure against thermal denaturation and (except for trimethylamine N-oxide for which interaction measurements could not be made) are strongly excluded from the protein domain, rendering unlikely their direct binding to proteins. On the other hand, valine, not known as an osmolyte, had no stabilizing effect, although it induced a large protein-preferential hydration. A possible explanation is given for the use of these substances as osmotic-pressure-regulating agents in organisms living under high osmotic pressure.", "author" : [ { "dropping-particle" : "", "family" : "Arakawa", "given" : "T", "non-dropping-particle" : "", "parse-names" : false, "suffix" : "" }, { "dropping-particle" : "", "family" : "Timasheff", "given" : "S N", "non-dropping-particle" : "", "parse-names" : false, "suffix" : "" } ], "container-title" : "Biophysical Journal", "id" : "ITEM-1", "issued" : { "date-parts" : [ [ "1985", "3" ] ] }, "page" : "411-414", "title" : "The stabilization of proteins by osmolytes", "type" : "article-journal", "volume" : "47" }, "uris" : [ "http://www.mendeley.com/documents/?uuid=a1e19a58-b0d0-4a61-ada1-8d4bd546989a" ] } ], "mendeley" : { "formattedCitation" : "(Arakawa &amp; Timasheff 1985)", "plainTextFormattedCitation" : "(Arakawa &amp; Timasheff 1985)", "previouslyFormattedCitation" : "(Arakawa &amp; Timasheff 1985)"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BA7232">
              <w:rPr>
                <w:rFonts w:ascii="Calibri" w:eastAsia="Times New Roman" w:hAnsi="Calibri" w:cs="Times New Roman"/>
                <w:noProof/>
                <w:color w:val="000000"/>
                <w:sz w:val="20"/>
                <w:szCs w:val="20"/>
                <w:lang w:eastAsia="en-GB"/>
              </w:rPr>
              <w:t>(Arakawa &amp; Timasheff 1985)</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75E96413"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6F02C84D" w14:textId="77777777" w:rsidR="00631395" w:rsidRPr="00235AE3" w:rsidRDefault="00631395" w:rsidP="009C5E6B">
            <w:pPr>
              <w:spacing w:before="0"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TMAO</w:t>
            </w:r>
          </w:p>
        </w:tc>
        <w:tc>
          <w:tcPr>
            <w:tcW w:w="1276" w:type="dxa"/>
            <w:shd w:val="clear" w:color="auto" w:fill="auto"/>
            <w:noWrap/>
          </w:tcPr>
          <w:p w14:paraId="58CB1F24" w14:textId="77777777" w:rsidR="00631395" w:rsidRDefault="0063139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Lysozyme</w:t>
            </w:r>
          </w:p>
        </w:tc>
        <w:tc>
          <w:tcPr>
            <w:tcW w:w="992" w:type="dxa"/>
            <w:shd w:val="clear" w:color="auto" w:fill="auto"/>
            <w:noWrap/>
          </w:tcPr>
          <w:p w14:paraId="03769AF2" w14:textId="77777777" w:rsidR="00631395" w:rsidRPr="00235AE3" w:rsidRDefault="0063139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6</w:t>
            </w:r>
          </w:p>
        </w:tc>
        <w:tc>
          <w:tcPr>
            <w:tcW w:w="1418" w:type="dxa"/>
            <w:shd w:val="clear" w:color="auto" w:fill="auto"/>
            <w:noWrap/>
          </w:tcPr>
          <w:p w14:paraId="7822FAD8" w14:textId="77777777" w:rsidR="00631395" w:rsidRPr="00235AE3" w:rsidRDefault="0063139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1000</w:t>
            </w:r>
          </w:p>
        </w:tc>
        <w:tc>
          <w:tcPr>
            <w:tcW w:w="1701" w:type="dxa"/>
            <w:shd w:val="clear" w:color="auto" w:fill="auto"/>
            <w:noWrap/>
          </w:tcPr>
          <w:p w14:paraId="70FE34DD" w14:textId="77777777" w:rsidR="00631395" w:rsidRPr="00235AE3" w:rsidRDefault="00374721" w:rsidP="003747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100 mM</w:t>
            </w:r>
            <w:r w:rsidR="00631395">
              <w:rPr>
                <w:rFonts w:ascii="Calibri" w:eastAsia="Times New Roman" w:hAnsi="Calibri" w:cs="Times New Roman"/>
                <w:color w:val="000000"/>
                <w:sz w:val="20"/>
                <w:szCs w:val="20"/>
                <w:lang w:eastAsia="en-GB"/>
              </w:rPr>
              <w:t xml:space="preserve"> KCl, </w:t>
            </w:r>
            <w:r>
              <w:rPr>
                <w:rFonts w:ascii="Calibri" w:eastAsia="Times New Roman" w:hAnsi="Calibri" w:cs="Times New Roman"/>
                <w:color w:val="000000"/>
                <w:sz w:val="20"/>
                <w:szCs w:val="20"/>
                <w:lang w:eastAsia="en-GB"/>
              </w:rPr>
              <w:t>50 mM</w:t>
            </w:r>
            <w:r w:rsidR="00631395">
              <w:rPr>
                <w:rFonts w:ascii="Calibri" w:eastAsia="Times New Roman" w:hAnsi="Calibri" w:cs="Times New Roman"/>
                <w:color w:val="000000"/>
                <w:sz w:val="20"/>
                <w:szCs w:val="20"/>
                <w:lang w:eastAsia="en-GB"/>
              </w:rPr>
              <w:t xml:space="preserve"> cacodylic acid</w:t>
            </w:r>
          </w:p>
        </w:tc>
        <w:tc>
          <w:tcPr>
            <w:tcW w:w="709" w:type="dxa"/>
            <w:shd w:val="clear" w:color="auto" w:fill="auto"/>
            <w:noWrap/>
          </w:tcPr>
          <w:p w14:paraId="633F00FD" w14:textId="77777777" w:rsidR="00631395" w:rsidRPr="0041345C" w:rsidRDefault="0063139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Pr>
                <w:rFonts w:ascii="Calibri" w:eastAsia="Times New Roman" w:hAnsi="Calibri" w:cs="Times New Roman"/>
                <w:b/>
                <w:color w:val="000000"/>
                <w:sz w:val="20"/>
                <w:szCs w:val="20"/>
                <w:lang w:eastAsia="en-GB"/>
              </w:rPr>
              <w:t>2.8</w:t>
            </w:r>
          </w:p>
        </w:tc>
        <w:tc>
          <w:tcPr>
            <w:tcW w:w="1382" w:type="dxa"/>
            <w:shd w:val="clear" w:color="auto" w:fill="auto"/>
            <w:noWrap/>
          </w:tcPr>
          <w:p w14:paraId="0315C9BF" w14:textId="77777777" w:rsidR="00631395" w:rsidRDefault="0063139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"10.1074/jbc.M410716200", "ISSN" : "0021-9258", "PMID" : "15653673", "abstract" : "Earlier studies have reported that trimethylamine N-oxide (TMAO), a naturally occurring osmolyte, is a universal stabilizer of proteins because it folds unstructured proteins and counteracts the deleterious effects of urea and salts on the structure and function of proteins. This conclusion has been reached from the studies of the effect of TMAO on proteins in the pH range 6.0-8.0. In this pH range TMAO is almost neutral (zwitterionic form), for it has a pK(a) of 4.66 +/- 0.10. We have asked the question of whether the effect of TMAO on protein stability is pH-dependent. To answer this question we have carried out thermal denaturation studies of lysozyme, ribonuclease-A, and apo-alpha-lactalbumin in the presence of various TMAO concentrations at different pH values above and below the pK(a) of TMAO. The main conclusion of this study is that near room temperature TMAO destabilizes proteins at pH values below its pK(a), whereas it stabilizes proteins at pH values above its pK(a). This conclusion was reached by determining the T(m) (midpoint of denaturation), delta H(m) (denaturational enthalpy change at T(m)), delta C(p) (constant pressure heat capacity change), and delta G(D) degrees (denaturational Gibbs energy change at 25 degrees C) of proteins in the presence of different TMAO concentrations. Other conclusions of this study are that T(m) and delta G(D) degrees depend on TMAO concentration at each pH value and that delta H(m) and the delta C(p) are not significantly changed in presence of TMAO.", "author" : [ { "dropping-particle" : "", "family" : "Singh", "given" : "R", "non-dropping-particle" : "", "parse-names" : false, "suffix" : "" }, { "dropping-particle" : "", "family" : "Haque", "given" : "I", "non-dropping-particle" : "", "parse-names" : false, "suffix" : "" }, { "dropping-particle" : "", "family" : "Ahmad", "given" : "F", "non-dropping-particle" : "", "parse-names" : false, "suffix" : "" } ], "container-title" : "Journal of Biological Chemistry", "id" : "ITEM-1", "issued" : { "date-parts" : [ [ "2005", "3", "25" ] ] }, "page" : "11035-11042", "title" : "Counteracting osmolyte trimethylamine N-oxide destabilizes proteins at pH below its pKa. Measurements of thermodynamic parameters of proteins in the presence and absence of trimethylamine N-oxide", "type" : "article-journal", "volume" : "280" }, "uris" : [ "http://www.mendeley.com/documents/?uuid=b89f8b32-bf3c-4027-8c76-46c059ba9fef" ] } ], "mendeley" : { "formattedCitation" : "(Singh et al. 2005)", "plainTextFormattedCitation" : "(Singh et al. 2005)", "previouslyFormattedCitation" : "(Singh et al. 2005)"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631395">
              <w:rPr>
                <w:rFonts w:ascii="Calibri" w:eastAsia="Times New Roman" w:hAnsi="Calibri" w:cs="Times New Roman"/>
                <w:noProof/>
                <w:color w:val="000000"/>
                <w:sz w:val="20"/>
                <w:szCs w:val="20"/>
                <w:lang w:eastAsia="en-GB"/>
              </w:rPr>
              <w:t>(Singh et al. 2005)</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63CB3EE0"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15B115E2" w14:textId="77777777" w:rsidR="005C40A2" w:rsidRPr="00235AE3" w:rsidRDefault="005C40A2"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TMAO</w:t>
            </w:r>
          </w:p>
        </w:tc>
        <w:tc>
          <w:tcPr>
            <w:tcW w:w="1276" w:type="dxa"/>
            <w:shd w:val="clear" w:color="auto" w:fill="auto"/>
            <w:noWrap/>
          </w:tcPr>
          <w:p w14:paraId="45A13593" w14:textId="77777777" w:rsidR="005C40A2" w:rsidRPr="00235AE3" w:rsidRDefault="000D0B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5C40A2" w:rsidRPr="00235AE3">
              <w:rPr>
                <w:rFonts w:ascii="Calibri" w:eastAsia="Times New Roman" w:hAnsi="Calibri" w:cs="Times New Roman"/>
                <w:color w:val="000000"/>
                <w:sz w:val="20"/>
                <w:szCs w:val="20"/>
                <w:lang w:eastAsia="en-GB"/>
              </w:rPr>
              <w:t>ase A</w:t>
            </w:r>
          </w:p>
        </w:tc>
        <w:tc>
          <w:tcPr>
            <w:tcW w:w="992" w:type="dxa"/>
            <w:shd w:val="clear" w:color="auto" w:fill="auto"/>
            <w:noWrap/>
          </w:tcPr>
          <w:p w14:paraId="54912443"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5.5</w:t>
            </w:r>
          </w:p>
        </w:tc>
        <w:tc>
          <w:tcPr>
            <w:tcW w:w="1418" w:type="dxa"/>
            <w:shd w:val="clear" w:color="auto" w:fill="auto"/>
            <w:noWrap/>
          </w:tcPr>
          <w:p w14:paraId="5F2912B4"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1355</w:t>
            </w:r>
          </w:p>
        </w:tc>
        <w:tc>
          <w:tcPr>
            <w:tcW w:w="1701" w:type="dxa"/>
            <w:shd w:val="clear" w:color="auto" w:fill="auto"/>
            <w:noWrap/>
          </w:tcPr>
          <w:p w14:paraId="45BF609A" w14:textId="77777777" w:rsidR="005C40A2" w:rsidRPr="00235AE3" w:rsidRDefault="00374721" w:rsidP="003747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40 mM acetate</w:t>
            </w:r>
          </w:p>
        </w:tc>
        <w:tc>
          <w:tcPr>
            <w:tcW w:w="709" w:type="dxa"/>
            <w:shd w:val="clear" w:color="auto" w:fill="auto"/>
            <w:noWrap/>
          </w:tcPr>
          <w:p w14:paraId="59E9CC49" w14:textId="77777777" w:rsidR="005C40A2" w:rsidRPr="0041345C"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3</w:t>
            </w:r>
          </w:p>
        </w:tc>
        <w:tc>
          <w:tcPr>
            <w:tcW w:w="1382" w:type="dxa"/>
            <w:shd w:val="clear" w:color="auto" w:fill="auto"/>
            <w:noWrap/>
          </w:tcPr>
          <w:p w14:paraId="794EEC46"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"10.1016/j.bpc.2013.10.004", "ISBN" : "1873-4200 (Electronic)\\r0301-4622 (Linking)", "ISSN" : "03014622", "PMID" : "24292629", "abstract" : "Thermal unfolding of ribonuclease A (RNase) was analyzed in various osmolyte solutions of glycine, proline, sarcosine, N,N-dimethylglycine, betaine, myo-inositol, taurine, and trimethylamine-N-oxide (TMAO). All the osmolytes tested stabilized the protein. The thermal unfolding curve was described well by the van't Hoff equation and the melting temperature and the enthalpy of protein unfolding were obtained. The Wyman-Tanford equation, which describes the unfolded-to-folded protein ratio as a function of water activity, was successfully applied to obtain a linear plot. In consideration of this experimentally obtained linearity, the Wyman-Tanford plot could be integrated to calculate the stabilization free energy of the protein (??????? ???????G) in the solution. The ??????????? ???G was proved to be described by the property of the microstructure around the protein surface, which is composed of the protein hydration, the cosolute-binding, and the preferential exclusion, and the property of the bulk solution; water activity. The m-values of osmolytes for protein unfolding were obtained from ??????????????G calculated. Among the osmolytes tested, myo-inositol showed the highest m-value. ?? 2013 Elsevier Ltd. All rights reserved.", "author" : [ { "dropping-particle" : "", "family" : "Miyawaki", "given" : "O", "non-dropping-particle" : "", "parse-names" : false, "suffix" : "" }, { "dropping-particle" : "", "family" : "Dozen", "given" : "M", "non-dropping-particle" : "", "parse-names" : false, "suffix" : "" }, { "dropping-particle" : "", "family" : "Nomura", "given" : "K", "non-dropping-particle" : "", "parse-names" : false, "suffix" : "" } ], "container-title" : "Biophysical Chemistry", "id" : "ITEM-1", "issued" : { "date-parts" : [ [ "2014" ] ] }, "page" : "19-24", "publisher" : "Elsevier B.V.", "title" : "Thermodynamic analysis of osmolyte effect on thermal stability of ribonuclease A in terms of water activity", "type" : "article-journal", "volume" : "185" }, "uris" : [ "http://www.mendeley.com/documents/?uuid=7914a675-1b34-43aa-92ca-51687220293e" ] } ], "mendeley" : { "formattedCitation" : "(Miyawaki et al. 2014)", "plainTextFormattedCitation" : "(Miyawaki et al. 2014)", "previouslyFormattedCitation" : "(Miyawaki et al. 2014)"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BA7232">
              <w:rPr>
                <w:rFonts w:ascii="Calibri" w:eastAsia="Times New Roman" w:hAnsi="Calibri" w:cs="Times New Roman"/>
                <w:noProof/>
                <w:color w:val="000000"/>
                <w:sz w:val="20"/>
                <w:szCs w:val="20"/>
                <w:lang w:eastAsia="en-GB"/>
              </w:rPr>
              <w:t>(Miyawaki et al. 2014)</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4BDBD67C"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0738048D" w14:textId="77777777" w:rsidR="00631395" w:rsidRPr="00235AE3" w:rsidRDefault="00631395" w:rsidP="009C5E6B">
            <w:pPr>
              <w:spacing w:before="0"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TMAO</w:t>
            </w:r>
          </w:p>
        </w:tc>
        <w:tc>
          <w:tcPr>
            <w:tcW w:w="1276" w:type="dxa"/>
            <w:shd w:val="clear" w:color="auto" w:fill="auto"/>
            <w:noWrap/>
          </w:tcPr>
          <w:p w14:paraId="0B133B4A" w14:textId="77777777" w:rsidR="00631395" w:rsidRDefault="0063139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RNase A</w:t>
            </w:r>
          </w:p>
        </w:tc>
        <w:tc>
          <w:tcPr>
            <w:tcW w:w="992" w:type="dxa"/>
            <w:shd w:val="clear" w:color="auto" w:fill="auto"/>
            <w:noWrap/>
          </w:tcPr>
          <w:p w14:paraId="7BD643D8" w14:textId="77777777" w:rsidR="00631395" w:rsidRPr="00235AE3" w:rsidRDefault="0063139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6</w:t>
            </w:r>
          </w:p>
        </w:tc>
        <w:tc>
          <w:tcPr>
            <w:tcW w:w="1418" w:type="dxa"/>
            <w:shd w:val="clear" w:color="auto" w:fill="auto"/>
            <w:noWrap/>
          </w:tcPr>
          <w:p w14:paraId="65F5BDFC" w14:textId="77777777" w:rsidR="00631395" w:rsidRPr="00235AE3" w:rsidRDefault="0063139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1000</w:t>
            </w:r>
          </w:p>
        </w:tc>
        <w:tc>
          <w:tcPr>
            <w:tcW w:w="1701" w:type="dxa"/>
            <w:shd w:val="clear" w:color="auto" w:fill="auto"/>
            <w:noWrap/>
          </w:tcPr>
          <w:p w14:paraId="1F866AF4" w14:textId="77777777" w:rsidR="00631395" w:rsidRPr="00235AE3" w:rsidRDefault="00FF6FE4" w:rsidP="00FF6F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100 mM</w:t>
            </w:r>
            <w:r w:rsidR="00631395">
              <w:rPr>
                <w:rFonts w:ascii="Calibri" w:eastAsia="Times New Roman" w:hAnsi="Calibri" w:cs="Times New Roman"/>
                <w:color w:val="000000"/>
                <w:sz w:val="20"/>
                <w:szCs w:val="20"/>
                <w:lang w:eastAsia="en-GB"/>
              </w:rPr>
              <w:t xml:space="preserve"> KCl, </w:t>
            </w:r>
            <w:r>
              <w:rPr>
                <w:rFonts w:ascii="Calibri" w:eastAsia="Times New Roman" w:hAnsi="Calibri" w:cs="Times New Roman"/>
                <w:color w:val="000000"/>
                <w:sz w:val="20"/>
                <w:szCs w:val="20"/>
                <w:lang w:eastAsia="en-GB"/>
              </w:rPr>
              <w:t>50 mM</w:t>
            </w:r>
            <w:r w:rsidR="00631395">
              <w:rPr>
                <w:rFonts w:ascii="Calibri" w:eastAsia="Times New Roman" w:hAnsi="Calibri" w:cs="Times New Roman"/>
                <w:color w:val="000000"/>
                <w:sz w:val="20"/>
                <w:szCs w:val="20"/>
                <w:lang w:eastAsia="en-GB"/>
              </w:rPr>
              <w:t xml:space="preserve"> cacodylic acid</w:t>
            </w:r>
          </w:p>
        </w:tc>
        <w:tc>
          <w:tcPr>
            <w:tcW w:w="709" w:type="dxa"/>
            <w:shd w:val="clear" w:color="auto" w:fill="auto"/>
            <w:noWrap/>
          </w:tcPr>
          <w:p w14:paraId="02C1D688" w14:textId="77777777" w:rsidR="00631395" w:rsidRPr="0041345C" w:rsidRDefault="0063139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Pr>
                <w:rFonts w:ascii="Calibri" w:eastAsia="Times New Roman" w:hAnsi="Calibri" w:cs="Times New Roman"/>
                <w:b/>
                <w:color w:val="000000"/>
                <w:sz w:val="20"/>
                <w:szCs w:val="20"/>
                <w:lang w:eastAsia="en-GB"/>
              </w:rPr>
              <w:t>3.9</w:t>
            </w:r>
          </w:p>
        </w:tc>
        <w:tc>
          <w:tcPr>
            <w:tcW w:w="1382" w:type="dxa"/>
            <w:shd w:val="clear" w:color="auto" w:fill="auto"/>
            <w:noWrap/>
          </w:tcPr>
          <w:p w14:paraId="614FC23F" w14:textId="77777777" w:rsidR="00631395" w:rsidRDefault="0063139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"10.1074/jbc.M410716200", "ISSN" : "0021-9258", "PMID" : "15653673", "abstract" : "Earlier studies have reported that trimethylamine N-oxide (TMAO), a naturally occurring osmolyte, is a universal stabilizer of proteins because it folds unstructured proteins and counteracts the deleterious effects of urea and salts on the structure and function of proteins. This conclusion has been reached from the studies of the effect of TMAO on proteins in the pH range 6.0-8.0. In this pH range TMAO is almost neutral (zwitterionic form), for it has a pK(a) of 4.66 +/- 0.10. We have asked the question of whether the effect of TMAO on protein stability is pH-dependent. To answer this question we have carried out thermal denaturation studies of lysozyme, ribonuclease-A, and apo-alpha-lactalbumin in the presence of various TMAO concentrations at different pH values above and below the pK(a) of TMAO. The main conclusion of this study is that near room temperature TMAO destabilizes proteins at pH values below its pK(a), whereas it stabilizes proteins at pH values above its pK(a). This conclusion was reached by determining the T(m) (midpoint of denaturation), delta H(m) (denaturational enthalpy change at T(m)), delta C(p) (constant pressure heat capacity change), and delta G(D) degrees (denaturational Gibbs energy change at 25 degrees C) of proteins in the presence of different TMAO concentrations. Other conclusions of this study are that T(m) and delta G(D) degrees depend on TMAO concentration at each pH value and that delta H(m) and the delta C(p) are not significantly changed in presence of TMAO.", "author" : [ { "dropping-particle" : "", "family" : "Singh", "given" : "R", "non-dropping-particle" : "", "parse-names" : false, "suffix" : "" }, { "dropping-particle" : "", "family" : "Haque", "given" : "I", "non-dropping-particle" : "", "parse-names" : false, "suffix" : "" }, { "dropping-particle" : "", "family" : "Ahmad", "given" : "F", "non-dropping-particle" : "", "parse-names" : false, "suffix" : "" } ], "container-title" : "Journal of Biological Chemistry", "id" : "ITEM-1", "issued" : { "date-parts" : [ [ "2005", "3", "25" ] ] }, "page" : "11035-11042", "title" : "Counteracting osmolyte trimethylamine N-oxide destabilizes proteins at pH below its pKa. Measurements of thermodynamic parameters of proteins in the presence and absence of trimethylamine N-oxide", "type" : "article-journal", "volume" : "280" }, "uris" : [ "http://www.mendeley.com/documents/?uuid=b89f8b32-bf3c-4027-8c76-46c059ba9fef" ] } ], "mendeley" : { "formattedCitation" : "(Singh et al. 2005)", "plainTextFormattedCitation" : "(Singh et al. 2005)", "previouslyFormattedCitation" : "(Singh et al. 2005)"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631395">
              <w:rPr>
                <w:rFonts w:ascii="Calibri" w:eastAsia="Times New Roman" w:hAnsi="Calibri" w:cs="Times New Roman"/>
                <w:noProof/>
                <w:color w:val="000000"/>
                <w:sz w:val="20"/>
                <w:szCs w:val="20"/>
                <w:lang w:eastAsia="en-GB"/>
              </w:rPr>
              <w:t>(Singh et al. 2005)</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6A425EA8"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4BC03D98" w14:textId="77777777" w:rsidR="005C40A2" w:rsidRPr="00235AE3" w:rsidRDefault="005C40A2"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TMAO</w:t>
            </w:r>
          </w:p>
        </w:tc>
        <w:tc>
          <w:tcPr>
            <w:tcW w:w="1276" w:type="dxa"/>
            <w:shd w:val="clear" w:color="auto" w:fill="auto"/>
            <w:noWrap/>
          </w:tcPr>
          <w:p w14:paraId="2907D54C" w14:textId="77777777" w:rsidR="005C40A2" w:rsidRPr="00235AE3" w:rsidRDefault="000D0B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5C40A2" w:rsidRPr="00235AE3">
              <w:rPr>
                <w:rFonts w:ascii="Calibri" w:eastAsia="Times New Roman" w:hAnsi="Calibri" w:cs="Times New Roman"/>
                <w:color w:val="000000"/>
                <w:sz w:val="20"/>
                <w:szCs w:val="20"/>
                <w:lang w:eastAsia="en-GB"/>
              </w:rPr>
              <w:t>ase A</w:t>
            </w:r>
          </w:p>
        </w:tc>
        <w:tc>
          <w:tcPr>
            <w:tcW w:w="992" w:type="dxa"/>
            <w:shd w:val="clear" w:color="auto" w:fill="auto"/>
            <w:noWrap/>
          </w:tcPr>
          <w:p w14:paraId="2C8E9FB9"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6.7</w:t>
            </w:r>
          </w:p>
        </w:tc>
        <w:tc>
          <w:tcPr>
            <w:tcW w:w="1418" w:type="dxa"/>
            <w:shd w:val="clear" w:color="auto" w:fill="auto"/>
            <w:noWrap/>
          </w:tcPr>
          <w:p w14:paraId="7692513F"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400</w:t>
            </w:r>
          </w:p>
        </w:tc>
        <w:tc>
          <w:tcPr>
            <w:tcW w:w="1701" w:type="dxa"/>
            <w:shd w:val="clear" w:color="auto" w:fill="auto"/>
            <w:noWrap/>
          </w:tcPr>
          <w:p w14:paraId="6643E44E" w14:textId="77777777" w:rsidR="005C40A2" w:rsidRPr="00E3274E" w:rsidRDefault="005C40A2" w:rsidP="00FF6FE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de-DE" w:eastAsia="en-GB"/>
              </w:rPr>
            </w:pPr>
            <w:r w:rsidRPr="00E3274E">
              <w:rPr>
                <w:rFonts w:ascii="Calibri" w:eastAsia="Times New Roman" w:hAnsi="Calibri" w:cs="Times New Roman"/>
                <w:color w:val="000000"/>
                <w:sz w:val="20"/>
                <w:szCs w:val="20"/>
                <w:lang w:val="de-DE" w:eastAsia="en-GB"/>
              </w:rPr>
              <w:t xml:space="preserve">25 mM potassium phosphate, </w:t>
            </w:r>
            <w:r w:rsidR="00FF6FE4" w:rsidRPr="00E3274E">
              <w:rPr>
                <w:rFonts w:ascii="Calibri" w:eastAsia="Times New Roman" w:hAnsi="Calibri" w:cs="Times New Roman"/>
                <w:color w:val="000000"/>
                <w:sz w:val="20"/>
                <w:szCs w:val="20"/>
                <w:lang w:val="de-DE" w:eastAsia="en-GB"/>
              </w:rPr>
              <w:t>150</w:t>
            </w:r>
            <w:r w:rsidRPr="00E3274E">
              <w:rPr>
                <w:rFonts w:ascii="Calibri" w:eastAsia="Times New Roman" w:hAnsi="Calibri" w:cs="Times New Roman"/>
                <w:color w:val="000000"/>
                <w:sz w:val="20"/>
                <w:szCs w:val="20"/>
                <w:lang w:val="de-DE" w:eastAsia="en-GB"/>
              </w:rPr>
              <w:t xml:space="preserve"> </w:t>
            </w:r>
            <w:r w:rsidR="00FF6FE4" w:rsidRPr="00E3274E">
              <w:rPr>
                <w:rFonts w:ascii="Calibri" w:eastAsia="Times New Roman" w:hAnsi="Calibri" w:cs="Times New Roman"/>
                <w:color w:val="000000"/>
                <w:sz w:val="20"/>
                <w:szCs w:val="20"/>
                <w:lang w:val="de-DE" w:eastAsia="en-GB"/>
              </w:rPr>
              <w:t>m</w:t>
            </w:r>
            <w:r w:rsidRPr="00E3274E">
              <w:rPr>
                <w:rFonts w:ascii="Calibri" w:eastAsia="Times New Roman" w:hAnsi="Calibri" w:cs="Times New Roman"/>
                <w:color w:val="000000"/>
                <w:sz w:val="20"/>
                <w:szCs w:val="20"/>
                <w:lang w:val="de-DE" w:eastAsia="en-GB"/>
              </w:rPr>
              <w:t>M KCl</w:t>
            </w:r>
          </w:p>
        </w:tc>
        <w:tc>
          <w:tcPr>
            <w:tcW w:w="709" w:type="dxa"/>
            <w:shd w:val="clear" w:color="auto" w:fill="auto"/>
            <w:noWrap/>
          </w:tcPr>
          <w:p w14:paraId="559A7F71" w14:textId="77777777" w:rsidR="005C40A2" w:rsidRPr="0041345C"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0.8</w:t>
            </w:r>
          </w:p>
        </w:tc>
        <w:tc>
          <w:tcPr>
            <w:tcW w:w="1382" w:type="dxa"/>
            <w:shd w:val="clear" w:color="auto" w:fill="auto"/>
            <w:noWrap/>
          </w:tcPr>
          <w:p w14:paraId="2317FC9A"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"10.1002/jez.1402080202", "ISSN" : "0022-104X", "PMID" : "469480", "abstract" : "The major nitrogenous osmolytes present in the cells of marine invertebrates, notably the free amino acids glycine, alanine and proline, and trimethylamine oxide and betaine, are highly compatible with proper enzyme function and structure. These nitrogenous osmolytes display either non-perturbing or, in some cases, favorable effects on enzyme-substrate and enzyme-cofactor complex formation, catalytic velocity and protein structural stability. In contrast, inorganic salts (KCl and NaCl) and certain of the free amino acids which play only a minor osmotic role, e.g., arginine and lysine, have strongly perturbing effects on one or more of these enzymic parameters. The compatible nitrogenous solutes therefore are suitable for use at high (several tenths molar) concentrations and at widely varying concentrations in osmo-conforming species. Certain nitrogenous solutes, especially trimethylamine oxide, betaine and glutamate, offset some of the perturbing effects of inorganic ions on enzyme function. The selective accumulation of osmolytes thus involves not only the concentration of non-perturbing solutes, but also a balanced accumulation of solutes with opposing effects on enzymes. The selection of end-products of anaerobic metabolism also appears to be based, in part, on considerations of solute compatibility with enzyme function. Octopine is a non-perturbing solute, whereas arginine, which is condensed with pyruvate to form octopine, is very strongly perturbing. Succinate has marked stabilizing effects on protein structure. We conclude that the composition of the intracellular fluids of marine invertebrates reflects selection for osmolytes and end-products whose net effects create a cellular microenvironment which is conducive to optimal enzyme function and structure. The accumulation of compatible solutes may preclude the necessity for widespread changes in protein structure in adapting to concentrated or highly variable osmotic environments.", "author" : [ { "dropping-particle" : "", "family" : "Bowlus", "given" : "R D", "non-dropping-particle" : "", "parse-names" : false, "suffix" : "" }, { "dropping-particle" : "", "family" : "Somero", "given" : "G N", "non-dropping-particle" : "", "parse-names" : false, "suffix" : "" } ], "container-title" : "Journal of Experimental Zoology", "id" : "ITEM-1", "issued" : { "date-parts" : [ [ "1979" ] ] }, "page" : "137-151", "title" : "Solute compatibility with enzyme function and structure: rationales for the selection of osmotic agents and end-products of anaerobic metabolism in marine invertebrates", "type" : "article-journal", "volume" : "208" }, "uris" : [ "http://www.mendeley.com/documents/?uuid=7dde3bd3-612c-4dc0-b5b3-9e57c8eb9a26" ] } ], "mendeley" : { "formattedCitation" : "(Bowlus &amp; Somero 1979)", "plainTextFormattedCitation" : "(Bowlus &amp; Somero 1979)", "previouslyFormattedCitation" : "(Bowlus &amp; Somero 1979)"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BA7232">
              <w:rPr>
                <w:rFonts w:ascii="Calibri" w:eastAsia="Times New Roman" w:hAnsi="Calibri" w:cs="Times New Roman"/>
                <w:noProof/>
                <w:color w:val="000000"/>
                <w:sz w:val="20"/>
                <w:szCs w:val="20"/>
                <w:lang w:eastAsia="en-GB"/>
              </w:rPr>
              <w:t>(Bowlus &amp; Somero 1979)</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166B514D"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tcPr>
          <w:p w14:paraId="0F365483" w14:textId="77777777" w:rsidR="00631395" w:rsidRPr="00235AE3" w:rsidRDefault="00631395" w:rsidP="009C5E6B">
            <w:pPr>
              <w:spacing w:before="0"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TMAO</w:t>
            </w:r>
          </w:p>
        </w:tc>
        <w:tc>
          <w:tcPr>
            <w:tcW w:w="1276" w:type="dxa"/>
            <w:shd w:val="clear" w:color="auto" w:fill="auto"/>
            <w:noWrap/>
          </w:tcPr>
          <w:p w14:paraId="3254D445" w14:textId="77777777" w:rsidR="00631395" w:rsidRDefault="0063139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RNase A</w:t>
            </w:r>
          </w:p>
        </w:tc>
        <w:tc>
          <w:tcPr>
            <w:tcW w:w="992" w:type="dxa"/>
            <w:shd w:val="clear" w:color="auto" w:fill="auto"/>
            <w:noWrap/>
          </w:tcPr>
          <w:p w14:paraId="7B603B1F" w14:textId="77777777" w:rsidR="00631395" w:rsidRPr="00235AE3" w:rsidRDefault="0063139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7</w:t>
            </w:r>
          </w:p>
        </w:tc>
        <w:tc>
          <w:tcPr>
            <w:tcW w:w="1418" w:type="dxa"/>
            <w:shd w:val="clear" w:color="auto" w:fill="auto"/>
            <w:noWrap/>
          </w:tcPr>
          <w:p w14:paraId="35C90F38" w14:textId="77777777" w:rsidR="00631395" w:rsidRPr="00235AE3" w:rsidRDefault="0063139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1000</w:t>
            </w:r>
          </w:p>
        </w:tc>
        <w:tc>
          <w:tcPr>
            <w:tcW w:w="1701" w:type="dxa"/>
            <w:shd w:val="clear" w:color="auto" w:fill="auto"/>
            <w:noWrap/>
          </w:tcPr>
          <w:p w14:paraId="7D59B407" w14:textId="77777777" w:rsidR="00631395" w:rsidRPr="00235AE3" w:rsidRDefault="00FF6FE4" w:rsidP="00FF6F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100 mM</w:t>
            </w:r>
            <w:r w:rsidR="00631395">
              <w:rPr>
                <w:rFonts w:ascii="Calibri" w:eastAsia="Times New Roman" w:hAnsi="Calibri" w:cs="Times New Roman"/>
                <w:color w:val="000000"/>
                <w:sz w:val="20"/>
                <w:szCs w:val="20"/>
                <w:lang w:eastAsia="en-GB"/>
              </w:rPr>
              <w:t xml:space="preserve"> KCl, </w:t>
            </w:r>
            <w:r>
              <w:rPr>
                <w:rFonts w:ascii="Calibri" w:eastAsia="Times New Roman" w:hAnsi="Calibri" w:cs="Times New Roman"/>
                <w:color w:val="000000"/>
                <w:sz w:val="20"/>
                <w:szCs w:val="20"/>
                <w:lang w:eastAsia="en-GB"/>
              </w:rPr>
              <w:t>50 mM</w:t>
            </w:r>
            <w:r w:rsidR="00631395">
              <w:rPr>
                <w:rFonts w:ascii="Calibri" w:eastAsia="Times New Roman" w:hAnsi="Calibri" w:cs="Times New Roman"/>
                <w:color w:val="000000"/>
                <w:sz w:val="20"/>
                <w:szCs w:val="20"/>
                <w:lang w:eastAsia="en-GB"/>
              </w:rPr>
              <w:t xml:space="preserve"> cacodylic acid</w:t>
            </w:r>
          </w:p>
        </w:tc>
        <w:tc>
          <w:tcPr>
            <w:tcW w:w="709" w:type="dxa"/>
            <w:shd w:val="clear" w:color="auto" w:fill="auto"/>
            <w:noWrap/>
          </w:tcPr>
          <w:p w14:paraId="755C64D4" w14:textId="77777777" w:rsidR="00631395" w:rsidRPr="0041345C" w:rsidRDefault="0063139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Pr>
                <w:rFonts w:ascii="Calibri" w:eastAsia="Times New Roman" w:hAnsi="Calibri" w:cs="Times New Roman"/>
                <w:b/>
                <w:color w:val="000000"/>
                <w:sz w:val="20"/>
                <w:szCs w:val="20"/>
                <w:lang w:eastAsia="en-GB"/>
              </w:rPr>
              <w:t>2.7</w:t>
            </w:r>
          </w:p>
        </w:tc>
        <w:tc>
          <w:tcPr>
            <w:tcW w:w="1382" w:type="dxa"/>
            <w:shd w:val="clear" w:color="auto" w:fill="auto"/>
            <w:noWrap/>
          </w:tcPr>
          <w:p w14:paraId="7495159E" w14:textId="77777777" w:rsidR="00631395" w:rsidRDefault="00631395"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925E75">
              <w:rPr>
                <w:rFonts w:ascii="Calibri" w:eastAsia="Times New Roman" w:hAnsi="Calibri" w:cs="Times New Roman"/>
                <w:color w:val="000000"/>
                <w:sz w:val="20"/>
                <w:szCs w:val="20"/>
                <w:lang w:eastAsia="en-GB"/>
              </w:rPr>
              <w:instrText>ADDIN CSL_CITATION { "citationItems" : [ { "id" : "ITEM-1", "itemData" : { "DOI" : "10.1074/jbc.M410716200", "ISSN" : "0021-9258", "PMID" : "15653673", "abstract" : "Earlier studies have reported that trimethylamine N-oxide (TMAO), a naturally occurring osmolyte, is a universal stabilizer of proteins because it folds unstructured proteins and counteracts the deleterious effects of urea and salts on the structure and function of proteins. This conclusion has been reached from the studies of the effect of TMAO on proteins in the pH range 6.0-8.0. In this pH range TMAO is almost neutral (zwitterionic form), for it has a pK(a) of 4.66 +/- 0.10. We have asked the question of whether the effect of TMAO on protein stability is pH-dependent. To answer this question we have carried out thermal denaturation studies of lysozyme, ribonuclease-A, and apo-alpha-lactalbumin in the presence of various TMAO concentrations at different pH values above and below the pK(a) of TMAO. The main conclusion of this study is that near room temperature TMAO destabilizes proteins at pH values below its pK(a), whereas it stabilizes proteins at pH values above its pK(a). This conclusion was reached by determining the T(m) (midpoint of denaturation), delta H(m) (denaturational enthalpy change at T(m)), delta C(p) (constant pressure heat capacity change), and delta G(D) degrees (denaturational Gibbs energy change at 25 degrees C) of proteins in the presence of different TMAO concentrations. Other conclusions of this study are that T(m) and delta G(D) degrees depend on TMAO concentration at each pH value and that delta H(m) and the delta C(p) are not significantly changed in presence of TMAO.", "author" : [ { "dropping-particle" : "", "family" : "Singh", "given" : "R", "non-dropping-particle" : "", "parse-names" : false, "suffix" : "" }, { "dropping-particle" : "", "family" : "Haque", "given" : "I", "non-dropping-particle" : "", "parse-names" : false, "suffix" : "" }, { "dropping-particle" : "", "family" : "Ahmad", "given" : "F", "non-dropping-particle" : "", "parse-names" : false, "suffix" : "" } ], "container-title" : "Journal of Biological Chemistry", "id" : "ITEM-1", "issued" : { "date-parts" : [ [ "2005", "3", "25" ] ] }, "page" : "11035-11042", "title" : "Counteracting osmolyte trimethylamine N-oxide destabilizes proteins at pH below its pKa. Measurements of thermodynamic parameters of proteins in the presence and absence of trimethylamine N-oxide", "type" : "article-journal", "volume" : "280" }, "uris" : [ "http://www.mendeley.com/documents/?uuid=b89f8b32-bf3c-4027-8c76-46c059ba9fef" ] } ], "mendeley" : { "formattedCitation" : "(Singh et al. 2005)", "plainTextFormattedCitation" : "(Singh et al. 2005)", "previouslyFormattedCitation" : "(Singh et al. 2005)"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631395">
              <w:rPr>
                <w:rFonts w:ascii="Calibri" w:eastAsia="Times New Roman" w:hAnsi="Calibri" w:cs="Times New Roman"/>
                <w:noProof/>
                <w:color w:val="000000"/>
                <w:sz w:val="20"/>
                <w:szCs w:val="20"/>
                <w:lang w:eastAsia="en-GB"/>
              </w:rPr>
              <w:t>(Singh et al. 2005)</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5C40A2" w:rsidRPr="00235AE3" w14:paraId="51ECB9B9" w14:textId="77777777" w:rsidTr="00585CA3">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8720" w:type="dxa"/>
            <w:gridSpan w:val="7"/>
            <w:shd w:val="clear" w:color="auto" w:fill="BFBFBF" w:themeFill="background1" w:themeFillShade="BF"/>
            <w:noWrap/>
          </w:tcPr>
          <w:p w14:paraId="2E1AB70A" w14:textId="77777777" w:rsidR="005C40A2" w:rsidRPr="005C40A2" w:rsidRDefault="005C40A2" w:rsidP="00C46546">
            <w:pPr>
              <w:spacing w:after="0" w:line="240" w:lineRule="auto"/>
              <w:rPr>
                <w:rFonts w:ascii="Calibri" w:eastAsia="Times New Roman" w:hAnsi="Calibri" w:cs="Times New Roman"/>
                <w:color w:val="000000"/>
                <w:szCs w:val="24"/>
                <w:lang w:eastAsia="en-GB"/>
              </w:rPr>
            </w:pPr>
            <w:r w:rsidRPr="005C40A2">
              <w:rPr>
                <w:rFonts w:ascii="Calibri" w:eastAsia="Times New Roman" w:hAnsi="Calibri" w:cs="Times New Roman"/>
                <w:b w:val="0"/>
                <w:i/>
                <w:color w:val="000000"/>
                <w:szCs w:val="24"/>
                <w:lang w:eastAsia="en-GB"/>
              </w:rPr>
              <w:t>Polyols and Sugars</w:t>
            </w:r>
          </w:p>
        </w:tc>
      </w:tr>
      <w:tr w:rsidR="00DC24F2" w:rsidRPr="00235AE3" w14:paraId="4C36B9E7"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019DC5CD" w14:textId="77777777" w:rsidR="005C40A2" w:rsidRPr="00235AE3" w:rsidRDefault="005C40A2"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Inositol</w:t>
            </w:r>
          </w:p>
        </w:tc>
        <w:tc>
          <w:tcPr>
            <w:tcW w:w="1276" w:type="dxa"/>
            <w:shd w:val="clear" w:color="auto" w:fill="auto"/>
            <w:noWrap/>
            <w:hideMark/>
          </w:tcPr>
          <w:p w14:paraId="1CBA09EA"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Lysozyme</w:t>
            </w:r>
          </w:p>
        </w:tc>
        <w:tc>
          <w:tcPr>
            <w:tcW w:w="992" w:type="dxa"/>
            <w:shd w:val="clear" w:color="auto" w:fill="auto"/>
            <w:noWrap/>
            <w:hideMark/>
          </w:tcPr>
          <w:p w14:paraId="281B1194"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2.5</w:t>
            </w:r>
          </w:p>
        </w:tc>
        <w:tc>
          <w:tcPr>
            <w:tcW w:w="1418" w:type="dxa"/>
            <w:shd w:val="clear" w:color="auto" w:fill="auto"/>
            <w:noWrap/>
            <w:hideMark/>
          </w:tcPr>
          <w:p w14:paraId="317E2941"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750</w:t>
            </w:r>
          </w:p>
        </w:tc>
        <w:tc>
          <w:tcPr>
            <w:tcW w:w="1701" w:type="dxa"/>
            <w:shd w:val="clear" w:color="auto" w:fill="auto"/>
            <w:noWrap/>
            <w:hideMark/>
          </w:tcPr>
          <w:p w14:paraId="50017393"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w:t>
            </w:r>
            <w:r>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glycine HCl</w:t>
            </w:r>
          </w:p>
        </w:tc>
        <w:tc>
          <w:tcPr>
            <w:tcW w:w="709" w:type="dxa"/>
            <w:shd w:val="clear" w:color="auto" w:fill="auto"/>
            <w:noWrap/>
            <w:hideMark/>
          </w:tcPr>
          <w:p w14:paraId="62BB9F23" w14:textId="77777777" w:rsidR="005C40A2" w:rsidRPr="0041345C"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6.4</w:t>
            </w:r>
          </w:p>
        </w:tc>
        <w:tc>
          <w:tcPr>
            <w:tcW w:w="1382" w:type="dxa"/>
            <w:shd w:val="clear" w:color="auto" w:fill="auto"/>
            <w:noWrap/>
            <w:hideMark/>
          </w:tcPr>
          <w:p w14:paraId="52D4E3DF"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DD6047">
              <w:rPr>
                <w:rFonts w:ascii="Calibri" w:eastAsia="Times New Roman" w:hAnsi="Calibri" w:cs="Times New Roman"/>
                <w:color w:val="000000"/>
                <w:sz w:val="20"/>
                <w:szCs w:val="20"/>
                <w:lang w:eastAsia="en-GB"/>
              </w:rPr>
              <w:instrText>ADDIN CSL_CITATION { "citationItems" : [ { "id" : "ITEM-1", "itemData" : { "DOI" : "10.1021/jp981119l", "ISBN" : "1089-5647", "ISSN" : "15206106", "abstract" : "Polyols and sugars are known to increase the thermal stability of proteins in aqueous solutions and lead to their preferential hydration. While the mechanism of action of sugars has been proposed to be essentially due to the increase in the surface tension of water in their presence, polyols including glycerol have been reported to lower the surface tension of water and act via the solvophobic effect. Surface tension measurements of polyols in water carried out by us, on the contrary, indicate a substantial increase in the surface free energy of water. These increments are comparable to those found in the case of sugars. To investigate the role of the surface tension of the solvent medium on the thermal stability of proteins, we have carried out a comprehensive study on the effects of a series of polyols with varying numbers of hydroxyl groups and stereochemistry, such as mannitol, inositol, sorbitol, xylitol, and adonitol, on the thermal stability of five proteins varying in their physicochemical characteristics, viz., ribonuclease A, -chymotrypsinogen, lysozyme, cytochrome c, and trypsin inhibitor. The studies have been carried out at pH 2.5, 4.0, and 7.0 to elucidate the contribution of the surface charges toward the polyol-mediated thermal stability of proteins. A very good correlation between an increase in the surface tension of water in the presence of a polyol and an increase in the themal stability of proteins has been observed. Correlation of the thermal stability of proteins with physicochemical properties such as net charge and net hydrophobic surface exposed on unfolding indicates that none of these properties is a dominant factor in governing protein thermal stability. The results indicate that polyol-induced water-mediated effects such as an increase in the surface tension of water play a major role in the stabilization of proteins and that the preferential hydration of proteins observed in their presence is a consequence of the increase in the surface free energy of water.", "author" : [ { "dropping-particle" : "", "family" : "Kaushik", "given" : "J K", "non-dropping-particle" : "", "parse-names" : false, "suffix" : "" }, { "dropping-particle" : "", "family" : "Bhat", "given" : "R", "non-dropping-particle" : "", "parse-names" : false, "suffix" : "" } ], "container-title" : "Journal of Physical Chemistry B", "id" : "ITEM-1", "issued" : { "date-parts" : [ [ "1998" ] ] }, "page" : "7058-7066", "title" : "Thermal stability of proteins in aqueous polyol solutions: Role of the surface tension of water in the stabilizing effect of polyols", "type" : "article-journal", "volume" : "102" }, "uris" : [ "http://www.mendeley.com/documents/?uuid=8e861705-529b-4f45-9fbd-3cd57b7b3923" ] } ], "mendeley" : { "formattedCitation" : "(Kaushik &amp; Bhat 1998)", "plainTextFormattedCitation" : "(Kaushik &amp; Bhat 1998)", "previouslyFormattedCitation" : "(Kaushik &amp; Bhat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(Kaushik &amp; Bhat 1998)</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465181C8"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6A86AF3A" w14:textId="77777777" w:rsidR="005C40A2" w:rsidRPr="00235AE3" w:rsidRDefault="005C40A2"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lastRenderedPageBreak/>
              <w:t>Inositol</w:t>
            </w:r>
          </w:p>
        </w:tc>
        <w:tc>
          <w:tcPr>
            <w:tcW w:w="1276" w:type="dxa"/>
            <w:shd w:val="clear" w:color="auto" w:fill="auto"/>
            <w:noWrap/>
            <w:hideMark/>
          </w:tcPr>
          <w:p w14:paraId="4BFD3BE1"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Lysozyme</w:t>
            </w:r>
          </w:p>
        </w:tc>
        <w:tc>
          <w:tcPr>
            <w:tcW w:w="992" w:type="dxa"/>
            <w:shd w:val="clear" w:color="auto" w:fill="auto"/>
            <w:noWrap/>
            <w:hideMark/>
          </w:tcPr>
          <w:p w14:paraId="4CEF1196"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7</w:t>
            </w:r>
          </w:p>
        </w:tc>
        <w:tc>
          <w:tcPr>
            <w:tcW w:w="1418" w:type="dxa"/>
            <w:shd w:val="clear" w:color="auto" w:fill="auto"/>
            <w:noWrap/>
            <w:hideMark/>
          </w:tcPr>
          <w:p w14:paraId="0A828216"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750</w:t>
            </w:r>
          </w:p>
        </w:tc>
        <w:tc>
          <w:tcPr>
            <w:tcW w:w="1701" w:type="dxa"/>
            <w:shd w:val="clear" w:color="auto" w:fill="auto"/>
            <w:noWrap/>
            <w:hideMark/>
          </w:tcPr>
          <w:p w14:paraId="4BC52A42" w14:textId="77777777" w:rsidR="005C40A2" w:rsidRPr="00235AE3" w:rsidRDefault="005C40A2" w:rsidP="00FF6FE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w:t>
            </w:r>
            <w:r>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 xml:space="preserve">mM phosphate </w:t>
            </w:r>
            <w:r w:rsidR="00FF6FE4">
              <w:rPr>
                <w:rFonts w:ascii="Calibri" w:eastAsia="Times New Roman" w:hAnsi="Calibri" w:cs="Times New Roman"/>
                <w:color w:val="000000"/>
                <w:sz w:val="20"/>
                <w:szCs w:val="20"/>
                <w:lang w:eastAsia="en-GB"/>
              </w:rPr>
              <w:t>1500 m</w:t>
            </w:r>
            <w:r w:rsidRPr="00235AE3">
              <w:rPr>
                <w:rFonts w:ascii="Calibri" w:eastAsia="Times New Roman" w:hAnsi="Calibri" w:cs="Times New Roman"/>
                <w:color w:val="000000"/>
                <w:sz w:val="20"/>
                <w:szCs w:val="20"/>
                <w:lang w:eastAsia="en-GB"/>
              </w:rPr>
              <w:t>M GdnHCl</w:t>
            </w:r>
          </w:p>
        </w:tc>
        <w:tc>
          <w:tcPr>
            <w:tcW w:w="709" w:type="dxa"/>
            <w:shd w:val="clear" w:color="auto" w:fill="auto"/>
            <w:noWrap/>
            <w:hideMark/>
          </w:tcPr>
          <w:p w14:paraId="65F2FC84" w14:textId="77777777" w:rsidR="005C40A2" w:rsidRPr="0041345C"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6</w:t>
            </w:r>
          </w:p>
        </w:tc>
        <w:tc>
          <w:tcPr>
            <w:tcW w:w="1382" w:type="dxa"/>
            <w:shd w:val="clear" w:color="auto" w:fill="auto"/>
            <w:noWrap/>
            <w:hideMark/>
          </w:tcPr>
          <w:p w14:paraId="35CE4C4A"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DD6047">
              <w:rPr>
                <w:rFonts w:ascii="Calibri" w:eastAsia="Times New Roman" w:hAnsi="Calibri" w:cs="Times New Roman"/>
                <w:color w:val="000000"/>
                <w:sz w:val="20"/>
                <w:szCs w:val="20"/>
                <w:lang w:eastAsia="en-GB"/>
              </w:rPr>
              <w:instrText>ADDIN CSL_CITATION { "citationItems" : [ { "id" : "ITEM-1", "itemData" : { "DOI" : "10.1021/jp981119l", "ISBN" : "1089-5647", "ISSN" : "15206106", "abstract" : "Polyols and sugars are known to increase the thermal stability of proteins in aqueous solutions and lead to their preferential hydration. While the mechanism of action of sugars has been proposed to be essentially due to the increase in the surface tension of water in their presence, polyols including glycerol have been reported to lower the surface tension of water and act via the solvophobic effect. Surface tension measurements of polyols in water carried out by us, on the contrary, indicate a substantial increase in the surface free energy of water. These increments are comparable to those found in the case of sugars. To investigate the role of the surface tension of the solvent medium on the thermal stability of proteins, we have carried out a comprehensive study on the effects of a series of polyols with varying numbers of hydroxyl groups and stereochemistry, such as mannitol, inositol, sorbitol, xylitol, and adonitol, on the thermal stability of five proteins varying in their physicochemical characteristics, viz., ribonuclease A, -chymotrypsinogen, lysozyme, cytochrome c, and trypsin inhibitor. The studies have been carried out at pH 2.5, 4.0, and 7.0 to elucidate the contribution of the surface charges toward the polyol-mediated thermal stability of proteins. A very good correlation between an increase in the surface tension of water in the presence of a polyol and an increase in the themal stability of proteins has been observed. Correlation of the thermal stability of proteins with physicochemical properties such as net charge and net hydrophobic surface exposed on unfolding indicates that none of these properties is a dominant factor in governing protein thermal stability. The results indicate that polyol-induced water-mediated effects such as an increase in the surface tension of water play a major role in the stabilization of proteins and that the preferential hydration of proteins observed in their presence is a consequence of the increase in the surface free energy of water.", "author" : [ { "dropping-particle" : "", "family" : "Kaushik", "given" : "J K", "non-dropping-particle" : "", "parse-names" : false, "suffix" : "" }, { "dropping-particle" : "", "family" : "Bhat", "given" : "R", "non-dropping-particle" : "", "parse-names" : false, "suffix" : "" } ], "container-title" : "Journal of Physical Chemistry B", "id" : "ITEM-1", "issued" : { "date-parts" : [ [ "1998" ] ] }, "page" : "7058-7066", "title" : "Thermal stability of proteins in aqueous polyol solutions: Role of the surface tension of water in the stabilizing effect of polyols", "type" : "article-journal", "volume" : "102" }, "uris" : [ "http://www.mendeley.com/documents/?uuid=8e861705-529b-4f45-9fbd-3cd57b7b3923" ] } ], "mendeley" : { "formattedCitation" : "(Kaushik &amp; Bhat 1998)", "plainTextFormattedCitation" : "(Kaushik &amp; Bhat 1998)", "previouslyFormattedCitation" : "(Kaushik &amp; Bhat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(Kaushik &amp; Bhat 1998)</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71A7FD06"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3FECB9C3" w14:textId="77777777" w:rsidR="005C40A2" w:rsidRPr="00235AE3" w:rsidRDefault="005C40A2"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Inositol</w:t>
            </w:r>
          </w:p>
        </w:tc>
        <w:tc>
          <w:tcPr>
            <w:tcW w:w="1276" w:type="dxa"/>
            <w:shd w:val="clear" w:color="auto" w:fill="auto"/>
            <w:noWrap/>
            <w:hideMark/>
          </w:tcPr>
          <w:p w14:paraId="779F3B16" w14:textId="77777777" w:rsidR="005C40A2" w:rsidRPr="00235AE3" w:rsidRDefault="000D0B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5C40A2" w:rsidRPr="00235AE3">
              <w:rPr>
                <w:rFonts w:ascii="Calibri" w:eastAsia="Times New Roman" w:hAnsi="Calibri" w:cs="Times New Roman"/>
                <w:color w:val="000000"/>
                <w:sz w:val="20"/>
                <w:szCs w:val="20"/>
                <w:lang w:eastAsia="en-GB"/>
              </w:rPr>
              <w:t>ase A</w:t>
            </w:r>
          </w:p>
        </w:tc>
        <w:tc>
          <w:tcPr>
            <w:tcW w:w="992" w:type="dxa"/>
            <w:shd w:val="clear" w:color="auto" w:fill="auto"/>
            <w:noWrap/>
            <w:hideMark/>
          </w:tcPr>
          <w:p w14:paraId="32AAC59C"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2.5</w:t>
            </w:r>
          </w:p>
        </w:tc>
        <w:tc>
          <w:tcPr>
            <w:tcW w:w="1418" w:type="dxa"/>
            <w:shd w:val="clear" w:color="auto" w:fill="auto"/>
            <w:noWrap/>
            <w:hideMark/>
          </w:tcPr>
          <w:p w14:paraId="5C6BCD02"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750</w:t>
            </w:r>
          </w:p>
        </w:tc>
        <w:tc>
          <w:tcPr>
            <w:tcW w:w="1701" w:type="dxa"/>
            <w:shd w:val="clear" w:color="auto" w:fill="auto"/>
            <w:noWrap/>
            <w:hideMark/>
          </w:tcPr>
          <w:p w14:paraId="2EA4AFAD"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w:t>
            </w:r>
            <w:r>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glycine HCl</w:t>
            </w:r>
          </w:p>
        </w:tc>
        <w:tc>
          <w:tcPr>
            <w:tcW w:w="709" w:type="dxa"/>
            <w:shd w:val="clear" w:color="auto" w:fill="auto"/>
            <w:noWrap/>
            <w:hideMark/>
          </w:tcPr>
          <w:p w14:paraId="7EF4538A" w14:textId="77777777" w:rsidR="005C40A2" w:rsidRPr="0041345C"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8.7</w:t>
            </w:r>
          </w:p>
        </w:tc>
        <w:tc>
          <w:tcPr>
            <w:tcW w:w="1382" w:type="dxa"/>
            <w:shd w:val="clear" w:color="auto" w:fill="auto"/>
            <w:noWrap/>
            <w:hideMark/>
          </w:tcPr>
          <w:p w14:paraId="7E35D136"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DD6047">
              <w:rPr>
                <w:rFonts w:ascii="Calibri" w:eastAsia="Times New Roman" w:hAnsi="Calibri" w:cs="Times New Roman"/>
                <w:color w:val="000000"/>
                <w:sz w:val="20"/>
                <w:szCs w:val="20"/>
                <w:lang w:eastAsia="en-GB"/>
              </w:rPr>
              <w:instrText>ADDIN CSL_CITATION { "citationItems" : [ { "id" : "ITEM-1", "itemData" : { "DOI" : "10.1021/jp981119l", "ISBN" : "1089-5647", "ISSN" : "15206106", "abstract" : "Polyols and sugars are known to increase the thermal stability of proteins in aqueous solutions and lead to their preferential hydration. While the mechanism of action of sugars has been proposed to be essentially due to the increase in the surface tension of water in their presence, polyols including glycerol have been reported to lower the surface tension of water and act via the solvophobic effect. Surface tension measurements of polyols in water carried out by us, on the contrary, indicate a substantial increase in the surface free energy of water. These increments are comparable to those found in the case of sugars. To investigate the role of the surface tension of the solvent medium on the thermal stability of proteins, we have carried out a comprehensive study on the effects of a series of polyols with varying numbers of hydroxyl groups and stereochemistry, such as mannitol, inositol, sorbitol, xylitol, and adonitol, on the thermal stability of five proteins varying in their physicochemical characteristics, viz., ribonuclease A, -chymotrypsinogen, lysozyme, cytochrome c, and trypsin inhibitor. The studies have been carried out at pH 2.5, 4.0, and 7.0 to elucidate the contribution of the surface charges toward the polyol-mediated thermal stability of proteins. A very good correlation between an increase in the surface tension of water in the presence of a polyol and an increase in the themal stability of proteins has been observed. Correlation of the thermal stability of proteins with physicochemical properties such as net charge and net hydrophobic surface exposed on unfolding indicates that none of these properties is a dominant factor in governing protein thermal stability. The results indicate that polyol-induced water-mediated effects such as an increase in the surface tension of water play a major role in the stabilization of proteins and that the preferential hydration of proteins observed in their presence is a consequence of the increase in the surface free energy of water.", "author" : [ { "dropping-particle" : "", "family" : "Kaushik", "given" : "J K", "non-dropping-particle" : "", "parse-names" : false, "suffix" : "" }, { "dropping-particle" : "", "family" : "Bhat", "given" : "R", "non-dropping-particle" : "", "parse-names" : false, "suffix" : "" } ], "container-title" : "Journal of Physical Chemistry B", "id" : "ITEM-1", "issued" : { "date-parts" : [ [ "1998" ] ] }, "page" : "7058-7066", "title" : "Thermal stability of proteins in aqueous polyol solutions: Role of the surface tension of water in the stabilizing effect of polyols", "type" : "article-journal", "volume" : "102" }, "uris" : [ "http://www.mendeley.com/documents/?uuid=8e861705-529b-4f45-9fbd-3cd57b7b3923" ] } ], "mendeley" : { "formattedCitation" : "(Kaushik &amp; Bhat 1998)", "plainTextFormattedCitation" : "(Kaushik &amp; Bhat 1998)", "previouslyFormattedCitation" : "(Kaushik &amp; Bhat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(Kaushik &amp; Bhat 1998)</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28300EC0"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54A2CB7C" w14:textId="77777777" w:rsidR="005C40A2" w:rsidRPr="00235AE3" w:rsidRDefault="005C40A2"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Inositol</w:t>
            </w:r>
          </w:p>
        </w:tc>
        <w:tc>
          <w:tcPr>
            <w:tcW w:w="1276" w:type="dxa"/>
            <w:shd w:val="clear" w:color="auto" w:fill="auto"/>
            <w:noWrap/>
            <w:hideMark/>
          </w:tcPr>
          <w:p w14:paraId="04653B14" w14:textId="77777777" w:rsidR="005C40A2" w:rsidRPr="00235AE3" w:rsidRDefault="000D0B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5C40A2" w:rsidRPr="00235AE3">
              <w:rPr>
                <w:rFonts w:ascii="Calibri" w:eastAsia="Times New Roman" w:hAnsi="Calibri" w:cs="Times New Roman"/>
                <w:color w:val="000000"/>
                <w:sz w:val="20"/>
                <w:szCs w:val="20"/>
                <w:lang w:eastAsia="en-GB"/>
              </w:rPr>
              <w:t>ase A</w:t>
            </w:r>
          </w:p>
        </w:tc>
        <w:tc>
          <w:tcPr>
            <w:tcW w:w="992" w:type="dxa"/>
            <w:shd w:val="clear" w:color="auto" w:fill="auto"/>
            <w:noWrap/>
            <w:hideMark/>
          </w:tcPr>
          <w:p w14:paraId="3A981860"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7</w:t>
            </w:r>
          </w:p>
        </w:tc>
        <w:tc>
          <w:tcPr>
            <w:tcW w:w="1418" w:type="dxa"/>
            <w:shd w:val="clear" w:color="auto" w:fill="auto"/>
            <w:noWrap/>
            <w:hideMark/>
          </w:tcPr>
          <w:p w14:paraId="77EBF7DC"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750</w:t>
            </w:r>
          </w:p>
        </w:tc>
        <w:tc>
          <w:tcPr>
            <w:tcW w:w="1701" w:type="dxa"/>
            <w:shd w:val="clear" w:color="auto" w:fill="auto"/>
            <w:noWrap/>
            <w:hideMark/>
          </w:tcPr>
          <w:p w14:paraId="32909CB9"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w:t>
            </w:r>
            <w:r>
              <w:rPr>
                <w:rFonts w:ascii="Calibri" w:eastAsia="Times New Roman" w:hAnsi="Calibri" w:cs="Times New Roman"/>
                <w:color w:val="000000"/>
                <w:sz w:val="20"/>
                <w:szCs w:val="20"/>
                <w:lang w:eastAsia="en-GB"/>
              </w:rPr>
              <w:t xml:space="preserve"> </w:t>
            </w:r>
            <w:r w:rsidR="00FF6FE4">
              <w:rPr>
                <w:rFonts w:ascii="Calibri" w:eastAsia="Times New Roman" w:hAnsi="Calibri" w:cs="Times New Roman"/>
                <w:color w:val="000000"/>
                <w:sz w:val="20"/>
                <w:szCs w:val="20"/>
                <w:lang w:eastAsia="en-GB"/>
              </w:rPr>
              <w:t>mM phosphate 1500 m</w:t>
            </w:r>
            <w:r w:rsidRPr="00235AE3">
              <w:rPr>
                <w:rFonts w:ascii="Calibri" w:eastAsia="Times New Roman" w:hAnsi="Calibri" w:cs="Times New Roman"/>
                <w:color w:val="000000"/>
                <w:sz w:val="20"/>
                <w:szCs w:val="20"/>
                <w:lang w:eastAsia="en-GB"/>
              </w:rPr>
              <w:t>M GdnHCl</w:t>
            </w:r>
          </w:p>
        </w:tc>
        <w:tc>
          <w:tcPr>
            <w:tcW w:w="709" w:type="dxa"/>
            <w:shd w:val="clear" w:color="auto" w:fill="auto"/>
            <w:noWrap/>
            <w:hideMark/>
          </w:tcPr>
          <w:p w14:paraId="70D92AF6" w14:textId="77777777" w:rsidR="005C40A2" w:rsidRPr="0041345C"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4.5</w:t>
            </w:r>
          </w:p>
        </w:tc>
        <w:tc>
          <w:tcPr>
            <w:tcW w:w="1382" w:type="dxa"/>
            <w:shd w:val="clear" w:color="auto" w:fill="auto"/>
            <w:noWrap/>
            <w:hideMark/>
          </w:tcPr>
          <w:p w14:paraId="565223B1"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DD6047">
              <w:rPr>
                <w:rFonts w:ascii="Calibri" w:eastAsia="Times New Roman" w:hAnsi="Calibri" w:cs="Times New Roman"/>
                <w:color w:val="000000"/>
                <w:sz w:val="20"/>
                <w:szCs w:val="20"/>
                <w:lang w:eastAsia="en-GB"/>
              </w:rPr>
              <w:instrText>ADDIN CSL_CITATION { "citationItems" : [ { "id" : "ITEM-1", "itemData" : { "DOI" : "10.1021/jp981119l", "ISBN" : "1089-5647", "ISSN" : "15206106", "abstract" : "Polyols and sugars are known to increase the thermal stability of proteins in aqueous solutions and lead to their preferential hydration. While the mechanism of action of sugars has been proposed to be essentially due to the increase in the surface tension of water in their presence, polyols including glycerol have been reported to lower the surface tension of water and act via the solvophobic effect. Surface tension measurements of polyols in water carried out by us, on the contrary, indicate a substantial increase in the surface free energy of water. These increments are comparable to those found in the case of sugars. To investigate the role of the surface tension of the solvent medium on the thermal stability of proteins, we have carried out a comprehensive study on the effects of a series of polyols with varying numbers of hydroxyl groups and stereochemistry, such as mannitol, inositol, sorbitol, xylitol, and adonitol, on the thermal stability of five proteins varying in their physicochemical characteristics, viz., ribonuclease A, -chymotrypsinogen, lysozyme, cytochrome c, and trypsin inhibitor. The studies have been carried out at pH 2.5, 4.0, and 7.0 to elucidate the contribution of the surface charges toward the polyol-mediated thermal stability of proteins. A very good correlation between an increase in the surface tension of water in the presence of a polyol and an increase in the themal stability of proteins has been observed. Correlation of the thermal stability of proteins with physicochemical properties such as net charge and net hydrophobic surface exposed on unfolding indicates that none of these properties is a dominant factor in governing protein thermal stability. The results indicate that polyol-induced water-mediated effects such as an increase in the surface tension of water play a major role in the stabilization of proteins and that the preferential hydration of proteins observed in their presence is a consequence of the increase in the surface free energy of water.", "author" : [ { "dropping-particle" : "", "family" : "Kaushik", "given" : "J K", "non-dropping-particle" : "", "parse-names" : false, "suffix" : "" }, { "dropping-particle" : "", "family" : "Bhat", "given" : "R", "non-dropping-particle" : "", "parse-names" : false, "suffix" : "" } ], "container-title" : "Journal of Physical Chemistry B", "id" : "ITEM-1", "issued" : { "date-parts" : [ [ "1998" ] ] }, "page" : "7058-7066", "title" : "Thermal stability of proteins in aqueous polyol solutions: Role of the surface tension of water in the stabilizing effect of polyols", "type" : "article-journal", "volume" : "102" }, "uris" : [ "http://www.mendeley.com/documents/?uuid=8e861705-529b-4f45-9fbd-3cd57b7b3923" ] } ], "mendeley" : { "formattedCitation" : "(Kaushik &amp; Bhat 1998)", "plainTextFormattedCitation" : "(Kaushik &amp; Bhat 1998)", "previouslyFormattedCitation" : "(Kaushik &amp; Bhat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(Kaushik &amp; Bhat 1998)</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45202524"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56B2A03C" w14:textId="77777777" w:rsidR="005C40A2" w:rsidRPr="00235AE3" w:rsidRDefault="005C40A2"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Mannitol</w:t>
            </w:r>
          </w:p>
        </w:tc>
        <w:tc>
          <w:tcPr>
            <w:tcW w:w="1276" w:type="dxa"/>
            <w:shd w:val="clear" w:color="auto" w:fill="auto"/>
            <w:noWrap/>
            <w:hideMark/>
          </w:tcPr>
          <w:p w14:paraId="1DB9F863"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Lysozyme</w:t>
            </w:r>
          </w:p>
        </w:tc>
        <w:tc>
          <w:tcPr>
            <w:tcW w:w="992" w:type="dxa"/>
            <w:shd w:val="clear" w:color="auto" w:fill="auto"/>
            <w:noWrap/>
            <w:hideMark/>
          </w:tcPr>
          <w:p w14:paraId="027AB899"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2.5</w:t>
            </w:r>
          </w:p>
        </w:tc>
        <w:tc>
          <w:tcPr>
            <w:tcW w:w="1418" w:type="dxa"/>
            <w:shd w:val="clear" w:color="auto" w:fill="auto"/>
            <w:noWrap/>
            <w:hideMark/>
          </w:tcPr>
          <w:p w14:paraId="390875C3"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1000</w:t>
            </w:r>
          </w:p>
        </w:tc>
        <w:tc>
          <w:tcPr>
            <w:tcW w:w="1701" w:type="dxa"/>
            <w:shd w:val="clear" w:color="auto" w:fill="auto"/>
            <w:noWrap/>
            <w:hideMark/>
          </w:tcPr>
          <w:p w14:paraId="149A8BD1"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w:t>
            </w:r>
            <w:r>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glycine HCl</w:t>
            </w:r>
          </w:p>
        </w:tc>
        <w:tc>
          <w:tcPr>
            <w:tcW w:w="709" w:type="dxa"/>
            <w:shd w:val="clear" w:color="auto" w:fill="auto"/>
            <w:noWrap/>
            <w:hideMark/>
          </w:tcPr>
          <w:p w14:paraId="07F29078" w14:textId="77777777" w:rsidR="005C40A2" w:rsidRPr="0041345C"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7</w:t>
            </w:r>
          </w:p>
        </w:tc>
        <w:tc>
          <w:tcPr>
            <w:tcW w:w="1382" w:type="dxa"/>
            <w:shd w:val="clear" w:color="auto" w:fill="auto"/>
            <w:noWrap/>
            <w:hideMark/>
          </w:tcPr>
          <w:p w14:paraId="7F9D0044"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DD6047">
              <w:rPr>
                <w:rFonts w:ascii="Calibri" w:eastAsia="Times New Roman" w:hAnsi="Calibri" w:cs="Times New Roman"/>
                <w:color w:val="000000"/>
                <w:sz w:val="20"/>
                <w:szCs w:val="20"/>
                <w:lang w:eastAsia="en-GB"/>
              </w:rPr>
              <w:instrText>ADDIN CSL_CITATION { "citationItems" : [ { "id" : "ITEM-1", "itemData" : { "DOI" : "10.1021/jp981119l", "ISBN" : "1089-5647", "ISSN" : "15206106", "abstract" : "Polyols and sugars are known to increase the thermal stability of proteins in aqueous solutions and lead to their preferential hydration. While the mechanism of action of sugars has been proposed to be essentially due to the increase in the surface tension of water in their presence, polyols including glycerol have been reported to lower the surface tension of water and act via the solvophobic effect. Surface tension measurements of polyols in water carried out by us, on the contrary, indicate a substantial increase in the surface free energy of water. These increments are comparable to those found in the case of sugars. To investigate the role of the surface tension of the solvent medium on the thermal stability of proteins, we have carried out a comprehensive study on the effects of a series of polyols with varying numbers of hydroxyl groups and stereochemistry, such as mannitol, inositol, sorbitol, xylitol, and adonitol, on the thermal stability of five proteins varying in their physicochemical characteristics, viz., ribonuclease A, -chymotrypsinogen, lysozyme, cytochrome c, and trypsin inhibitor. The studies have been carried out at pH 2.5, 4.0, and 7.0 to elucidate the contribution of the surface charges toward the polyol-mediated thermal stability of proteins. A very good correlation between an increase in the surface tension of water in the presence of a polyol and an increase in the themal stability of proteins has been observed. Correlation of the thermal stability of proteins with physicochemical properties such as net charge and net hydrophobic surface exposed on unfolding indicates that none of these properties is a dominant factor in governing protein thermal stability. The results indicate that polyol-induced water-mediated effects such as an increase in the surface tension of water play a major role in the stabilization of proteins and that the preferential hydration of proteins observed in their presence is a consequence of the increase in the surface free energy of water.", "author" : [ { "dropping-particle" : "", "family" : "Kaushik", "given" : "J K", "non-dropping-particle" : "", "parse-names" : false, "suffix" : "" }, { "dropping-particle" : "", "family" : "Bhat", "given" : "R", "non-dropping-particle" : "", "parse-names" : false, "suffix" : "" } ], "container-title" : "Journal of Physical Chemistry B", "id" : "ITEM-1", "issued" : { "date-parts" : [ [ "1998" ] ] }, "page" : "7058-7066", "title" : "Thermal stability of proteins in aqueous polyol solutions: Role of the surface tension of water in the stabilizing effect of polyols", "type" : "article-journal", "volume" : "102" }, "uris" : [ "http://www.mendeley.com/documents/?uuid=8e861705-529b-4f45-9fbd-3cd57b7b3923" ] } ], "mendeley" : { "formattedCitation" : "(Kaushik &amp; Bhat 1998)", "plainTextFormattedCitation" : "(Kaushik &amp; Bhat 1998)", "previouslyFormattedCitation" : "(Kaushik &amp; Bhat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(Kaushik &amp; Bhat 1998)</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5F2837CE"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7D3DBA67" w14:textId="77777777" w:rsidR="005C40A2" w:rsidRPr="00235AE3" w:rsidRDefault="005C40A2"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Mannitol</w:t>
            </w:r>
          </w:p>
        </w:tc>
        <w:tc>
          <w:tcPr>
            <w:tcW w:w="1276" w:type="dxa"/>
            <w:shd w:val="clear" w:color="auto" w:fill="auto"/>
            <w:noWrap/>
            <w:hideMark/>
          </w:tcPr>
          <w:p w14:paraId="442509F0"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Lysozyme</w:t>
            </w:r>
          </w:p>
        </w:tc>
        <w:tc>
          <w:tcPr>
            <w:tcW w:w="992" w:type="dxa"/>
            <w:shd w:val="clear" w:color="auto" w:fill="auto"/>
            <w:noWrap/>
            <w:hideMark/>
          </w:tcPr>
          <w:p w14:paraId="5BFB143A"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7</w:t>
            </w:r>
          </w:p>
        </w:tc>
        <w:tc>
          <w:tcPr>
            <w:tcW w:w="1418" w:type="dxa"/>
            <w:shd w:val="clear" w:color="auto" w:fill="auto"/>
            <w:noWrap/>
            <w:hideMark/>
          </w:tcPr>
          <w:p w14:paraId="4A43DF51"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1000</w:t>
            </w:r>
          </w:p>
        </w:tc>
        <w:tc>
          <w:tcPr>
            <w:tcW w:w="1701" w:type="dxa"/>
            <w:shd w:val="clear" w:color="auto" w:fill="auto"/>
            <w:noWrap/>
            <w:hideMark/>
          </w:tcPr>
          <w:p w14:paraId="28DB15FF"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w:t>
            </w:r>
            <w:r>
              <w:rPr>
                <w:rFonts w:ascii="Calibri" w:eastAsia="Times New Roman" w:hAnsi="Calibri" w:cs="Times New Roman"/>
                <w:color w:val="000000"/>
                <w:sz w:val="20"/>
                <w:szCs w:val="20"/>
                <w:lang w:eastAsia="en-GB"/>
              </w:rPr>
              <w:t xml:space="preserve"> </w:t>
            </w:r>
            <w:r w:rsidR="00FF6FE4">
              <w:rPr>
                <w:rFonts w:ascii="Calibri" w:eastAsia="Times New Roman" w:hAnsi="Calibri" w:cs="Times New Roman"/>
                <w:color w:val="000000"/>
                <w:sz w:val="20"/>
                <w:szCs w:val="20"/>
                <w:lang w:eastAsia="en-GB"/>
              </w:rPr>
              <w:t>mM phosphate 1500 m</w:t>
            </w:r>
            <w:r w:rsidRPr="00235AE3">
              <w:rPr>
                <w:rFonts w:ascii="Calibri" w:eastAsia="Times New Roman" w:hAnsi="Calibri" w:cs="Times New Roman"/>
                <w:color w:val="000000"/>
                <w:sz w:val="20"/>
                <w:szCs w:val="20"/>
                <w:lang w:eastAsia="en-GB"/>
              </w:rPr>
              <w:t>M GdnHCl</w:t>
            </w:r>
          </w:p>
        </w:tc>
        <w:tc>
          <w:tcPr>
            <w:tcW w:w="709" w:type="dxa"/>
            <w:shd w:val="clear" w:color="auto" w:fill="auto"/>
            <w:noWrap/>
            <w:hideMark/>
          </w:tcPr>
          <w:p w14:paraId="77E79CDE" w14:textId="77777777" w:rsidR="005C40A2" w:rsidRPr="0041345C"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5</w:t>
            </w:r>
          </w:p>
        </w:tc>
        <w:tc>
          <w:tcPr>
            <w:tcW w:w="1382" w:type="dxa"/>
            <w:shd w:val="clear" w:color="auto" w:fill="auto"/>
            <w:noWrap/>
            <w:hideMark/>
          </w:tcPr>
          <w:p w14:paraId="0B79EA8F"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DD6047">
              <w:rPr>
                <w:rFonts w:ascii="Calibri" w:eastAsia="Times New Roman" w:hAnsi="Calibri" w:cs="Times New Roman"/>
                <w:color w:val="000000"/>
                <w:sz w:val="20"/>
                <w:szCs w:val="20"/>
                <w:lang w:eastAsia="en-GB"/>
              </w:rPr>
              <w:instrText>ADDIN CSL_CITATION { "citationItems" : [ { "id" : "ITEM-1", "itemData" : { "DOI" : "10.1021/jp981119l", "ISBN" : "1089-5647", "ISSN" : "15206106", "abstract" : "Polyols and sugars are known to increase the thermal stability of proteins in aqueous solutions and lead to their preferential hydration. While the mechanism of action of sugars has been proposed to be essentially due to the increase in the surface tension of water in their presence, polyols including glycerol have been reported to lower the surface tension of water and act via the solvophobic effect. Surface tension measurements of polyols in water carried out by us, on the contrary, indicate a substantial increase in the surface free energy of water. These increments are comparable to those found in the case of sugars. To investigate the role of the surface tension of the solvent medium on the thermal stability of proteins, we have carried out a comprehensive study on the effects of a series of polyols with varying numbers of hydroxyl groups and stereochemistry, such as mannitol, inositol, sorbitol, xylitol, and adonitol, on the thermal stability of five proteins varying in their physicochemical characteristics, viz., ribonuclease A, -chymotrypsinogen, lysozyme, cytochrome c, and trypsin inhibitor. The studies have been carried out at pH 2.5, 4.0, and 7.0 to elucidate the contribution of the surface charges toward the polyol-mediated thermal stability of proteins. A very good correlation between an increase in the surface tension of water in the presence of a polyol and an increase in the themal stability of proteins has been observed. Correlation of the thermal stability of proteins with physicochemical properties such as net charge and net hydrophobic surface exposed on unfolding indicates that none of these properties is a dominant factor in governing protein thermal stability. The results indicate that polyol-induced water-mediated effects such as an increase in the surface tension of water play a major role in the stabilization of proteins and that the preferential hydration of proteins observed in their presence is a consequence of the increase in the surface free energy of water.", "author" : [ { "dropping-particle" : "", "family" : "Kaushik", "given" : "J K", "non-dropping-particle" : "", "parse-names" : false, "suffix" : "" }, { "dropping-particle" : "", "family" : "Bhat", "given" : "R", "non-dropping-particle" : "", "parse-names" : false, "suffix" : "" } ], "container-title" : "Journal of Physical Chemistry B", "id" : "ITEM-1", "issued" : { "date-parts" : [ [ "1998" ] ] }, "page" : "7058-7066", "title" : "Thermal stability of proteins in aqueous polyol solutions: Role of the surface tension of water in the stabilizing effect of polyols", "type" : "article-journal", "volume" : "102" }, "uris" : [ "http://www.mendeley.com/documents/?uuid=8e861705-529b-4f45-9fbd-3cd57b7b3923" ] } ], "mendeley" : { "formattedCitation" : "(Kaushik &amp; Bhat 1998)", "plainTextFormattedCitation" : "(Kaushik &amp; Bhat 1998)", "previouslyFormattedCitation" : "(Kaushik &amp; Bhat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(Kaushik &amp; Bhat 1998)</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0AC62CFD"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24F1BB18" w14:textId="77777777" w:rsidR="005C40A2" w:rsidRPr="00235AE3" w:rsidRDefault="005C40A2"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Mannitol</w:t>
            </w:r>
          </w:p>
        </w:tc>
        <w:tc>
          <w:tcPr>
            <w:tcW w:w="1276" w:type="dxa"/>
            <w:shd w:val="clear" w:color="auto" w:fill="auto"/>
            <w:noWrap/>
            <w:hideMark/>
          </w:tcPr>
          <w:p w14:paraId="68A358B7" w14:textId="77777777" w:rsidR="005C40A2" w:rsidRPr="00235AE3" w:rsidRDefault="000D0B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5C40A2" w:rsidRPr="00235AE3">
              <w:rPr>
                <w:rFonts w:ascii="Calibri" w:eastAsia="Times New Roman" w:hAnsi="Calibri" w:cs="Times New Roman"/>
                <w:color w:val="000000"/>
                <w:sz w:val="20"/>
                <w:szCs w:val="20"/>
                <w:lang w:eastAsia="en-GB"/>
              </w:rPr>
              <w:t>ase A</w:t>
            </w:r>
          </w:p>
        </w:tc>
        <w:tc>
          <w:tcPr>
            <w:tcW w:w="992" w:type="dxa"/>
            <w:shd w:val="clear" w:color="auto" w:fill="auto"/>
            <w:noWrap/>
            <w:hideMark/>
          </w:tcPr>
          <w:p w14:paraId="5D8F4BE1"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2.5</w:t>
            </w:r>
          </w:p>
        </w:tc>
        <w:tc>
          <w:tcPr>
            <w:tcW w:w="1418" w:type="dxa"/>
            <w:shd w:val="clear" w:color="auto" w:fill="auto"/>
            <w:noWrap/>
            <w:hideMark/>
          </w:tcPr>
          <w:p w14:paraId="5D5EEA0D"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1000</w:t>
            </w:r>
          </w:p>
        </w:tc>
        <w:tc>
          <w:tcPr>
            <w:tcW w:w="1701" w:type="dxa"/>
            <w:shd w:val="clear" w:color="auto" w:fill="auto"/>
            <w:noWrap/>
            <w:hideMark/>
          </w:tcPr>
          <w:p w14:paraId="1D45E378"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w:t>
            </w:r>
            <w:r>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glycine HCl</w:t>
            </w:r>
          </w:p>
        </w:tc>
        <w:tc>
          <w:tcPr>
            <w:tcW w:w="709" w:type="dxa"/>
            <w:shd w:val="clear" w:color="auto" w:fill="auto"/>
            <w:noWrap/>
            <w:hideMark/>
          </w:tcPr>
          <w:p w14:paraId="1D3437E8" w14:textId="77777777" w:rsidR="005C40A2" w:rsidRPr="0041345C"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8.3</w:t>
            </w:r>
          </w:p>
        </w:tc>
        <w:tc>
          <w:tcPr>
            <w:tcW w:w="1382" w:type="dxa"/>
            <w:shd w:val="clear" w:color="auto" w:fill="auto"/>
            <w:noWrap/>
            <w:hideMark/>
          </w:tcPr>
          <w:p w14:paraId="7751736E"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DD6047">
              <w:rPr>
                <w:rFonts w:ascii="Calibri" w:eastAsia="Times New Roman" w:hAnsi="Calibri" w:cs="Times New Roman"/>
                <w:color w:val="000000"/>
                <w:sz w:val="20"/>
                <w:szCs w:val="20"/>
                <w:lang w:eastAsia="en-GB"/>
              </w:rPr>
              <w:instrText>ADDIN CSL_CITATION { "citationItems" : [ { "id" : "ITEM-1", "itemData" : { "DOI" : "10.1021/jp981119l", "ISBN" : "1089-5647", "ISSN" : "15206106", "abstract" : "Polyols and sugars are known to increase the thermal stability of proteins in aqueous solutions and lead to their preferential hydration. While the mechanism of action of sugars has been proposed to be essentially due to the increase in the surface tension of water in their presence, polyols including glycerol have been reported to lower the surface tension of water and act via the solvophobic effect. Surface tension measurements of polyols in water carried out by us, on the contrary, indicate a substantial increase in the surface free energy of water. These increments are comparable to those found in the case of sugars. To investigate the role of the surface tension of the solvent medium on the thermal stability of proteins, we have carried out a comprehensive study on the effects of a series of polyols with varying numbers of hydroxyl groups and stereochemistry, such as mannitol, inositol, sorbitol, xylitol, and adonitol, on the thermal stability of five proteins varying in their physicochemical characteristics, viz., ribonuclease A, -chymotrypsinogen, lysozyme, cytochrome c, and trypsin inhibitor. The studies have been carried out at pH 2.5, 4.0, and 7.0 to elucidate the contribution of the surface charges toward the polyol-mediated thermal stability of proteins. A very good correlation between an increase in the surface tension of water in the presence of a polyol and an increase in the themal stability of proteins has been observed. Correlation of the thermal stability of proteins with physicochemical properties such as net charge and net hydrophobic surface exposed on unfolding indicates that none of these properties is a dominant factor in governing protein thermal stability. The results indicate that polyol-induced water-mediated effects such as an increase in the surface tension of water play a major role in the stabilization of proteins and that the preferential hydration of proteins observed in their presence is a consequence of the increase in the surface free energy of water.", "author" : [ { "dropping-particle" : "", "family" : "Kaushik", "given" : "J K", "non-dropping-particle" : "", "parse-names" : false, "suffix" : "" }, { "dropping-particle" : "", "family" : "Bhat", "given" : "R", "non-dropping-particle" : "", "parse-names" : false, "suffix" : "" } ], "container-title" : "Journal of Physical Chemistry B", "id" : "ITEM-1", "issued" : { "date-parts" : [ [ "1998" ] ] }, "page" : "7058-7066", "title" : "Thermal stability of proteins in aqueous polyol solutions: Role of the surface tension of water in the stabilizing effect of polyols", "type" : "article-journal", "volume" : "102" }, "uris" : [ "http://www.mendeley.com/documents/?uuid=8e861705-529b-4f45-9fbd-3cd57b7b3923" ] } ], "mendeley" : { "formattedCitation" : "(Kaushik &amp; Bhat 1998)", "plainTextFormattedCitation" : "(Kaushik &amp; Bhat 1998)", "previouslyFormattedCitation" : "(Kaushik &amp; Bhat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(Kaushik &amp; Bhat 1998)</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0BBC3A2F"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6FB89A48" w14:textId="77777777" w:rsidR="005C40A2" w:rsidRPr="00235AE3" w:rsidRDefault="005C40A2"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Mannitol</w:t>
            </w:r>
          </w:p>
        </w:tc>
        <w:tc>
          <w:tcPr>
            <w:tcW w:w="1276" w:type="dxa"/>
            <w:shd w:val="clear" w:color="auto" w:fill="auto"/>
            <w:noWrap/>
            <w:hideMark/>
          </w:tcPr>
          <w:p w14:paraId="1803BB16" w14:textId="77777777" w:rsidR="005C40A2" w:rsidRPr="00235AE3" w:rsidRDefault="000D0B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5C40A2" w:rsidRPr="00235AE3">
              <w:rPr>
                <w:rFonts w:ascii="Calibri" w:eastAsia="Times New Roman" w:hAnsi="Calibri" w:cs="Times New Roman"/>
                <w:color w:val="000000"/>
                <w:sz w:val="20"/>
                <w:szCs w:val="20"/>
                <w:lang w:eastAsia="en-GB"/>
              </w:rPr>
              <w:t>ase A</w:t>
            </w:r>
          </w:p>
        </w:tc>
        <w:tc>
          <w:tcPr>
            <w:tcW w:w="992" w:type="dxa"/>
            <w:shd w:val="clear" w:color="auto" w:fill="auto"/>
            <w:noWrap/>
            <w:hideMark/>
          </w:tcPr>
          <w:p w14:paraId="622D0971"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7</w:t>
            </w:r>
          </w:p>
        </w:tc>
        <w:tc>
          <w:tcPr>
            <w:tcW w:w="1418" w:type="dxa"/>
            <w:shd w:val="clear" w:color="auto" w:fill="auto"/>
            <w:noWrap/>
            <w:hideMark/>
          </w:tcPr>
          <w:p w14:paraId="74D014B5"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1000</w:t>
            </w:r>
          </w:p>
        </w:tc>
        <w:tc>
          <w:tcPr>
            <w:tcW w:w="1701" w:type="dxa"/>
            <w:shd w:val="clear" w:color="auto" w:fill="auto"/>
            <w:noWrap/>
            <w:hideMark/>
          </w:tcPr>
          <w:p w14:paraId="6DB749BB"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w:t>
            </w:r>
            <w:r>
              <w:rPr>
                <w:rFonts w:ascii="Calibri" w:eastAsia="Times New Roman" w:hAnsi="Calibri" w:cs="Times New Roman"/>
                <w:color w:val="000000"/>
                <w:sz w:val="20"/>
                <w:szCs w:val="20"/>
                <w:lang w:eastAsia="en-GB"/>
              </w:rPr>
              <w:t xml:space="preserve"> </w:t>
            </w:r>
            <w:r w:rsidR="00FF6FE4">
              <w:rPr>
                <w:rFonts w:ascii="Calibri" w:eastAsia="Times New Roman" w:hAnsi="Calibri" w:cs="Times New Roman"/>
                <w:color w:val="000000"/>
                <w:sz w:val="20"/>
                <w:szCs w:val="20"/>
                <w:lang w:eastAsia="en-GB"/>
              </w:rPr>
              <w:t>mM phosphate 1500 m</w:t>
            </w:r>
            <w:r w:rsidRPr="00235AE3">
              <w:rPr>
                <w:rFonts w:ascii="Calibri" w:eastAsia="Times New Roman" w:hAnsi="Calibri" w:cs="Times New Roman"/>
                <w:color w:val="000000"/>
                <w:sz w:val="20"/>
                <w:szCs w:val="20"/>
                <w:lang w:eastAsia="en-GB"/>
              </w:rPr>
              <w:t>M GdnHCl</w:t>
            </w:r>
          </w:p>
        </w:tc>
        <w:tc>
          <w:tcPr>
            <w:tcW w:w="709" w:type="dxa"/>
            <w:shd w:val="clear" w:color="auto" w:fill="auto"/>
            <w:noWrap/>
            <w:hideMark/>
          </w:tcPr>
          <w:p w14:paraId="2B946D04" w14:textId="77777777" w:rsidR="005C40A2" w:rsidRPr="0041345C"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3.9</w:t>
            </w:r>
          </w:p>
        </w:tc>
        <w:tc>
          <w:tcPr>
            <w:tcW w:w="1382" w:type="dxa"/>
            <w:shd w:val="clear" w:color="auto" w:fill="auto"/>
            <w:noWrap/>
            <w:hideMark/>
          </w:tcPr>
          <w:p w14:paraId="78270373"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DD6047">
              <w:rPr>
                <w:rFonts w:ascii="Calibri" w:eastAsia="Times New Roman" w:hAnsi="Calibri" w:cs="Times New Roman"/>
                <w:color w:val="000000"/>
                <w:sz w:val="20"/>
                <w:szCs w:val="20"/>
                <w:lang w:eastAsia="en-GB"/>
              </w:rPr>
              <w:instrText>ADDIN CSL_CITATION { "citationItems" : [ { "id" : "ITEM-1", "itemData" : { "DOI" : "10.1021/jp981119l", "ISBN" : "1089-5647", "ISSN" : "15206106", "abstract" : "Polyols and sugars are known to increase the thermal stability of proteins in aqueous solutions and lead to their preferential hydration. While the mechanism of action of sugars has been proposed to be essentially due to the increase in the surface tension of water in their presence, polyols including glycerol have been reported to lower the surface tension of water and act via the solvophobic effect. Surface tension measurements of polyols in water carried out by us, on the contrary, indicate a substantial increase in the surface free energy of water. These increments are comparable to those found in the case of sugars. To investigate the role of the surface tension of the solvent medium on the thermal stability of proteins, we have carried out a comprehensive study on the effects of a series of polyols with varying numbers of hydroxyl groups and stereochemistry, such as mannitol, inositol, sorbitol, xylitol, and adonitol, on the thermal stability of five proteins varying in their physicochemical characteristics, viz., ribonuclease A, -chymotrypsinogen, lysozyme, cytochrome c, and trypsin inhibitor. The studies have been carried out at pH 2.5, 4.0, and 7.0 to elucidate the contribution of the surface charges toward the polyol-mediated thermal stability of proteins. A very good correlation between an increase in the surface tension of water in the presence of a polyol and an increase in the themal stability of proteins has been observed. Correlation of the thermal stability of proteins with physicochemical properties such as net charge and net hydrophobic surface exposed on unfolding indicates that none of these properties is a dominant factor in governing protein thermal stability. The results indicate that polyol-induced water-mediated effects such as an increase in the surface tension of water play a major role in the stabilization of proteins and that the preferential hydration of proteins observed in their presence is a consequence of the increase in the surface free energy of water.", "author" : [ { "dropping-particle" : "", "family" : "Kaushik", "given" : "J K", "non-dropping-particle" : "", "parse-names" : false, "suffix" : "" }, { "dropping-particle" : "", "family" : "Bhat", "given" : "R", "non-dropping-particle" : "", "parse-names" : false, "suffix" : "" } ], "container-title" : "Journal of Physical Chemistry B", "id" : "ITEM-1", "issued" : { "date-parts" : [ [ "1998" ] ] }, "page" : "7058-7066", "title" : "Thermal stability of proteins in aqueous polyol solutions: Role of the surface tension of water in the stabilizing effect of polyols", "type" : "article-journal", "volume" : "102" }, "uris" : [ "http://www.mendeley.com/documents/?uuid=8e861705-529b-4f45-9fbd-3cd57b7b3923" ] } ], "mendeley" : { "formattedCitation" : "(Kaushik &amp; Bhat 1998)", "plainTextFormattedCitation" : "(Kaushik &amp; Bhat 1998)", "previouslyFormattedCitation" : "(Kaushik &amp; Bhat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(Kaushik &amp; Bhat 1998)</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73A49D32"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4F10C3A9" w14:textId="77777777" w:rsidR="005C40A2" w:rsidRPr="00235AE3" w:rsidRDefault="005C40A2"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i/>
                <w:iCs/>
                <w:color w:val="000000"/>
                <w:sz w:val="20"/>
                <w:szCs w:val="20"/>
                <w:lang w:eastAsia="en-GB"/>
              </w:rPr>
              <w:t>myo</w:t>
            </w:r>
            <w:r w:rsidRPr="00235AE3">
              <w:rPr>
                <w:rFonts w:ascii="Calibri" w:eastAsia="Times New Roman" w:hAnsi="Calibri" w:cs="Times New Roman"/>
                <w:color w:val="000000"/>
                <w:sz w:val="20"/>
                <w:szCs w:val="20"/>
                <w:lang w:eastAsia="en-GB"/>
              </w:rPr>
              <w:t>-Inositol</w:t>
            </w:r>
          </w:p>
        </w:tc>
        <w:tc>
          <w:tcPr>
            <w:tcW w:w="1276" w:type="dxa"/>
            <w:shd w:val="clear" w:color="auto" w:fill="auto"/>
            <w:noWrap/>
            <w:hideMark/>
          </w:tcPr>
          <w:p w14:paraId="512F1923" w14:textId="77777777" w:rsidR="005C40A2" w:rsidRPr="00235AE3" w:rsidRDefault="000D0B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5C40A2" w:rsidRPr="00235AE3">
              <w:rPr>
                <w:rFonts w:ascii="Calibri" w:eastAsia="Times New Roman" w:hAnsi="Calibri" w:cs="Times New Roman"/>
                <w:color w:val="000000"/>
                <w:sz w:val="20"/>
                <w:szCs w:val="20"/>
                <w:lang w:eastAsia="en-GB"/>
              </w:rPr>
              <w:t>ase A</w:t>
            </w:r>
          </w:p>
        </w:tc>
        <w:tc>
          <w:tcPr>
            <w:tcW w:w="992" w:type="dxa"/>
            <w:shd w:val="clear" w:color="auto" w:fill="auto"/>
            <w:noWrap/>
            <w:hideMark/>
          </w:tcPr>
          <w:p w14:paraId="16E43F64"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4.2</w:t>
            </w:r>
          </w:p>
        </w:tc>
        <w:tc>
          <w:tcPr>
            <w:tcW w:w="1418" w:type="dxa"/>
            <w:shd w:val="clear" w:color="auto" w:fill="auto"/>
            <w:noWrap/>
            <w:hideMark/>
          </w:tcPr>
          <w:p w14:paraId="4D60937A"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750</w:t>
            </w:r>
          </w:p>
        </w:tc>
        <w:tc>
          <w:tcPr>
            <w:tcW w:w="1701" w:type="dxa"/>
            <w:shd w:val="clear" w:color="auto" w:fill="auto"/>
            <w:noWrap/>
            <w:hideMark/>
          </w:tcPr>
          <w:p w14:paraId="0D069959" w14:textId="77777777" w:rsidR="005C40A2" w:rsidRPr="00235AE3" w:rsidRDefault="00FF6FE4"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40 mM acetate</w:t>
            </w:r>
          </w:p>
        </w:tc>
        <w:tc>
          <w:tcPr>
            <w:tcW w:w="709" w:type="dxa"/>
            <w:shd w:val="clear" w:color="auto" w:fill="auto"/>
            <w:noWrap/>
            <w:hideMark/>
          </w:tcPr>
          <w:p w14:paraId="51359FA2" w14:textId="77777777" w:rsidR="005C40A2" w:rsidRPr="0041345C"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3.4</w:t>
            </w:r>
          </w:p>
        </w:tc>
        <w:tc>
          <w:tcPr>
            <w:tcW w:w="1382" w:type="dxa"/>
            <w:shd w:val="clear" w:color="auto" w:fill="auto"/>
            <w:noWrap/>
            <w:hideMark/>
          </w:tcPr>
          <w:p w14:paraId="1139DB74"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"10.1016/j.bpc.2013.10.004", "ISBN" : "1873-4200 (Electronic)\\r0301-4622 (Linking)", "ISSN" : "03014622", "PMID" : "24292629", "abstract" : "Thermal unfolding of ribonuclease A (RNase) was analyzed in various osmolyte solutions of glycine, proline, sarcosine, N,N-dimethylglycine, betaine, myo-inositol, taurine, and trimethylamine-N-oxide (TMAO). All the osmolytes tested stabilized the protein. The thermal unfolding curve was described well by the van't Hoff equation and the melting temperature and the enthalpy of protein unfolding were obtained. The Wyman-Tanford equation, which describes the unfolded-to-folded protein ratio as a function of water activity, was successfully applied to obtain a linear plot. In consideration of this experimentally obtained linearity, the Wyman-Tanford plot could be integrated to calculate the stabilization free energy of the protein (??????? ???????G) in the solution. The ??????????? ???G was proved to be described by the property of the microstructure around the protein surface, which is composed of the protein hydration, the cosolute-binding, and the preferential exclusion, and the property of the bulk solution; water activity. The m-values of osmolytes for protein unfolding were obtained from ??????????????G calculated. Among the osmolytes tested, myo-inositol showed the highest m-value. ?? 2013 Elsevier Ltd. All rights reserved.", "author" : [ { "dropping-particle" : "", "family" : "Miyawaki", "given" : "O", "non-dropping-particle" : "", "parse-names" : false, "suffix" : "" }, { "dropping-particle" : "", "family" : "Dozen", "given" : "M", "non-dropping-particle" : "", "parse-names" : false, "suffix" : "" }, { "dropping-particle" : "", "family" : "Nomura", "given" : "K", "non-dropping-particle" : "", "parse-names" : false, "suffix" : "" } ], "container-title" : "Biophysical Chemistry", "id" : "ITEM-1", "issued" : { "date-parts" : [ [ "2014" ] ] }, "page" : "19-24", "publisher" : "Elsevier B.V.", "title" : "Thermodynamic analysis of osmolyte effect on thermal stability of ribonuclease A in terms of water activity", "type" : "article-journal", "volume" : "185" }, "uris" : [ "http://www.mendeley.com/documents/?uuid=7914a675-1b34-43aa-92ca-51687220293e" ] } ], "mendeley" : { "formattedCitation" : "(Miyawaki et al. 2014)", "plainTextFormattedCitation" : "(Miyawaki et al. 2014)", "previouslyFormattedCitation" : "(Miyawaki et al. 2014)"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(Miyawaki et al. 2014)</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0CD32CB4"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0D2F7FE1" w14:textId="77777777" w:rsidR="005C40A2" w:rsidRPr="00235AE3" w:rsidRDefault="005C40A2"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i/>
                <w:iCs/>
                <w:color w:val="000000"/>
                <w:sz w:val="20"/>
                <w:szCs w:val="20"/>
                <w:lang w:eastAsia="en-GB"/>
              </w:rPr>
              <w:t>myo</w:t>
            </w:r>
            <w:r w:rsidRPr="00235AE3">
              <w:rPr>
                <w:rFonts w:ascii="Calibri" w:eastAsia="Times New Roman" w:hAnsi="Calibri" w:cs="Times New Roman"/>
                <w:color w:val="000000"/>
                <w:sz w:val="20"/>
                <w:szCs w:val="20"/>
                <w:lang w:eastAsia="en-GB"/>
              </w:rPr>
              <w:t>-Inositol</w:t>
            </w:r>
          </w:p>
        </w:tc>
        <w:tc>
          <w:tcPr>
            <w:tcW w:w="1276" w:type="dxa"/>
            <w:shd w:val="clear" w:color="auto" w:fill="auto"/>
            <w:noWrap/>
            <w:hideMark/>
          </w:tcPr>
          <w:p w14:paraId="72497FD3" w14:textId="77777777" w:rsidR="005C40A2" w:rsidRPr="00235AE3" w:rsidRDefault="000D0B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5C40A2" w:rsidRPr="00235AE3">
              <w:rPr>
                <w:rFonts w:ascii="Calibri" w:eastAsia="Times New Roman" w:hAnsi="Calibri" w:cs="Times New Roman"/>
                <w:color w:val="000000"/>
                <w:sz w:val="20"/>
                <w:szCs w:val="20"/>
                <w:lang w:eastAsia="en-GB"/>
              </w:rPr>
              <w:t>ase A</w:t>
            </w:r>
          </w:p>
        </w:tc>
        <w:tc>
          <w:tcPr>
            <w:tcW w:w="992" w:type="dxa"/>
            <w:shd w:val="clear" w:color="auto" w:fill="auto"/>
            <w:noWrap/>
            <w:hideMark/>
          </w:tcPr>
          <w:p w14:paraId="08B9BE7D"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5.5</w:t>
            </w:r>
          </w:p>
        </w:tc>
        <w:tc>
          <w:tcPr>
            <w:tcW w:w="1418" w:type="dxa"/>
            <w:shd w:val="clear" w:color="auto" w:fill="auto"/>
            <w:noWrap/>
            <w:hideMark/>
          </w:tcPr>
          <w:p w14:paraId="58CD6633"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750</w:t>
            </w:r>
          </w:p>
        </w:tc>
        <w:tc>
          <w:tcPr>
            <w:tcW w:w="1701" w:type="dxa"/>
            <w:shd w:val="clear" w:color="auto" w:fill="auto"/>
            <w:noWrap/>
            <w:hideMark/>
          </w:tcPr>
          <w:p w14:paraId="5AD6937C" w14:textId="77777777" w:rsidR="005C40A2" w:rsidRPr="00235AE3" w:rsidRDefault="00FF6FE4"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40 mM acetate</w:t>
            </w:r>
          </w:p>
        </w:tc>
        <w:tc>
          <w:tcPr>
            <w:tcW w:w="709" w:type="dxa"/>
            <w:shd w:val="clear" w:color="auto" w:fill="auto"/>
            <w:noWrap/>
            <w:hideMark/>
          </w:tcPr>
          <w:p w14:paraId="74E4D788" w14:textId="77777777" w:rsidR="005C40A2" w:rsidRPr="0041345C"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4.1</w:t>
            </w:r>
          </w:p>
        </w:tc>
        <w:tc>
          <w:tcPr>
            <w:tcW w:w="1382" w:type="dxa"/>
            <w:shd w:val="clear" w:color="auto" w:fill="auto"/>
            <w:noWrap/>
            <w:hideMark/>
          </w:tcPr>
          <w:p w14:paraId="0A2D744C"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"DOI" : "10.1016/j.bpc.2013.10.004", "ISBN" : "1873-4200 (Electronic)\\r0301-4622 (Linking)", "ISSN" : "03014622", "PMID" : "24292629", "abstract" : "Thermal unfolding of ribonuclease A (RNase) was analyzed in various osmolyte solutions of glycine, proline, sarcosine, N,N-dimethylglycine, betaine, myo-inositol, taurine, and trimethylamine-N-oxide (TMAO). All the osmolytes tested stabilized the protein. The thermal unfolding curve was described well by the van't Hoff equation and the melting temperature and the enthalpy of protein unfolding were obtained. The Wyman-Tanford equation, which describes the unfolded-to-folded protein ratio as a function of water activity, was successfully applied to obtain a linear plot. In consideration of this experimentally obtained linearity, the Wyman-Tanford plot could be integrated to calculate the stabilization free energy of the protein (??????? ???????G) in the solution. The ??????????? ???G was proved to be described by the property of the microstructure around the protein surface, which is composed of the protein hydration, the cosolute-binding, and the preferential exclusion, and the property of the bulk solution; water activity. The m-values of osmolytes for protein unfolding were obtained from ??????????????G calculated. Among the osmolytes tested, myo-inositol showed the highest m-value. ?? 2013 Elsevier Ltd. All rights reserved.", "author" : [ { "dropping-particle" : "", "family" : "Miyawaki", "given" : "O", "non-dropping-particle" : "", "parse-names" : false, "suffix" : "" }, { "dropping-particle" : "", "family" : "Dozen", "given" : "M", "non-dropping-particle" : "", "parse-names" : false, "suffix" : "" }, { "dropping-particle" : "", "family" : "Nomura", "given" : "K", "non-dropping-particle" : "", "parse-names" : false, "suffix" : "" } ], "container-title" : "Biophysical Chemistry", "id" : "ITEM-1", "issued" : { "date-parts" : [ [ "2014" ] ] }, "page" : "19-24", "publisher" : "Elsevier B.V.", "title" : "Thermodynamic analysis of osmolyte effect on thermal stability of ribonuclease A in terms of water activity", "type" : "article-journal", "volume" : "185" }, "uris" : [ "http://www.mendeley.com/documents/?uuid=7914a675-1b34-43aa-92ca-51687220293e" ] } ], "mendeley" : { "formattedCitation" : "(Miyawaki et al. 2014)", "plainTextFormattedCitation" : "(Miyawaki et al. 2014)", "previouslyFormattedCitation" : "(Miyawaki et al. 2014)"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211FBB">
              <w:rPr>
                <w:rFonts w:ascii="Calibri" w:eastAsia="Times New Roman" w:hAnsi="Calibri" w:cs="Times New Roman"/>
                <w:noProof/>
                <w:color w:val="000000"/>
                <w:sz w:val="20"/>
                <w:szCs w:val="20"/>
                <w:lang w:eastAsia="en-GB"/>
              </w:rPr>
              <w:t>(Miyawaki et al. 2014)</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27B72414"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1C66A57F" w14:textId="77777777" w:rsidR="005C40A2" w:rsidRPr="00235AE3" w:rsidRDefault="005C40A2"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Sorbitol</w:t>
            </w:r>
          </w:p>
        </w:tc>
        <w:tc>
          <w:tcPr>
            <w:tcW w:w="1276" w:type="dxa"/>
            <w:shd w:val="clear" w:color="auto" w:fill="auto"/>
            <w:noWrap/>
            <w:hideMark/>
          </w:tcPr>
          <w:p w14:paraId="28E7C424"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Lysozyme</w:t>
            </w:r>
          </w:p>
        </w:tc>
        <w:tc>
          <w:tcPr>
            <w:tcW w:w="992" w:type="dxa"/>
            <w:shd w:val="clear" w:color="auto" w:fill="auto"/>
            <w:noWrap/>
            <w:hideMark/>
          </w:tcPr>
          <w:p w14:paraId="5E5C6C19"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2.5</w:t>
            </w:r>
          </w:p>
        </w:tc>
        <w:tc>
          <w:tcPr>
            <w:tcW w:w="1418" w:type="dxa"/>
            <w:shd w:val="clear" w:color="auto" w:fill="auto"/>
            <w:noWrap/>
            <w:hideMark/>
          </w:tcPr>
          <w:p w14:paraId="1AABDED0"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2000</w:t>
            </w:r>
          </w:p>
        </w:tc>
        <w:tc>
          <w:tcPr>
            <w:tcW w:w="1701" w:type="dxa"/>
            <w:shd w:val="clear" w:color="auto" w:fill="auto"/>
            <w:noWrap/>
            <w:hideMark/>
          </w:tcPr>
          <w:p w14:paraId="4E8FA256"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w:t>
            </w:r>
            <w:r>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glycine HCl</w:t>
            </w:r>
          </w:p>
        </w:tc>
        <w:tc>
          <w:tcPr>
            <w:tcW w:w="709" w:type="dxa"/>
            <w:shd w:val="clear" w:color="auto" w:fill="auto"/>
            <w:noWrap/>
            <w:hideMark/>
          </w:tcPr>
          <w:p w14:paraId="77538FBC" w14:textId="77777777" w:rsidR="005C40A2" w:rsidRPr="0041345C"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9.9</w:t>
            </w:r>
          </w:p>
        </w:tc>
        <w:tc>
          <w:tcPr>
            <w:tcW w:w="1382" w:type="dxa"/>
            <w:shd w:val="clear" w:color="auto" w:fill="auto"/>
            <w:noWrap/>
            <w:hideMark/>
          </w:tcPr>
          <w:p w14:paraId="5BBE1EF9"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DD6047">
              <w:rPr>
                <w:rFonts w:ascii="Calibri" w:eastAsia="Times New Roman" w:hAnsi="Calibri" w:cs="Times New Roman"/>
                <w:color w:val="000000"/>
                <w:sz w:val="20"/>
                <w:szCs w:val="20"/>
                <w:lang w:eastAsia="en-GB"/>
              </w:rPr>
              <w:instrText>ADDIN CSL_CITATION { "citationItems" : [ { "id" : "ITEM-1", "itemData" : { "DOI" : "10.1021/jp981119l", "ISBN" : "1089-5647", "ISSN" : "15206106", "abstract" : "Polyols and sugars are known to increase the thermal stability of proteins in aqueous solutions and lead to their preferential hydration. While the mechanism of action of sugars has been proposed to be essentially due to the increase in the surface tension of water in their presence, polyols including glycerol have been reported to lower the surface tension of water and act via the solvophobic effect. Surface tension measurements of polyols in water carried out by us, on the contrary, indicate a substantial increase in the surface free energy of water. These increments are comparable to those found in the case of sugars. To investigate the role of the surface tension of the solvent medium on the thermal stability of proteins, we have carried out a comprehensive study on the effects of a series of polyols with varying numbers of hydroxyl groups and stereochemistry, such as mannitol, inositol, sorbitol, xylitol, and adonitol, on the thermal stability of five proteins varying in their physicochemical characteristics, viz., ribonuclease A, -chymotrypsinogen, lysozyme, cytochrome c, and trypsin inhibitor. The studies have been carried out at pH 2.5, 4.0, and 7.0 to elucidate the contribution of the surface charges toward the polyol-mediated thermal stability of proteins. A very good correlation between an increase in the surface tension of water in the presence of a polyol and an increase in the themal stability of proteins has been observed. Correlation of the thermal stability of proteins with physicochemical properties such as net charge and net hydrophobic surface exposed on unfolding indicates that none of these properties is a dominant factor in governing protein thermal stability. The results indicate that polyol-induced water-mediated effects such as an increase in the surface tension of water play a major role in the stabilization of proteins and that the preferential hydration of proteins observed in their presence is a consequence of the increase in the surface free energy of water.", "author" : [ { "dropping-particle" : "", "family" : "Kaushik", "given" : "J K", "non-dropping-particle" : "", "parse-names" : false, "suffix" : "" }, { "dropping-particle" : "", "family" : "Bhat", "given" : "R", "non-dropping-particle" : "", "parse-names" : false, "suffix" : "" } ], "container-title" : "Journal of Physical Chemistry B", "id" : "ITEM-1", "issued" : { "date-parts" : [ [ "1998" ] ] }, "page" : "7058-7066", "title" : "Thermal stability of proteins in aqueous polyol solutions: Role of the surface tension of water in the stabilizing effect of polyols", "type" : "article-journal", "volume" : "102" }, "uris" : [ "http://www.mendeley.com/documents/?uuid=8e861705-529b-4f45-9fbd-3cd57b7b3923" ] } ], "mendeley" : { "formattedCitation" : "(Kaushik &amp; Bhat 1998)", "plainTextFormattedCitation" : "(Kaushik &amp; Bhat 1998)", "previouslyFormattedCitation" : "(Kaushik &amp; Bhat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BA7232">
              <w:rPr>
                <w:rFonts w:ascii="Calibri" w:eastAsia="Times New Roman" w:hAnsi="Calibri" w:cs="Times New Roman"/>
                <w:noProof/>
                <w:color w:val="000000"/>
                <w:sz w:val="20"/>
                <w:szCs w:val="20"/>
                <w:lang w:eastAsia="en-GB"/>
              </w:rPr>
              <w:t>(Kaushik &amp; Bhat 1998)</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5C251ED9"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37EFE324" w14:textId="77777777" w:rsidR="005C40A2" w:rsidRPr="00235AE3" w:rsidRDefault="005C40A2"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Sorbitol</w:t>
            </w:r>
          </w:p>
        </w:tc>
        <w:tc>
          <w:tcPr>
            <w:tcW w:w="1276" w:type="dxa"/>
            <w:shd w:val="clear" w:color="auto" w:fill="auto"/>
            <w:noWrap/>
            <w:hideMark/>
          </w:tcPr>
          <w:p w14:paraId="08E9A7AF"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Lysozyme</w:t>
            </w:r>
          </w:p>
        </w:tc>
        <w:tc>
          <w:tcPr>
            <w:tcW w:w="992" w:type="dxa"/>
            <w:shd w:val="clear" w:color="auto" w:fill="auto"/>
            <w:noWrap/>
            <w:hideMark/>
          </w:tcPr>
          <w:p w14:paraId="06D2A29E"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3</w:t>
            </w:r>
          </w:p>
        </w:tc>
        <w:tc>
          <w:tcPr>
            <w:tcW w:w="1418" w:type="dxa"/>
            <w:shd w:val="clear" w:color="auto" w:fill="auto"/>
            <w:noWrap/>
            <w:hideMark/>
          </w:tcPr>
          <w:p w14:paraId="59B54A29"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4100</w:t>
            </w:r>
          </w:p>
        </w:tc>
        <w:tc>
          <w:tcPr>
            <w:tcW w:w="1701" w:type="dxa"/>
            <w:shd w:val="clear" w:color="auto" w:fill="auto"/>
            <w:noWrap/>
            <w:hideMark/>
          </w:tcPr>
          <w:p w14:paraId="1AEADAAB" w14:textId="77777777" w:rsidR="005C40A2" w:rsidRPr="00235AE3" w:rsidRDefault="000F0ACB"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g</w:t>
            </w:r>
            <w:r w:rsidR="005C40A2" w:rsidRPr="00235AE3">
              <w:rPr>
                <w:rFonts w:ascii="Calibri" w:eastAsia="Times New Roman" w:hAnsi="Calibri" w:cs="Times New Roman"/>
                <w:color w:val="000000"/>
                <w:sz w:val="20"/>
                <w:szCs w:val="20"/>
                <w:lang w:eastAsia="en-GB"/>
              </w:rPr>
              <w:t>lycine</w:t>
            </w:r>
            <w:r>
              <w:rPr>
                <w:rFonts w:ascii="Calibri" w:eastAsia="Times New Roman" w:hAnsi="Calibri" w:cs="Times New Roman"/>
                <w:color w:val="000000"/>
                <w:sz w:val="20"/>
                <w:szCs w:val="20"/>
                <w:lang w:eastAsia="en-GB"/>
              </w:rPr>
              <w:t xml:space="preserve"> </w:t>
            </w:r>
            <w:r w:rsidR="004A074F">
              <w:rPr>
                <w:rFonts w:ascii="Calibri" w:eastAsia="Times New Roman" w:hAnsi="Calibri" w:cs="Times New Roman"/>
                <w:color w:val="000000"/>
                <w:sz w:val="20"/>
                <w:szCs w:val="20"/>
                <w:lang w:eastAsia="en-GB"/>
              </w:rPr>
              <w:t xml:space="preserve">HCl </w:t>
            </w:r>
            <w:r>
              <w:rPr>
                <w:rFonts w:ascii="Calibri" w:eastAsia="Times New Roman" w:hAnsi="Calibri" w:cs="Times New Roman"/>
                <w:color w:val="000000"/>
                <w:sz w:val="20"/>
                <w:szCs w:val="20"/>
                <w:lang w:eastAsia="en-GB"/>
              </w:rPr>
              <w:t>(concentration not specified)</w:t>
            </w:r>
          </w:p>
        </w:tc>
        <w:tc>
          <w:tcPr>
            <w:tcW w:w="709" w:type="dxa"/>
            <w:shd w:val="clear" w:color="auto" w:fill="auto"/>
            <w:noWrap/>
            <w:hideMark/>
          </w:tcPr>
          <w:p w14:paraId="3ED38872" w14:textId="77777777" w:rsidR="005C40A2" w:rsidRPr="0041345C"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18.5</w:t>
            </w:r>
          </w:p>
        </w:tc>
        <w:tc>
          <w:tcPr>
            <w:tcW w:w="1382" w:type="dxa"/>
            <w:shd w:val="clear" w:color="auto" w:fill="auto"/>
            <w:noWrap/>
            <w:hideMark/>
          </w:tcPr>
          <w:p w14:paraId="54264B57"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Pr>
                <w:rFonts w:ascii="Calibri" w:eastAsia="Times New Roman" w:hAnsi="Calibri" w:cs="Times New Roman"/>
                <w:color w:val="000000"/>
                <w:sz w:val="20"/>
                <w:szCs w:val="20"/>
                <w:lang w:eastAsia="en-GB"/>
              </w:rPr>
              <w:instrText>ADDIN CSL_CITATION { "citationItems" : [ { "id" : "ITEM-1", "itemData" : { "ISSN" : "0006-2960", "PMID" : "497177", "abstract" : "Sugars and polyols stablize proteins against heat denaturation. Scanning calorimetry was used to obtain a quantitative estimate of the degree of stabilization. Solutions of ovalbumin, lysozyme, conalbumin, and alpha-chymotrypsinogen were heated at a constant rate, and the temperature of the maximum rate of denaturation was estimated (Tm). Addition of a sugar or polyol raised Tm. The magnitude of the stabilizing effect (delta Tm) depended on both the nature of the protein and the nature of the sugar or polyol, ranging from 18.5 degrees C for lysozyme at pH 3 in the presence of 50% (w/w) sorbitol to 0 degrees C for conalbumin at pH 7 in 50% glycerol solution. It is argued that this stablization is due to the effects of sugars and polyols on hydrophobic interactions. The strength of the hydrophobic interaction was measured in model systems in sucrose and glycerol solutions. Sucrose and glycerol strengthened the pairwise hydrophobic interaction between hydrophobic groups; however, they reduced the tendency for complete transfer of hydrophobic groups from an aqueous to a nonpolar environment. The extent of stabliziation by different sugars and polyols is explained by their different influences on the structure of water. The difference between the partial molar volume of the sugar or polyol and its van der Waals volume was used as a rough quantitative measure of the structure-making or structure-breaking effect. There was a linear relationship between this quantity and delta Tm.", "author" : [ { "dropping-particle" : "", "family" : "Back", "given" : "J F", "non-dropping-particle" : "", "parse-names" : false, "suffix" : "" }, { "dropping-particle" : "", "family" : "Oakenfull", "given" : "D", "non-dropping-particle" : "", "parse-names" : false, "suffix" : "" }, { "dropping-particle" : "", "family" : "Smith", "given" : "M B", "non-dropping-particle" : "", "parse-names" : false, "suffix" : "" } ], "container-title" : "Biochemistry", "id" : "ITEM-1", "issued" : { "date-parts" : [ [ "1979", "11", "13" ] ] }, "note" : "Early paper looking at structure-making properties of stabilising osmolytes. Link stabilisation of proteins by sugars and polyols to increased water structure (related to partial molar volume) and therefore increased hydrophobic reactions. Uses scanning calorimetry and uses Tm as measure of stability. Ovalbumin and lysozyme are used as model proteins. Electrostatics dismissed as pH does not affect stabilisation", "page" : "5191-5196", "title" : "Increased thermal stability of proteins in the presence of sugars and polyols", "type" : "article-journal", "volume" : "18" }, "uris" : [ "http://www.mendeley.com/documents/?uuid=13b54468-e653-493f-bc24-7d59ef3ef963" ] } ], "mendeley" : { "formattedCitation" : "(Back et al. 1979)", "plainTextFormattedCitation" : "(Back et al. 1979)", "previouslyFormattedCitation" : "(Back et al. 1979)"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BA7232">
              <w:rPr>
                <w:rFonts w:ascii="Calibri" w:eastAsia="Times New Roman" w:hAnsi="Calibri" w:cs="Times New Roman"/>
                <w:noProof/>
                <w:color w:val="000000"/>
                <w:sz w:val="20"/>
                <w:szCs w:val="20"/>
                <w:lang w:eastAsia="en-GB"/>
              </w:rPr>
              <w:t>(Back et al. 1979)</w:t>
            </w:r>
            <w:r>
              <w:rPr>
                <w:rFonts w:ascii="Calibri" w:eastAsia="Times New Roman" w:hAnsi="Calibri" w:cs="Times New Roman"/>
                <w:color w:val="000000"/>
                <w:sz w:val="20"/>
                <w:szCs w:val="20"/>
                <w:lang w:eastAsia="en-GB"/>
              </w:rPr>
              <w:fldChar w:fldCharType="end"/>
            </w:r>
          </w:p>
        </w:tc>
      </w:tr>
      <w:tr w:rsidR="00DC24F2" w:rsidRPr="00235AE3" w14:paraId="6CAC87D3"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171D474C" w14:textId="77777777" w:rsidR="005C40A2" w:rsidRPr="00235AE3" w:rsidRDefault="005C40A2"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Sorbitol</w:t>
            </w:r>
          </w:p>
        </w:tc>
        <w:tc>
          <w:tcPr>
            <w:tcW w:w="1276" w:type="dxa"/>
            <w:shd w:val="clear" w:color="auto" w:fill="auto"/>
            <w:noWrap/>
            <w:hideMark/>
          </w:tcPr>
          <w:p w14:paraId="5944E7A1"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Lysozyme</w:t>
            </w:r>
          </w:p>
        </w:tc>
        <w:tc>
          <w:tcPr>
            <w:tcW w:w="992" w:type="dxa"/>
            <w:shd w:val="clear" w:color="auto" w:fill="auto"/>
            <w:noWrap/>
            <w:hideMark/>
          </w:tcPr>
          <w:p w14:paraId="4376EE18"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7</w:t>
            </w:r>
          </w:p>
        </w:tc>
        <w:tc>
          <w:tcPr>
            <w:tcW w:w="1418" w:type="dxa"/>
            <w:shd w:val="clear" w:color="auto" w:fill="auto"/>
            <w:noWrap/>
            <w:hideMark/>
          </w:tcPr>
          <w:p w14:paraId="4498EA0E"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2000</w:t>
            </w:r>
          </w:p>
        </w:tc>
        <w:tc>
          <w:tcPr>
            <w:tcW w:w="1701" w:type="dxa"/>
            <w:shd w:val="clear" w:color="auto" w:fill="auto"/>
            <w:noWrap/>
            <w:hideMark/>
          </w:tcPr>
          <w:p w14:paraId="39580509" w14:textId="77777777" w:rsidR="005C40A2" w:rsidRPr="00235AE3" w:rsidRDefault="005C40A2" w:rsidP="00FF6F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w:t>
            </w:r>
            <w:r>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 xml:space="preserve">mM phosphate </w:t>
            </w:r>
            <w:r w:rsidR="00FF6FE4">
              <w:rPr>
                <w:rFonts w:ascii="Calibri" w:eastAsia="Times New Roman" w:hAnsi="Calibri" w:cs="Times New Roman"/>
                <w:color w:val="000000"/>
                <w:sz w:val="20"/>
                <w:szCs w:val="20"/>
                <w:lang w:eastAsia="en-GB"/>
              </w:rPr>
              <w:t>1500 m</w:t>
            </w:r>
            <w:r w:rsidRPr="00235AE3">
              <w:rPr>
                <w:rFonts w:ascii="Calibri" w:eastAsia="Times New Roman" w:hAnsi="Calibri" w:cs="Times New Roman"/>
                <w:color w:val="000000"/>
                <w:sz w:val="20"/>
                <w:szCs w:val="20"/>
                <w:lang w:eastAsia="en-GB"/>
              </w:rPr>
              <w:t>M GdnHCl</w:t>
            </w:r>
          </w:p>
        </w:tc>
        <w:tc>
          <w:tcPr>
            <w:tcW w:w="709" w:type="dxa"/>
            <w:shd w:val="clear" w:color="auto" w:fill="auto"/>
            <w:noWrap/>
            <w:hideMark/>
          </w:tcPr>
          <w:p w14:paraId="00C5FDF8" w14:textId="77777777" w:rsidR="005C40A2" w:rsidRPr="0041345C"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11.6</w:t>
            </w:r>
          </w:p>
        </w:tc>
        <w:tc>
          <w:tcPr>
            <w:tcW w:w="1382" w:type="dxa"/>
            <w:shd w:val="clear" w:color="auto" w:fill="auto"/>
            <w:noWrap/>
            <w:hideMark/>
          </w:tcPr>
          <w:p w14:paraId="46ACC273"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DD6047">
              <w:rPr>
                <w:rFonts w:ascii="Calibri" w:eastAsia="Times New Roman" w:hAnsi="Calibri" w:cs="Times New Roman"/>
                <w:color w:val="000000"/>
                <w:sz w:val="20"/>
                <w:szCs w:val="20"/>
                <w:lang w:eastAsia="en-GB"/>
              </w:rPr>
              <w:instrText>ADDIN CSL_CITATION { "citationItems" : [ { "id" : "ITEM-1", "itemData" : { "DOI" : "10.1021/jp981119l", "ISBN" : "1089-5647", "ISSN" : "15206106", "abstract" : "Polyols and sugars are known to increase the thermal stability of proteins in aqueous solutions and lead to their preferential hydration. While the mechanism of action of sugars has been proposed to be essentially due to the increase in the surface tension of water in their presence, polyols including glycerol have been reported to lower the surface tension of water and act via the solvophobic effect. Surface tension measurements of polyols in water carried out by us, on the contrary, indicate a substantial increase in the surface free energy of water. These increments are comparable to those found in the case of sugars. To investigate the role of the surface tension of the solvent medium on the thermal stability of proteins, we have carried out a comprehensive study on the effects of a series of polyols with varying numbers of hydroxyl groups and stereochemistry, such as mannitol, inositol, sorbitol, xylitol, and adonitol, on the thermal stability of five proteins varying in their physicochemical characteristics, viz., ribonuclease A, -chymotrypsinogen, lysozyme, cytochrome c, and trypsin inhibitor. The studies have been carried out at pH 2.5, 4.0, and 7.0 to elucidate the contribution of the surface charges toward the polyol-mediated thermal stability of proteins. A very good correlation between an increase in the surface tension of water in the presence of a polyol and an increase in the themal stability of proteins has been observed. Correlation of the thermal stability of proteins with physicochemical properties such as net charge and net hydrophobic surface exposed on unfolding indicates that none of these properties is a dominant factor in governing protein thermal stability. The results indicate that polyol-induced water-mediated effects such as an increase in the surface tension of water play a major role in the stabilization of proteins and that the preferential hydration of proteins observed in their presence is a consequence of the increase in the surface free energy of water.", "author" : [ { "dropping-particle" : "", "family" : "Kaushik", "given" : "J K", "non-dropping-particle" : "", "parse-names" : false, "suffix" : "" }, { "dropping-particle" : "", "family" : "Bhat", "given" : "R", "non-dropping-particle" : "", "parse-names" : false, "suffix" : "" } ], "container-title" : "Journal of Physical Chemistry B", "id" : "ITEM-1", "issued" : { "date-parts" : [ [ "1998" ] ] }, "page" : "7058-7066", "title" : "Thermal stability of proteins in aqueous polyol solutions: Role of the surface tension of water in the stabilizing effect of polyols", "type" : "article-journal", "volume" : "102" }, "uris" : [ "http://www.mendeley.com/documents/?uuid=8e861705-529b-4f45-9fbd-3cd57b7b3923" ] } ], "mendeley" : { "formattedCitation" : "(Kaushik &amp; Bhat 1998)", "plainTextFormattedCitation" : "(Kaushik &amp; Bhat 1998)", "previouslyFormattedCitation" : "(Kaushik &amp; Bhat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BA7232">
              <w:rPr>
                <w:rFonts w:ascii="Calibri" w:eastAsia="Times New Roman" w:hAnsi="Calibri" w:cs="Times New Roman"/>
                <w:noProof/>
                <w:color w:val="000000"/>
                <w:sz w:val="20"/>
                <w:szCs w:val="20"/>
                <w:lang w:eastAsia="en-GB"/>
              </w:rPr>
              <w:t>(Kaushik &amp; Bhat 1998)</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1BA88C24" w14:textId="77777777" w:rsidTr="00585CA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31E38AFC" w14:textId="77777777" w:rsidR="005C40A2" w:rsidRPr="00235AE3" w:rsidRDefault="005C40A2"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Sorbitol</w:t>
            </w:r>
          </w:p>
        </w:tc>
        <w:tc>
          <w:tcPr>
            <w:tcW w:w="1276" w:type="dxa"/>
            <w:shd w:val="clear" w:color="auto" w:fill="auto"/>
            <w:noWrap/>
            <w:hideMark/>
          </w:tcPr>
          <w:p w14:paraId="0157BD97" w14:textId="77777777" w:rsidR="005C40A2" w:rsidRPr="00235AE3" w:rsidRDefault="000D0B5C"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5C40A2" w:rsidRPr="00235AE3">
              <w:rPr>
                <w:rFonts w:ascii="Calibri" w:eastAsia="Times New Roman" w:hAnsi="Calibri" w:cs="Times New Roman"/>
                <w:color w:val="000000"/>
                <w:sz w:val="20"/>
                <w:szCs w:val="20"/>
                <w:lang w:eastAsia="en-GB"/>
              </w:rPr>
              <w:t>ase A</w:t>
            </w:r>
          </w:p>
        </w:tc>
        <w:tc>
          <w:tcPr>
            <w:tcW w:w="992" w:type="dxa"/>
            <w:shd w:val="clear" w:color="auto" w:fill="auto"/>
            <w:noWrap/>
            <w:hideMark/>
          </w:tcPr>
          <w:p w14:paraId="1E110DBE"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2.5</w:t>
            </w:r>
          </w:p>
        </w:tc>
        <w:tc>
          <w:tcPr>
            <w:tcW w:w="1418" w:type="dxa"/>
            <w:shd w:val="clear" w:color="auto" w:fill="auto"/>
            <w:noWrap/>
            <w:hideMark/>
          </w:tcPr>
          <w:p w14:paraId="0F48FB3C"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2000</w:t>
            </w:r>
          </w:p>
        </w:tc>
        <w:tc>
          <w:tcPr>
            <w:tcW w:w="1701" w:type="dxa"/>
            <w:shd w:val="clear" w:color="auto" w:fill="auto"/>
            <w:noWrap/>
            <w:hideMark/>
          </w:tcPr>
          <w:p w14:paraId="7DDAD72A"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w:t>
            </w:r>
            <w:r>
              <w:rPr>
                <w:rFonts w:ascii="Calibri" w:eastAsia="Times New Roman" w:hAnsi="Calibri" w:cs="Times New Roman"/>
                <w:color w:val="000000"/>
                <w:sz w:val="20"/>
                <w:szCs w:val="20"/>
                <w:lang w:eastAsia="en-GB"/>
              </w:rPr>
              <w:t xml:space="preserve"> </w:t>
            </w:r>
            <w:r w:rsidRPr="00235AE3">
              <w:rPr>
                <w:rFonts w:ascii="Calibri" w:eastAsia="Times New Roman" w:hAnsi="Calibri" w:cs="Times New Roman"/>
                <w:color w:val="000000"/>
                <w:sz w:val="20"/>
                <w:szCs w:val="20"/>
                <w:lang w:eastAsia="en-GB"/>
              </w:rPr>
              <w:t>mM glycine HCl</w:t>
            </w:r>
          </w:p>
        </w:tc>
        <w:tc>
          <w:tcPr>
            <w:tcW w:w="709" w:type="dxa"/>
            <w:shd w:val="clear" w:color="auto" w:fill="auto"/>
            <w:noWrap/>
            <w:hideMark/>
          </w:tcPr>
          <w:p w14:paraId="4F7D6ED0" w14:textId="77777777" w:rsidR="005C40A2" w:rsidRPr="0041345C"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13.2</w:t>
            </w:r>
          </w:p>
        </w:tc>
        <w:tc>
          <w:tcPr>
            <w:tcW w:w="1382" w:type="dxa"/>
            <w:shd w:val="clear" w:color="auto" w:fill="auto"/>
            <w:noWrap/>
            <w:hideMark/>
          </w:tcPr>
          <w:p w14:paraId="1A11103C" w14:textId="77777777" w:rsidR="005C40A2" w:rsidRPr="00235AE3" w:rsidRDefault="005C40A2" w:rsidP="009C5E6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DD6047">
              <w:rPr>
                <w:rFonts w:ascii="Calibri" w:eastAsia="Times New Roman" w:hAnsi="Calibri" w:cs="Times New Roman"/>
                <w:color w:val="000000"/>
                <w:sz w:val="20"/>
                <w:szCs w:val="20"/>
                <w:lang w:eastAsia="en-GB"/>
              </w:rPr>
              <w:instrText>ADDIN CSL_CITATION { "citationItems" : [ { "id" : "ITEM-1", "itemData" : { "DOI" : "10.1021/jp981119l", "ISBN" : "1089-5647", "ISSN" : "15206106", "abstract" : "Polyols and sugars are known to increase the thermal stability of proteins in aqueous solutions and lead to their preferential hydration. While the mechanism of action of sugars has been proposed to be essentially due to the increase in the surface tension of water in their presence, polyols including glycerol have been reported to lower the surface tension of water and act via the solvophobic effect. Surface tension measurements of polyols in water carried out by us, on the contrary, indicate a substantial increase in the surface free energy of water. These increments are comparable to those found in the case of sugars. To investigate the role of the surface tension of the solvent medium on the thermal stability of proteins, we have carried out a comprehensive study on the effects of a series of polyols with varying numbers of hydroxyl groups and stereochemistry, such as mannitol, inositol, sorbitol, xylitol, and adonitol, on the thermal stability of five proteins varying in their physicochemical characteristics, viz., ribonuclease A, -chymotrypsinogen, lysozyme, cytochrome c, and trypsin inhibitor. The studies have been carried out at pH 2.5, 4.0, and 7.0 to elucidate the contribution of the surface charges toward the polyol-mediated thermal stability of proteins. A very good correlation between an increase in the surface tension of water in the presence of a polyol and an increase in the themal stability of proteins has been observed. Correlation of the thermal stability of proteins with physicochemical properties such as net charge and net hydrophobic surface exposed on unfolding indicates that none of these properties is a dominant factor in governing protein thermal stability. The results indicate that polyol-induced water-mediated effects such as an increase in the surface tension of water play a major role in the stabilization of proteins and that the preferential hydration of proteins observed in their presence is a consequence of the increase in the surface free energy of water.", "author" : [ { "dropping-particle" : "", "family" : "Kaushik", "given" : "J K", "non-dropping-particle" : "", "parse-names" : false, "suffix" : "" }, { "dropping-particle" : "", "family" : "Bhat", "given" : "R", "non-dropping-particle" : "", "parse-names" : false, "suffix" : "" } ], "container-title" : "Journal of Physical Chemistry B", "id" : "ITEM-1", "issued" : { "date-parts" : [ [ "1998" ] ] }, "page" : "7058-7066", "title" : "Thermal stability of proteins in aqueous polyol solutions: Role of the surface tension of water in the stabilizing effect of polyols", "type" : "article-journal", "volume" : "102" }, "uris" : [ "http://www.mendeley.com/documents/?uuid=8e861705-529b-4f45-9fbd-3cd57b7b3923" ] } ], "mendeley" : { "formattedCitation" : "(Kaushik &amp; Bhat 1998)", "plainTextFormattedCitation" : "(Kaushik &amp; Bhat 1998)", "previouslyFormattedCitation" : "(Kaushik &amp; Bhat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BA7232">
              <w:rPr>
                <w:rFonts w:ascii="Calibri" w:eastAsia="Times New Roman" w:hAnsi="Calibri" w:cs="Times New Roman"/>
                <w:noProof/>
                <w:color w:val="000000"/>
                <w:sz w:val="20"/>
                <w:szCs w:val="20"/>
                <w:lang w:eastAsia="en-GB"/>
              </w:rPr>
              <w:t>(Kaushik &amp; Bhat 1998)</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r w:rsidR="00DC24F2" w:rsidRPr="00235AE3" w14:paraId="380B4A35" w14:textId="77777777" w:rsidTr="00585CA3">
        <w:trPr>
          <w:trHeight w:val="97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noWrap/>
            <w:hideMark/>
          </w:tcPr>
          <w:p w14:paraId="2C14F95A" w14:textId="77777777" w:rsidR="005C40A2" w:rsidRPr="00235AE3" w:rsidRDefault="005C40A2" w:rsidP="009C5E6B">
            <w:pPr>
              <w:spacing w:before="0" w:after="0" w:line="240" w:lineRule="auto"/>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Sorbitol</w:t>
            </w:r>
          </w:p>
        </w:tc>
        <w:tc>
          <w:tcPr>
            <w:tcW w:w="1276" w:type="dxa"/>
            <w:shd w:val="clear" w:color="auto" w:fill="auto"/>
            <w:noWrap/>
            <w:hideMark/>
          </w:tcPr>
          <w:p w14:paraId="3BAEB4FB" w14:textId="77777777" w:rsidR="005C40A2" w:rsidRPr="00235AE3" w:rsidRDefault="000D0B5C"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RN</w:t>
            </w:r>
            <w:r w:rsidR="005C40A2" w:rsidRPr="00235AE3">
              <w:rPr>
                <w:rFonts w:ascii="Calibri" w:eastAsia="Times New Roman" w:hAnsi="Calibri" w:cs="Times New Roman"/>
                <w:color w:val="000000"/>
                <w:sz w:val="20"/>
                <w:szCs w:val="20"/>
                <w:lang w:eastAsia="en-GB"/>
              </w:rPr>
              <w:t>ase A</w:t>
            </w:r>
          </w:p>
        </w:tc>
        <w:tc>
          <w:tcPr>
            <w:tcW w:w="992" w:type="dxa"/>
            <w:shd w:val="clear" w:color="auto" w:fill="auto"/>
            <w:noWrap/>
            <w:hideMark/>
          </w:tcPr>
          <w:p w14:paraId="3861DF5F"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7</w:t>
            </w:r>
          </w:p>
        </w:tc>
        <w:tc>
          <w:tcPr>
            <w:tcW w:w="1418" w:type="dxa"/>
            <w:shd w:val="clear" w:color="auto" w:fill="auto"/>
            <w:noWrap/>
            <w:hideMark/>
          </w:tcPr>
          <w:p w14:paraId="1DC2FF5A"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2000</w:t>
            </w:r>
          </w:p>
        </w:tc>
        <w:tc>
          <w:tcPr>
            <w:tcW w:w="1701" w:type="dxa"/>
            <w:shd w:val="clear" w:color="auto" w:fill="auto"/>
            <w:noWrap/>
            <w:hideMark/>
          </w:tcPr>
          <w:p w14:paraId="5CCAF03E"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235AE3">
              <w:rPr>
                <w:rFonts w:ascii="Calibri" w:eastAsia="Times New Roman" w:hAnsi="Calibri" w:cs="Times New Roman"/>
                <w:color w:val="000000"/>
                <w:sz w:val="20"/>
                <w:szCs w:val="20"/>
                <w:lang w:eastAsia="en-GB"/>
              </w:rPr>
              <w:t>20</w:t>
            </w:r>
            <w:r>
              <w:rPr>
                <w:rFonts w:ascii="Calibri" w:eastAsia="Times New Roman" w:hAnsi="Calibri" w:cs="Times New Roman"/>
                <w:color w:val="000000"/>
                <w:sz w:val="20"/>
                <w:szCs w:val="20"/>
                <w:lang w:eastAsia="en-GB"/>
              </w:rPr>
              <w:t xml:space="preserve"> </w:t>
            </w:r>
            <w:r w:rsidR="00FF6FE4">
              <w:rPr>
                <w:rFonts w:ascii="Calibri" w:eastAsia="Times New Roman" w:hAnsi="Calibri" w:cs="Times New Roman"/>
                <w:color w:val="000000"/>
                <w:sz w:val="20"/>
                <w:szCs w:val="20"/>
                <w:lang w:eastAsia="en-GB"/>
              </w:rPr>
              <w:t>mM phosphate 1500</w:t>
            </w:r>
            <w:r>
              <w:rPr>
                <w:rFonts w:ascii="Calibri" w:eastAsia="Times New Roman" w:hAnsi="Calibri" w:cs="Times New Roman"/>
                <w:color w:val="000000"/>
                <w:sz w:val="20"/>
                <w:szCs w:val="20"/>
                <w:lang w:eastAsia="en-GB"/>
              </w:rPr>
              <w:t xml:space="preserve"> </w:t>
            </w:r>
            <w:r w:rsidR="00FF6FE4">
              <w:rPr>
                <w:rFonts w:ascii="Calibri" w:eastAsia="Times New Roman" w:hAnsi="Calibri" w:cs="Times New Roman"/>
                <w:color w:val="000000"/>
                <w:sz w:val="20"/>
                <w:szCs w:val="20"/>
                <w:lang w:eastAsia="en-GB"/>
              </w:rPr>
              <w:t>m</w:t>
            </w:r>
            <w:r w:rsidRPr="00235AE3">
              <w:rPr>
                <w:rFonts w:ascii="Calibri" w:eastAsia="Times New Roman" w:hAnsi="Calibri" w:cs="Times New Roman"/>
                <w:color w:val="000000"/>
                <w:sz w:val="20"/>
                <w:szCs w:val="20"/>
                <w:lang w:eastAsia="en-GB"/>
              </w:rPr>
              <w:t>M GdnHCl</w:t>
            </w:r>
          </w:p>
        </w:tc>
        <w:tc>
          <w:tcPr>
            <w:tcW w:w="709" w:type="dxa"/>
            <w:shd w:val="clear" w:color="auto" w:fill="auto"/>
            <w:noWrap/>
            <w:hideMark/>
          </w:tcPr>
          <w:p w14:paraId="706F5E7A" w14:textId="77777777" w:rsidR="005C40A2" w:rsidRPr="0041345C"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n-GB"/>
              </w:rPr>
            </w:pPr>
            <w:r w:rsidRPr="0041345C">
              <w:rPr>
                <w:rFonts w:ascii="Calibri" w:eastAsia="Times New Roman" w:hAnsi="Calibri" w:cs="Times New Roman"/>
                <w:b/>
                <w:color w:val="000000"/>
                <w:sz w:val="20"/>
                <w:szCs w:val="20"/>
                <w:lang w:eastAsia="en-GB"/>
              </w:rPr>
              <w:t>10.3</w:t>
            </w:r>
          </w:p>
        </w:tc>
        <w:tc>
          <w:tcPr>
            <w:tcW w:w="1382" w:type="dxa"/>
            <w:shd w:val="clear" w:color="auto" w:fill="auto"/>
            <w:noWrap/>
            <w:hideMark/>
          </w:tcPr>
          <w:p w14:paraId="7B8853FF" w14:textId="77777777" w:rsidR="005C40A2" w:rsidRPr="00235AE3" w:rsidRDefault="005C40A2" w:rsidP="009C5E6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fldChar w:fldCharType="begin" w:fldLock="1"/>
            </w:r>
            <w:r w:rsidR="00DD6047">
              <w:rPr>
                <w:rFonts w:ascii="Calibri" w:eastAsia="Times New Roman" w:hAnsi="Calibri" w:cs="Times New Roman"/>
                <w:color w:val="000000"/>
                <w:sz w:val="20"/>
                <w:szCs w:val="20"/>
                <w:lang w:eastAsia="en-GB"/>
              </w:rPr>
              <w:instrText>ADDIN CSL_CITATION { "citationItems" : [ { "id" : "ITEM-1", "itemData" : { "DOI" : "10.1021/jp981119l", "ISBN" : "1089-5647", "ISSN" : "15206106", "abstract" : "Polyols and sugars are known to increase the thermal stability of proteins in aqueous solutions and lead to their preferential hydration. While the mechanism of action of sugars has been proposed to be essentially due to the increase in the surface tension of water in their presence, polyols including glycerol have been reported to lower the surface tension of water and act via the solvophobic effect. Surface tension measurements of polyols in water carried out by us, on the contrary, indicate a substantial increase in the surface free energy of water. These increments are comparable to those found in the case of sugars. To investigate the role of the surface tension of the solvent medium on the thermal stability of proteins, we have carried out a comprehensive study on the effects of a series of polyols with varying numbers of hydroxyl groups and stereochemistry, such as mannitol, inositol, sorbitol, xylitol, and adonitol, on the thermal stability of five proteins varying in their physicochemical characteristics, viz., ribonuclease A, -chymotrypsinogen, lysozyme, cytochrome c, and trypsin inhibitor. The studies have been carried out at pH 2.5, 4.0, and 7.0 to elucidate the contribution of the surface charges toward the polyol-mediated thermal stability of proteins. A very good correlation between an increase in the surface tension of water in the presence of a polyol and an increase in the themal stability of proteins has been observed. Correlation of the thermal stability of proteins with physicochemical properties such as net charge and net hydrophobic surface exposed on unfolding indicates that none of these properties is a dominant factor in governing protein thermal stability. The results indicate that polyol-induced water-mediated effects such as an increase in the surface tension of water play a major role in the stabilization of proteins and that the preferential hydration of proteins observed in their presence is a consequence of the increase in the surface free energy of water.", "author" : [ { "dropping-particle" : "", "family" : "Kaushik", "given" : "J K", "non-dropping-particle" : "", "parse-names" : false, "suffix" : "" }, { "dropping-particle" : "", "family" : "Bhat", "given" : "R", "non-dropping-particle" : "", "parse-names" : false, "suffix" : "" } ], "container-title" : "Journal of Physical Chemistry B", "id" : "ITEM-1", "issued" : { "date-parts" : [ [ "1998" ] ] }, "page" : "7058-7066", "title" : "Thermal stability of proteins in aqueous polyol solutions: Role of the surface tension of water in the stabilizing effect of polyols", "type" : "article-journal", "volume" : "102" }, "uris" : [ "http://www.mendeley.com/documents/?uuid=8e861705-529b-4f45-9fbd-3cd57b7b3923" ] } ], "mendeley" : { "formattedCitation" : "(Kaushik &amp; Bhat 1998)", "plainTextFormattedCitation" : "(Kaushik &amp; Bhat 1998)", "previouslyFormattedCitation" : "(Kaushik &amp; Bhat 1998)" }, "properties" : { "noteIndex" : 0 }, "schema" : "https://github.com/citation-style-language/schema/raw/master/csl-citation.json" }</w:instrText>
            </w:r>
            <w:r>
              <w:rPr>
                <w:rFonts w:ascii="Calibri" w:eastAsia="Times New Roman" w:hAnsi="Calibri" w:cs="Times New Roman"/>
                <w:color w:val="000000"/>
                <w:sz w:val="20"/>
                <w:szCs w:val="20"/>
                <w:lang w:eastAsia="en-GB"/>
              </w:rPr>
              <w:fldChar w:fldCharType="separate"/>
            </w:r>
            <w:r w:rsidRPr="00BA7232">
              <w:rPr>
                <w:rFonts w:ascii="Calibri" w:eastAsia="Times New Roman" w:hAnsi="Calibri" w:cs="Times New Roman"/>
                <w:noProof/>
                <w:color w:val="000000"/>
                <w:sz w:val="20"/>
                <w:szCs w:val="20"/>
                <w:lang w:eastAsia="en-GB"/>
              </w:rPr>
              <w:t>(Kaushik &amp; Bhat 1998)</w:t>
            </w:r>
            <w:r>
              <w:rPr>
                <w:rFonts w:ascii="Calibri" w:eastAsia="Times New Roman" w:hAnsi="Calibri" w:cs="Times New Roman"/>
                <w:color w:val="000000"/>
                <w:sz w:val="20"/>
                <w:szCs w:val="20"/>
                <w:lang w:eastAsia="en-GB"/>
              </w:rPr>
              <w:fldChar w:fldCharType="end"/>
            </w:r>
            <w:r w:rsidR="008D2C58">
              <w:rPr>
                <w:rFonts w:ascii="Calibri" w:eastAsia="Times New Roman" w:hAnsi="Calibri" w:cs="Times New Roman"/>
                <w:color w:val="000000"/>
                <w:sz w:val="20"/>
                <w:szCs w:val="20"/>
                <w:lang w:eastAsia="en-GB"/>
              </w:rPr>
              <w:t>*</w:t>
            </w:r>
          </w:p>
        </w:tc>
      </w:tr>
    </w:tbl>
    <w:p w14:paraId="242AB4BD" w14:textId="77777777" w:rsidR="0028167E" w:rsidRPr="0028167E" w:rsidRDefault="0028167E" w:rsidP="0028167E">
      <w:pPr>
        <w:rPr>
          <w:szCs w:val="24"/>
        </w:rPr>
      </w:pPr>
      <w:bookmarkStart w:id="49" w:name="_Ref459218128"/>
      <w:r>
        <w:rPr>
          <w:szCs w:val="24"/>
        </w:rPr>
        <w:lastRenderedPageBreak/>
        <w:t xml:space="preserve">It is clear from </w:t>
      </w:r>
      <w:r>
        <w:rPr>
          <w:szCs w:val="24"/>
        </w:rPr>
        <w:fldChar w:fldCharType="begin"/>
      </w:r>
      <w:r>
        <w:rPr>
          <w:szCs w:val="24"/>
        </w:rPr>
        <w:instrText xml:space="preserve"> REF _Ref453339849 \h </w:instrText>
      </w:r>
      <w:r>
        <w:rPr>
          <w:szCs w:val="24"/>
        </w:rPr>
      </w:r>
      <w:r>
        <w:rPr>
          <w:szCs w:val="24"/>
        </w:rPr>
        <w:fldChar w:fldCharType="separate"/>
      </w:r>
      <w:r w:rsidR="00AA6926">
        <w:t xml:space="preserve">Table </w:t>
      </w:r>
      <w:r w:rsidR="00AA6926">
        <w:rPr>
          <w:noProof/>
        </w:rPr>
        <w:t>1</w:t>
      </w:r>
      <w:r w:rsidR="00AA6926">
        <w:noBreakHyphen/>
      </w:r>
      <w:r w:rsidR="00AA6926">
        <w:rPr>
          <w:noProof/>
        </w:rPr>
        <w:t>4</w:t>
      </w:r>
      <w:r>
        <w:rPr>
          <w:szCs w:val="24"/>
        </w:rPr>
        <w:fldChar w:fldCharType="end"/>
      </w:r>
      <w:r>
        <w:rPr>
          <w:szCs w:val="24"/>
        </w:rPr>
        <w:t xml:space="preserve"> that the effect of all stabilising cosolutes on thermal stability varies depending on solution conditions including pH and choice of buffer.</w:t>
      </w:r>
      <w:r w:rsidR="000E6004">
        <w:rPr>
          <w:szCs w:val="24"/>
        </w:rPr>
        <w:t xml:space="preserve"> Although all polyols, sugars and methylamines stabilise proteins under all conditions, there is a difference in the degree of stabilisation.</w:t>
      </w:r>
      <w:r>
        <w:rPr>
          <w:szCs w:val="24"/>
        </w:rPr>
        <w:t xml:space="preserve"> There is also evidence here to suggest that many of these cosolutes</w:t>
      </w:r>
      <w:r w:rsidR="000E6004">
        <w:rPr>
          <w:szCs w:val="24"/>
        </w:rPr>
        <w:t>, particularly amino acids,</w:t>
      </w:r>
      <w:r>
        <w:rPr>
          <w:szCs w:val="24"/>
        </w:rPr>
        <w:t xml:space="preserve"> have protein-specific and concentration-specific effects, and that the relationship between protein stability and cosolute concentration i</w:t>
      </w:r>
      <w:r w:rsidR="00422ABA">
        <w:rPr>
          <w:szCs w:val="24"/>
        </w:rPr>
        <w:t>s not linear. The differences in choice</w:t>
      </w:r>
      <w:r>
        <w:rPr>
          <w:szCs w:val="24"/>
        </w:rPr>
        <w:t xml:space="preserve"> of buffer here are important due to potential screening of interactions, and also because mixtures of cosolutes, including salts, in solution have been shown to have synergistic effects on protein stability (see section </w:t>
      </w:r>
      <w:r>
        <w:rPr>
          <w:szCs w:val="24"/>
        </w:rPr>
        <w:fldChar w:fldCharType="begin"/>
      </w:r>
      <w:r>
        <w:rPr>
          <w:szCs w:val="24"/>
        </w:rPr>
        <w:instrText xml:space="preserve"> REF _Ref453859258 \r \h </w:instrText>
      </w:r>
      <w:r>
        <w:rPr>
          <w:szCs w:val="24"/>
        </w:rPr>
      </w:r>
      <w:r>
        <w:rPr>
          <w:szCs w:val="24"/>
        </w:rPr>
        <w:fldChar w:fldCharType="separate"/>
      </w:r>
      <w:r w:rsidR="00AA6926">
        <w:rPr>
          <w:szCs w:val="24"/>
        </w:rPr>
        <w:t>1.6</w:t>
      </w:r>
      <w:r>
        <w:rPr>
          <w:szCs w:val="24"/>
        </w:rPr>
        <w:fldChar w:fldCharType="end"/>
      </w:r>
      <w:r>
        <w:rPr>
          <w:szCs w:val="24"/>
        </w:rPr>
        <w:t>). Elucidation of the mechanisms by which cosolutes stabilise proteins is unlikely to be achieved without addressing these issues.</w:t>
      </w:r>
    </w:p>
    <w:p w14:paraId="15647634" w14:textId="77777777" w:rsidR="00685D5A" w:rsidRPr="00E568C9" w:rsidRDefault="00685D5A" w:rsidP="00685D5A">
      <w:pPr>
        <w:pStyle w:val="Heading4"/>
      </w:pPr>
      <w:bookmarkStart w:id="50" w:name="_Ref460078435"/>
      <w:r w:rsidRPr="00E568C9">
        <w:t xml:space="preserve">Applications of small molecules </w:t>
      </w:r>
      <w:r>
        <w:t xml:space="preserve">as stabilising excipients </w:t>
      </w:r>
      <w:r w:rsidRPr="00E568C9">
        <w:t>in pharmaceutical formulations</w:t>
      </w:r>
      <w:bookmarkEnd w:id="49"/>
      <w:bookmarkEnd w:id="50"/>
    </w:p>
    <w:p w14:paraId="4A175D91" w14:textId="77777777" w:rsidR="00685D5A" w:rsidRDefault="00685D5A" w:rsidP="00685D5A">
      <w:pPr>
        <w:rPr>
          <w:szCs w:val="24"/>
        </w:rPr>
      </w:pPr>
      <w:r w:rsidRPr="00E568C9">
        <w:rPr>
          <w:szCs w:val="24"/>
        </w:rPr>
        <w:t>Protein folding in vivo and protein folding in vitro represent two quite distinct events due to the differences in the environment in which protein folding occurs. Proteins are generally only marginally stable in the environment for which they are evolutionarily designed i.e. the crowded cell environment. Therefore designing therapeutic proteins and formulations to make them stable can be quite a challenge, as a pre-filled syringe product</w:t>
      </w:r>
      <w:r w:rsidR="00422ABA">
        <w:rPr>
          <w:szCs w:val="24"/>
        </w:rPr>
        <w:t xml:space="preserve"> containing a biopharmaceutical</w:t>
      </w:r>
      <w:r>
        <w:rPr>
          <w:szCs w:val="24"/>
        </w:rPr>
        <w:t xml:space="preserve"> </w:t>
      </w:r>
      <w:r w:rsidRPr="00E568C9">
        <w:rPr>
          <w:szCs w:val="24"/>
        </w:rPr>
        <w:t>represents a very different environment to the one encountered in the cell. Proteins in vivo generally fold whilst they are still being produced, and have molecular chaperones to aid correct folding and discourage aggregation, as well as many ‘quality control’ stages throughout most of the folding process</w:t>
      </w:r>
      <w:r w:rsidRPr="00E568C9">
        <w:rPr>
          <w:color w:val="FF0000"/>
          <w:szCs w:val="24"/>
        </w:rPr>
        <w:t xml:space="preserve"> </w:t>
      </w:r>
      <w:r w:rsidRPr="0055137D">
        <w:rPr>
          <w:szCs w:val="24"/>
        </w:rPr>
        <w:fldChar w:fldCharType="begin" w:fldLock="1"/>
      </w:r>
      <w:r>
        <w:rPr>
          <w:szCs w:val="24"/>
        </w:rPr>
        <w:instrText>ADDIN CSL_CITATION { "citationItems" : [ { "id" : "ITEM-1", "itemData" : { "DOI" : "10.1038/nature02261", "ISSN" : "1476-4687", "PMID" : "14685248", "abstract" : "The manner in which a newly synthesized chain of amino acids transforms itself into a perfectly folded protein depends both on the intrinsic properties of the amino-acid sequence and on multiple contributing influences from the crowded cellular milieu. Folding and unfolding are crucial ways of regulating biological activity and targeting proteins to different cellular locations. Aggregation of misfolded proteins that escape the cellular quality-control mechanisms is a common feature of a wide range of highly debilitating and increasingly prevalent diseases.", "author" : [ { "dropping-particle" : "", "family" : "Dobson", "given" : "C M", "non-dropping-particle" : "", "parse-names" : false, "suffix" : "" } ], "container-title" : "Nature", "id" : "ITEM-1", "issued" : { "date-parts" : [ [ "2003", "12", "18" ] ] }, "page" : "884-890", "title" : "Protein folding and misfolding", "type" : "article-journal", "volume" : "426" }, "uris" : [ "http://www.mendeley.com/documents/?uuid=6e0d6753-d1e1-472b-bac5-4a7630a9d30d" ] } ], "mendeley" : { "formattedCitation" : "(Dobson 2003)", "plainTextFormattedCitation" : "(Dobson 2003)", "previouslyFormattedCitation" : "(Dobson 2003)" }, "properties" : { "noteIndex" : 0 }, "schema" : "https://github.com/citation-style-language/schema/raw/master/csl-citation.json" }</w:instrText>
      </w:r>
      <w:r w:rsidRPr="0055137D">
        <w:rPr>
          <w:szCs w:val="24"/>
        </w:rPr>
        <w:fldChar w:fldCharType="separate"/>
      </w:r>
      <w:r w:rsidRPr="0055137D">
        <w:rPr>
          <w:noProof/>
          <w:szCs w:val="24"/>
        </w:rPr>
        <w:t>(Dobson 2003)</w:t>
      </w:r>
      <w:r w:rsidRPr="0055137D">
        <w:rPr>
          <w:szCs w:val="24"/>
        </w:rPr>
        <w:fldChar w:fldCharType="end"/>
      </w:r>
      <w:r w:rsidRPr="0055137D">
        <w:rPr>
          <w:szCs w:val="24"/>
        </w:rPr>
        <w:t xml:space="preserve">. </w:t>
      </w:r>
      <w:r w:rsidR="005E0630">
        <w:rPr>
          <w:szCs w:val="24"/>
        </w:rPr>
        <w:t>Individual proteins</w:t>
      </w:r>
      <w:r w:rsidRPr="00E568C9">
        <w:rPr>
          <w:szCs w:val="24"/>
        </w:rPr>
        <w:t xml:space="preserve"> are also present at lower concentrations than those that need to be created for use as bioph</w:t>
      </w:r>
      <w:r>
        <w:rPr>
          <w:szCs w:val="24"/>
        </w:rPr>
        <w:t>armaceuticals, and are unlikely to be subjected to extremes of temperature and shaking regularly encountered by pre-filled syringe products.</w:t>
      </w:r>
    </w:p>
    <w:p w14:paraId="7D6D51BF" w14:textId="77777777" w:rsidR="00685D5A" w:rsidRDefault="00685D5A" w:rsidP="00685D5A">
      <w:pPr>
        <w:rPr>
          <w:szCs w:val="24"/>
        </w:rPr>
      </w:pPr>
      <w:r>
        <w:rPr>
          <w:szCs w:val="24"/>
        </w:rPr>
        <w:t xml:space="preserve">Development of therapeutic proteins that are stable over long periods of time and unaffected by fluctuations in temperature requires careful design of a liquid formulation that maintains stability. Due to the ubiquitous nature of osmolytes, and </w:t>
      </w:r>
      <w:r>
        <w:rPr>
          <w:szCs w:val="24"/>
        </w:rPr>
        <w:lastRenderedPageBreak/>
        <w:t xml:space="preserve">their consistent appearance in multiple organisms, it could be assumed that their action on proteins is universal. Therefore if they act in a certain way on one protein, they should act in that way in all proteins, which would make formulation design extremely straight forward. However this is not necessarily the case </w:t>
      </w:r>
      <w:r>
        <w:rPr>
          <w:szCs w:val="24"/>
        </w:rPr>
        <w:fldChar w:fldCharType="begin" w:fldLock="1"/>
      </w:r>
      <w:r w:rsidR="00422ABA">
        <w:rPr>
          <w:szCs w:val="24"/>
        </w:rPr>
        <w:instrText>ADDIN CSL_CITATION { "citationItems" : [ { "id" : "ITEM-1", "itemData" : { "DOI" : "10.1002/jps", "author" : [ { "dropping-particle" : "V", "family" : "Thakkar", "given" : "S", "non-dropping-particle" : "", "parse-names" : false, "suffix" : "" }, { "dropping-particle" : "", "family" : "Joshi", "given" : "S B", "non-dropping-particle" : "", "parse-names" : false, "suffix" : "" }, { "dropping-particle" : "", "family" : "Jones", "given" : "M E", "non-dropping-particle" : "", "parse-names" : false, "suffix" : "" }, { "dropping-particle" : "", "family" : "Sathish", "given" : "H A", "non-dropping-particle" : "", "parse-names" : false, "suffix" : "" }, { "dropping-particle" : "", "family" : "Bishop", "given" : "S M", "non-dropping-particle" : "", "parse-names" : false, "suffix" : "" }, { "dropping-particle" : "", "family" : "Volkin", "given" : "D B", "non-dropping-particle" : "", "parse-names" : false, "suffix" : "" }, { "dropping-particle" : "", "family" : "Middaugh", "given" : "C R", "non-dropping-particle" : "", "parse-names" : false, "suffix" : "" } ], "container-title" : "Journal of Pharmaceutical Sciences", "id" : "ITEM-1", "issued" : { "date-parts" : [ [ "2012" ] ] }, "page" : "3062-3077", "title" : "Excipients differentially influence the conformational stability and pretransition dynamics of two IgG1 monoclonal antibodies", "type" : "article-journal", "volume" : "101" }, "uris" : [ "http://www.mendeley.com/documents/?uuid=501b10fb-0e4e-4c36-af4d-327295210f54" ] } ], "mendeley" : { "formattedCitation" : "(Thakkar et al. 2012)", "plainTextFormattedCitation" : "(Thakkar et al. 2012)", "previouslyFormattedCitation" : "(Thakkar et al. 2012)" }, "properties" : { "noteIndex" : 0 }, "schema" : "https://github.com/citation-style-language/schema/raw/master/csl-citation.json" }</w:instrText>
      </w:r>
      <w:r>
        <w:rPr>
          <w:szCs w:val="24"/>
        </w:rPr>
        <w:fldChar w:fldCharType="separate"/>
      </w:r>
      <w:r w:rsidR="00422ABA" w:rsidRPr="00422ABA">
        <w:rPr>
          <w:noProof/>
          <w:szCs w:val="24"/>
        </w:rPr>
        <w:t>(Thakkar et al. 2012)</w:t>
      </w:r>
      <w:r>
        <w:rPr>
          <w:szCs w:val="24"/>
        </w:rPr>
        <w:fldChar w:fldCharType="end"/>
      </w:r>
      <w:r w:rsidR="00422ABA">
        <w:rPr>
          <w:szCs w:val="24"/>
        </w:rPr>
        <w:t xml:space="preserve"> (</w:t>
      </w:r>
      <w:r w:rsidR="00422ABA">
        <w:rPr>
          <w:szCs w:val="24"/>
        </w:rPr>
        <w:fldChar w:fldCharType="begin"/>
      </w:r>
      <w:r w:rsidR="00422ABA">
        <w:rPr>
          <w:szCs w:val="24"/>
        </w:rPr>
        <w:instrText xml:space="preserve"> REF _Ref453339849 \h </w:instrText>
      </w:r>
      <w:r w:rsidR="00422ABA">
        <w:rPr>
          <w:szCs w:val="24"/>
        </w:rPr>
      </w:r>
      <w:r w:rsidR="00422ABA">
        <w:rPr>
          <w:szCs w:val="24"/>
        </w:rPr>
        <w:fldChar w:fldCharType="separate"/>
      </w:r>
      <w:r w:rsidR="00AA6926">
        <w:t xml:space="preserve">Table </w:t>
      </w:r>
      <w:r w:rsidR="00AA6926">
        <w:rPr>
          <w:noProof/>
        </w:rPr>
        <w:t>1</w:t>
      </w:r>
      <w:r w:rsidR="00AA6926">
        <w:noBreakHyphen/>
      </w:r>
      <w:r w:rsidR="00AA6926">
        <w:rPr>
          <w:noProof/>
        </w:rPr>
        <w:t>4</w:t>
      </w:r>
      <w:r w:rsidR="00422ABA">
        <w:rPr>
          <w:szCs w:val="24"/>
        </w:rPr>
        <w:fldChar w:fldCharType="end"/>
      </w:r>
      <w:r w:rsidR="00422ABA">
        <w:rPr>
          <w:szCs w:val="24"/>
        </w:rPr>
        <w:t>)</w:t>
      </w:r>
      <w:r>
        <w:rPr>
          <w:szCs w:val="24"/>
        </w:rPr>
        <w:t xml:space="preserve">. In reality a complex combination of excipients is generally required to achieve the desired formulation characteristics </w:t>
      </w:r>
      <w:r>
        <w:rPr>
          <w:szCs w:val="24"/>
        </w:rPr>
        <w:fldChar w:fldCharType="begin" w:fldLock="1"/>
      </w:r>
      <w:r w:rsidR="00DD6047">
        <w:rPr>
          <w:szCs w:val="24"/>
        </w:rPr>
        <w:instrText>ADDIN CSL_CITATION { "citationItems" : [ { "id" : "ITEM-1", "itemData" : { "DOI" : "10.1016/S1461-5347(00)00248-0", "ISSN" : "14615347", "PMID" : "10754542", "abstract" : "Biopharmaceutical products represent a diverse group of products that includes proteins, peptides, nucleic acids, whole cells, viral particles and vaccines. The conformation of the macromolecule or cell must be maintained to retain biological activity, and animal models for biological activity and characterization assays are often developed in tandem with initial formulation studies. This presents the formulation scientist with a unique set of challenges when compared to those for small molecules. This review focuses on approaches to the formulation of macromolecules into biopharmaceutical products, and provides examples of studies that have been undertaken within the authors' laboratories. Copyright (C) 2000 Elsevier Science Ltd.", "author" : [ { "dropping-particle" : "", "family" : "Parkins", "given" : "D A", "non-dropping-particle" : "", "parse-names" : false, "suffix" : "" }, { "dropping-particle" : "", "family" : "Lashmar", "given" : "U T", "non-dropping-particle" : "", "parse-names" : false, "suffix" : "" } ], "container-title" : "Pharmaceutical Science &amp; Technology Today", "id" : "ITEM-1", "issued" : { "date-parts" : [ [ "2000" ] ] }, "page" : "129-137", "title" : "The formulation of biopharmaceutical products", "type" : "article-journal", "volume" : "3" }, "uris" : [ "http://www.mendeley.com/documents/?uuid=6873980b-7db6-4eb9-8afa-f11c5d3f8c1b" ] } ], "mendeley" : { "formattedCitation" : "(Parkins &amp; Lashmar 2000)", "plainTextFormattedCitation" : "(Parkins &amp; Lashmar 2000)", "previouslyFormattedCitation" : "(Parkins &amp; Lashmar 2000)" }, "properties" : { "noteIndex" : 0 }, "schema" : "https://github.com/citation-style-language/schema/raw/master/csl-citation.json" }</w:instrText>
      </w:r>
      <w:r>
        <w:rPr>
          <w:szCs w:val="24"/>
        </w:rPr>
        <w:fldChar w:fldCharType="separate"/>
      </w:r>
      <w:r w:rsidRPr="00C74F3E">
        <w:rPr>
          <w:noProof/>
          <w:szCs w:val="24"/>
        </w:rPr>
        <w:t>(Parkins &amp; Lashmar 2000)</w:t>
      </w:r>
      <w:r>
        <w:rPr>
          <w:szCs w:val="24"/>
        </w:rPr>
        <w:fldChar w:fldCharType="end"/>
      </w:r>
      <w:r>
        <w:rPr>
          <w:szCs w:val="24"/>
        </w:rPr>
        <w:t>.</w:t>
      </w:r>
    </w:p>
    <w:p w14:paraId="65E616ED" w14:textId="77777777" w:rsidR="00685D5A" w:rsidRDefault="00685D5A" w:rsidP="00685D5A">
      <w:pPr>
        <w:rPr>
          <w:szCs w:val="24"/>
        </w:rPr>
      </w:pPr>
      <w:r>
        <w:rPr>
          <w:szCs w:val="24"/>
        </w:rPr>
        <w:t xml:space="preserve">Excipients are defined as any substance present in a pharmaceutical product other than the active ingredient itself </w:t>
      </w:r>
      <w:r>
        <w:rPr>
          <w:szCs w:val="24"/>
        </w:rPr>
        <w:fldChar w:fldCharType="begin" w:fldLock="1"/>
      </w:r>
      <w:r>
        <w:rPr>
          <w:szCs w:val="24"/>
        </w:rPr>
        <w:instrText>ADDIN CSL_CITATION { "citationItems" : [ { "id" : "ITEM-1", "itemData" : { "DOI" : "10.1016/S0378-5173(99)00110-6", "ISSN" : "03785173", "PMID" : "10502633", "abstract" : "The history of the regulatory control of pharmaceutical ingredients is briefly reviewed. The impact of legislation, its interpretation through European and international guidelines and resulting licensing policies are discussed. The important role played by excipients in modern formulations is recognised and some examples are given of the unexpected consequences of inappropriate choices. Some data are provided on the extent to which excipients and active ingredients appear in UK-licensed medicines and on the reference standards (pharmacopoeial and non-official) used to control the excipients.", "author" : [ { "dropping-particle" : "", "family" : "Robertson", "given" : "M I", "non-dropping-particle" : "", "parse-names" : false, "suffix" : "" } ], "container-title" : "International Journal of Pharmaceutics", "id" : "ITEM-1", "issued" : { "date-parts" : [ [ "1999" ] ] }, "page" : "273-276", "title" : "Regulatory issues with excipients", "type" : "article-journal", "volume" : "187" }, "uris" : [ "http://www.mendeley.com/documents/?uuid=0d13fceb-2dd3-4177-9f52-1548cf0854fc" ] } ], "mendeley" : { "formattedCitation" : "(Robertson 1999)", "plainTextFormattedCitation" : "(Robertson 1999)", "previouslyFormattedCitation" : "(Robertson 1999)" }, "properties" : { "noteIndex" : 0 }, "schema" : "https://github.com/citation-style-language/schema/raw/master/csl-citation.json" }</w:instrText>
      </w:r>
      <w:r>
        <w:rPr>
          <w:szCs w:val="24"/>
        </w:rPr>
        <w:fldChar w:fldCharType="separate"/>
      </w:r>
      <w:r w:rsidRPr="00F4021F">
        <w:rPr>
          <w:noProof/>
          <w:szCs w:val="24"/>
        </w:rPr>
        <w:t>(Robertson 1999)</w:t>
      </w:r>
      <w:r>
        <w:rPr>
          <w:szCs w:val="24"/>
        </w:rPr>
        <w:fldChar w:fldCharType="end"/>
      </w:r>
      <w:r>
        <w:rPr>
          <w:szCs w:val="24"/>
        </w:rPr>
        <w:t xml:space="preserve">, and are used to stabilise the protein against a variety of different degradation pathways including adsorption, pH changes, oxidation, denaturation, precipitation and aggregation </w:t>
      </w:r>
      <w:r>
        <w:rPr>
          <w:szCs w:val="24"/>
        </w:rPr>
        <w:fldChar w:fldCharType="begin" w:fldLock="1"/>
      </w:r>
      <w:r>
        <w:rPr>
          <w:szCs w:val="24"/>
        </w:rPr>
        <w:instrText>ADDIN CSL_CITATION { "citationItems" : [ { "id" : "ITEM-1", "itemData" : { "DOI" : "10.1517/17425240903199143", "ISSN" : "1744-7593", "PMID" : "19678792", "abstract" : "In the area of peptide and protein pharmaceuticals, both the physical and chemical stability of biopharmaceuticals are critical and need to be optimised when formulating a drug product, in order to optimise the outcome after processing and storage. This review focuses on the effects on the stability from various types of excipient and the choices that have to be made during formulation of drug products containing peptides or proteins. It is illustrated, through examples, how the choice of one excipient over another can affect the stability of a protein drug formulation, along with other problems linked to this choice. The excipients used in pharmaceutical preparations are limited and from an academic point of view there is a clear requirement for new excipients.", "author" : [ { "dropping-particle" : "", "family" : "Jorgensen", "given" : "L", "non-dropping-particle" : "", "parse-names" : false, "suffix" : "" }, { "dropping-particle" : "", "family" : "Hostrup", "given" : "S", "non-dropping-particle" : "", "parse-names" : false, "suffix" : "" }, { "dropping-particle" : "", "family" : "Moeller", "given" : "E H", "non-dropping-particle" : "", "parse-names" : false, "suffix" : "" }, { "dropping-particle" : "", "family" : "Grohganz", "given" : "H", "non-dropping-particle" : "", "parse-names" : false, "suffix" : "" } ], "container-title" : "Expert Opinion on Drug Delivery", "id" : "ITEM-1", "issued" : { "date-parts" : [ [ "2009", "11" ] ] }, "page" : "1219-1230", "title" : "Recent trends in stabilising peptides and proteins in pharmaceutical formulation - considerations in the choice of excipients", "type" : "article-journal", "volume" : "6" }, "uris" : [ "http://www.mendeley.com/documents/?uuid=8bf98923-ee81-40e1-a96a-6352403ea5bb" ] } ], "mendeley" : { "formattedCitation" : "(Jorgensen et al. 2009)", "plainTextFormattedCitation" : "(Jorgensen et al. 2009)", "previouslyFormattedCitation" : "(Jorgensen et al. 2009)" }, "properties" : { "noteIndex" : 0 }, "schema" : "https://github.com/citation-style-language/schema/raw/master/csl-citation.json" }</w:instrText>
      </w:r>
      <w:r>
        <w:rPr>
          <w:szCs w:val="24"/>
        </w:rPr>
        <w:fldChar w:fldCharType="separate"/>
      </w:r>
      <w:r w:rsidRPr="00F4021F">
        <w:rPr>
          <w:noProof/>
          <w:szCs w:val="24"/>
        </w:rPr>
        <w:t>(Jorgensen et al. 2009)</w:t>
      </w:r>
      <w:r>
        <w:rPr>
          <w:szCs w:val="24"/>
        </w:rPr>
        <w:fldChar w:fldCharType="end"/>
      </w:r>
      <w:r>
        <w:rPr>
          <w:szCs w:val="24"/>
        </w:rPr>
        <w:t xml:space="preserve">. The three requirements for excipients are functionality, quality and safety </w:t>
      </w:r>
      <w:r>
        <w:rPr>
          <w:szCs w:val="24"/>
        </w:rPr>
        <w:fldChar w:fldCharType="begin" w:fldLock="1"/>
      </w:r>
      <w:r>
        <w:rPr>
          <w:szCs w:val="24"/>
        </w:rPr>
        <w:instrText>ADDIN CSL_CITATION { "citationItems" : [ { "id" : "ITEM-1", "itemData" : { "DOI" : "10.1016/S0014-827X(03)00079-X", "ISBN" : "0014-827X (Print) 0014-827X (Linking)", "ISSN" : "0014827X", "PMID" : "12875883", "abstract" : "The most important part of a medicine as far as its weight is concerned, is constituted by its excipients, which have the important functions of guaranteeing the dosage, stability and bioavailability of the active principle. The components employed as excipients must present the characteristics required by their technological function but, as with any substance administered to man, they must also correspond to suitable safety requirements. In fact, in the past the importance of evaluating the possible adverse effects of excipients was underestimated, because their inertia and innocuity were taken for granted. The safety profile of these substances is more deeply researched as regards the toxicological aspect only if they are also employed in the food industry (anti-oxidants, sweeteners, colouring agents, etc.). Indeed, in this case, the International Toxicological Committees (among which the Joint Expert Committee on Food Additives, a mixed committee of the WHO/FAO) demand thorough studies in laboratory animals, with the intent of protecting the consumer's safety. Tackling the question of the toxicity of excipients thoroughly is not a simple matter for several reasons: the large number of substances on the market and the diversity of their chemical profiles, their sources, their technological functions, and the presence of secondary products and/or contaminants that may be the true causes of adverse effects. In this article we shall review the principal classes of excipients and their respective side effects. Then we shall proceed to their toxicological evaluation, giving examples of: (a) intrinsic toxicity, or adverse effects that may be encountered in the whole population; and (b) specific toxicity, which manifests only in people who are carriers of a transmissible disease or who are genetically predisposed, such as people with allergies and intolerances. ?? 2003 ??ditions scientifiques et m??dicales Elsevier SAS. All rights reserved.", "author" : [ { "dropping-particle" : "", "family" : "Pifferi", "given" : "G", "non-dropping-particle" : "", "parse-names" : false, "suffix" : "" }, { "dropping-particle" : "", "family" : "Restani", "given" : "P", "non-dropping-particle" : "", "parse-names" : false, "suffix" : "" } ], "container-title" : "Il Farmaco", "id" : "ITEM-1", "issued" : { "date-parts" : [ [ "2003" ] ] }, "page" : "541-550", "title" : "The safety of pharmaceutical excipients", "type" : "article-journal", "volume" : "58" }, "uris" : [ "http://www.mendeley.com/documents/?uuid=450706fd-1222-4aaf-a7de-ab478dbb2025" ] } ], "mendeley" : { "formattedCitation" : "(Pifferi &amp; Restani 2003)", "plainTextFormattedCitation" : "(Pifferi &amp; Restani 2003)", "previouslyFormattedCitation" : "(Pifferi &amp; Restani 2003)" }, "properties" : { "noteIndex" : 0 }, "schema" : "https://github.com/citation-style-language/schema/raw/master/csl-citation.json" }</w:instrText>
      </w:r>
      <w:r>
        <w:rPr>
          <w:szCs w:val="24"/>
        </w:rPr>
        <w:fldChar w:fldCharType="separate"/>
      </w:r>
      <w:r w:rsidRPr="004B1860">
        <w:rPr>
          <w:noProof/>
          <w:szCs w:val="24"/>
        </w:rPr>
        <w:t>(Pifferi &amp; Restani 2003)</w:t>
      </w:r>
      <w:r>
        <w:rPr>
          <w:szCs w:val="24"/>
        </w:rPr>
        <w:fldChar w:fldCharType="end"/>
      </w:r>
      <w:r>
        <w:rPr>
          <w:szCs w:val="24"/>
        </w:rPr>
        <w:t xml:space="preserve">. For this reason the three groups of osmolytes shown in </w:t>
      </w:r>
      <w:r w:rsidRPr="00075877">
        <w:rPr>
          <w:szCs w:val="24"/>
        </w:rPr>
        <w:fldChar w:fldCharType="begin"/>
      </w:r>
      <w:r w:rsidRPr="00075877">
        <w:rPr>
          <w:szCs w:val="24"/>
        </w:rPr>
        <w:instrText xml:space="preserve"> REF _Ref453089980 \h </w:instrText>
      </w:r>
      <w:r w:rsidR="00075877">
        <w:rPr>
          <w:szCs w:val="24"/>
        </w:rPr>
        <w:instrText xml:space="preserve"> \* MERGEFORMAT </w:instrText>
      </w:r>
      <w:r w:rsidRPr="00075877">
        <w:rPr>
          <w:szCs w:val="24"/>
        </w:rPr>
      </w:r>
      <w:r w:rsidRPr="00075877">
        <w:rPr>
          <w:szCs w:val="24"/>
        </w:rPr>
        <w:fldChar w:fldCharType="separate"/>
      </w:r>
      <w:r w:rsidR="00AA6926" w:rsidRPr="00AA6926">
        <w:rPr>
          <w:szCs w:val="24"/>
        </w:rPr>
        <w:t xml:space="preserve">Table </w:t>
      </w:r>
      <w:r w:rsidR="00AA6926" w:rsidRPr="00AA6926">
        <w:rPr>
          <w:noProof/>
          <w:szCs w:val="24"/>
        </w:rPr>
        <w:t>1</w:t>
      </w:r>
      <w:r w:rsidR="00AA6926" w:rsidRPr="00AA6926">
        <w:rPr>
          <w:noProof/>
          <w:szCs w:val="24"/>
        </w:rPr>
        <w:noBreakHyphen/>
        <w:t>3</w:t>
      </w:r>
      <w:r w:rsidRPr="00075877">
        <w:rPr>
          <w:szCs w:val="24"/>
        </w:rPr>
        <w:fldChar w:fldCharType="end"/>
      </w:r>
      <w:r>
        <w:rPr>
          <w:szCs w:val="24"/>
        </w:rPr>
        <w:t xml:space="preserve"> are commonly used as excipients to stabilise proteins against physical degradation; that is denaturation, precipitation and aggregation </w:t>
      </w:r>
      <w:r>
        <w:rPr>
          <w:szCs w:val="24"/>
        </w:rPr>
        <w:fldChar w:fldCharType="begin" w:fldLock="1"/>
      </w:r>
      <w:r w:rsidR="00924827">
        <w:rPr>
          <w:szCs w:val="24"/>
        </w:rPr>
        <w:instrText>ADDIN CSL_CITATION { "citationItems" : [ { "id" : "ITEM-1", "itemData" : { "DOI" : "10.1007/s10529-013-1445-6", "ISSN" : "1573-6776", "PMID" : "24557073", "abstract" : "Formulation scientists employed in the biopharmaceutical industry face the challenge of creating liquid aqueous formulations for proteins that never had evolutionary pressure to be exceptionally stable or soluble. Yet commercial products usually need a shelf life of 2 years to be economically viable. The research done in this field is dominated by physical chemists who have developed theories like preferential interaction, preferential hydration and excluded volume to explain the mechanisms for the interaction between salt, small organic molecules and proteins. This review aims to translate the research findings on protein stability and solubility produced by the physical chemists and make it accessible to formulation scientists working within the biopharmaceutical industry.", "author" : [ { "dropping-particle" : "", "family" : "Bye", "given" : "J W", "non-dropping-particle" : "", "parse-names" : false, "suffix" : "" }, { "dropping-particle" : "", "family" : "Platts", "given" : "L", "non-dropping-particle" : "", "parse-names" : false, "suffix" : "" }, { "dropping-particle" : "", "family" : "Falconer", "given" : "R J", "non-dropping-particle" : "", "parse-names" : false, "suffix" : "" } ], "container-title" : "Biotechnology Letters", "id" : "ITEM-1", "issued" : { "date-parts" : [ [ "2014", "5" ] ] }, "page" : "869-875", "title" : "Biopharmaceutical liquid formulation: a review of the science of protein stability and solubility in aqueous environments", "type" : "article-journal", "volume" : "36" }, "uris" : [ "http://www.mendeley.com/documents/?uuid=cec86dc4-3d6c-44e2-8daa-aad86a45087b" ] }, { "id" : "ITEM-2", "itemData" : { "DOI" : "10.1016/S0958-1669(99)00058-0", "ISBN" : "0958-1669", "ISSN" : "09581669", "PMID" : "10679348", "abstract" : "The rapid maturation of the field of biopharmaceutical formulation is the result of the simultaneous development of a thermodynamic mechanism for protein-solvent interaction and identification of natural chemicals employed by nature to stabilize proteins in response to environmental stresses. In general, these cosolvents are excluded from the protein surface. Proteins are maintained in their native folded conformations by these cosolvents as a result of the highly unfavorable interaction between cosolvents and peptide backbones, which would be exposed to the cosolvent upon unfolding.", "author" : [ { "dropping-particle" : "", "family" : "Lee", "given" : "J C", "non-dropping-particle" : "", "parse-names" : false, "suffix" : "" } ], "container-title" : "Current Opinion in Biotechnology", "id" : "ITEM-2", "issued" : { "date-parts" : [ [ "2000" ] ] }, "page" : "81-84", "title" : "Biopharmaceutical formulation", "type" : "article-journal", "volume" : "11" }, "uris" : [ "http://www.mendeley.com/documents/?uuid=4ea72c6a-7930-40e7-9a0b-30be4973efd0" ] }, { "id" : "ITEM-3", "itemData" : { "DOI" : "10.1007/s00726-007-0506-3", "ISBN" : "0072600705", "ISSN" : "1438-2199", "PMID" : "17357829", "abstract" : "Amino acids are widely used in biotechnology applications. Since amino acids are natural compounds, they can be safely used in pharmaceutical applications, e.g., as a solvent additive for protein purification and as an excipient for protein formulations. At high concentrations, certain amino acids are found to raise intra-cellular osmotic pressure and adjust to the high salt concentrations of the surrounding medium. They are called \"compatible solutes\", since they do not affect macromolecular function. Not only are they needed to increase the osmotic pressure, they are known to increase the stability of the proteins. Sucrose, glycerol and certain amino acids were used to enhance the stability of unstable proteins after isolation from natural environments. The mechanism of the action of these protein-stabilizing amino acids is relatively well understood. On the contrary, arginine was accidentally discovered as a useful reagent for assisting in the refolding of recombinant proteins. This effect of arginine was ascribed to its ability to suppress aggregation of the proteins during refolding, thereby increasing refolding efficiency. By the same mechanism, arginine now finds much wider applications than previously anticipated in the research and development of proteins, in particular in pharmaceutical applications. For example, arginine solubilizes proteins from loose inclusion bodies, resulting in efficient production of active proteins. Arginine suppresses protein-protein interactions in solution and also non-specific adsorption to gel permeation chromatography columns. Arginine facilitates elution of bound proteins from various column resins, including Protein-A or dye affinity columns and hydrophobic interaction columns. This review covers various biotechnology applications of amino acids, in particular arginine.", "author" : [ { "dropping-particle" : "", "family" : "Arakawa", "given" : "T", "non-dropping-particle" : "", "parse-names" : false, "suffix" : "" }, { "dropping-particle" : "", "family" : "Tsumoto", "given" : "K", "non-dropping-particle" : "", "parse-names" : false, "suffix" : "" }, { "dropping-particle" : "", "family" : "Kita", "given" : "Y", "non-dropping-particle" : "", "parse-names" : false, "suffix" : "" }, { "dropping-particle" : "", "family" : "Chang", "given" : "B", "non-dropping-particle" : "", "parse-names" : false, "suffix" : "" }, { "dropping-particle" : "", "family" : "Ejima", "given" : "D", "non-dropping-particle" : "", "parse-names" : false, "suffix" : "" } ], "container-title" : "Amino Acids", "id" : "ITEM-3", "issued" : { "date-parts" : [ [ "2007", "11" ] ] }, "page" : "587-605", "title" : "Biotechnology applications of amino acids in protein purification and formulations", "type" : "article-journal", "volume" : "33" }, "uris" : [ "http://www.mendeley.com/documents/?uuid=29ec20f0-56a1-4437-99b3-8d21c1daaafe" ] } ], "mendeley" : { "formattedCitation" : "(Bye, Platts, et al. 2014; Lee 2000; Arakawa, Tsumoto, et al. 2007)", "plainTextFormattedCitation" : "(Bye, Platts, et al. 2014; Lee 2000; Arakawa, Tsumoto, et al. 2007)", "previouslyFormattedCitation" : "(Bye, Platts, et al. 2014; Lee 2000; Arakawa, Tsumoto, et al. 2007)" }, "properties" : { "noteIndex" : 0 }, "schema" : "https://github.com/citation-style-language/schema/raw/master/csl-citation.json" }</w:instrText>
      </w:r>
      <w:r>
        <w:rPr>
          <w:szCs w:val="24"/>
        </w:rPr>
        <w:fldChar w:fldCharType="separate"/>
      </w:r>
      <w:r w:rsidR="00F30AC3" w:rsidRPr="00F30AC3">
        <w:rPr>
          <w:noProof/>
          <w:szCs w:val="24"/>
        </w:rPr>
        <w:t>(Bye, Platts, et al. 2014; Lee 2000; Arakawa, Tsumoto, et al. 2007)</w:t>
      </w:r>
      <w:r>
        <w:rPr>
          <w:szCs w:val="24"/>
        </w:rPr>
        <w:fldChar w:fldCharType="end"/>
      </w:r>
      <w:r>
        <w:rPr>
          <w:szCs w:val="24"/>
        </w:rPr>
        <w:t xml:space="preserve"> due to their natural occurrence. The issue of wanting a formulation that confers conformational and colloidal stability – i.e. prevents denaturation and aggregation/precipitation – is that cosolutes that stabilise proteins against denaturation tend to induce aggregation and precipitation and vice versa (see </w:t>
      </w:r>
      <w:r>
        <w:rPr>
          <w:szCs w:val="24"/>
        </w:rPr>
        <w:fldChar w:fldCharType="begin"/>
      </w:r>
      <w:r>
        <w:rPr>
          <w:szCs w:val="24"/>
        </w:rPr>
        <w:instrText xml:space="preserve"> REF _Ref453332271 \h </w:instrText>
      </w:r>
      <w:r w:rsidR="000F2A51">
        <w:rPr>
          <w:szCs w:val="24"/>
        </w:rPr>
        <w:instrText xml:space="preserve"> \* MERGEFORMAT </w:instrText>
      </w:r>
      <w:r>
        <w:rPr>
          <w:szCs w:val="24"/>
        </w:rPr>
      </w:r>
      <w:r>
        <w:rPr>
          <w:szCs w:val="24"/>
        </w:rPr>
        <w:fldChar w:fldCharType="separate"/>
      </w:r>
      <w:r w:rsidR="00AA6926" w:rsidRPr="00AA6926">
        <w:rPr>
          <w:szCs w:val="24"/>
        </w:rPr>
        <w:t xml:space="preserve">Table </w:t>
      </w:r>
      <w:r w:rsidR="00AA6926" w:rsidRPr="00AA6926">
        <w:rPr>
          <w:noProof/>
          <w:szCs w:val="24"/>
        </w:rPr>
        <w:t>1</w:t>
      </w:r>
      <w:r w:rsidR="00AA6926" w:rsidRPr="00AA6926">
        <w:rPr>
          <w:noProof/>
          <w:szCs w:val="24"/>
        </w:rPr>
        <w:noBreakHyphen/>
        <w:t>1</w:t>
      </w:r>
      <w:r>
        <w:rPr>
          <w:szCs w:val="24"/>
        </w:rPr>
        <w:fldChar w:fldCharType="end"/>
      </w:r>
      <w:r>
        <w:rPr>
          <w:szCs w:val="24"/>
        </w:rPr>
        <w:t>).</w:t>
      </w:r>
    </w:p>
    <w:p w14:paraId="470A7CC1" w14:textId="77777777" w:rsidR="009C5444" w:rsidRPr="00775716" w:rsidRDefault="00685D5A" w:rsidP="00685D5A">
      <w:pPr>
        <w:rPr>
          <w:szCs w:val="24"/>
        </w:rPr>
      </w:pPr>
      <w:r>
        <w:rPr>
          <w:szCs w:val="24"/>
        </w:rPr>
        <w:t xml:space="preserve">Arginine is commonly used as an excipient due to its unique ability to seemingly prevent aggregation and increase solubility of therapeutic proteins without a negative effect on protein stability </w:t>
      </w:r>
      <w:r>
        <w:rPr>
          <w:szCs w:val="24"/>
        </w:rPr>
        <w:fldChar w:fldCharType="begin" w:fldLock="1"/>
      </w:r>
      <w:r w:rsidR="007228DB">
        <w:rPr>
          <w:szCs w:val="24"/>
        </w:rPr>
        <w:instrText>ADDIN CSL_CITATION { "citationItems" : [ { "id" : "ITEM-1", "itemData" : { "DOI" : "10.1007/s00726-007-0506-3", "ISBN" : "0072600705", "ISSN" : "1438-2199", "PMID" : "17357829", "abstract" : "Amino acids are widely used in biotechnology applications. Since amino acids are natural compounds, they can be safely used in pharmaceutical applications, e.g., as a solvent additive for protein purification and as an excipient for protein formulations. At high concentrations, certain amino acids are found to raise intra-cellular osmotic pressure and adjust to the high salt concentrations of the surrounding medium. They are called \"compatible solutes\", since they do not affect macromolecular function. Not only are they needed to increase the osmotic pressure, they are known to increase the stability of the proteins. Sucrose, glycerol and certain amino acids were used to enhance the stability of unstable proteins after isolation from natural environments. The mechanism of the action of these protein-stabilizing amino acids is relatively well understood. On the contrary, arginine was accidentally discovered as a useful reagent for assisting in the refolding of recombinant proteins. This effect of arginine was ascribed to its ability to suppress aggregation of the proteins during refolding, thereby increasing refolding efficiency. By the same mechanism, arginine now finds much wider applications than previously anticipated in the research and development of proteins, in particular in pharmaceutical applications. For example, arginine solubilizes proteins from loose inclusion bodies, resulting in efficient production of active proteins. Arginine suppresses protein-protein interactions in solution and also non-specific adsorption to gel permeation chromatography columns. Arginine facilitates elution of bound proteins from various column resins, including Protein-A or dye affinity columns and hydrophobic interaction columns. This review covers various biotechnology applications of amino acids, in particular arginine.", "author" : [ { "dropping-particle" : "", "family" : "Arakawa", "given" : "T", "non-dropping-particle" : "", "parse-names" : false, "suffix" : "" }, { "dropping-particle" : "", "family" : "Tsumoto", "given" : "K", "non-dropping-particle" : "", "parse-names" : false, "suffix" : "" }, { "dropping-particle" : "", "family" : "Kita", "given" : "Y", "non-dropping-particle" : "", "parse-names" : false, "suffix" : "" }, { "dropping-particle" : "", "family" : "Chang", "given" : "B", "non-dropping-particle" : "", "parse-names" : false, "suffix" : "" }, { "dropping-particle" : "", "family" : "Ejima", "given" : "D", "non-dropping-particle" : "", "parse-names" : false, "suffix" : "" } ], "container-title" : "Amino Acids", "id" : "ITEM-1", "issued" : { "date-parts" : [ [ "2007", "11" ] ] }, "page" : "587-605", "title" : "Biotechnology applications of amino acids in protein purification and formulations", "type" : "article-journal", "volume" : "33" }, "uris" : [ "http://www.mendeley.com/documents/?uuid=29ec20f0-56a1-4437-99b3-8d21c1daaafe" ] }, { "id" : "ITEM-2", "itemData" : { "author" : [ { "dropping-particle" : "", "family" : "Ejima", "given" : "D", "non-dropping-particle" : "", "parse-names" : false, "suffix" : "" }, { "dropping-particle" : "", "family" : "Tsumoto", "given" : "K", "non-dropping-particle" : "", "parse-names" : false, "suffix" : "" }, { "dropping-particle" : "", "family" : "Arakawa", "given" : "T", "non-dropping-particle" : "", "parse-names" : false, "suffix" : "" } ], "container-title" : "BioProcess International", "id" : "ITEM-2", "issued" : { "date-parts" : [ [ "2005" ] ] }, "page" : "20-28", "title" : "Biotech applications of arginine. Novel uses in protein production, processing, analysis and formulation", "type" : "article-journal" }, "uris" : [ "http://www.mendeley.com/documents/?uuid=fe1ffa17-3f9f-4d5e-a416-7491260a8e76" ] } ], "mendeley" : { "formattedCitation" : "(Arakawa, Tsumoto, et al. 2007; Ejima, Tsumoto, et al. 2005)", "plainTextFormattedCitation" : "(Arakawa, Tsumoto, et al. 2007; Ejima, Tsumoto, et al. 2005)", "previouslyFormattedCitation" : "(Arakawa, Tsumoto, et al. 2007; Ejima, Tsumoto, et al. 2005)" }, "properties" : { "noteIndex" : 0 }, "schema" : "https://github.com/citation-style-language/schema/raw/master/csl-citation.json" }</w:instrText>
      </w:r>
      <w:r>
        <w:rPr>
          <w:szCs w:val="24"/>
        </w:rPr>
        <w:fldChar w:fldCharType="separate"/>
      </w:r>
      <w:r w:rsidR="0064368A" w:rsidRPr="0064368A">
        <w:rPr>
          <w:noProof/>
          <w:szCs w:val="24"/>
        </w:rPr>
        <w:t>(Arakawa, Tsumoto, et al. 2007; Ejima, Tsumoto, et al. 2005)</w:t>
      </w:r>
      <w:r>
        <w:rPr>
          <w:szCs w:val="24"/>
        </w:rPr>
        <w:fldChar w:fldCharType="end"/>
      </w:r>
      <w:r>
        <w:rPr>
          <w:szCs w:val="24"/>
        </w:rPr>
        <w:t>. Although this point is furiously debated and the data currently available for the effect of arginine on protein thermal stability is also inconclusive (</w:t>
      </w:r>
      <w:r w:rsidRPr="00075877">
        <w:rPr>
          <w:szCs w:val="24"/>
        </w:rPr>
        <w:t xml:space="preserve">see </w:t>
      </w:r>
      <w:r w:rsidRPr="00075877">
        <w:rPr>
          <w:szCs w:val="24"/>
        </w:rPr>
        <w:fldChar w:fldCharType="begin"/>
      </w:r>
      <w:r w:rsidRPr="00075877">
        <w:rPr>
          <w:szCs w:val="24"/>
        </w:rPr>
        <w:instrText xml:space="preserve"> REF _Ref453339849 \h </w:instrText>
      </w:r>
      <w:r w:rsidR="00075877">
        <w:rPr>
          <w:szCs w:val="24"/>
        </w:rPr>
        <w:instrText xml:space="preserve"> \* MERGEFORMAT </w:instrText>
      </w:r>
      <w:r w:rsidRPr="00075877">
        <w:rPr>
          <w:szCs w:val="24"/>
        </w:rPr>
      </w:r>
      <w:r w:rsidRPr="00075877">
        <w:rPr>
          <w:szCs w:val="24"/>
        </w:rPr>
        <w:fldChar w:fldCharType="separate"/>
      </w:r>
      <w:r w:rsidR="00AA6926" w:rsidRPr="00AA6926">
        <w:rPr>
          <w:szCs w:val="24"/>
        </w:rPr>
        <w:t xml:space="preserve">Table </w:t>
      </w:r>
      <w:r w:rsidR="00AA6926" w:rsidRPr="00AA6926">
        <w:rPr>
          <w:noProof/>
          <w:szCs w:val="24"/>
        </w:rPr>
        <w:t>1</w:t>
      </w:r>
      <w:r w:rsidR="00AA6926" w:rsidRPr="00AA6926">
        <w:rPr>
          <w:noProof/>
          <w:szCs w:val="24"/>
        </w:rPr>
        <w:noBreakHyphen/>
        <w:t>4</w:t>
      </w:r>
      <w:r w:rsidRPr="00075877">
        <w:rPr>
          <w:szCs w:val="24"/>
        </w:rPr>
        <w:fldChar w:fldCharType="end"/>
      </w:r>
      <w:r>
        <w:rPr>
          <w:szCs w:val="24"/>
        </w:rPr>
        <w:t xml:space="preserve">). There is also currently no consensus on the mechanisms behind such action </w:t>
      </w:r>
      <w:r>
        <w:rPr>
          <w:szCs w:val="24"/>
        </w:rPr>
        <w:fldChar w:fldCharType="begin" w:fldLock="1"/>
      </w:r>
      <w:r w:rsidR="00E11F61">
        <w:rPr>
          <w:szCs w:val="24"/>
        </w:rPr>
        <w:instrText>ADDIN CSL_CITATION { "citationItems" : [ { "id" : "ITEM-1", "itemData" : { "DOI" : "10.1016/j.bpc.2006.12.007", "ISSN" : "0301-4622", "PMID" : "17257734", "abstract" : "Arginine has been used to suppress protein aggregation and protein-protein or protein-surface interactions during protein refolding and purification. While its biotechnology applications are gradually expanding, the mechanism of these effects of arginine has not been fully elucidated. Arginine is more effective at higher concentrations, an indication of weak interactions with the proteins. The effects of weakly interacting additives, such as arginine, on protein solubility, stability and aggregation have been explained from three different approaches: i.e., (1) the effects of additives on the structure of water, (2) the interactions of additives with the amino acid side chains and peptide bonds and (3) the preferential interactions of additives with the proteins. Here we have examined these properties of arginine and compared with those of other additives, e.g., guanidine hydrochloride (GdnHCl) and certain amino acids and amines. GdnHCl is a strong salting-in agent and denatures proteins, while betaine is a protein stabilizer. Several amino acids and amine compounds, including betaine, which stabilize the proteins, are strongly excluded; i.e., the proteins are preferentially hydrated in these solutions. On the other hand, GdnHCl preferentially binds to the proteins. Arginine is intermediate between these two extreme cases and shows a more complicated pattern of interactions with the proteins. The effects of additives on water structure, e.g., the surface tension of aqueous solution of the additives and the solubility of amino acids in the presence of additives also shed light on the mechanism of the effects of the additives on protein aggregation. While arginine increases the surface tension of water, it favorably interacts with most amino acid side chains and the peptide bonds, a property shared with GdnHCl. Thus, we propose that while arginine is similar to GdnHCl in the amino acid level, arginine interacts with the proteins differently from GdnHCl.", "author" : [ { "dropping-particle" : "", "family" : "Arakawa", "given" : "T", "non-dropping-particle" : "", "parse-names" : false, "suffix" : "" }, { "dropping-particle" : "", "family" : "Ejima", "given" : "D", "non-dropping-particle" : "", "parse-names" : false, "suffix" : "" }, { "dropping-particle" : "", "family" : "Tsumoto", "given" : "K", "non-dropping-particle" : "", "parse-names" : false, "suffix" : "" }, { "dropping-particle" : "", "family" : "Obeyama", "given" : "N", "non-dropping-particle" : "", "parse-names" : false, "suffix" : "" }, { "dropping-particle" : "", "family" : "Tanaka", "given" : "Y", "non-dropping-particle" : "", "parse-names" : false, "suffix" : "" }, { "dropping-particle" : "", "family" : "Kita", "given" : "Y", "non-dropping-particle" : "", "parse-names" : false, "suffix" : "" }, { "dropping-particle" : "", "family" : "Timasheff", "given" : "S N", "non-dropping-particle" : "", "parse-names" : false, "suffix" : "" } ], "container-title" : "Biophysical Chemistry", "id" : "ITEM-1", "issued" : { "date-parts" : [ [ "2007", "4" ] ] }, "note" : "Review talking about how arginine suppresses aggregation of proteins by separating out surface tension effects, amino acid solubility in arginine solutions and preferential interaction parameters.", "page" : "1-8", "title" : "Suppression of protein interactions by arginine: A proposed mechanism of the arginine effects", "type" : "article-journal", "volume" : "127" }, "uris" : [ "http://www.mendeley.com/documents/?uuid=ffbe080e-828f-4a45-8644-aa9950c99e46" ] }, { "id" : "ITEM-2", "itemData" : { "DOI" : "10.1016/j.addr.2011.06.011", "ISSN" : "1872-8294", "PMID" : "21756953", "abstract" : "A variety of excipients are used to stabilize proteins, suppress protein aggregation, reduce surface adsorption, or to simply provide physiological osmolality. The stabilizers encompass a wide variety of molecules including sugars, salts, polymers, surfactants, and amino acids, in particular arginine. The effects of these excipients on protein stability in solution are mainly caused by their interaction with the protein and the container surface, and most importantly with water. Some excipients stabilize proteins in solution by direct binding, while others use a number of fundamentally different mechanisms that involve indirect interactions. In the dry state, any effects that the excipients confer to proteins through their interactions with water are irrelevant, as water is no longer present. Rather, the excipients stabilize proteins through direct binding and their effects on the physical properties of the dried powder. This review will describe a number of mechanisms by which the excipients interact with proteins in solution and with various interfaces, and their effects on the physical properties of the dried protein structure, and explain how the various interaction forces are related to their observed effects on protein stability.", "author" : [ { "dropping-particle" : "", "family" : "Ohtake", "given" : "S", "non-dropping-particle" : "", "parse-names" : false, "suffix" : "" }, { "dropping-particle" : "", "family" : "Kita", "given" : "Y", "non-dropping-particle" : "", "parse-names" : false, "suffix" : "" }, { "dropping-particle" : "", "family" : "Arakawa", "given" : "T", "non-dropping-particle" : "", "parse-names" : false, "suffix" : "" } ], "container-title" : "Advanced Drug Delivery Reviews", "id" : "ITEM-2", "issued" : { "date-parts" : [ [ "2011", "10" ] ] }, "page" : "1053-1073", "publisher" : "Elsevier B.V.", "title" : "Interactions of formulation excipients with proteins in solution and in the dried state", "type" : "article-journal", "volume" : "63" }, "uris" : [ "http://www.mendeley.com/documents/?uuid=7b9c5be4-c855-415e-8664-a869eb73d3e4" ] } ], "mendeley" : { "formattedCitation" : "(Arakawa, Ejima, et al. 2007; Ohtake et al. 2011)", "plainTextFormattedCitation" : "(Arakawa, Ejima, et al. 2007; Ohtake et al. 2011)", "previouslyFormattedCitation" : "(Arakawa, Ejima, et al. 2007; Ohtake et al. 2011)" }, "properties" : { "noteIndex" : 0 }, "schema" : "https://github.com/citation-style-language/schema/raw/master/csl-citation.json" }</w:instrText>
      </w:r>
      <w:r>
        <w:rPr>
          <w:szCs w:val="24"/>
        </w:rPr>
        <w:fldChar w:fldCharType="separate"/>
      </w:r>
      <w:r w:rsidRPr="00B13D5E">
        <w:rPr>
          <w:noProof/>
          <w:szCs w:val="24"/>
        </w:rPr>
        <w:t>(Arakawa, Ejima, et al. 2007; Ohtake et al. 2011)</w:t>
      </w:r>
      <w:r>
        <w:rPr>
          <w:szCs w:val="24"/>
        </w:rPr>
        <w:fldChar w:fldCharType="end"/>
      </w:r>
      <w:r>
        <w:rPr>
          <w:szCs w:val="24"/>
        </w:rPr>
        <w:t xml:space="preserve">. </w:t>
      </w:r>
      <w:r w:rsidR="00D7282A">
        <w:rPr>
          <w:szCs w:val="24"/>
        </w:rPr>
        <w:t xml:space="preserve">Arginine </w:t>
      </w:r>
      <w:r>
        <w:rPr>
          <w:szCs w:val="24"/>
        </w:rPr>
        <w:t>is one of the few molecules that are extensively used as stabilising excipients in biopharmaceutical formulations whilst not being naturall</w:t>
      </w:r>
      <w:r w:rsidR="00D31066">
        <w:rPr>
          <w:szCs w:val="24"/>
        </w:rPr>
        <w:t xml:space="preserve">y present in cells </w:t>
      </w:r>
      <w:r w:rsidR="00D31066" w:rsidRPr="00075877">
        <w:rPr>
          <w:szCs w:val="24"/>
        </w:rPr>
        <w:t>(</w:t>
      </w:r>
      <w:r w:rsidR="00D31066" w:rsidRPr="00075877">
        <w:rPr>
          <w:szCs w:val="24"/>
        </w:rPr>
        <w:fldChar w:fldCharType="begin"/>
      </w:r>
      <w:r w:rsidR="00D31066" w:rsidRPr="00075877">
        <w:rPr>
          <w:szCs w:val="24"/>
        </w:rPr>
        <w:instrText xml:space="preserve"> REF _Ref454356534 \h </w:instrText>
      </w:r>
      <w:r w:rsidR="00075877">
        <w:rPr>
          <w:szCs w:val="24"/>
        </w:rPr>
        <w:instrText xml:space="preserve"> \* MERGEFORMAT </w:instrText>
      </w:r>
      <w:r w:rsidR="00D31066" w:rsidRPr="00075877">
        <w:rPr>
          <w:szCs w:val="24"/>
        </w:rPr>
      </w:r>
      <w:r w:rsidR="00D31066" w:rsidRPr="00075877">
        <w:rPr>
          <w:szCs w:val="24"/>
        </w:rPr>
        <w:fldChar w:fldCharType="separate"/>
      </w:r>
      <w:r w:rsidR="00AA6926" w:rsidRPr="00AA6926">
        <w:rPr>
          <w:szCs w:val="24"/>
        </w:rPr>
        <w:t xml:space="preserve">Table </w:t>
      </w:r>
      <w:r w:rsidR="00AA6926" w:rsidRPr="00AA6926">
        <w:rPr>
          <w:noProof/>
          <w:szCs w:val="24"/>
        </w:rPr>
        <w:t>1</w:t>
      </w:r>
      <w:r w:rsidR="00AA6926" w:rsidRPr="00AA6926">
        <w:rPr>
          <w:noProof/>
          <w:szCs w:val="24"/>
        </w:rPr>
        <w:noBreakHyphen/>
        <w:t>5</w:t>
      </w:r>
      <w:r w:rsidR="00D31066" w:rsidRPr="00075877">
        <w:rPr>
          <w:szCs w:val="24"/>
        </w:rPr>
        <w:fldChar w:fldCharType="end"/>
      </w:r>
      <w:r w:rsidR="00D31066" w:rsidRPr="00075877">
        <w:rPr>
          <w:szCs w:val="24"/>
        </w:rPr>
        <w:t>).</w:t>
      </w:r>
      <w:r w:rsidR="00D31066" w:rsidRPr="00D31066">
        <w:rPr>
          <w:szCs w:val="24"/>
        </w:rPr>
        <w:t xml:space="preserve"> </w:t>
      </w:r>
      <w:r w:rsidR="00D7282A">
        <w:rPr>
          <w:szCs w:val="24"/>
        </w:rPr>
        <w:t>The other positively charged amino acids, lysine and histidine, also follow the same trend.</w:t>
      </w:r>
    </w:p>
    <w:p w14:paraId="7860DF36" w14:textId="77777777" w:rsidR="00D31066" w:rsidRDefault="00D31066" w:rsidP="006B257F">
      <w:pPr>
        <w:pStyle w:val="Caption"/>
        <w:keepNext/>
        <w:jc w:val="left"/>
      </w:pPr>
      <w:bookmarkStart w:id="51" w:name="_Ref454356534"/>
      <w:bookmarkStart w:id="52" w:name="_Ref454356519"/>
      <w:r>
        <w:lastRenderedPageBreak/>
        <w:t xml:space="preserve">Table </w:t>
      </w:r>
      <w:fldSimple w:instr=" STYLEREF 1 \s ">
        <w:r w:rsidR="00AA6926">
          <w:rPr>
            <w:noProof/>
          </w:rPr>
          <w:t>1</w:t>
        </w:r>
      </w:fldSimple>
      <w:r w:rsidR="00D6574D">
        <w:noBreakHyphen/>
      </w:r>
      <w:fldSimple w:instr=" SEQ Table \* ARABIC \s 1 ">
        <w:r w:rsidR="00AA6926">
          <w:rPr>
            <w:noProof/>
          </w:rPr>
          <w:t>5</w:t>
        </w:r>
      </w:fldSimple>
      <w:bookmarkEnd w:id="51"/>
      <w:r>
        <w:t xml:space="preserve">. List of cosolutes that are commonly used as </w:t>
      </w:r>
      <w:r w:rsidR="00C46546">
        <w:t xml:space="preserve">stabilising </w:t>
      </w:r>
      <w:r>
        <w:t>excipients in biopharmaceutical formulation and whether they are naturally present in cells as osmolytes</w:t>
      </w:r>
      <w:bookmarkEnd w:id="52"/>
      <w:r w:rsidR="00CA3BA9">
        <w:t xml:space="preserve"> (Y=yes, N=no)</w:t>
      </w:r>
    </w:p>
    <w:tbl>
      <w:tblPr>
        <w:tblStyle w:val="LightShading"/>
        <w:tblW w:w="0" w:type="auto"/>
        <w:tblLook w:val="04A0" w:firstRow="1" w:lastRow="0" w:firstColumn="1" w:lastColumn="0" w:noHBand="0" w:noVBand="1"/>
      </w:tblPr>
      <w:tblGrid>
        <w:gridCol w:w="1526"/>
        <w:gridCol w:w="3597"/>
        <w:gridCol w:w="3597"/>
      </w:tblGrid>
      <w:tr w:rsidR="009C5444" w14:paraId="77D43540" w14:textId="77777777" w:rsidTr="00585CA3">
        <w:trPr>
          <w:cnfStyle w:val="100000000000" w:firstRow="1" w:lastRow="0" w:firstColumn="0" w:lastColumn="0" w:oddVBand="0" w:evenVBand="0" w:oddHBand="0" w:evenHBand="0" w:firstRowFirstColumn="0" w:firstRowLastColumn="0" w:lastRowFirstColumn="0" w:lastRowLastColumn="0"/>
          <w:trHeight w:val="2132"/>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3760186C" w14:textId="77777777" w:rsidR="009C5444" w:rsidRPr="00BC3E95" w:rsidRDefault="009C5444" w:rsidP="0012096E">
            <w:r w:rsidRPr="00BC3E95">
              <w:t>Cosolute</w:t>
            </w:r>
          </w:p>
        </w:tc>
        <w:tc>
          <w:tcPr>
            <w:tcW w:w="3597" w:type="dxa"/>
            <w:shd w:val="clear" w:color="auto" w:fill="auto"/>
          </w:tcPr>
          <w:p w14:paraId="7C95C02C" w14:textId="77777777" w:rsidR="009C5444" w:rsidRPr="00BC3E95" w:rsidRDefault="009C5444" w:rsidP="0012096E">
            <w:pPr>
              <w:jc w:val="center"/>
              <w:cnfStyle w:val="100000000000" w:firstRow="1" w:lastRow="0" w:firstColumn="0" w:lastColumn="0" w:oddVBand="0" w:evenVBand="0" w:oddHBand="0" w:evenHBand="0" w:firstRowFirstColumn="0" w:firstRowLastColumn="0" w:lastRowFirstColumn="0" w:lastRowLastColumn="0"/>
            </w:pPr>
            <w:r w:rsidRPr="00BC3E95">
              <w:t>Naturally present as osmolyte in cells</w:t>
            </w:r>
            <w:r w:rsidR="00EC782B" w:rsidRPr="00BC3E95">
              <w:rPr>
                <w:sz w:val="20"/>
                <w:szCs w:val="20"/>
              </w:rPr>
              <w:t xml:space="preserve"> </w:t>
            </w:r>
            <w:r w:rsidR="00EC782B" w:rsidRPr="00BC3E95">
              <w:rPr>
                <w:sz w:val="20"/>
                <w:szCs w:val="20"/>
              </w:rPr>
              <w:fldChar w:fldCharType="begin" w:fldLock="1"/>
            </w:r>
            <w:r w:rsidR="00DD6047">
              <w:rPr>
                <w:sz w:val="20"/>
                <w:szCs w:val="20"/>
              </w:rPr>
              <w:instrText>ADDIN CSL_CITATION { "citationItems" : [ { "id" : "ITEM-1", "itemData" : { "author" : [ { "dropping-particle" : "", "family" : "Yancey", "given" : "P H", "non-dropping-particle" : "", "parse-names" : false, "suffix" : "" }, { "dropping-particle" : "", "family" : "Clark", "given" : "M E", "non-dropping-particle" : "", "parse-names" : false, "suffix" : "" }, { "dropping-particle" : "", "family" : "Hand", "given" : "S C", "non-dropping-particle" : "", "parse-names" : false, "suffix" : "" }, { "dropping-particle" : "", "family" : "Bowlus", "given" : "R D", "non-dropping-particle" : "", "parse-names" : false, "suffix" : "" }, { "dropping-particle" : "", "family" : "Somero", "given" : "G N", "non-dropping-particle" : "", "parse-names" : false, "suffix" : "" } ], "container-title" : "Science", "id" : "ITEM-1", "issued" : { "date-parts" : [ [ "1982" ] ] }, "page" : "1214-1222", "title" : "Living with water stress: Evolution of osmolyte systems", "type" : "article-journal", "volume" : "217" }, "uris" : [ "http://www.mendeley.com/documents/?uuid=5c0ecbac-0ed5-485c-b4bd-8986742136e1" ] }, { "id" : "ITEM-2", "itemData" : { "DOI" : "10.1002/jez.1402080202", "ISSN" : "0022-104X", "PMID" : "469480", "abstract" : "The major nitrogenous osmolytes present in the cells of marine invertebrates, notably the free amino acids glycine, alanine and proline, and trimethylamine oxide and betaine, are highly compatible with proper enzyme function and structure. These nitrogenous osmolytes display either non-perturbing or, in some cases, favorable effects on enzyme-substrate and enzyme-cofactor complex formation, catalytic velocity and protein structural stability. In contrast, inorganic salts (KCl and NaCl) and certain of the free amino acids which play only a minor osmotic role, e.g., arginine and lysine, have strongly perturbing effects on one or more of these enzymic parameters. The compatible nitrogenous solutes therefore are suitable for use at high (several tenths molar) concentrations and at widely varying concentrations in osmo-conforming species. Certain nitrogenous solutes, especially trimethylamine oxide, betaine and glutamate, offset some of the perturbing effects of inorganic ions on enzyme function. The selective accumulation of osmolytes thus involves not only the concentration of non-perturbing solutes, but also a balanced accumulation of solutes with opposing effects on enzymes. The selection of end-products of anaerobic metabolism also appears to be based, in part, on considerations of solute compatibility with enzyme function. Octopine is a non-perturbing solute, whereas arginine, which is condensed with pyruvate to form octopine, is very strongly perturbing. Succinate has marked stabilizing effects on protein structure. We conclude that the composition of the intracellular fluids of marine invertebrates reflects selection for osmolytes and end-products whose net effects create a cellular microenvironment which is conducive to optimal enzyme function and structure. The accumulation of compatible solutes may preclude the necessity for widespread changes in protein structure in adapting to concentrated or highly variable osmotic environments.", "author" : [ { "dropping-particle" : "", "family" : "Bowlus", "given" : "R D", "non-dropping-particle" : "", "parse-names" : false, "suffix" : "" }, { "dropping-particle" : "", "family" : "Somero", "given" : "G N", "non-dropping-particle" : "", "parse-names" : false, "suffix" : "" } ], "container-title" : "Journal of Experimental Zoology", "id" : "ITEM-2", "issued" : { "date-parts" : [ [ "1979" ] ] }, "page" : "137-151", "title" : "Solute compatibility with enzyme function and structure: rationales for the selection of osmotic agents and end-products of anaerobic metabolism in marine invertebrates", "type" : "article-journal", "volume" : "208" }, "uris" : [ "http://www.mendeley.com/documents/?uuid=7dde3bd3-612c-4dc0-b5b3-9e57c8eb9a26" ] }, { "id" : "ITEM-3", "itemData" : { "author" : [ { "dropping-particle" : "", "family" : "Clark", "given" : "M E", "non-dropping-particle" : "", "parse-names" : false, "suffix" : "" }, { "dropping-particle" : "", "family" : "Zounes", "given" : "M", "non-dropping-particle" : "", "parse-names" : false, "suffix" : "" } ], "container-title" : "Biological Bulletin", "id" : "ITEM-3", "issued" : { "date-parts" : [ [ "1977" ] ] }, "page" : "468-484", "title" : "The effects of selected cell osmolytes on the activity of lactate dehydrogenase from the Euryhaline Polychaete, Nereis succinea", "type" : "article-journal", "volume" : "153" }, "uris" : [ "http://www.mendeley.com/documents/?uuid=bad7a84b-31cd-4704-b3fd-7953e4cb7e77" ] } ], "mendeley" : { "formattedCitation" : "(Yancey et al. 1982; Bowlus &amp; Somero 1979; Clark &amp; Zounes 1977)", "plainTextFormattedCitation" : "(Yancey et al. 1982; Bowlus &amp; Somero 1979; Clark &amp; Zounes 1977)", "previouslyFormattedCitation" : "(Yancey et al. 1982; Bowlus &amp; Somero 1979; Clark &amp; Zounes 1977)" }, "properties" : { "noteIndex" : 0 }, "schema" : "https://github.com/citation-style-language/schema/raw/master/csl-citation.json" }</w:instrText>
            </w:r>
            <w:r w:rsidR="00EC782B" w:rsidRPr="00BC3E95">
              <w:rPr>
                <w:sz w:val="20"/>
                <w:szCs w:val="20"/>
              </w:rPr>
              <w:fldChar w:fldCharType="separate"/>
            </w:r>
            <w:r w:rsidR="00EC782B" w:rsidRPr="00BC3E95">
              <w:rPr>
                <w:b w:val="0"/>
                <w:noProof/>
                <w:sz w:val="20"/>
                <w:szCs w:val="20"/>
              </w:rPr>
              <w:t>(Yancey et al. 1982; Bowlus &amp; Somero 1979; Clark &amp; Zounes 1977)</w:t>
            </w:r>
            <w:r w:rsidR="00EC782B" w:rsidRPr="00BC3E95">
              <w:rPr>
                <w:sz w:val="20"/>
                <w:szCs w:val="20"/>
              </w:rPr>
              <w:fldChar w:fldCharType="end"/>
            </w:r>
          </w:p>
        </w:tc>
        <w:tc>
          <w:tcPr>
            <w:tcW w:w="3597" w:type="dxa"/>
            <w:shd w:val="clear" w:color="auto" w:fill="auto"/>
          </w:tcPr>
          <w:p w14:paraId="17FA4921" w14:textId="77777777" w:rsidR="009C5444" w:rsidRPr="00BC3E95" w:rsidRDefault="009C5444" w:rsidP="0012096E">
            <w:pPr>
              <w:jc w:val="center"/>
              <w:cnfStyle w:val="100000000000" w:firstRow="1" w:lastRow="0" w:firstColumn="0" w:lastColumn="0" w:oddVBand="0" w:evenVBand="0" w:oddHBand="0" w:evenHBand="0" w:firstRowFirstColumn="0" w:firstRowLastColumn="0" w:lastRowFirstColumn="0" w:lastRowLastColumn="0"/>
            </w:pPr>
            <w:r w:rsidRPr="00BC3E95">
              <w:t xml:space="preserve">Commonly used as </w:t>
            </w:r>
            <w:r w:rsidR="00C46546">
              <w:t xml:space="preserve">stabilising </w:t>
            </w:r>
            <w:r w:rsidRPr="00BC3E95">
              <w:t>excipient in biopharmaceutical formulation</w:t>
            </w:r>
            <w:r w:rsidR="00A93427" w:rsidRPr="00BC3E95">
              <w:t xml:space="preserve"> </w:t>
            </w:r>
            <w:r w:rsidR="00A93427" w:rsidRPr="00BC3E95">
              <w:rPr>
                <w:sz w:val="20"/>
                <w:szCs w:val="20"/>
              </w:rPr>
              <w:fldChar w:fldCharType="begin" w:fldLock="1"/>
            </w:r>
            <w:r w:rsidR="00DD6047">
              <w:rPr>
                <w:sz w:val="20"/>
                <w:szCs w:val="20"/>
              </w:rPr>
              <w:instrText>ADDIN CSL_CITATION { "citationItems" : [ { "id" : "ITEM-1", "itemData" : { "DOI" : "10.1016/S1461-5347(00)00248-0", "ISSN" : "14615347", "PMID" : "10754542", "abstract" : "Biopharmaceutical products represent a diverse group of products that includes proteins, peptides, nucleic acids, whole cells, viral particles and vaccines. The conformation of the macromolecule or cell must be maintained to retain biological activity, and animal models for biological activity and characterization assays are often developed in tandem with initial formulation studies. This presents the formulation scientist with a unique set of challenges when compared to those for small molecules. This review focuses on approaches to the formulation of macromolecules into biopharmaceutical products, and provides examples of studies that have been undertaken within the authors' laboratories. Copyright (C) 2000 Elsevier Science Ltd.", "author" : [ { "dropping-particle" : "", "family" : "Parkins", "given" : "D A", "non-dropping-particle" : "", "parse-names" : false, "suffix" : "" }, { "dropping-particle" : "", "family" : "Lashmar", "given" : "U T", "non-dropping-particle" : "", "parse-names" : false, "suffix" : "" } ], "container-title" : "Pharmaceutical Science &amp; Technology Today", "id" : "ITEM-1", "issued" : { "date-parts" : [ [ "2000" ] ] }, "page" : "129-137", "title" : "The formulation of biopharmaceutical products", "type" : "article-journal", "volume" : "3" }, "uris" : [ "http://www.mendeley.com/documents/?uuid=6873980b-7db6-4eb9-8afa-f11c5d3f8c1b" ] }, { "id" : "ITEM-2", "itemData" : { "DOI" : "10.1517/17425240903199143", "ISSN" : "1744-7593", "PMID" : "19678792", "abstract" : "In the area of peptide and protein pharmaceuticals, both the physical and chemical stability of biopharmaceuticals are critical and need to be optimised when formulating a drug product, in order to optimise the outcome after processing and storage. This review focuses on the effects on the stability from various types of excipient and the choices that have to be made during formulation of drug products containing peptides or proteins. It is illustrated, through examples, how the choice of one excipient over another can affect the stability of a protein drug formulation, along with other problems linked to this choice. The excipients used in pharmaceutical preparations are limited and from an academic point of view there is a clear requirement for new excipients.", "author" : [ { "dropping-particle" : "", "family" : "Jorgensen", "given" : "L", "non-dropping-particle" : "", "parse-names" : false, "suffix" : "" }, { "dropping-particle" : "", "family" : "Hostrup", "given" : "S", "non-dropping-particle" : "", "parse-names" : false, "suffix" : "" }, { "dropping-particle" : "", "family" : "Moeller", "given" : "E H", "non-dropping-particle" : "", "parse-names" : false, "suffix" : "" }, { "dropping-particle" : "", "family" : "Grohganz", "given" : "H", "non-dropping-particle" : "", "parse-names" : false, "suffix" : "" } ], "container-title" : "Expert Opinion on Drug Delivery", "id" : "ITEM-2", "issued" : { "date-parts" : [ [ "2009", "11" ] ] }, "page" : "1219-1230", "title" : "Recent trends in stabilising peptides and proteins in pharmaceutical formulation - considerations in the choice of excipients", "type" : "article-journal", "volume" : "6" }, "uris" : [ "http://www.mendeley.com/documents/?uuid=8bf98923-ee81-40e1-a96a-6352403ea5bb" ] }, { "id" : "ITEM-3", "itemData" : { "DOI" : "10.1016/j.addr.2011.07.006", "ISSN" : "1872-8294", "PMID" : "21855584", "abstract" : "The purpose of this review is to demonstrate the critical importance of understanding protein-excipient interactions as a key step in the rational design of formulations to stabilize and deliver protein-based therapeutic drugs and vaccines. Biophysical methods used to examine various molecular interactions between solutes and protein molecules are discussed with an emphasis on applications to pharmaceutical excipients in terms of their effects on protein stability. Key mechanisms of protein-excipient interactions such as electrostatic and cation-pi interactions, preferential hydration, dispersive forces, and hydrogen bonding are presented in the context of different physical states of the formulation such as frozen liquids, solutions, gels, freeze-dried solids and interfacial phenomenon. An overview of the different classes of pharmaceutical excipients used to formulate and stabilize protein therapeutic drugs is also presented along with the rationale for use in different dosage forms including practical pharmaceutical considerations. The utility of high throughput analytical methodologies to examine protein-excipient interactions is presented in terms of expanding formulation design space and accelerating experimental timelines.", "author" : [ { "dropping-particle" : "", "family" : "Kamerzell", "given" : "T J", "non-dropping-particle" : "", "parse-names" : false, "suffix" : "" }, { "dropping-particle" : "", "family" : "Esfandiary", "given" : "R", "non-dropping-particle" : "", "parse-names" : false, "suffix" : "" }, { "dropping-particle" : "", "family" : "Joshi", "given" : "S B", "non-dropping-particle" : "", "parse-names" : false, "suffix" : "" }, { "dropping-particle" : "", "family" : "Middaugh", "given" : "C R", "non-dropping-particle" : "", "parse-names" : false, "suffix" : "" }, { "dropping-particle" : "", "family" : "Volkin", "given" : "D B", "non-dropping-particle" : "", "parse-names" : false, "suffix" : "" } ], "container-title" : "Advanced Drug Delivery Reviews", "id" : "ITEM-3", "issued" : { "date-parts" : [ [ "2011", "10" ] ] }, "note" : "Extensive review on a wide range of experimental techniques I could use in future work. Also goes on the look at how to determine which types of interactions are occurring between protein and excipient", "page" : "1118-1159", "publisher" : "Elsevier B.V.", "title" : "Protein-excipient interactions: Mechanisms and biophysical characterization applied to protein formulation development", "type" : "article-journal", "volume" : "63" }, "uris" : [ "http://www.mendeley.com/documents/?uuid=4fa76116-2b12-4ebe-bcb7-b8cf754d40a5" ] } ], "mendeley" : { "formattedCitation" : "(Parkins &amp; Lashmar 2000; Jorgensen et al. 2009; Kamerzell et al. 2011)", "plainTextFormattedCitation" : "(Parkins &amp; Lashmar 2000; Jorgensen et al. 2009; Kamerzell et al. 2011)", "previouslyFormattedCitation" : "(Parkins &amp; Lashmar 2000; Jorgensen et al. 2009; Kamerzell et al. 2011)" }, "properties" : { "noteIndex" : 0 }, "schema" : "https://github.com/citation-style-language/schema/raw/master/csl-citation.json" }</w:instrText>
            </w:r>
            <w:r w:rsidR="00A93427" w:rsidRPr="00BC3E95">
              <w:rPr>
                <w:sz w:val="20"/>
                <w:szCs w:val="20"/>
              </w:rPr>
              <w:fldChar w:fldCharType="separate"/>
            </w:r>
            <w:r w:rsidR="00A93427" w:rsidRPr="00BC3E95">
              <w:rPr>
                <w:b w:val="0"/>
                <w:noProof/>
                <w:sz w:val="20"/>
                <w:szCs w:val="20"/>
              </w:rPr>
              <w:t>(Parkins &amp; Lashmar 2000; Jorgensen et al. 2009; Kamerzell et al. 2011)</w:t>
            </w:r>
            <w:r w:rsidR="00A93427" w:rsidRPr="00BC3E95">
              <w:rPr>
                <w:sz w:val="20"/>
                <w:szCs w:val="20"/>
              </w:rPr>
              <w:fldChar w:fldCharType="end"/>
            </w:r>
          </w:p>
        </w:tc>
      </w:tr>
      <w:tr w:rsidR="009C5444" w14:paraId="1B06D3C5" w14:textId="77777777" w:rsidTr="00585C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230BD648" w14:textId="77777777" w:rsidR="00D31066" w:rsidRPr="009D78ED" w:rsidRDefault="009C5444" w:rsidP="00BC3E95">
            <w:pPr>
              <w:spacing w:before="0" w:after="0" w:line="240" w:lineRule="auto"/>
              <w:rPr>
                <w:sz w:val="20"/>
                <w:szCs w:val="20"/>
              </w:rPr>
            </w:pPr>
            <w:r w:rsidRPr="009D78ED">
              <w:rPr>
                <w:sz w:val="20"/>
                <w:szCs w:val="20"/>
              </w:rPr>
              <w:t>Alanine</w:t>
            </w:r>
          </w:p>
        </w:tc>
        <w:tc>
          <w:tcPr>
            <w:tcW w:w="3597" w:type="dxa"/>
            <w:shd w:val="clear" w:color="auto" w:fill="auto"/>
          </w:tcPr>
          <w:p w14:paraId="18284FB7" w14:textId="77777777" w:rsidR="009C5444" w:rsidRPr="009D78ED" w:rsidRDefault="00A93427" w:rsidP="00BC3E9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Y</w:t>
            </w:r>
          </w:p>
        </w:tc>
        <w:tc>
          <w:tcPr>
            <w:tcW w:w="3597" w:type="dxa"/>
            <w:shd w:val="clear" w:color="auto" w:fill="auto"/>
          </w:tcPr>
          <w:p w14:paraId="5D86E4DD" w14:textId="77777777" w:rsidR="009C5444" w:rsidRPr="009D78ED" w:rsidRDefault="009C5444" w:rsidP="00BC3E9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Y</w:t>
            </w:r>
          </w:p>
        </w:tc>
      </w:tr>
      <w:tr w:rsidR="009C5444" w14:paraId="251A8468" w14:textId="77777777" w:rsidTr="00585CA3">
        <w:trPr>
          <w:trHeight w:val="51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FF6EC1A" w14:textId="77777777" w:rsidR="009C5444" w:rsidRPr="009D78ED" w:rsidRDefault="009C5444" w:rsidP="00BC3E95">
            <w:pPr>
              <w:spacing w:before="0" w:after="0" w:line="240" w:lineRule="auto"/>
              <w:rPr>
                <w:sz w:val="20"/>
                <w:szCs w:val="20"/>
              </w:rPr>
            </w:pPr>
            <w:r w:rsidRPr="009D78ED">
              <w:rPr>
                <w:sz w:val="20"/>
                <w:szCs w:val="20"/>
              </w:rPr>
              <w:t>Arginine</w:t>
            </w:r>
          </w:p>
        </w:tc>
        <w:tc>
          <w:tcPr>
            <w:tcW w:w="3597" w:type="dxa"/>
            <w:shd w:val="clear" w:color="auto" w:fill="auto"/>
          </w:tcPr>
          <w:p w14:paraId="6ECCA2D8" w14:textId="77777777" w:rsidR="009C5444" w:rsidRPr="009D78ED" w:rsidRDefault="00EC782B" w:rsidP="00BC3E9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N</w:t>
            </w:r>
          </w:p>
        </w:tc>
        <w:tc>
          <w:tcPr>
            <w:tcW w:w="3597" w:type="dxa"/>
            <w:shd w:val="clear" w:color="auto" w:fill="auto"/>
          </w:tcPr>
          <w:p w14:paraId="3B902CFC" w14:textId="77777777" w:rsidR="009C5444" w:rsidRPr="009D78ED" w:rsidRDefault="009C5444" w:rsidP="00BC3E9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Y</w:t>
            </w:r>
          </w:p>
        </w:tc>
      </w:tr>
      <w:tr w:rsidR="009C5444" w14:paraId="04B6CE35" w14:textId="77777777" w:rsidTr="00585C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055660DA" w14:textId="77777777" w:rsidR="009C5444" w:rsidRPr="009D78ED" w:rsidRDefault="009C5444" w:rsidP="00BC3E95">
            <w:pPr>
              <w:spacing w:before="0" w:after="0" w:line="240" w:lineRule="auto"/>
              <w:rPr>
                <w:sz w:val="20"/>
                <w:szCs w:val="20"/>
              </w:rPr>
            </w:pPr>
            <w:r w:rsidRPr="009D78ED">
              <w:rPr>
                <w:sz w:val="20"/>
                <w:szCs w:val="20"/>
              </w:rPr>
              <w:t>Aspartic Acid</w:t>
            </w:r>
          </w:p>
        </w:tc>
        <w:tc>
          <w:tcPr>
            <w:tcW w:w="3597" w:type="dxa"/>
            <w:shd w:val="clear" w:color="auto" w:fill="auto"/>
          </w:tcPr>
          <w:p w14:paraId="5DCE4138" w14:textId="77777777" w:rsidR="009C5444" w:rsidRPr="009D78ED" w:rsidRDefault="00EC782B" w:rsidP="00BC3E9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Y</w:t>
            </w:r>
          </w:p>
        </w:tc>
        <w:tc>
          <w:tcPr>
            <w:tcW w:w="3597" w:type="dxa"/>
            <w:shd w:val="clear" w:color="auto" w:fill="auto"/>
          </w:tcPr>
          <w:p w14:paraId="4CA8D9C2" w14:textId="77777777" w:rsidR="009C5444" w:rsidRPr="009D78ED" w:rsidRDefault="009C5444" w:rsidP="00BC3E9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Y</w:t>
            </w:r>
          </w:p>
        </w:tc>
      </w:tr>
      <w:tr w:rsidR="009C5444" w14:paraId="60034C2A" w14:textId="77777777" w:rsidTr="00585CA3">
        <w:trPr>
          <w:trHeight w:val="51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74117BDA" w14:textId="77777777" w:rsidR="009C5444" w:rsidRPr="009D78ED" w:rsidRDefault="009C5444" w:rsidP="00BC3E95">
            <w:pPr>
              <w:spacing w:before="0" w:after="0" w:line="240" w:lineRule="auto"/>
              <w:rPr>
                <w:sz w:val="20"/>
                <w:szCs w:val="20"/>
              </w:rPr>
            </w:pPr>
            <w:r w:rsidRPr="009D78ED">
              <w:rPr>
                <w:sz w:val="20"/>
                <w:szCs w:val="20"/>
              </w:rPr>
              <w:t>Fructose</w:t>
            </w:r>
          </w:p>
        </w:tc>
        <w:tc>
          <w:tcPr>
            <w:tcW w:w="3597" w:type="dxa"/>
            <w:shd w:val="clear" w:color="auto" w:fill="auto"/>
          </w:tcPr>
          <w:p w14:paraId="5DC947AA" w14:textId="77777777" w:rsidR="009C5444" w:rsidRPr="009D78ED" w:rsidRDefault="00A93427" w:rsidP="00BC3E9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Y</w:t>
            </w:r>
          </w:p>
        </w:tc>
        <w:tc>
          <w:tcPr>
            <w:tcW w:w="3597" w:type="dxa"/>
            <w:shd w:val="clear" w:color="auto" w:fill="auto"/>
          </w:tcPr>
          <w:p w14:paraId="0DCF2D23" w14:textId="77777777" w:rsidR="009C5444" w:rsidRPr="009D78ED" w:rsidRDefault="009C5444" w:rsidP="00BC3E9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Y</w:t>
            </w:r>
          </w:p>
        </w:tc>
      </w:tr>
      <w:tr w:rsidR="009C5444" w14:paraId="4316183D" w14:textId="77777777" w:rsidTr="00585C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798DC6CA" w14:textId="77777777" w:rsidR="009C5444" w:rsidRPr="009D78ED" w:rsidRDefault="009C5444" w:rsidP="00BC3E95">
            <w:pPr>
              <w:spacing w:before="0" w:after="0" w:line="240" w:lineRule="auto"/>
              <w:rPr>
                <w:sz w:val="20"/>
                <w:szCs w:val="20"/>
              </w:rPr>
            </w:pPr>
            <w:r w:rsidRPr="009D78ED">
              <w:rPr>
                <w:sz w:val="20"/>
                <w:szCs w:val="20"/>
              </w:rPr>
              <w:t>Glucose</w:t>
            </w:r>
          </w:p>
        </w:tc>
        <w:tc>
          <w:tcPr>
            <w:tcW w:w="3597" w:type="dxa"/>
            <w:shd w:val="clear" w:color="auto" w:fill="auto"/>
          </w:tcPr>
          <w:p w14:paraId="4F1023ED" w14:textId="77777777" w:rsidR="009C5444" w:rsidRPr="009D78ED" w:rsidRDefault="00A93427" w:rsidP="00BC3E9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Y</w:t>
            </w:r>
          </w:p>
        </w:tc>
        <w:tc>
          <w:tcPr>
            <w:tcW w:w="3597" w:type="dxa"/>
            <w:shd w:val="clear" w:color="auto" w:fill="auto"/>
          </w:tcPr>
          <w:p w14:paraId="393F0E58" w14:textId="77777777" w:rsidR="009C5444" w:rsidRPr="009D78ED" w:rsidRDefault="009C5444" w:rsidP="00BC3E9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Y</w:t>
            </w:r>
          </w:p>
        </w:tc>
      </w:tr>
      <w:tr w:rsidR="009C5444" w14:paraId="781B976C" w14:textId="77777777" w:rsidTr="00585CA3">
        <w:trPr>
          <w:trHeight w:val="51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41ACC6EF" w14:textId="77777777" w:rsidR="009C5444" w:rsidRPr="009D78ED" w:rsidRDefault="009C5444" w:rsidP="00BC3E95">
            <w:pPr>
              <w:spacing w:before="0" w:after="0" w:line="240" w:lineRule="auto"/>
              <w:rPr>
                <w:sz w:val="20"/>
                <w:szCs w:val="20"/>
              </w:rPr>
            </w:pPr>
            <w:r w:rsidRPr="009D78ED">
              <w:rPr>
                <w:sz w:val="20"/>
                <w:szCs w:val="20"/>
              </w:rPr>
              <w:t>Glutamic Acid</w:t>
            </w:r>
          </w:p>
        </w:tc>
        <w:tc>
          <w:tcPr>
            <w:tcW w:w="3597" w:type="dxa"/>
            <w:shd w:val="clear" w:color="auto" w:fill="auto"/>
          </w:tcPr>
          <w:p w14:paraId="1C589272" w14:textId="77777777" w:rsidR="009C5444" w:rsidRPr="009D78ED" w:rsidRDefault="00A93427" w:rsidP="00BC3E9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Y</w:t>
            </w:r>
          </w:p>
        </w:tc>
        <w:tc>
          <w:tcPr>
            <w:tcW w:w="3597" w:type="dxa"/>
            <w:shd w:val="clear" w:color="auto" w:fill="auto"/>
          </w:tcPr>
          <w:p w14:paraId="0CF6EE2B" w14:textId="77777777" w:rsidR="009C5444" w:rsidRPr="009D78ED" w:rsidRDefault="009C5444" w:rsidP="00BC3E9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Y</w:t>
            </w:r>
          </w:p>
        </w:tc>
      </w:tr>
      <w:tr w:rsidR="009C5444" w14:paraId="3B622DEB" w14:textId="77777777" w:rsidTr="00585C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558D0617" w14:textId="77777777" w:rsidR="009C5444" w:rsidRPr="009D78ED" w:rsidRDefault="009C5444" w:rsidP="00BC3E95">
            <w:pPr>
              <w:spacing w:before="0" w:after="0" w:line="240" w:lineRule="auto"/>
              <w:rPr>
                <w:sz w:val="20"/>
                <w:szCs w:val="20"/>
              </w:rPr>
            </w:pPr>
            <w:r w:rsidRPr="009D78ED">
              <w:rPr>
                <w:sz w:val="20"/>
                <w:szCs w:val="20"/>
              </w:rPr>
              <w:t>Glycerol</w:t>
            </w:r>
          </w:p>
        </w:tc>
        <w:tc>
          <w:tcPr>
            <w:tcW w:w="3597" w:type="dxa"/>
            <w:shd w:val="clear" w:color="auto" w:fill="auto"/>
          </w:tcPr>
          <w:p w14:paraId="1E2F83F0" w14:textId="77777777" w:rsidR="009C5444" w:rsidRPr="009D78ED" w:rsidRDefault="00A93427" w:rsidP="00BC3E9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Y</w:t>
            </w:r>
          </w:p>
        </w:tc>
        <w:tc>
          <w:tcPr>
            <w:tcW w:w="3597" w:type="dxa"/>
            <w:shd w:val="clear" w:color="auto" w:fill="auto"/>
          </w:tcPr>
          <w:p w14:paraId="1FE55107" w14:textId="77777777" w:rsidR="009C5444" w:rsidRPr="009D78ED" w:rsidRDefault="009C5444" w:rsidP="00BC3E9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Y</w:t>
            </w:r>
          </w:p>
        </w:tc>
      </w:tr>
      <w:tr w:rsidR="009C5444" w14:paraId="06422B36" w14:textId="77777777" w:rsidTr="00585CA3">
        <w:trPr>
          <w:trHeight w:val="51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408868F0" w14:textId="77777777" w:rsidR="009C5444" w:rsidRPr="009D78ED" w:rsidRDefault="009C5444" w:rsidP="00BC3E95">
            <w:pPr>
              <w:spacing w:before="0" w:after="0" w:line="240" w:lineRule="auto"/>
              <w:rPr>
                <w:sz w:val="20"/>
                <w:szCs w:val="20"/>
              </w:rPr>
            </w:pPr>
            <w:r w:rsidRPr="009D78ED">
              <w:rPr>
                <w:sz w:val="20"/>
                <w:szCs w:val="20"/>
              </w:rPr>
              <w:t>Glycine</w:t>
            </w:r>
          </w:p>
        </w:tc>
        <w:tc>
          <w:tcPr>
            <w:tcW w:w="3597" w:type="dxa"/>
            <w:shd w:val="clear" w:color="auto" w:fill="auto"/>
          </w:tcPr>
          <w:p w14:paraId="4C2E8D7D" w14:textId="77777777" w:rsidR="009C5444" w:rsidRPr="009D78ED" w:rsidRDefault="00A93427" w:rsidP="00BC3E9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Y</w:t>
            </w:r>
          </w:p>
        </w:tc>
        <w:tc>
          <w:tcPr>
            <w:tcW w:w="3597" w:type="dxa"/>
            <w:shd w:val="clear" w:color="auto" w:fill="auto"/>
          </w:tcPr>
          <w:p w14:paraId="30F6C722" w14:textId="77777777" w:rsidR="009C5444" w:rsidRPr="009D78ED" w:rsidRDefault="009C5444" w:rsidP="00BC3E9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Y</w:t>
            </w:r>
          </w:p>
        </w:tc>
      </w:tr>
      <w:tr w:rsidR="00A93427" w14:paraId="02DD1226" w14:textId="77777777" w:rsidTr="00585C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33807183" w14:textId="77777777" w:rsidR="00A93427" w:rsidRPr="009D78ED" w:rsidRDefault="00A93427" w:rsidP="00BC3E95">
            <w:pPr>
              <w:spacing w:before="0" w:after="0" w:line="240" w:lineRule="auto"/>
              <w:rPr>
                <w:sz w:val="20"/>
                <w:szCs w:val="20"/>
              </w:rPr>
            </w:pPr>
            <w:r w:rsidRPr="009D78ED">
              <w:rPr>
                <w:sz w:val="20"/>
                <w:szCs w:val="20"/>
              </w:rPr>
              <w:t>Histidine</w:t>
            </w:r>
          </w:p>
        </w:tc>
        <w:tc>
          <w:tcPr>
            <w:tcW w:w="3597" w:type="dxa"/>
            <w:shd w:val="clear" w:color="auto" w:fill="auto"/>
          </w:tcPr>
          <w:p w14:paraId="618F7F96" w14:textId="77777777" w:rsidR="00A93427" w:rsidRPr="009D78ED" w:rsidRDefault="00EC782B" w:rsidP="00BC3E9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N</w:t>
            </w:r>
          </w:p>
        </w:tc>
        <w:tc>
          <w:tcPr>
            <w:tcW w:w="3597" w:type="dxa"/>
            <w:shd w:val="clear" w:color="auto" w:fill="auto"/>
          </w:tcPr>
          <w:p w14:paraId="591E84E4" w14:textId="77777777" w:rsidR="00A93427" w:rsidRPr="009D78ED" w:rsidRDefault="00A93427" w:rsidP="00BC3E9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Y</w:t>
            </w:r>
          </w:p>
        </w:tc>
      </w:tr>
      <w:tr w:rsidR="00A93427" w14:paraId="22B8A110" w14:textId="77777777" w:rsidTr="00585CA3">
        <w:trPr>
          <w:trHeight w:val="51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760DDDD2" w14:textId="77777777" w:rsidR="00A93427" w:rsidRPr="009D78ED" w:rsidRDefault="00A93427" w:rsidP="00BC3E95">
            <w:pPr>
              <w:spacing w:before="0" w:after="0" w:line="240" w:lineRule="auto"/>
              <w:rPr>
                <w:sz w:val="20"/>
                <w:szCs w:val="20"/>
              </w:rPr>
            </w:pPr>
            <w:r w:rsidRPr="009D78ED">
              <w:rPr>
                <w:sz w:val="20"/>
                <w:szCs w:val="20"/>
              </w:rPr>
              <w:t>Lactose</w:t>
            </w:r>
          </w:p>
        </w:tc>
        <w:tc>
          <w:tcPr>
            <w:tcW w:w="3597" w:type="dxa"/>
            <w:shd w:val="clear" w:color="auto" w:fill="auto"/>
          </w:tcPr>
          <w:p w14:paraId="0D03ACF7" w14:textId="77777777" w:rsidR="00A93427" w:rsidRPr="009D78ED" w:rsidRDefault="00EC782B" w:rsidP="00BC3E9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N</w:t>
            </w:r>
          </w:p>
        </w:tc>
        <w:tc>
          <w:tcPr>
            <w:tcW w:w="3597" w:type="dxa"/>
            <w:shd w:val="clear" w:color="auto" w:fill="auto"/>
          </w:tcPr>
          <w:p w14:paraId="610F4AE2" w14:textId="77777777" w:rsidR="00A93427" w:rsidRPr="009D78ED" w:rsidRDefault="00A93427" w:rsidP="00BC3E9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Y</w:t>
            </w:r>
          </w:p>
        </w:tc>
      </w:tr>
      <w:tr w:rsidR="009C5444" w14:paraId="0349DF83" w14:textId="77777777" w:rsidTr="00585C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200797F0" w14:textId="77777777" w:rsidR="009C5444" w:rsidRPr="009D78ED" w:rsidRDefault="00A93427" w:rsidP="00BC3E95">
            <w:pPr>
              <w:spacing w:before="0" w:after="0" w:line="240" w:lineRule="auto"/>
              <w:rPr>
                <w:sz w:val="20"/>
                <w:szCs w:val="20"/>
              </w:rPr>
            </w:pPr>
            <w:r w:rsidRPr="009D78ED">
              <w:rPr>
                <w:sz w:val="20"/>
                <w:szCs w:val="20"/>
              </w:rPr>
              <w:t>Lysine</w:t>
            </w:r>
          </w:p>
        </w:tc>
        <w:tc>
          <w:tcPr>
            <w:tcW w:w="3597" w:type="dxa"/>
            <w:shd w:val="clear" w:color="auto" w:fill="auto"/>
          </w:tcPr>
          <w:p w14:paraId="5E5CA3B5" w14:textId="77777777" w:rsidR="009C5444" w:rsidRPr="009D78ED" w:rsidRDefault="00EC782B" w:rsidP="00BC3E9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N</w:t>
            </w:r>
          </w:p>
        </w:tc>
        <w:tc>
          <w:tcPr>
            <w:tcW w:w="3597" w:type="dxa"/>
            <w:shd w:val="clear" w:color="auto" w:fill="auto"/>
          </w:tcPr>
          <w:p w14:paraId="23014892" w14:textId="77777777" w:rsidR="009C5444" w:rsidRPr="009D78ED" w:rsidRDefault="00A93427" w:rsidP="00BC3E9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Y</w:t>
            </w:r>
          </w:p>
        </w:tc>
      </w:tr>
      <w:tr w:rsidR="00A93427" w14:paraId="47BBAC15" w14:textId="77777777" w:rsidTr="00585CA3">
        <w:trPr>
          <w:trHeight w:val="51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4410493B" w14:textId="77777777" w:rsidR="00A93427" w:rsidRPr="009D78ED" w:rsidRDefault="00A93427" w:rsidP="00BC3E95">
            <w:pPr>
              <w:spacing w:before="0" w:after="0" w:line="240" w:lineRule="auto"/>
              <w:rPr>
                <w:sz w:val="20"/>
                <w:szCs w:val="20"/>
              </w:rPr>
            </w:pPr>
            <w:r w:rsidRPr="009D78ED">
              <w:rPr>
                <w:sz w:val="20"/>
                <w:szCs w:val="20"/>
              </w:rPr>
              <w:t>Maltose</w:t>
            </w:r>
          </w:p>
        </w:tc>
        <w:tc>
          <w:tcPr>
            <w:tcW w:w="3597" w:type="dxa"/>
            <w:shd w:val="clear" w:color="auto" w:fill="auto"/>
          </w:tcPr>
          <w:p w14:paraId="3FD62F75" w14:textId="77777777" w:rsidR="00A93427" w:rsidRPr="009D78ED" w:rsidRDefault="00EC782B" w:rsidP="00BC3E9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N</w:t>
            </w:r>
          </w:p>
        </w:tc>
        <w:tc>
          <w:tcPr>
            <w:tcW w:w="3597" w:type="dxa"/>
            <w:shd w:val="clear" w:color="auto" w:fill="auto"/>
          </w:tcPr>
          <w:p w14:paraId="16E76FE0" w14:textId="77777777" w:rsidR="00A93427" w:rsidRPr="009D78ED" w:rsidRDefault="00A93427" w:rsidP="00BC3E9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Y</w:t>
            </w:r>
          </w:p>
        </w:tc>
      </w:tr>
      <w:tr w:rsidR="00A93427" w14:paraId="0077234F" w14:textId="77777777" w:rsidTr="00585C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05C574F4" w14:textId="77777777" w:rsidR="00A93427" w:rsidRPr="009D78ED" w:rsidRDefault="00A93427" w:rsidP="00BC3E95">
            <w:pPr>
              <w:spacing w:before="0" w:after="0" w:line="240" w:lineRule="auto"/>
              <w:rPr>
                <w:sz w:val="20"/>
                <w:szCs w:val="20"/>
              </w:rPr>
            </w:pPr>
            <w:r w:rsidRPr="009D78ED">
              <w:rPr>
                <w:sz w:val="20"/>
                <w:szCs w:val="20"/>
              </w:rPr>
              <w:t>Mannitol</w:t>
            </w:r>
          </w:p>
        </w:tc>
        <w:tc>
          <w:tcPr>
            <w:tcW w:w="3597" w:type="dxa"/>
            <w:shd w:val="clear" w:color="auto" w:fill="auto"/>
          </w:tcPr>
          <w:p w14:paraId="03246785" w14:textId="77777777" w:rsidR="00A93427" w:rsidRPr="009D78ED" w:rsidRDefault="00A93427" w:rsidP="00BC3E9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Y</w:t>
            </w:r>
          </w:p>
        </w:tc>
        <w:tc>
          <w:tcPr>
            <w:tcW w:w="3597" w:type="dxa"/>
            <w:shd w:val="clear" w:color="auto" w:fill="auto"/>
          </w:tcPr>
          <w:p w14:paraId="26A4199B" w14:textId="77777777" w:rsidR="00A93427" w:rsidRPr="009D78ED" w:rsidRDefault="00A93427" w:rsidP="00BC3E9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Y</w:t>
            </w:r>
          </w:p>
        </w:tc>
      </w:tr>
      <w:tr w:rsidR="00A93427" w14:paraId="2C286C46" w14:textId="77777777" w:rsidTr="00585CA3">
        <w:trPr>
          <w:trHeight w:val="51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75924990" w14:textId="77777777" w:rsidR="00A93427" w:rsidRPr="009D78ED" w:rsidRDefault="00A93427" w:rsidP="00BC3E95">
            <w:pPr>
              <w:spacing w:before="0" w:after="0" w:line="240" w:lineRule="auto"/>
              <w:rPr>
                <w:sz w:val="20"/>
                <w:szCs w:val="20"/>
              </w:rPr>
            </w:pPr>
            <w:r w:rsidRPr="009D78ED">
              <w:rPr>
                <w:sz w:val="20"/>
                <w:szCs w:val="20"/>
              </w:rPr>
              <w:t>Methionine</w:t>
            </w:r>
          </w:p>
        </w:tc>
        <w:tc>
          <w:tcPr>
            <w:tcW w:w="3597" w:type="dxa"/>
            <w:shd w:val="clear" w:color="auto" w:fill="auto"/>
          </w:tcPr>
          <w:p w14:paraId="081D1E8A" w14:textId="77777777" w:rsidR="00A93427" w:rsidRPr="009D78ED" w:rsidRDefault="00EC782B" w:rsidP="00BC3E9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N</w:t>
            </w:r>
          </w:p>
        </w:tc>
        <w:tc>
          <w:tcPr>
            <w:tcW w:w="3597" w:type="dxa"/>
            <w:shd w:val="clear" w:color="auto" w:fill="auto"/>
          </w:tcPr>
          <w:p w14:paraId="6029517F" w14:textId="77777777" w:rsidR="00A93427" w:rsidRPr="009D78ED" w:rsidRDefault="00A93427" w:rsidP="00BC3E9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Y</w:t>
            </w:r>
          </w:p>
        </w:tc>
      </w:tr>
      <w:tr w:rsidR="009C5444" w14:paraId="50EC5027" w14:textId="77777777" w:rsidTr="00585C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25CE8BED" w14:textId="77777777" w:rsidR="009C5444" w:rsidRPr="009D78ED" w:rsidRDefault="00A93427" w:rsidP="00BC3E95">
            <w:pPr>
              <w:spacing w:before="0" w:after="0" w:line="240" w:lineRule="auto"/>
              <w:rPr>
                <w:sz w:val="20"/>
                <w:szCs w:val="20"/>
              </w:rPr>
            </w:pPr>
            <w:r w:rsidRPr="009D78ED">
              <w:rPr>
                <w:sz w:val="20"/>
                <w:szCs w:val="20"/>
              </w:rPr>
              <w:t>Proline</w:t>
            </w:r>
          </w:p>
        </w:tc>
        <w:tc>
          <w:tcPr>
            <w:tcW w:w="3597" w:type="dxa"/>
            <w:shd w:val="clear" w:color="auto" w:fill="auto"/>
          </w:tcPr>
          <w:p w14:paraId="7FDADC69" w14:textId="77777777" w:rsidR="009C5444" w:rsidRPr="009D78ED" w:rsidRDefault="00A93427" w:rsidP="00BC3E9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Y</w:t>
            </w:r>
          </w:p>
        </w:tc>
        <w:tc>
          <w:tcPr>
            <w:tcW w:w="3597" w:type="dxa"/>
            <w:shd w:val="clear" w:color="auto" w:fill="auto"/>
          </w:tcPr>
          <w:p w14:paraId="0A4695C5" w14:textId="77777777" w:rsidR="009C5444" w:rsidRPr="009D78ED" w:rsidRDefault="00A93427" w:rsidP="00BC3E9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Y</w:t>
            </w:r>
          </w:p>
        </w:tc>
      </w:tr>
      <w:tr w:rsidR="009C5444" w14:paraId="2D7531F9" w14:textId="77777777" w:rsidTr="00585CA3">
        <w:trPr>
          <w:trHeight w:val="51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14CBBABE" w14:textId="77777777" w:rsidR="009C5444" w:rsidRPr="009D78ED" w:rsidRDefault="00A93427" w:rsidP="00BC3E95">
            <w:pPr>
              <w:spacing w:before="0" w:after="0" w:line="240" w:lineRule="auto"/>
              <w:rPr>
                <w:sz w:val="20"/>
                <w:szCs w:val="20"/>
              </w:rPr>
            </w:pPr>
            <w:r w:rsidRPr="009D78ED">
              <w:rPr>
                <w:sz w:val="20"/>
                <w:szCs w:val="20"/>
              </w:rPr>
              <w:t>Sorbitol</w:t>
            </w:r>
          </w:p>
        </w:tc>
        <w:tc>
          <w:tcPr>
            <w:tcW w:w="3597" w:type="dxa"/>
            <w:shd w:val="clear" w:color="auto" w:fill="auto"/>
          </w:tcPr>
          <w:p w14:paraId="66C7C4F1" w14:textId="77777777" w:rsidR="009C5444" w:rsidRPr="009D78ED" w:rsidRDefault="00A93427" w:rsidP="00BC3E9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Y</w:t>
            </w:r>
          </w:p>
        </w:tc>
        <w:tc>
          <w:tcPr>
            <w:tcW w:w="3597" w:type="dxa"/>
            <w:shd w:val="clear" w:color="auto" w:fill="auto"/>
          </w:tcPr>
          <w:p w14:paraId="18DB3B0D" w14:textId="77777777" w:rsidR="009C5444" w:rsidRPr="009D78ED" w:rsidRDefault="00A93427" w:rsidP="00BC3E9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Y</w:t>
            </w:r>
          </w:p>
        </w:tc>
      </w:tr>
      <w:tr w:rsidR="00A93427" w14:paraId="51953007" w14:textId="77777777" w:rsidTr="00585C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040AE58B" w14:textId="77777777" w:rsidR="00A93427" w:rsidRPr="009D78ED" w:rsidRDefault="00A93427" w:rsidP="00BC3E95">
            <w:pPr>
              <w:spacing w:before="0" w:after="0" w:line="240" w:lineRule="auto"/>
              <w:rPr>
                <w:sz w:val="20"/>
                <w:szCs w:val="20"/>
              </w:rPr>
            </w:pPr>
            <w:r w:rsidRPr="009D78ED">
              <w:rPr>
                <w:sz w:val="20"/>
                <w:szCs w:val="20"/>
              </w:rPr>
              <w:t>Sucrose</w:t>
            </w:r>
          </w:p>
        </w:tc>
        <w:tc>
          <w:tcPr>
            <w:tcW w:w="3597" w:type="dxa"/>
            <w:shd w:val="clear" w:color="auto" w:fill="auto"/>
          </w:tcPr>
          <w:p w14:paraId="3114AEEF" w14:textId="77777777" w:rsidR="00A93427" w:rsidRPr="009D78ED" w:rsidRDefault="00A93427" w:rsidP="00BC3E9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Y</w:t>
            </w:r>
          </w:p>
        </w:tc>
        <w:tc>
          <w:tcPr>
            <w:tcW w:w="3597" w:type="dxa"/>
            <w:shd w:val="clear" w:color="auto" w:fill="auto"/>
          </w:tcPr>
          <w:p w14:paraId="0187CB76" w14:textId="77777777" w:rsidR="00A93427" w:rsidRPr="009D78ED" w:rsidRDefault="00A93427" w:rsidP="00BC3E9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Y</w:t>
            </w:r>
          </w:p>
        </w:tc>
      </w:tr>
      <w:tr w:rsidR="009C5444" w14:paraId="4DB91D23" w14:textId="77777777" w:rsidTr="00585CA3">
        <w:trPr>
          <w:trHeight w:val="51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360654B" w14:textId="77777777" w:rsidR="009C5444" w:rsidRPr="009D78ED" w:rsidRDefault="00A93427" w:rsidP="00BC3E95">
            <w:pPr>
              <w:spacing w:before="0" w:after="0" w:line="240" w:lineRule="auto"/>
              <w:rPr>
                <w:sz w:val="20"/>
                <w:szCs w:val="20"/>
              </w:rPr>
            </w:pPr>
            <w:r w:rsidRPr="009D78ED">
              <w:rPr>
                <w:sz w:val="20"/>
                <w:szCs w:val="20"/>
              </w:rPr>
              <w:t>Trehalose</w:t>
            </w:r>
          </w:p>
        </w:tc>
        <w:tc>
          <w:tcPr>
            <w:tcW w:w="3597" w:type="dxa"/>
            <w:shd w:val="clear" w:color="auto" w:fill="auto"/>
          </w:tcPr>
          <w:p w14:paraId="041AD101" w14:textId="77777777" w:rsidR="009C5444" w:rsidRPr="009D78ED" w:rsidRDefault="00A93427" w:rsidP="00BC3E9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Y</w:t>
            </w:r>
          </w:p>
        </w:tc>
        <w:tc>
          <w:tcPr>
            <w:tcW w:w="3597" w:type="dxa"/>
            <w:shd w:val="clear" w:color="auto" w:fill="auto"/>
          </w:tcPr>
          <w:p w14:paraId="13D0D647" w14:textId="77777777" w:rsidR="009C5444" w:rsidRPr="009D78ED" w:rsidRDefault="00A93427" w:rsidP="00BC3E9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Y</w:t>
            </w:r>
          </w:p>
        </w:tc>
      </w:tr>
    </w:tbl>
    <w:p w14:paraId="519F9C29" w14:textId="77777777" w:rsidR="00D61988" w:rsidRDefault="00D61988" w:rsidP="00685D5A">
      <w:pPr>
        <w:rPr>
          <w:szCs w:val="24"/>
        </w:rPr>
      </w:pPr>
    </w:p>
    <w:p w14:paraId="73369F91" w14:textId="77777777" w:rsidR="00685D5A" w:rsidRPr="00127886" w:rsidRDefault="00685D5A" w:rsidP="00685D5A">
      <w:pPr>
        <w:rPr>
          <w:szCs w:val="24"/>
        </w:rPr>
      </w:pPr>
      <w:r>
        <w:rPr>
          <w:szCs w:val="24"/>
        </w:rPr>
        <w:lastRenderedPageBreak/>
        <w:t xml:space="preserve">The reason there are so few cosolutes that are commonly used as stabilising excipients is that novel excipients would have to go through a full safety evaluation and be approved by regulatory authorities before they could be used, which would be extremely expensive </w:t>
      </w:r>
      <w:r>
        <w:rPr>
          <w:szCs w:val="24"/>
        </w:rPr>
        <w:fldChar w:fldCharType="begin" w:fldLock="1"/>
      </w:r>
      <w:r>
        <w:rPr>
          <w:szCs w:val="24"/>
        </w:rPr>
        <w:instrText>ADDIN CSL_CITATION { "citationItems" : [ { "id" : "ITEM-1", "itemData" : { "DOI" : "10.1016/S0378-5173(99)00110-6", "ISSN" : "03785173", "PMID" : "10502633", "abstract" : "The history of the regulatory control of pharmaceutical ingredients is briefly reviewed. The impact of legislation, its interpretation through European and international guidelines and resulting licensing policies are discussed. The important role played by excipients in modern formulations is recognised and some examples are given of the unexpected consequences of inappropriate choices. Some data are provided on the extent to which excipients and active ingredients appear in UK-licensed medicines and on the reference standards (pharmacopoeial and non-official) used to control the excipients.", "author" : [ { "dropping-particle" : "", "family" : "Robertson", "given" : "M I", "non-dropping-particle" : "", "parse-names" : false, "suffix" : "" } ], "container-title" : "International Journal of Pharmaceutics", "id" : "ITEM-1", "issued" : { "date-parts" : [ [ "1999" ] ] }, "page" : "273-276", "title" : "Regulatory issues with excipients", "type" : "article-journal", "volume" : "187" }, "uris" : [ "http://www.mendeley.com/documents/?uuid=0d13fceb-2dd3-4177-9f52-1548cf0854fc" ] } ], "mendeley" : { "formattedCitation" : "(Robertson 1999)", "plainTextFormattedCitation" : "(Robertson 1999)", "previouslyFormattedCitation" : "(Robertson 1999)" }, "properties" : { "noteIndex" : 0 }, "schema" : "https://github.com/citation-style-language/schema/raw/master/csl-citation.json" }</w:instrText>
      </w:r>
      <w:r>
        <w:rPr>
          <w:szCs w:val="24"/>
        </w:rPr>
        <w:fldChar w:fldCharType="separate"/>
      </w:r>
      <w:r w:rsidRPr="004B30E6">
        <w:rPr>
          <w:noProof/>
          <w:szCs w:val="24"/>
        </w:rPr>
        <w:t>(Robertson 1999)</w:t>
      </w:r>
      <w:r>
        <w:rPr>
          <w:szCs w:val="24"/>
        </w:rPr>
        <w:fldChar w:fldCharType="end"/>
      </w:r>
      <w:r>
        <w:rPr>
          <w:szCs w:val="24"/>
        </w:rPr>
        <w:t xml:space="preserve">. What generally occurs is that a unique combination of the currently approved excipients is developed for the therapeutic protein product or existing excipients are tweaked to give slightly different functionalities. For example, it was recently discovered that 50 mM arginine-glutamate mixtures can increase solubility of proteins more than predicted by additivity and increase long-term stability </w:t>
      </w:r>
      <w:r>
        <w:rPr>
          <w:szCs w:val="24"/>
        </w:rPr>
        <w:fldChar w:fldCharType="begin" w:fldLock="1"/>
      </w:r>
      <w:r w:rsidR="0034217E">
        <w:rPr>
          <w:szCs w:val="24"/>
        </w:rPr>
        <w:instrText>ADDIN CSL_CITATION { "citationItems" : [ { "id" : "ITEM-1", "itemData" : { "DOI" : "10.1021/ja049297h", "ISSN" : "0002-7863", "PMID" : "15264823", "abstract" : "Increasing a protein concentration in solution to the required level, without causing aggregation and precipitation is often a challenging but important task, especially in the field of structural biology; as little as 20% of nonmembrane proteins have been found to be suitable candidates for structural studies predominantly due to poor protein solubility. We demonstrate here that simultaneous addition of charged amino acids L-Arg and L-Glu at 50 mM to the buffer can dramatically increase the maximum achievable concentration of soluble protein (up to 8.7 times). These amino acids are effective in preventing protein aggregation and precipitation, and they dramatically increase the long-term stability of the sample; additionally, they protect protein samples from proteolytic degradation. Specific protein-protein and protein-RNA interactions are not adversely affected by the presence of these amino acids. These additives are particularly suitable for situations where high protein concentration and long-term stability are required, including solution-state studies of isotopically labeled proteins by NMR.", "author" : [ { "dropping-particle" : "", "family" : "Golovanov", "given" : "A P", "non-dropping-particle" : "", "parse-names" : false, "suffix" : "" }, { "dropping-particle" : "", "family" : "Hautbergue", "given" : "G M", "non-dropping-particle" : "", "parse-names" : false, "suffix" : "" }, { "dropping-particle" : "", "family" : "Wilson", "given" : "S A", "non-dropping-particle" : "", "parse-names" : false, "suffix" : "" }, { "dropping-particle" : "", "family" : "Lian", "given" : "L Y", "non-dropping-particle" : "", "parse-names" : false, "suffix" : "" } ], "container-title" : "Journal of the American Chemical Society", "id" : "ITEM-1", "issued" : { "date-parts" : [ [ "2004", "7", "28" ] ] }, "page" : "8933-8939", "title" : "A simple method for improving protein solubility and long-term stability", "type" : "article-journal", "volume" : "126" }, "uris" : [ "http://www.mendeley.com/documents/?uuid=d38188f2-f8d0-460f-9b60-e5c25aadba0c" ] }, { "id" : "ITEM-2", "itemData" : { "DOI" : "10.1016/j.ijpharm.2014.06.053", "ISBN" : "1873-3476", "ISSN" : "18733476", "PMID" : "24992318", "abstract" : "Finding excipients which mitigate protein self-association and aggregation is an important task during formulation. Here, the effect of an equimolar mixture of l-Arg and l-Glu (Arg\u00b7Glu) on colloidal and conformational stability of four monoclonal antibodies (mAb1-mAb4) at different pH is explored, with the temperatures of the on-set of aggregation (Tagg) and unfolding (Tm1) measured by static light scattering and intrinsic fluorescence, respectively. Arg\u00b7Glu increased the Tagg of all four mAbs in concentration-dependent manner, especially as pH increased to neutral. Arg\u00b7Glu also increased Tm1 of the least thermally stable mAb3, but without similar direct effect on the Tm1 of other mAbs. Raising pH itself from 5 to 7 increased Tm1 for all four mAbs. Selected mAb formulations were assessed under accelerated stability conditions for the monomer fraction remaining in solution after storage. The aggregation of mAb3 was suppressed to a greater extent by Arg\u00b7Glu than by Arg\u00b7HCl. Furthermore, Arg\u00b7Glu suppressed the aggregation of mAb1 at neutral pH such that the fraction monomer was near to that at the more typical formulation pH of 5.5. We conclude that Arg\u00b7Glu can suppress mAb aggregation with increasing temperature/pH and, importantly, under accelerated stability conditions at weakly acidic to neutral pH. \u00a9 2014 The Authors.", "author" : [ { "dropping-particle" : "", "family" : "Kheddo", "given" : "P", "non-dropping-particle" : "", "parse-names" : false, "suffix" : "" }, { "dropping-particle" : "", "family" : "Tracka", "given" : "M", "non-dropping-particle" : "", "parse-names" : false, "suffix" : "" }, { "dropping-particle" : "", "family" : "Armer", "given" : "J", "non-dropping-particle" : "", "parse-names" : false, "suffix" : "" }, { "dropping-particle" : "", "family" : "Dearman", "given" : "R J", "non-dropping-particle" : "", "parse-names" : false, "suffix" : "" }, { "dropping-particle" : "", "family" : "Uddin", "given" : "S", "non-dropping-particle" : "", "parse-names" : false, "suffix" : "" }, { "dropping-particle" : "", "family" : "Walle", "given" : "C F", "non-dropping-particle" : "Van Der", "parse-names" : false, "suffix" : "" }, { "dropping-particle" : "", "family" : "Golovanov", "given" : "A P", "non-dropping-particle" : "", "parse-names" : false, "suffix" : "" } ], "container-title" : "International Journal of Pharmaceutics", "id" : "ITEM-2", "issued" : { "date-parts" : [ [ "2014" ] ] }, "page" : "126-133", "publisher" : "Elsevier B.V.", "title" : "The effect of arginine glutamate on the stability of monoclonal antibodies in solution", "type" : "article-journal", "volume" : "473" }, "uris" : [ "http://www.mendeley.com/documents/?uuid=6e5317c6-c5e5-4c29-9a4d-f77cd3b6788c" ] } ], "mendeley" : { "formattedCitation" : "(Golovanov et al. 2004; Kheddo et al. 2014)", "plainTextFormattedCitation" : "(Golovanov et al. 2004; Kheddo et al. 2014)", "previouslyFormattedCitation" : "(Golovanov et al. 2004; Kheddo et al. 2014)" }, "properties" : { "noteIndex" : 0 }, "schema" : "https://github.com/citation-style-language/schema/raw/master/csl-citation.json" }</w:instrText>
      </w:r>
      <w:r>
        <w:rPr>
          <w:szCs w:val="24"/>
        </w:rPr>
        <w:fldChar w:fldCharType="separate"/>
      </w:r>
      <w:r w:rsidRPr="004B30E6">
        <w:rPr>
          <w:noProof/>
          <w:szCs w:val="24"/>
        </w:rPr>
        <w:t>(Golovanov et al. 2004; Kheddo et al. 2014)</w:t>
      </w:r>
      <w:r>
        <w:rPr>
          <w:szCs w:val="24"/>
        </w:rPr>
        <w:fldChar w:fldCharType="end"/>
      </w:r>
      <w:r w:rsidR="00422ABA">
        <w:rPr>
          <w:szCs w:val="24"/>
        </w:rPr>
        <w:t xml:space="preserve"> (see section </w:t>
      </w:r>
      <w:r w:rsidR="00422ABA">
        <w:rPr>
          <w:szCs w:val="24"/>
        </w:rPr>
        <w:fldChar w:fldCharType="begin"/>
      </w:r>
      <w:r w:rsidR="00422ABA">
        <w:rPr>
          <w:szCs w:val="24"/>
        </w:rPr>
        <w:instrText xml:space="preserve"> REF _Ref460079142 \r \h </w:instrText>
      </w:r>
      <w:r w:rsidR="00422ABA">
        <w:rPr>
          <w:szCs w:val="24"/>
        </w:rPr>
      </w:r>
      <w:r w:rsidR="00422ABA">
        <w:rPr>
          <w:szCs w:val="24"/>
        </w:rPr>
        <w:fldChar w:fldCharType="separate"/>
      </w:r>
      <w:r w:rsidR="00AA6926">
        <w:rPr>
          <w:szCs w:val="24"/>
        </w:rPr>
        <w:t>1.6.2</w:t>
      </w:r>
      <w:r w:rsidR="00422ABA">
        <w:rPr>
          <w:szCs w:val="24"/>
        </w:rPr>
        <w:fldChar w:fldCharType="end"/>
      </w:r>
      <w:r w:rsidR="00422ABA">
        <w:rPr>
          <w:szCs w:val="24"/>
        </w:rPr>
        <w:t>)</w:t>
      </w:r>
      <w:r>
        <w:rPr>
          <w:szCs w:val="24"/>
        </w:rPr>
        <w:t>. Choosing suitable excipients for a particular formulation is a complex and challenging task. This is largely due to the fact that the molecular mechanisms governing these molecules</w:t>
      </w:r>
      <w:r w:rsidR="00422ABA">
        <w:rPr>
          <w:szCs w:val="24"/>
        </w:rPr>
        <w:t>’</w:t>
      </w:r>
      <w:r>
        <w:rPr>
          <w:szCs w:val="24"/>
        </w:rPr>
        <w:t xml:space="preserve"> actions are still not fu</w:t>
      </w:r>
      <w:r w:rsidR="00422ABA">
        <w:rPr>
          <w:szCs w:val="24"/>
        </w:rPr>
        <w:t>lly understood and as such their</w:t>
      </w:r>
      <w:r>
        <w:rPr>
          <w:szCs w:val="24"/>
        </w:rPr>
        <w:t xml:space="preserve"> specific effects in a given biopharmaceutical formulation cannot currently be accurately predicted. The principal molecular mechanisms currently suggested in the literature are discussed below in section </w:t>
      </w:r>
      <w:r>
        <w:rPr>
          <w:szCs w:val="24"/>
        </w:rPr>
        <w:fldChar w:fldCharType="begin"/>
      </w:r>
      <w:r>
        <w:rPr>
          <w:szCs w:val="24"/>
        </w:rPr>
        <w:instrText xml:space="preserve"> REF _Ref453342046 \r \h </w:instrText>
      </w:r>
      <w:r>
        <w:rPr>
          <w:szCs w:val="24"/>
        </w:rPr>
      </w:r>
      <w:r>
        <w:rPr>
          <w:szCs w:val="24"/>
        </w:rPr>
        <w:fldChar w:fldCharType="separate"/>
      </w:r>
      <w:r w:rsidR="00AA6926">
        <w:rPr>
          <w:szCs w:val="24"/>
        </w:rPr>
        <w:t>1.4</w:t>
      </w:r>
      <w:r>
        <w:rPr>
          <w:szCs w:val="24"/>
        </w:rPr>
        <w:fldChar w:fldCharType="end"/>
      </w:r>
      <w:r>
        <w:rPr>
          <w:szCs w:val="24"/>
        </w:rPr>
        <w:t xml:space="preserve">. A better understanding of these could lead to the development of ‘designer’ excipients or formulations, whose effects can be accurately predicted and compared </w:t>
      </w:r>
      <w:r>
        <w:rPr>
          <w:szCs w:val="24"/>
        </w:rPr>
        <w:fldChar w:fldCharType="begin" w:fldLock="1"/>
      </w:r>
      <w:r w:rsidR="00924827">
        <w:rPr>
          <w:szCs w:val="24"/>
        </w:rPr>
        <w:instrText>ADDIN CSL_CITATION { "citationItems" : [ { "id" : "ITEM-1", "itemData" : { "DOI" : "10.1007/s10529-013-1445-6", "ISSN" : "1573-6776", "PMID" : "24557073", "abstract" : "Formulation scientists employed in the biopharmaceutical industry face the challenge of creating liquid aqueous formulations for proteins that never had evolutionary pressure to be exceptionally stable or soluble. Yet commercial products usually need a shelf life of 2 years to be economically viable. The research done in this field is dominated by physical chemists who have developed theories like preferential interaction, preferential hydration and excluded volume to explain the mechanisms for the interaction between salt, small organic molecules and proteins. This review aims to translate the research findings on protein stability and solubility produced by the physical chemists and make it accessible to formulation scientists working within the biopharmaceutical industry.", "author" : [ { "dropping-particle" : "", "family" : "Bye", "given" : "J W", "non-dropping-particle" : "", "parse-names" : false, "suffix" : "" }, { "dropping-particle" : "", "family" : "Platts", "given" : "L", "non-dropping-particle" : "", "parse-names" : false, "suffix" : "" }, { "dropping-particle" : "", "family" : "Falconer", "given" : "R J", "non-dropping-particle" : "", "parse-names" : false, "suffix" : "" } ], "container-title" : "Biotechnology Letters", "id" : "ITEM-1", "issued" : { "date-parts" : [ [ "2014", "5" ] ] }, "page" : "869-875", "title" : "Biopharmaceutical liquid formulation: a review of the science of protein stability and solubility in aqueous environments", "type" : "article-journal", "volume" : "36" }, "uris" : [ "http://www.mendeley.com/documents/?uuid=cec86dc4-3d6c-44e2-8daa-aad86a45087b" ] } ], "mendeley" : { "formattedCitation" : "(Bye, Platts, et al. 2014)", "plainTextFormattedCitation" : "(Bye, Platts, et al. 2014)", "previouslyFormattedCitation" : "(Bye, Platts, et al. 2014)" }, "properties" : { "noteIndex" : 0 }, "schema" : "https://github.com/citation-style-language/schema/raw/master/csl-citation.json" }</w:instrText>
      </w:r>
      <w:r>
        <w:rPr>
          <w:szCs w:val="24"/>
        </w:rPr>
        <w:fldChar w:fldCharType="separate"/>
      </w:r>
      <w:r w:rsidR="00F30AC3" w:rsidRPr="00F30AC3">
        <w:rPr>
          <w:noProof/>
          <w:szCs w:val="24"/>
        </w:rPr>
        <w:t>(Bye, Platts, et al. 2014)</w:t>
      </w:r>
      <w:r>
        <w:rPr>
          <w:szCs w:val="24"/>
        </w:rPr>
        <w:fldChar w:fldCharType="end"/>
      </w:r>
      <w:r>
        <w:rPr>
          <w:szCs w:val="24"/>
        </w:rPr>
        <w:t>.</w:t>
      </w:r>
    </w:p>
    <w:p w14:paraId="1194733E" w14:textId="77777777" w:rsidR="00B262A1" w:rsidRPr="008927E7" w:rsidRDefault="00B262A1" w:rsidP="00A96D00">
      <w:pPr>
        <w:rPr>
          <w:color w:val="FF0000"/>
          <w:szCs w:val="24"/>
        </w:rPr>
      </w:pPr>
    </w:p>
    <w:p w14:paraId="0715C4DA" w14:textId="77777777" w:rsidR="003F2BCD" w:rsidRDefault="00A76235" w:rsidP="000A3469">
      <w:pPr>
        <w:pStyle w:val="Heading2"/>
      </w:pPr>
      <w:bookmarkStart w:id="53" w:name="_Ref452992570"/>
      <w:bookmarkStart w:id="54" w:name="_Ref453342046"/>
      <w:bookmarkStart w:id="55" w:name="_Toc485712748"/>
      <w:r w:rsidRPr="00E568C9">
        <w:t>Current suggestions for mechanism</w:t>
      </w:r>
      <w:r w:rsidR="003F2BCD" w:rsidRPr="00E568C9">
        <w:t xml:space="preserve"> of </w:t>
      </w:r>
      <w:r w:rsidR="0032070C">
        <w:t xml:space="preserve">protein </w:t>
      </w:r>
      <w:r w:rsidR="00F45FAF">
        <w:t xml:space="preserve">stabilisation </w:t>
      </w:r>
      <w:bookmarkEnd w:id="53"/>
      <w:r w:rsidR="0032070C">
        <w:t xml:space="preserve">or destabilisation by </w:t>
      </w:r>
      <w:bookmarkEnd w:id="54"/>
      <w:r w:rsidR="008D5285">
        <w:t>cosolutes</w:t>
      </w:r>
      <w:bookmarkEnd w:id="55"/>
    </w:p>
    <w:p w14:paraId="692DA2EE" w14:textId="77777777" w:rsidR="006460B1" w:rsidRDefault="00B04D22" w:rsidP="00B04D22">
      <w:pPr>
        <w:rPr>
          <w:szCs w:val="24"/>
        </w:rPr>
      </w:pPr>
      <w:r>
        <w:rPr>
          <w:szCs w:val="24"/>
        </w:rPr>
        <w:t>In thermodynamic terms, the presence of small molecules in solution can make unfolding more or less energetically favourable, therefore resulting in destabilisation or stabilisation respectively, depending on whether they make interactions between the protein and the solvent (including both water and small molecule) more or less favourable than in the absence of the small molecule</w:t>
      </w:r>
      <w:r w:rsidR="00422ABA">
        <w:rPr>
          <w:szCs w:val="24"/>
        </w:rPr>
        <w:t xml:space="preserve"> (</w:t>
      </w:r>
      <w:r w:rsidR="00422ABA">
        <w:rPr>
          <w:szCs w:val="24"/>
        </w:rPr>
        <w:fldChar w:fldCharType="begin"/>
      </w:r>
      <w:r w:rsidR="00422ABA">
        <w:rPr>
          <w:szCs w:val="24"/>
        </w:rPr>
        <w:instrText xml:space="preserve"> REF _Ref458611065 \h </w:instrText>
      </w:r>
      <w:r w:rsidR="00422ABA">
        <w:rPr>
          <w:szCs w:val="24"/>
        </w:rPr>
      </w:r>
      <w:r w:rsidR="00422ABA">
        <w:rPr>
          <w:szCs w:val="24"/>
        </w:rPr>
        <w:fldChar w:fldCharType="separate"/>
      </w:r>
      <w:r w:rsidR="00AA6926">
        <w:t xml:space="preserve">Figure </w:t>
      </w:r>
      <w:r w:rsidR="00AA6926">
        <w:rPr>
          <w:noProof/>
        </w:rPr>
        <w:t>1</w:t>
      </w:r>
      <w:r w:rsidR="00AA6926">
        <w:noBreakHyphen/>
      </w:r>
      <w:r w:rsidR="00AA6926">
        <w:rPr>
          <w:noProof/>
        </w:rPr>
        <w:t>1</w:t>
      </w:r>
      <w:r w:rsidR="00422ABA">
        <w:rPr>
          <w:szCs w:val="24"/>
        </w:rPr>
        <w:fldChar w:fldCharType="end"/>
      </w:r>
      <w:r w:rsidR="00422ABA">
        <w:rPr>
          <w:szCs w:val="24"/>
        </w:rPr>
        <w:t>;</w:t>
      </w:r>
      <w:r w:rsidR="004E586E">
        <w:rPr>
          <w:szCs w:val="24"/>
        </w:rPr>
        <w:t xml:space="preserve"> </w:t>
      </w:r>
      <w:r w:rsidR="00422ABA">
        <w:rPr>
          <w:szCs w:val="24"/>
        </w:rPr>
        <w:fldChar w:fldCharType="begin"/>
      </w:r>
      <w:r w:rsidR="00422ABA">
        <w:rPr>
          <w:szCs w:val="24"/>
        </w:rPr>
        <w:instrText xml:space="preserve"> REF _Ref460077509 \h </w:instrText>
      </w:r>
      <w:r w:rsidR="00422ABA">
        <w:rPr>
          <w:szCs w:val="24"/>
        </w:rPr>
      </w:r>
      <w:r w:rsidR="00422ABA">
        <w:rPr>
          <w:szCs w:val="24"/>
        </w:rPr>
        <w:fldChar w:fldCharType="separate"/>
      </w:r>
      <w:r w:rsidR="00AA6926">
        <w:t xml:space="preserve">Figure </w:t>
      </w:r>
      <w:r w:rsidR="00AA6926">
        <w:rPr>
          <w:noProof/>
        </w:rPr>
        <w:t>1</w:t>
      </w:r>
      <w:r w:rsidR="00AA6926">
        <w:noBreakHyphen/>
      </w:r>
      <w:r w:rsidR="00AA6926">
        <w:rPr>
          <w:noProof/>
        </w:rPr>
        <w:t>2</w:t>
      </w:r>
      <w:r w:rsidR="00422ABA">
        <w:rPr>
          <w:szCs w:val="24"/>
        </w:rPr>
        <w:fldChar w:fldCharType="end"/>
      </w:r>
      <w:r w:rsidR="00422ABA">
        <w:rPr>
          <w:szCs w:val="24"/>
        </w:rPr>
        <w:t>)</w:t>
      </w:r>
      <w:r>
        <w:rPr>
          <w:szCs w:val="24"/>
        </w:rPr>
        <w:t xml:space="preserve">. In other words, if the presence of the small molecule in solution makes the interaction between the protein and solution more favourable it is more energetically favourable for a larger surface of the protein to be exposed to interact with the solvent, therefore </w:t>
      </w:r>
      <w:r>
        <w:rPr>
          <w:szCs w:val="24"/>
        </w:rPr>
        <w:lastRenderedPageBreak/>
        <w:t xml:space="preserve">unfolding will occur more easily in order to expose the apolar core. The opposite phenomenon occurs if the interaction between protein and solution containing small molecules becomes less favourable: less protein surface will be exposed so it is more energetically favourable for the protein to be folded. </w:t>
      </w:r>
    </w:p>
    <w:p w14:paraId="16D06618" w14:textId="77777777" w:rsidR="00B30A02" w:rsidRDefault="006460B1" w:rsidP="00B04D22">
      <w:pPr>
        <w:rPr>
          <w:szCs w:val="24"/>
        </w:rPr>
      </w:pPr>
      <w:r>
        <w:rPr>
          <w:szCs w:val="24"/>
        </w:rPr>
        <w:t xml:space="preserve">Although the effects of salts and small molecules on proteins in solution are well documented, the molecular mechanisms by which they act are still under scrutiny. Many different mechanisms have been suggested over the years. It is entirely possible that each small molecule acts on protein stability via a specific </w:t>
      </w:r>
      <w:r w:rsidR="008E7EA4">
        <w:rPr>
          <w:szCs w:val="24"/>
        </w:rPr>
        <w:t xml:space="preserve">mechanism or set of mechanisms, which would go some way to explaining the large variation in degrees of </w:t>
      </w:r>
      <w:r w:rsidR="00DC3BE1">
        <w:rPr>
          <w:szCs w:val="24"/>
        </w:rPr>
        <w:t xml:space="preserve">nonlinear </w:t>
      </w:r>
      <w:r w:rsidR="008E7EA4">
        <w:rPr>
          <w:szCs w:val="24"/>
        </w:rPr>
        <w:t xml:space="preserve">stabilisation/destabilisation seen with the addition of cosolutes. </w:t>
      </w:r>
      <w:r w:rsidR="00C71C8A">
        <w:rPr>
          <w:szCs w:val="24"/>
        </w:rPr>
        <w:t xml:space="preserve">This of course makes determination of the molecular mechanisms a more complex task. </w:t>
      </w:r>
      <w:r>
        <w:rPr>
          <w:szCs w:val="24"/>
        </w:rPr>
        <w:t>However</w:t>
      </w:r>
      <w:r w:rsidR="00641447">
        <w:rPr>
          <w:szCs w:val="24"/>
        </w:rPr>
        <w:t>,</w:t>
      </w:r>
      <w:r w:rsidR="004E586E">
        <w:rPr>
          <w:szCs w:val="24"/>
        </w:rPr>
        <w:t xml:space="preserve"> there are a number of interactions</w:t>
      </w:r>
      <w:r>
        <w:rPr>
          <w:szCs w:val="24"/>
        </w:rPr>
        <w:t xml:space="preserve"> that have been suggested multiple times as general mechanisms of stabilisation or destabilisation, which are described below</w:t>
      </w:r>
      <w:r w:rsidR="00DC3BE1">
        <w:rPr>
          <w:szCs w:val="24"/>
        </w:rPr>
        <w:t xml:space="preserve"> and summarised in </w:t>
      </w:r>
      <w:r w:rsidR="00DC3BE1">
        <w:rPr>
          <w:szCs w:val="24"/>
        </w:rPr>
        <w:fldChar w:fldCharType="begin"/>
      </w:r>
      <w:r w:rsidR="00DC3BE1">
        <w:rPr>
          <w:szCs w:val="24"/>
        </w:rPr>
        <w:instrText xml:space="preserve"> REF _Ref460079402 \h </w:instrText>
      </w:r>
      <w:r w:rsidR="00DC3BE1">
        <w:rPr>
          <w:szCs w:val="24"/>
        </w:rPr>
      </w:r>
      <w:r w:rsidR="00DC3BE1">
        <w:rPr>
          <w:szCs w:val="24"/>
        </w:rPr>
        <w:fldChar w:fldCharType="separate"/>
      </w:r>
      <w:r w:rsidR="00AA6926">
        <w:t xml:space="preserve">Table </w:t>
      </w:r>
      <w:r w:rsidR="00AA6926">
        <w:rPr>
          <w:noProof/>
        </w:rPr>
        <w:t>1</w:t>
      </w:r>
      <w:r w:rsidR="00AA6926">
        <w:noBreakHyphen/>
      </w:r>
      <w:r w:rsidR="00AA6926">
        <w:rPr>
          <w:noProof/>
        </w:rPr>
        <w:t>6</w:t>
      </w:r>
      <w:r w:rsidR="00DC3BE1">
        <w:rPr>
          <w:szCs w:val="24"/>
        </w:rPr>
        <w:fldChar w:fldCharType="end"/>
      </w:r>
      <w:r>
        <w:rPr>
          <w:szCs w:val="24"/>
        </w:rPr>
        <w:t>.</w:t>
      </w:r>
    </w:p>
    <w:p w14:paraId="53E97432" w14:textId="77777777" w:rsidR="00B30A02" w:rsidRDefault="00B30A02" w:rsidP="00B30A02">
      <w:r>
        <w:br w:type="page"/>
      </w:r>
    </w:p>
    <w:p w14:paraId="3E1B74F6" w14:textId="77777777" w:rsidR="00B04D22" w:rsidRDefault="00B04D22" w:rsidP="00B04D22">
      <w:pPr>
        <w:rPr>
          <w:szCs w:val="24"/>
        </w:rPr>
      </w:pPr>
    </w:p>
    <w:p w14:paraId="3E62D031" w14:textId="77777777" w:rsidR="00B30A02" w:rsidRDefault="00B30A02" w:rsidP="006B257F">
      <w:pPr>
        <w:pStyle w:val="Caption"/>
        <w:keepNext/>
        <w:jc w:val="left"/>
      </w:pPr>
      <w:bookmarkStart w:id="56" w:name="_Ref460079402"/>
      <w:bookmarkStart w:id="57" w:name="_Ref460079397"/>
      <w:r>
        <w:t xml:space="preserve">Table </w:t>
      </w:r>
      <w:fldSimple w:instr=" STYLEREF 1 \s ">
        <w:r w:rsidR="00AA6926">
          <w:rPr>
            <w:noProof/>
          </w:rPr>
          <w:t>1</w:t>
        </w:r>
      </w:fldSimple>
      <w:r w:rsidR="00D6574D">
        <w:noBreakHyphen/>
      </w:r>
      <w:fldSimple w:instr=" SEQ Table \* ARABIC \s 1 ">
        <w:r w:rsidR="00AA6926">
          <w:rPr>
            <w:noProof/>
          </w:rPr>
          <w:t>6</w:t>
        </w:r>
      </w:fldSimple>
      <w:bookmarkEnd w:id="56"/>
      <w:r>
        <w:t>. Some of the major suggested mechanisms of cosolutes and how they differ between stabilisers and destabilisers</w:t>
      </w:r>
      <w:bookmarkEnd w:id="57"/>
    </w:p>
    <w:tbl>
      <w:tblPr>
        <w:tblStyle w:val="LightShading"/>
        <w:tblW w:w="0" w:type="auto"/>
        <w:tblLook w:val="04A0" w:firstRow="1" w:lastRow="0" w:firstColumn="1" w:lastColumn="0" w:noHBand="0" w:noVBand="1"/>
      </w:tblPr>
      <w:tblGrid>
        <w:gridCol w:w="2228"/>
        <w:gridCol w:w="2567"/>
        <w:gridCol w:w="2286"/>
        <w:gridCol w:w="1639"/>
      </w:tblGrid>
      <w:tr w:rsidR="00FB12E7" w14:paraId="74B6399A" w14:textId="77777777" w:rsidTr="00585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dxa"/>
            <w:shd w:val="clear" w:color="auto" w:fill="auto"/>
          </w:tcPr>
          <w:p w14:paraId="6FD9C4EF" w14:textId="77777777" w:rsidR="00FB12E7" w:rsidRDefault="00FB12E7" w:rsidP="00B04D22">
            <w:pPr>
              <w:rPr>
                <w:szCs w:val="24"/>
              </w:rPr>
            </w:pPr>
            <w:r>
              <w:rPr>
                <w:szCs w:val="24"/>
              </w:rPr>
              <w:t>Mechanism</w:t>
            </w:r>
          </w:p>
        </w:tc>
        <w:tc>
          <w:tcPr>
            <w:tcW w:w="2567" w:type="dxa"/>
            <w:shd w:val="clear" w:color="auto" w:fill="auto"/>
          </w:tcPr>
          <w:p w14:paraId="1064FC90" w14:textId="77777777" w:rsidR="00FB12E7" w:rsidRPr="00A00806" w:rsidRDefault="00FB12E7" w:rsidP="00992362">
            <w:pPr>
              <w:cnfStyle w:val="100000000000" w:firstRow="1" w:lastRow="0" w:firstColumn="0" w:lastColumn="0" w:oddVBand="0" w:evenVBand="0" w:oddHBand="0" w:evenHBand="0" w:firstRowFirstColumn="0" w:firstRowLastColumn="0" w:lastRowFirstColumn="0" w:lastRowLastColumn="0"/>
              <w:rPr>
                <w:b w:val="0"/>
                <w:szCs w:val="24"/>
              </w:rPr>
            </w:pPr>
            <w:r>
              <w:rPr>
                <w:szCs w:val="24"/>
              </w:rPr>
              <w:t>Stabilisers/ Osmolytes</w:t>
            </w:r>
          </w:p>
        </w:tc>
        <w:tc>
          <w:tcPr>
            <w:tcW w:w="2286" w:type="dxa"/>
            <w:shd w:val="clear" w:color="auto" w:fill="auto"/>
          </w:tcPr>
          <w:p w14:paraId="0D39DDFB" w14:textId="77777777" w:rsidR="00FB12E7" w:rsidRPr="00A00806" w:rsidRDefault="00FB12E7" w:rsidP="00B04D22">
            <w:pPr>
              <w:cnfStyle w:val="100000000000" w:firstRow="1" w:lastRow="0" w:firstColumn="0" w:lastColumn="0" w:oddVBand="0" w:evenVBand="0" w:oddHBand="0" w:evenHBand="0" w:firstRowFirstColumn="0" w:firstRowLastColumn="0" w:lastRowFirstColumn="0" w:lastRowLastColumn="0"/>
              <w:rPr>
                <w:b w:val="0"/>
                <w:szCs w:val="24"/>
              </w:rPr>
            </w:pPr>
            <w:r w:rsidRPr="00A00806">
              <w:rPr>
                <w:szCs w:val="24"/>
              </w:rPr>
              <w:t>Destabilisers/ Denaturants</w:t>
            </w:r>
          </w:p>
        </w:tc>
        <w:tc>
          <w:tcPr>
            <w:tcW w:w="1639" w:type="dxa"/>
            <w:shd w:val="clear" w:color="auto" w:fill="auto"/>
          </w:tcPr>
          <w:p w14:paraId="0005AC78" w14:textId="77777777" w:rsidR="00FB12E7" w:rsidRPr="00A00806" w:rsidRDefault="00FB12E7" w:rsidP="00B04D22">
            <w:pPr>
              <w:cnfStyle w:val="100000000000" w:firstRow="1" w:lastRow="0" w:firstColumn="0" w:lastColumn="0" w:oddVBand="0" w:evenVBand="0" w:oddHBand="0" w:evenHBand="0" w:firstRowFirstColumn="0" w:firstRowLastColumn="0" w:lastRowFirstColumn="0" w:lastRowLastColumn="0"/>
              <w:rPr>
                <w:szCs w:val="24"/>
              </w:rPr>
            </w:pPr>
            <w:r>
              <w:rPr>
                <w:szCs w:val="24"/>
              </w:rPr>
              <w:t>Section for reference</w:t>
            </w:r>
          </w:p>
        </w:tc>
      </w:tr>
      <w:tr w:rsidR="00FB12E7" w14:paraId="4CD0063B" w14:textId="77777777" w:rsidTr="0058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dxa"/>
            <w:shd w:val="clear" w:color="auto" w:fill="auto"/>
          </w:tcPr>
          <w:p w14:paraId="0DCCCA20" w14:textId="77777777" w:rsidR="00FB12E7" w:rsidRPr="009D78ED" w:rsidRDefault="00FB12E7" w:rsidP="00A00806">
            <w:pPr>
              <w:rPr>
                <w:b w:val="0"/>
                <w:sz w:val="20"/>
                <w:szCs w:val="20"/>
              </w:rPr>
            </w:pPr>
            <w:r w:rsidRPr="009D78ED">
              <w:rPr>
                <w:sz w:val="20"/>
                <w:szCs w:val="20"/>
              </w:rPr>
              <w:t>Preferential Interaction Parameter</w:t>
            </w:r>
          </w:p>
        </w:tc>
        <w:tc>
          <w:tcPr>
            <w:tcW w:w="2567" w:type="dxa"/>
            <w:shd w:val="clear" w:color="auto" w:fill="auto"/>
          </w:tcPr>
          <w:p w14:paraId="0472F4BC" w14:textId="77777777" w:rsidR="00FB12E7" w:rsidRPr="009D78ED" w:rsidRDefault="00FB12E7" w:rsidP="00A00806">
            <w:pP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Preferential Exclusion/Hydration</w:t>
            </w:r>
          </w:p>
        </w:tc>
        <w:tc>
          <w:tcPr>
            <w:tcW w:w="2286" w:type="dxa"/>
            <w:shd w:val="clear" w:color="auto" w:fill="auto"/>
          </w:tcPr>
          <w:p w14:paraId="4923923C" w14:textId="77777777" w:rsidR="00FB12E7" w:rsidRPr="009D78ED" w:rsidRDefault="00FB12E7" w:rsidP="00A00806">
            <w:pP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Preferential Interaction</w:t>
            </w:r>
          </w:p>
        </w:tc>
        <w:tc>
          <w:tcPr>
            <w:tcW w:w="1639" w:type="dxa"/>
            <w:shd w:val="clear" w:color="auto" w:fill="auto"/>
          </w:tcPr>
          <w:p w14:paraId="74ADDBA4" w14:textId="77777777" w:rsidR="00FB12E7" w:rsidRPr="009D78ED" w:rsidRDefault="00FB12E7" w:rsidP="00A00806">
            <w:pP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fldChar w:fldCharType="begin"/>
            </w:r>
            <w:r w:rsidRPr="009D78ED">
              <w:rPr>
                <w:sz w:val="20"/>
                <w:szCs w:val="20"/>
              </w:rPr>
              <w:instrText xml:space="preserve"> REF _Ref462648901 \r \h </w:instrText>
            </w:r>
            <w:r w:rsidR="009D78ED">
              <w:rPr>
                <w:sz w:val="20"/>
                <w:szCs w:val="20"/>
              </w:rPr>
              <w:instrText xml:space="preserve"> \* MERGEFORMAT </w:instrText>
            </w:r>
            <w:r w:rsidRPr="009D78ED">
              <w:rPr>
                <w:sz w:val="20"/>
                <w:szCs w:val="20"/>
              </w:rPr>
            </w:r>
            <w:r w:rsidRPr="009D78ED">
              <w:rPr>
                <w:sz w:val="20"/>
                <w:szCs w:val="20"/>
              </w:rPr>
              <w:fldChar w:fldCharType="separate"/>
            </w:r>
            <w:r w:rsidR="00AA6926">
              <w:rPr>
                <w:sz w:val="20"/>
                <w:szCs w:val="20"/>
              </w:rPr>
              <w:t>1.4.3.2</w:t>
            </w:r>
            <w:r w:rsidRPr="009D78ED">
              <w:rPr>
                <w:sz w:val="20"/>
                <w:szCs w:val="20"/>
              </w:rPr>
              <w:fldChar w:fldCharType="end"/>
            </w:r>
          </w:p>
        </w:tc>
      </w:tr>
      <w:tr w:rsidR="00FB12E7" w14:paraId="0C97238C" w14:textId="77777777" w:rsidTr="00585CA3">
        <w:tc>
          <w:tcPr>
            <w:cnfStyle w:val="001000000000" w:firstRow="0" w:lastRow="0" w:firstColumn="1" w:lastColumn="0" w:oddVBand="0" w:evenVBand="0" w:oddHBand="0" w:evenHBand="0" w:firstRowFirstColumn="0" w:firstRowLastColumn="0" w:lastRowFirstColumn="0" w:lastRowLastColumn="0"/>
            <w:tcW w:w="2228" w:type="dxa"/>
            <w:shd w:val="clear" w:color="auto" w:fill="auto"/>
          </w:tcPr>
          <w:p w14:paraId="638BF5C0" w14:textId="77777777" w:rsidR="00FB12E7" w:rsidRPr="009D78ED" w:rsidRDefault="00FB12E7" w:rsidP="00A00806">
            <w:pPr>
              <w:rPr>
                <w:b w:val="0"/>
                <w:sz w:val="20"/>
                <w:szCs w:val="20"/>
              </w:rPr>
            </w:pPr>
            <w:r w:rsidRPr="009D78ED">
              <w:rPr>
                <w:sz w:val="20"/>
                <w:szCs w:val="20"/>
              </w:rPr>
              <w:t>Effect on Water Structure</w:t>
            </w:r>
          </w:p>
        </w:tc>
        <w:tc>
          <w:tcPr>
            <w:tcW w:w="2567" w:type="dxa"/>
            <w:shd w:val="clear" w:color="auto" w:fill="auto"/>
          </w:tcPr>
          <w:p w14:paraId="0B5FAB4F" w14:textId="77777777" w:rsidR="00FB12E7" w:rsidRPr="009D78ED" w:rsidRDefault="00FB12E7" w:rsidP="00A00806">
            <w:pP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Water structure ‘maker’</w:t>
            </w:r>
          </w:p>
        </w:tc>
        <w:tc>
          <w:tcPr>
            <w:tcW w:w="2286" w:type="dxa"/>
            <w:shd w:val="clear" w:color="auto" w:fill="auto"/>
          </w:tcPr>
          <w:p w14:paraId="703BA008" w14:textId="77777777" w:rsidR="00FB12E7" w:rsidRPr="009D78ED" w:rsidRDefault="00FB12E7" w:rsidP="00A00806">
            <w:pP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Water structure ‘breaker’</w:t>
            </w:r>
          </w:p>
        </w:tc>
        <w:tc>
          <w:tcPr>
            <w:tcW w:w="1639" w:type="dxa"/>
            <w:shd w:val="clear" w:color="auto" w:fill="auto"/>
          </w:tcPr>
          <w:p w14:paraId="3A7744CC" w14:textId="77777777" w:rsidR="00FB12E7" w:rsidRPr="009D78ED" w:rsidRDefault="00FB12E7" w:rsidP="00A00806">
            <w:pP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fldChar w:fldCharType="begin"/>
            </w:r>
            <w:r w:rsidRPr="009D78ED">
              <w:rPr>
                <w:sz w:val="20"/>
                <w:szCs w:val="20"/>
              </w:rPr>
              <w:instrText xml:space="preserve"> REF _Ref462648922 \r \h </w:instrText>
            </w:r>
            <w:r w:rsidR="009D78ED">
              <w:rPr>
                <w:sz w:val="20"/>
                <w:szCs w:val="20"/>
              </w:rPr>
              <w:instrText xml:space="preserve"> \* MERGEFORMAT </w:instrText>
            </w:r>
            <w:r w:rsidRPr="009D78ED">
              <w:rPr>
                <w:sz w:val="20"/>
                <w:szCs w:val="20"/>
              </w:rPr>
            </w:r>
            <w:r w:rsidRPr="009D78ED">
              <w:rPr>
                <w:sz w:val="20"/>
                <w:szCs w:val="20"/>
              </w:rPr>
              <w:fldChar w:fldCharType="separate"/>
            </w:r>
            <w:r w:rsidR="00AA6926">
              <w:rPr>
                <w:sz w:val="20"/>
                <w:szCs w:val="20"/>
              </w:rPr>
              <w:t>1.4.3.1</w:t>
            </w:r>
            <w:r w:rsidRPr="009D78ED">
              <w:rPr>
                <w:sz w:val="20"/>
                <w:szCs w:val="20"/>
              </w:rPr>
              <w:fldChar w:fldCharType="end"/>
            </w:r>
          </w:p>
        </w:tc>
      </w:tr>
      <w:tr w:rsidR="00FB12E7" w14:paraId="7E11888D" w14:textId="77777777" w:rsidTr="0058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dxa"/>
            <w:shd w:val="clear" w:color="auto" w:fill="auto"/>
          </w:tcPr>
          <w:p w14:paraId="1D3B78BE" w14:textId="77777777" w:rsidR="00FB12E7" w:rsidRPr="009D78ED" w:rsidRDefault="00FB12E7" w:rsidP="00B04D22">
            <w:pPr>
              <w:rPr>
                <w:sz w:val="20"/>
                <w:szCs w:val="20"/>
              </w:rPr>
            </w:pPr>
            <w:r w:rsidRPr="009D78ED">
              <w:rPr>
                <w:sz w:val="20"/>
                <w:szCs w:val="20"/>
              </w:rPr>
              <w:t>Hydration of cosolute</w:t>
            </w:r>
          </w:p>
        </w:tc>
        <w:tc>
          <w:tcPr>
            <w:tcW w:w="2567" w:type="dxa"/>
            <w:shd w:val="clear" w:color="auto" w:fill="auto"/>
          </w:tcPr>
          <w:p w14:paraId="0D93E46C" w14:textId="77777777" w:rsidR="00FB12E7" w:rsidRPr="009D78ED" w:rsidRDefault="00FB12E7" w:rsidP="00B04D22">
            <w:pP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Strongly hydrated</w:t>
            </w:r>
          </w:p>
        </w:tc>
        <w:tc>
          <w:tcPr>
            <w:tcW w:w="2286" w:type="dxa"/>
            <w:shd w:val="clear" w:color="auto" w:fill="auto"/>
          </w:tcPr>
          <w:p w14:paraId="7DAEBD13" w14:textId="77777777" w:rsidR="00FB12E7" w:rsidRPr="009D78ED" w:rsidRDefault="00FB12E7" w:rsidP="00B04D22">
            <w:pP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Weakly hydrated</w:t>
            </w:r>
          </w:p>
        </w:tc>
        <w:tc>
          <w:tcPr>
            <w:tcW w:w="1639" w:type="dxa"/>
            <w:shd w:val="clear" w:color="auto" w:fill="auto"/>
          </w:tcPr>
          <w:p w14:paraId="33988ACC" w14:textId="77777777" w:rsidR="00FB12E7" w:rsidRPr="009D78ED" w:rsidRDefault="00FB12E7" w:rsidP="00B04D22">
            <w:pP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fldChar w:fldCharType="begin"/>
            </w:r>
            <w:r w:rsidRPr="009D78ED">
              <w:rPr>
                <w:sz w:val="20"/>
                <w:szCs w:val="20"/>
              </w:rPr>
              <w:instrText xml:space="preserve"> REF _Ref462648934 \r \h </w:instrText>
            </w:r>
            <w:r w:rsidR="009D78ED">
              <w:rPr>
                <w:sz w:val="20"/>
                <w:szCs w:val="20"/>
              </w:rPr>
              <w:instrText xml:space="preserve"> \* MERGEFORMAT </w:instrText>
            </w:r>
            <w:r w:rsidRPr="009D78ED">
              <w:rPr>
                <w:sz w:val="20"/>
                <w:szCs w:val="20"/>
              </w:rPr>
            </w:r>
            <w:r w:rsidRPr="009D78ED">
              <w:rPr>
                <w:sz w:val="20"/>
                <w:szCs w:val="20"/>
              </w:rPr>
              <w:fldChar w:fldCharType="separate"/>
            </w:r>
            <w:r w:rsidR="00AA6926">
              <w:rPr>
                <w:sz w:val="20"/>
                <w:szCs w:val="20"/>
              </w:rPr>
              <w:t>1.4.3.4</w:t>
            </w:r>
            <w:r w:rsidRPr="009D78ED">
              <w:rPr>
                <w:sz w:val="20"/>
                <w:szCs w:val="20"/>
              </w:rPr>
              <w:fldChar w:fldCharType="end"/>
            </w:r>
          </w:p>
        </w:tc>
      </w:tr>
      <w:tr w:rsidR="00FB12E7" w14:paraId="534FFA5A" w14:textId="77777777" w:rsidTr="00585CA3">
        <w:tc>
          <w:tcPr>
            <w:cnfStyle w:val="001000000000" w:firstRow="0" w:lastRow="0" w:firstColumn="1" w:lastColumn="0" w:oddVBand="0" w:evenVBand="0" w:oddHBand="0" w:evenHBand="0" w:firstRowFirstColumn="0" w:firstRowLastColumn="0" w:lastRowFirstColumn="0" w:lastRowLastColumn="0"/>
            <w:tcW w:w="2228" w:type="dxa"/>
            <w:shd w:val="clear" w:color="auto" w:fill="auto"/>
          </w:tcPr>
          <w:p w14:paraId="01B07E44" w14:textId="77777777" w:rsidR="00FB12E7" w:rsidRPr="009D78ED" w:rsidRDefault="00FB12E7" w:rsidP="00B04D22">
            <w:pPr>
              <w:rPr>
                <w:sz w:val="20"/>
                <w:szCs w:val="20"/>
              </w:rPr>
            </w:pPr>
            <w:r w:rsidRPr="009D78ED">
              <w:rPr>
                <w:sz w:val="20"/>
                <w:szCs w:val="20"/>
              </w:rPr>
              <w:t>Direct or Indirect Mechanisms</w:t>
            </w:r>
          </w:p>
        </w:tc>
        <w:tc>
          <w:tcPr>
            <w:tcW w:w="2567" w:type="dxa"/>
            <w:shd w:val="clear" w:color="auto" w:fill="auto"/>
          </w:tcPr>
          <w:p w14:paraId="6AE89FB0" w14:textId="77777777" w:rsidR="00FB12E7" w:rsidRPr="009D78ED" w:rsidRDefault="00FB12E7" w:rsidP="00B04D22">
            <w:pP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Indirect</w:t>
            </w:r>
          </w:p>
        </w:tc>
        <w:tc>
          <w:tcPr>
            <w:tcW w:w="2286" w:type="dxa"/>
            <w:shd w:val="clear" w:color="auto" w:fill="auto"/>
          </w:tcPr>
          <w:p w14:paraId="79430A7D" w14:textId="77777777" w:rsidR="00FB12E7" w:rsidRPr="009D78ED" w:rsidRDefault="00FB12E7" w:rsidP="00B04D22">
            <w:pP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Direct</w:t>
            </w:r>
          </w:p>
        </w:tc>
        <w:tc>
          <w:tcPr>
            <w:tcW w:w="1639" w:type="dxa"/>
            <w:shd w:val="clear" w:color="auto" w:fill="auto"/>
          </w:tcPr>
          <w:p w14:paraId="1BF64F61" w14:textId="77777777" w:rsidR="00FB12E7" w:rsidRPr="009D78ED" w:rsidRDefault="00FB12E7" w:rsidP="00B04D22">
            <w:pPr>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fldChar w:fldCharType="begin"/>
            </w:r>
            <w:r w:rsidRPr="009D78ED">
              <w:rPr>
                <w:sz w:val="20"/>
                <w:szCs w:val="20"/>
              </w:rPr>
              <w:instrText xml:space="preserve"> REF _Ref462648946 \r \h </w:instrText>
            </w:r>
            <w:r w:rsidR="009D78ED">
              <w:rPr>
                <w:sz w:val="20"/>
                <w:szCs w:val="20"/>
              </w:rPr>
              <w:instrText xml:space="preserve"> \* MERGEFORMAT </w:instrText>
            </w:r>
            <w:r w:rsidRPr="009D78ED">
              <w:rPr>
                <w:sz w:val="20"/>
                <w:szCs w:val="20"/>
              </w:rPr>
            </w:r>
            <w:r w:rsidRPr="009D78ED">
              <w:rPr>
                <w:sz w:val="20"/>
                <w:szCs w:val="20"/>
              </w:rPr>
              <w:fldChar w:fldCharType="separate"/>
            </w:r>
            <w:r w:rsidR="00AA6926">
              <w:rPr>
                <w:sz w:val="20"/>
                <w:szCs w:val="20"/>
              </w:rPr>
              <w:t>1.4.1</w:t>
            </w:r>
            <w:r w:rsidRPr="009D78ED">
              <w:rPr>
                <w:sz w:val="20"/>
                <w:szCs w:val="20"/>
              </w:rPr>
              <w:fldChar w:fldCharType="end"/>
            </w:r>
          </w:p>
        </w:tc>
      </w:tr>
      <w:tr w:rsidR="00FB12E7" w14:paraId="40826223" w14:textId="77777777" w:rsidTr="0058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dxa"/>
            <w:shd w:val="clear" w:color="auto" w:fill="auto"/>
          </w:tcPr>
          <w:p w14:paraId="3E443ECA" w14:textId="77777777" w:rsidR="00FB12E7" w:rsidRPr="009D78ED" w:rsidRDefault="00FB12E7" w:rsidP="00B04D22">
            <w:pPr>
              <w:rPr>
                <w:sz w:val="20"/>
                <w:szCs w:val="20"/>
              </w:rPr>
            </w:pPr>
            <w:r w:rsidRPr="009D78ED">
              <w:rPr>
                <w:sz w:val="20"/>
                <w:szCs w:val="20"/>
              </w:rPr>
              <w:t>Interaction with peptide backbone</w:t>
            </w:r>
          </w:p>
        </w:tc>
        <w:tc>
          <w:tcPr>
            <w:tcW w:w="2567" w:type="dxa"/>
            <w:shd w:val="clear" w:color="auto" w:fill="auto"/>
          </w:tcPr>
          <w:p w14:paraId="5B299B08" w14:textId="77777777" w:rsidR="00FB12E7" w:rsidRPr="009D78ED" w:rsidRDefault="00FB12E7" w:rsidP="00B04D22">
            <w:pP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Repelled</w:t>
            </w:r>
          </w:p>
        </w:tc>
        <w:tc>
          <w:tcPr>
            <w:tcW w:w="2286" w:type="dxa"/>
            <w:shd w:val="clear" w:color="auto" w:fill="auto"/>
          </w:tcPr>
          <w:p w14:paraId="662D5EF7" w14:textId="77777777" w:rsidR="00FB12E7" w:rsidRPr="009D78ED" w:rsidRDefault="00FB12E7" w:rsidP="00B04D22">
            <w:pP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Interaction</w:t>
            </w:r>
          </w:p>
        </w:tc>
        <w:tc>
          <w:tcPr>
            <w:tcW w:w="1639" w:type="dxa"/>
            <w:shd w:val="clear" w:color="auto" w:fill="auto"/>
          </w:tcPr>
          <w:p w14:paraId="75A11A7F" w14:textId="77777777" w:rsidR="00FB12E7" w:rsidRPr="009D78ED" w:rsidRDefault="00FB12E7" w:rsidP="00B04D22">
            <w:pPr>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fldChar w:fldCharType="begin"/>
            </w:r>
            <w:r w:rsidRPr="009D78ED">
              <w:rPr>
                <w:sz w:val="20"/>
                <w:szCs w:val="20"/>
              </w:rPr>
              <w:instrText xml:space="preserve"> REF _Ref460079516 \r \h </w:instrText>
            </w:r>
            <w:r w:rsidR="009D78ED">
              <w:rPr>
                <w:sz w:val="20"/>
                <w:szCs w:val="20"/>
              </w:rPr>
              <w:instrText xml:space="preserve"> \* MERGEFORMAT </w:instrText>
            </w:r>
            <w:r w:rsidRPr="009D78ED">
              <w:rPr>
                <w:sz w:val="20"/>
                <w:szCs w:val="20"/>
              </w:rPr>
            </w:r>
            <w:r w:rsidRPr="009D78ED">
              <w:rPr>
                <w:sz w:val="20"/>
                <w:szCs w:val="20"/>
              </w:rPr>
              <w:fldChar w:fldCharType="separate"/>
            </w:r>
            <w:r w:rsidR="00AA6926">
              <w:rPr>
                <w:sz w:val="20"/>
                <w:szCs w:val="20"/>
              </w:rPr>
              <w:t>1.4.5</w:t>
            </w:r>
            <w:r w:rsidRPr="009D78ED">
              <w:rPr>
                <w:sz w:val="20"/>
                <w:szCs w:val="20"/>
              </w:rPr>
              <w:fldChar w:fldCharType="end"/>
            </w:r>
          </w:p>
        </w:tc>
      </w:tr>
    </w:tbl>
    <w:p w14:paraId="64FBB70C" w14:textId="77777777" w:rsidR="00150C9A" w:rsidRPr="00150C9A" w:rsidRDefault="00150C9A" w:rsidP="003F2BCD">
      <w:pPr>
        <w:rPr>
          <w:szCs w:val="24"/>
        </w:rPr>
      </w:pPr>
    </w:p>
    <w:p w14:paraId="27AA3B80" w14:textId="77777777" w:rsidR="00F2188A" w:rsidRDefault="008D6ED0" w:rsidP="00F45FAF">
      <w:pPr>
        <w:pStyle w:val="Heading3"/>
      </w:pPr>
      <w:bookmarkStart w:id="58" w:name="_Ref462648946"/>
      <w:bookmarkStart w:id="59" w:name="_Toc485712749"/>
      <w:r>
        <w:t xml:space="preserve">Direct &amp; </w:t>
      </w:r>
      <w:r w:rsidR="00BF71A6">
        <w:t>i</w:t>
      </w:r>
      <w:r w:rsidR="00F2188A" w:rsidRPr="00E568C9">
        <w:t>ndirect interactions</w:t>
      </w:r>
      <w:bookmarkEnd w:id="58"/>
      <w:bookmarkEnd w:id="59"/>
    </w:p>
    <w:p w14:paraId="48B965CE" w14:textId="77777777" w:rsidR="009E3D3A" w:rsidRDefault="00992362" w:rsidP="00BF71A6">
      <w:r>
        <w:t xml:space="preserve">The many different mechanisms proposed for cosolute effects on protein stability can be very generally grouped into direct and indirect interactions, with direct interactions being defined as local interactions with the protein, or hydrogen bonding between cosolute and the peptide backbone and/or polar and charged side chains on the </w:t>
      </w:r>
      <w:r>
        <w:lastRenderedPageBreak/>
        <w:t xml:space="preserve">protein, and indirect interactions as global changes in water structure or solvation of the protein as a result of cosolute addition </w:t>
      </w:r>
      <w:r>
        <w:fldChar w:fldCharType="begin" w:fldLock="1"/>
      </w:r>
      <w:r w:rsidR="009E3D3A">
        <w:instrText>ADDIN CSL_CITATION { "citationItems" : [ { "id" : "ITEM-1", "itemData" : { "DOI" : "10.1146/annurev-physchem-040412-110156", "ISBN" : "0404121101", "ISSN" : "1545-1593", "PMID" : "23298246", "abstract" : "Proteins are marginally stable, and the folding/unfolding equilibrium of proteins in aqueous solution can easily be altered by the addition of small organic molecules known as cosolvents. Cosolvents that shift the equilibrium toward the unfolded ensemble are termed denaturants, whereas those that favor the folded ensemble are known as protecting osmolytes. Urea is a widely used denaturant in protein folding studies, and the molecular mechanism of its action has been vigorously debated in the literature. Here we review recent experimental as well as computational studies that show an emerging consensus in this problem. Urea has been shown to denature proteins through a direct mechanism, by interacting favorably with the peptide backbone as well as the amino acid side chains. In contrast, the molecular mechanism by which the naturally occurring protecting osmolyte trimethylamine N-oxide (TMAO) stabilizes proteins is not clear. Recent studies have established the strong interaction of TMAO with water. Detailed molecular simulations, when used with force fields that incorporate these interactions, can provide insight into this problem. We present the development of a model for TMAO that is consistent with experimental observations and that provides physical insight into the role of cosolvent-cosolvent interaction in determining its preferential interaction with proteins.", "author" : [ { "dropping-particle" : "", "family" : "Canchi", "given" : "D R", "non-dropping-particle" : "", "parse-names" : false, "suffix" : "" }, { "dropping-particle" : "", "family" : "Garc\u00eda", "given" : "A E", "non-dropping-particle" : "", "parse-names" : false, "suffix" : "" } ], "container-title" : "Annual Review of Physical Chemistry", "id" : "ITEM-1", "issued" : { "date-parts" : [ [ "2013", "1" ] ] }, "page" : "273-293", "title" : "Cosolvent effects on protein stability", "type" : "article-journal", "volume" : "64" }, "uris" : [ "http://www.mendeley.com/documents/?uuid=c94e0bc8-fff1-45a1-963c-43c51d64d686" ] }, { "id" : "ITEM-2", "itemData" : { "DOI" : "10.1146/annurev.physchem.59.032607.093635", "ISSN" : "1545-1593", "PMID" : "20055667", "abstract" : "The study of the interactions of salts and osmolytes with macromolecules in aqueous solution originated with experiments concerning protein precipitation more than 100 years ago. Today, these solutes are known to display recurring behavior for myriad biological and chemical processes. Such behavior depends both on the nature and concentration of the species in solution. Despite the generality of these effects, our understanding of the molecular-level details of ion and osmolyte specificity is still quite limited. Here, we review recent studies of the interactions between anions and urea with model macromolecular systems. A mechanism for specific ion effects is elucidated for aqueous systems containing charged and uncharged polymers, polypeptides, and proteins. The results clearly show that the effects of the anions are local and involve direct interactions with macromolecules and their first hydration shell. Also, a hydrogen-bonding mechanism is tested for the urea denaturation of proteins with some of these same systems. In that case, direct hydrogen bonding can be largely discounted as the key mechanism for urea stabilization of uncollapsed and/or unfolded structures.", "author" : [ { "dropping-particle" : "", "family" : "Zhang", "given" : "Y", "non-dropping-particle" : "", "parse-names" : false, "suffix" : "" }, { "dropping-particle" : "", "family" : "Cremer", "given" : "P S", "non-dropping-particle" : "", "parse-names" : false, "suffix" : "" } ], "container-title" : "Annual Review of Physical Chemistry", "id" : "ITEM-2", "issued" : { "date-parts" : [ [ "2010", "1" ] ] }, "page" : "63-83", "title" : "Chemistry of Hofmeister anions and osmolytes", "type" : "article-journal", "volume" : "61" }, "uris" : [ "http://www.mendeley.com/documents/?uuid=9751f8c7-a047-4e0b-acde-ca3763892664" ] } ], "mendeley" : { "formattedCitation" : "(Canchi &amp; Garc\u00eda 2013; Zhang &amp; Cremer 2010)", "plainTextFormattedCitation" : "(Canchi &amp; Garc\u00eda 2013; Zhang &amp; Cremer 2010)", "previouslyFormattedCitation" : "(Canchi &amp; Garc\u00eda 2013; Zhang &amp; Cremer 2010)" }, "properties" : { "noteIndex" : 0 }, "schema" : "https://github.com/citation-style-language/schema/raw/master/csl-citation.json" }</w:instrText>
      </w:r>
      <w:r>
        <w:fldChar w:fldCharType="separate"/>
      </w:r>
      <w:r w:rsidRPr="00992362">
        <w:rPr>
          <w:noProof/>
        </w:rPr>
        <w:t>(Canchi &amp; García 2013; Zhang &amp; Cremer 2010)</w:t>
      </w:r>
      <w:r>
        <w:fldChar w:fldCharType="end"/>
      </w:r>
      <w:r>
        <w:t>.</w:t>
      </w:r>
      <w:r w:rsidR="009E3D3A">
        <w:t xml:space="preserve"> The consensus tends to be that the charged Hofmeister salts and denaturants exert their effects on protein stability through direct interaction, and neutral and uncharged osmolytes exert their stabilising effects through indirect mechanisms. This is somewhat backed up by the early preferential interaction data showing destabilisers accumulating close to the protein surface and stabilisers being excluded </w:t>
      </w:r>
      <w:r w:rsidR="009E3D3A">
        <w:fldChar w:fldCharType="begin" w:fldLock="1"/>
      </w:r>
      <w:r w:rsidR="00622439">
        <w:instrText>ADDIN CSL_CITATION { "citationItems" : [ { "id" : "ITEM-1", "itemData" : { "ISSN" : "0003-9861", "PMID" : "6870251", "abstract" : "The preferential interactions of proteins with solvent components in concentrated amino acid solutions were measured by high-precision densimetry. Bovine serum albumin and lysozyme were preferentially hydrated in all of the amino acids examined, glycine, alpha- and beta-alanine, and betaine, i.e., addition of these amino acids resulted in an unfavorable free energy change. It was shown that, for the former three amino acids, known to have a positive surface tension increment, their perturbation of the surface free energy of water is consistent with their preferential exclusion from the protein surface. In the case of betaine, which does not increase the surface tension of water, preferential exclusion from protein surface must reflect the chemical structure of this cosolvent, which is considerably more hydrophobic than that of the other three amino acids.", "author" : [ { "dropping-particle" : "", "family" : "Arakawa", "given" : "T", "non-dropping-particle" : "", "parse-names" : false, "suffix" : "" }, { "dropping-particle" : "", "family" : "Timasheff", "given" : "S N", "non-dropping-particle" : "", "parse-names" : false, "suffix" : "" } ], "container-title" : "Archives of Biochemistry and Biophysics", "id" : "ITEM-1", "issued" : { "date-parts" : [ [ "1983", "7", "1" ] ] }, "page" : "169-177", "title" : "Preferential interactions of proteins with solvent components in aqueous amino acid solutions", "type" : "article-journal", "volume" : "224" }, "uris" : [ "http://www.mendeley.com/documents/?uuid=1a6cbc50-77f9-4f1c-84c3-3f29af9f71b8" ] }, { "id" : "ITEM-2", "itemData" : { "ISSN" : "0006-2960", "PMID" : "7150575", "abstract" : "The preferential interactions of proteins with solvent components were studied in concentrated salt by densimetric measurements. Proteins were found to be preferentially hydrated in NaCl, NaCH3COO, and Na2SO4. The resulting unfavorable free-energy change was related to the effects of these salts on solubility and stability of the proteins. This unfavorable free-energy change was correlated with the large, positive surface tension increment of these salts, i.e., their perturbation of surface free energy. On the other hand, KSCN, CaCl2, and MgCl2 showed considerable binding to bovine serum albumin, which could be related to their destabilizing and salting-in effects on macromolecules. Since the last two salts have high surface tension increments, it was concluded that this does not necessarily lead to protein preferential hydration and stabilization.", "author" : [ { "dropping-particle" : "", "family" : "Arakawa", "given" : "T", "non-dropping-particle" : "", "parse-names" : false, "suffix" : "" }, { "dropping-particle" : "", "family" : "Timasheff", "given" : "S N", "non-dropping-particle" : "", "parse-names" : false, "suffix" : "" } ], "container-title" : "Biochemistry", "id" : "ITEM-2", "issued" : { "date-parts" : [ [ "1982", "12", "7" ] ] }, "page" : "6545-6552", "title" : "Preferential interactions of proteins with salts in concentrated solutions", "type" : "article-journal", "volume" : "21" }, "uris" : [ "http://www.mendeley.com/documents/?uuid=c01411bd-68f9-4eb7-be30-8bddb7042154" ] }, { "id" : "ITEM-3", "itemData" : { "DOI" : "10.1016/S0006-3495(85)83932-1", "ISSN" : "0006-3495", "PMID" : "3978211", "abstract" : "The preferential interactions of lysozyme with solvent components and the effects of solvent additives on its stability were examined for several neutral osmolytes: L-proline, L-serine, gamma-aminobutyric acid, sarcosine, taurine, alpha-alanine, beta-alanine, glycine, betaine, and trimethylamine N-oxide. It was shown that all these substances stabilize the protein structure against thermal denaturation and (except for trimethylamine N-oxide for which interaction measurements could not be made) are strongly excluded from the protein domain, rendering unlikely their direct binding to proteins. On the other hand, valine, not known as an osmolyte, had no stabilizing effect, although it induced a large protein-preferential hydration. A possible explanation is given for the use of these substances as osmotic-pressure-regulating agents in organisms living under high osmotic pressure.", "author" : [ { "dropping-particle" : "", "family" : "Arakawa", "given" : "T", "non-dropping-particle" : "", "parse-names" : false, "suffix" : "" }, { "dropping-particle" : "", "family" : "Timasheff", "given" : "S N", "non-dropping-particle" : "", "parse-names" : false, "suffix" : "" } ], "container-title" : "Biophysical Journal", "id" : "ITEM-3", "issued" : { "date-parts" : [ [ "1985", "3" ] ] }, "page" : "411-414", "title" : "The stabilization of proteins by osmolytes", "type" : "article-journal", "volume" : "47" }, "uris" : [ "http://www.mendeley.com/documents/?uuid=a1e19a58-b0d0-4a61-ada1-8d4bd546989a" ] } ], "mendeley" : { "formattedCitation" : "(Arakawa &amp; Timasheff 1983; Arakawa &amp; Timasheff 1982a; Arakawa &amp; Timasheff 1985)", "plainTextFormattedCitation" : "(Arakawa &amp; Timasheff 1983; Arakawa &amp; Timasheff 1982a; Arakawa &amp; Timasheff 1985)", "previouslyFormattedCitation" : "(Arakawa &amp; Timasheff 1983; Arakawa &amp; Timasheff 1982a; Arakawa &amp; Timasheff 1985)" }, "properties" : { "noteIndex" : 0 }, "schema" : "https://github.com/citation-style-language/schema/raw/master/csl-citation.json" }</w:instrText>
      </w:r>
      <w:r w:rsidR="009E3D3A">
        <w:fldChar w:fldCharType="separate"/>
      </w:r>
      <w:r w:rsidR="00622439" w:rsidRPr="00622439">
        <w:rPr>
          <w:noProof/>
        </w:rPr>
        <w:t>(Arakawa &amp; Timasheff 1983; Arakawa &amp; Timasheff 1982a; Arakawa &amp; Timasheff 1985)</w:t>
      </w:r>
      <w:r w:rsidR="009E3D3A">
        <w:fldChar w:fldCharType="end"/>
      </w:r>
      <w:r w:rsidR="009E3D3A">
        <w:t>, which is discussed further in section</w:t>
      </w:r>
      <w:r w:rsidR="00075877">
        <w:t xml:space="preserve"> </w:t>
      </w:r>
      <w:r w:rsidR="00075877">
        <w:fldChar w:fldCharType="begin"/>
      </w:r>
      <w:r w:rsidR="00075877">
        <w:instrText xml:space="preserve"> REF _Ref455651654 \r \h </w:instrText>
      </w:r>
      <w:r w:rsidR="00075877">
        <w:fldChar w:fldCharType="separate"/>
      </w:r>
      <w:r w:rsidR="00AA6926">
        <w:t>1.4.3.2</w:t>
      </w:r>
      <w:r w:rsidR="00075877">
        <w:fldChar w:fldCharType="end"/>
      </w:r>
      <w:r w:rsidR="009E3D3A">
        <w:t xml:space="preserve">. </w:t>
      </w:r>
      <w:r w:rsidR="008A147F">
        <w:t xml:space="preserve">Although, as can be seen in </w:t>
      </w:r>
      <w:r w:rsidR="008A147F">
        <w:fldChar w:fldCharType="begin"/>
      </w:r>
      <w:r w:rsidR="008A147F">
        <w:instrText xml:space="preserve"> REF _Ref452997917 \h </w:instrText>
      </w:r>
      <w:r w:rsidR="008A147F">
        <w:fldChar w:fldCharType="separate"/>
      </w:r>
      <w:r w:rsidR="00AA6926">
        <w:t xml:space="preserve">Table </w:t>
      </w:r>
      <w:r w:rsidR="00AA6926">
        <w:rPr>
          <w:noProof/>
        </w:rPr>
        <w:t>1</w:t>
      </w:r>
      <w:r w:rsidR="00AA6926">
        <w:noBreakHyphen/>
      </w:r>
      <w:r w:rsidR="00AA6926">
        <w:rPr>
          <w:noProof/>
        </w:rPr>
        <w:t>2</w:t>
      </w:r>
      <w:r w:rsidR="008A147F">
        <w:fldChar w:fldCharType="end"/>
      </w:r>
      <w:r w:rsidR="008A147F">
        <w:t xml:space="preserve">, indirect mechanisms have also been used to explain the effects of urea and guanidinium. The indirect mechanism theory for denaturants is also supported by the fact that a high concentration of denaturant is required to exert denaturing effects on proteins, leading to the assumption that a large global change in the composition of the solvent is required to have an effect </w:t>
      </w:r>
      <w:r w:rsidR="008A147F">
        <w:fldChar w:fldCharType="begin" w:fldLock="1"/>
      </w:r>
      <w:r w:rsidR="00924827">
        <w:instrText>ADDIN CSL_CITATION { "citationItems" : [ { "id" : "ITEM-1", "itemData" : { "DOI" : "10.1073/pnas.0930122100", "ISBN" : "0930122100", "ISSN" : "0027-8424", "PMID" : "12702764", "abstract" : "Molecular dynamics simulations of the protein chymotrypsin inhibitor 2 in 8 M urea at 60 degrees C were undertaken to investigate the molecular basis of chemical denaturation. The protein unfolded rapidly under these conditions, but it retained its native structure in a control simulation in water at the same temperature. The overall process of unfolding in urea was similar to that observed in thermal denaturation simulations above the protein's T(m) of 75 degrees C. The first step in unfolding was expansion of the hydrophobic core. Then, the core was solvated by water and later by urea. The denatured structures in both urea and at high temperature contained residual native helical structure, whereas the beta-structure was completely disrupted. The average residence time for urea around hydrophilic groups was six times greater than around hydrophobic residues and in all cases greater than the corresponding water residence times. Water self-diffusion was reduced 40% in 8 M urea. Urea altered water structure and dynamics, thereby diminishing the hydrophobic effect and encouraging solvation of hydrophobic groups. In addition, through urea's weakening of water structure, water became free to compete with intraprotein interactions. Urea also interacted directly with polar residues and the peptide backbone, thereby stabilizing nonnative conformations. These simulations suggest that urea denatures proteins via both direct and indirect mechanisms.", "author" : [ { "dropping-particle" : "", "family" : "Bennion", "given" : "B J", "non-dropping-particle" : "", "parse-names" : false, "suffix" : "" }, { "dropping-particle" : "", "family" : "Daggett", "given" : "V", "non-dropping-particle" : "", "parse-names" : false, "suffix" : "" } ], "container-title" : "Proceedings of the National Academy of Sciences of the United States of America", "id" : "ITEM-1", "issued" : { "date-parts" : [ [ "2003", "4", "29" ] ] }, "page" : "5142-7", "title" : "The molecular basis for the chemical denaturation of proteins by urea", "type" : "article-journal", "volume" : "100" }, "uris" : [ "http://www.mendeley.com/documents/?uuid=13cdee9f-0a0d-4948-bab9-2736d8b2bd04" ] } ], "mendeley" : { "formattedCitation" : "(Bennion &amp; Daggett 2003)", "plainTextFormattedCitation" : "(Bennion &amp; Daggett 2003)", "previouslyFormattedCitation" : "(Bennion &amp; Daggett 2003)" }, "properties" : { "noteIndex" : 0 }, "schema" : "https://github.com/citation-style-language/schema/raw/master/csl-citation.json" }</w:instrText>
      </w:r>
      <w:r w:rsidR="008A147F">
        <w:fldChar w:fldCharType="separate"/>
      </w:r>
      <w:r w:rsidR="008A147F" w:rsidRPr="008A147F">
        <w:rPr>
          <w:noProof/>
        </w:rPr>
        <w:t>(Bennion &amp; Daggett 2003)</w:t>
      </w:r>
      <w:r w:rsidR="008A147F">
        <w:fldChar w:fldCharType="end"/>
      </w:r>
      <w:r w:rsidR="008A147F">
        <w:t xml:space="preserve">. The indirect mechanism theory for stabilisers is supported by the fact that osmolytes are thought to exert similar effects on proteins regardless of size, net charge etc. </w:t>
      </w:r>
    </w:p>
    <w:p w14:paraId="0B83748B" w14:textId="77777777" w:rsidR="009E3D3A" w:rsidRDefault="009E3D3A" w:rsidP="00BF71A6">
      <w:r>
        <w:t xml:space="preserve">More recently it has been accepted that this </w:t>
      </w:r>
      <w:r w:rsidR="008A147F">
        <w:t>separation of direct and indirect mechanisms</w:t>
      </w:r>
      <w:r>
        <w:t xml:space="preserve"> is far too simplistic to explain the action of all cosolutes on protein stability. </w:t>
      </w:r>
      <w:r w:rsidR="00E63AF0">
        <w:t>Firstly the categorisation of direct and indirect mechanisms being based on whether water is involved is misleading</w:t>
      </w:r>
      <w:r w:rsidR="00805048">
        <w:t xml:space="preserve"> as there are mechanisms which could be described as both direct and indirect</w:t>
      </w:r>
      <w:r w:rsidR="007C668E">
        <w:t xml:space="preserve"> under this definition</w:t>
      </w:r>
      <w:r w:rsidR="00E63AF0">
        <w:t xml:space="preserve">. Some direct interactions with the protein are </w:t>
      </w:r>
      <w:r w:rsidR="0024255E">
        <w:t xml:space="preserve">actually </w:t>
      </w:r>
      <w:r w:rsidR="00E63AF0">
        <w:t>mediated by wate</w:t>
      </w:r>
      <w:r w:rsidR="00805048">
        <w:t xml:space="preserve">r, such as how denaturants are suggested </w:t>
      </w:r>
      <w:r w:rsidR="00E63AF0">
        <w:t>to interact with the hydrophobic core of the protein</w:t>
      </w:r>
      <w:r w:rsidR="00805048">
        <w:t xml:space="preserve"> </w:t>
      </w:r>
      <w:r w:rsidR="00805048">
        <w:fldChar w:fldCharType="begin" w:fldLock="1"/>
      </w:r>
      <w:r w:rsidR="00924827">
        <w:instrText>ADDIN CSL_CITATION { "citationItems" : [ { "id" : "ITEM-1", "itemData" : { "DOI" : "10.1021/jp906976q", "ISSN" : "15205207", "PMID" : "20146543", "abstract" : "Guanidinium chloride (GdmCl) is a widely used chemical denaturant that unfolds proteins. Its effects on hydrophobic interactions are, however, not fully understood. We quantify the effects of GdmCl on various manifestations of hydrophobicity--from solvation and interactions of small solutes to folding-unfolding of hydrophobic polymers--in water and in concentrated GdmCl solutions. For comparison, we also perform similar calculations in solutions of NaCl and CsCl in water. Like NaCl and CsCl, GdmCl increases the surface tension of water, decreases the solubility of small hydrophobic solutes, and enhances the strength of hydrophobic interactions at the pair level. However, unlike NaCl and CsCl, GdmCl destabilizes folded states of hydrophobic polymers. We show that Gdm(+) ions preferentially coat the hydrophobic polymer, and it is the direct van der Waals interaction between Gdm(+) ions and the polymer that contributes to the destabilization of folded states. Interestingly, the temperature dependence of the free energy of unfolding of the hydrophobic polymer in water is protein-like, with signatures of both heat and cold denaturation. Addition of GdmCl shifts the cold denaturation temperature higher, into the experimentally accessible region. Finally, translational as well as conformational dynamics of the polymer are slower in GdmCl and correlate with dynamics of water molecules in solution.", "author" : [ { "dropping-particle" : "", "family" : "Godawat", "given" : "R", "non-dropping-particle" : "", "parse-names" : false, "suffix" : "" }, { "dropping-particle" : "", "family" : "Jamadagni", "given" : "S N", "non-dropping-particle" : "", "parse-names" : false, "suffix" : "" }, { "dropping-particle" : "", "family" : "Garde", "given" : "S", "non-dropping-particle" : "", "parse-names" : false, "suffix" : "" } ], "container-title" : "Journal of Physical Chemistry B", "id" : "ITEM-1", "issued" : { "date-parts" : [ [ "2010" ] ] }, "page" : "2246-2254", "title" : "Unfolding of hydrophobic polymers in guanidinium chloride solutions", "type" : "article-journal", "volume" : "114" }, "uris" : [ "http://www.mendeley.com/documents/?uuid=90160387-883d-4f0e-ab71-0823620d8671" ] } ], "mendeley" : { "formattedCitation" : "(Godawat et al. 2010)", "plainTextFormattedCitation" : "(Godawat et al. 2010)", "previouslyFormattedCitation" : "(Godawat et al. 2010)" }, "properties" : { "noteIndex" : 0 }, "schema" : "https://github.com/citation-style-language/schema/raw/master/csl-citation.json" }</w:instrText>
      </w:r>
      <w:r w:rsidR="00805048">
        <w:fldChar w:fldCharType="separate"/>
      </w:r>
      <w:r w:rsidR="00805048" w:rsidRPr="00805048">
        <w:rPr>
          <w:noProof/>
        </w:rPr>
        <w:t>(Godawat et al. 2010)</w:t>
      </w:r>
      <w:r w:rsidR="00805048">
        <w:fldChar w:fldCharType="end"/>
      </w:r>
      <w:r w:rsidR="00E63AF0">
        <w:t>.</w:t>
      </w:r>
      <w:r w:rsidR="00805048">
        <w:t xml:space="preserve"> Also mechanisms involving interactions with the peptide backbone, discussed further in section</w:t>
      </w:r>
      <w:r w:rsidR="00DC3BE1">
        <w:t xml:space="preserve"> </w:t>
      </w:r>
      <w:r w:rsidR="00DC3BE1">
        <w:fldChar w:fldCharType="begin"/>
      </w:r>
      <w:r w:rsidR="00DC3BE1">
        <w:instrText xml:space="preserve"> REF _Ref460079516 \r \h </w:instrText>
      </w:r>
      <w:r w:rsidR="00DC3BE1">
        <w:fldChar w:fldCharType="separate"/>
      </w:r>
      <w:r w:rsidR="00AA6926">
        <w:t>1.4.5</w:t>
      </w:r>
      <w:r w:rsidR="00DC3BE1">
        <w:fldChar w:fldCharType="end"/>
      </w:r>
      <w:r w:rsidR="00805048">
        <w:t xml:space="preserve">, can be mediated through water via a so called ‘osmophobic effect’, which doesn’t fit the definitions of direct or indirect mechanisms exclusively </w:t>
      </w:r>
      <w:r w:rsidR="00805048">
        <w:fldChar w:fldCharType="begin" w:fldLock="1"/>
      </w:r>
      <w:r w:rsidR="007C668E">
        <w:instrText>ADDIN CSL_CITATION { "citationItems" : [ { "id" : "ITEM-1", "itemData" : { "DOI" : "10.1006/jmbi.2001.4819", "ISSN" : "0022-2836", "PMID" : "11502004", "abstract" : "Intracellular organic osmolytes are present in certain organisms adapted to harsh environments and these osmolytes protect intracellular macromolecules against the denaturing environmental stress. In natural selection of organic osmolytes as protein stabilizers, it appears that the osmolyte property selected for is the unfavorable interaction between the osmolyte and the peptide backbone, a solvophobic thermodynamic force that we call the osmophobic effect. Because the peptide backbone is highly exposed to osmolyte in the denatured state, the osmophobic effect preferentially raises the free energy of the denatured state, shifting the equilibrium in favor of the native state. By focusing the solvophobic force on the denatured state, the native state is left free to function relatively unfettered by the presence of osmolyte. The osmophobic effect is a newly uncovered thermodynamic force in nature that complements the well-recognized hydrophobic interactions, hydrogen bonding, electrostatic and dispersion forces that drive protein folding. In organisms whose survival depends on the intracellular presence of osmolytes that can counteract denaturing stresses, the osmophobic effect is as fundamental to protein folding as these well-recognized forces.", "author" : [ { "dropping-particle" : "", "family" : "Bolen", "given" : "D W", "non-dropping-particle" : "", "parse-names" : false, "suffix" : "" }, { "dropping-particle" : "V", "family" : "Baskakov", "given" : "I", "non-dropping-particle" : "", "parse-names" : false, "suffix" : "" } ], "container-title" : "Journal of Molecular Biology", "id" : "ITEM-1", "issued" : { "date-parts" : [ [ "2001", "7", "27" ] ] }, "page" : "955-963", "title" : "The osmophobic effect: Natural selection of a thermodynamic force in protein folding", "type" : "article-journal", "volume" : "310" }, "uris" : [ "http://www.mendeley.com/documents/?uuid=3c78e1da-09f3-4763-88ea-d97117649a97" ] } ], "mendeley" : { "formattedCitation" : "(Bolen &amp; Baskakov 2001)", "plainTextFormattedCitation" : "(Bolen &amp; Baskakov 2001)", "previouslyFormattedCitation" : "(Bolen &amp; Baskakov 2001)" }, "properties" : { "noteIndex" : 0 }, "schema" : "https://github.com/citation-style-language/schema/raw/master/csl-citation.json" }</w:instrText>
      </w:r>
      <w:r w:rsidR="00805048">
        <w:fldChar w:fldCharType="separate"/>
      </w:r>
      <w:r w:rsidR="00805048" w:rsidRPr="00805048">
        <w:rPr>
          <w:noProof/>
        </w:rPr>
        <w:t>(Bolen &amp; Baskakov 2001)</w:t>
      </w:r>
      <w:r w:rsidR="00805048">
        <w:fldChar w:fldCharType="end"/>
      </w:r>
      <w:r w:rsidR="00805048">
        <w:t>.</w:t>
      </w:r>
    </w:p>
    <w:p w14:paraId="4D1AB0C4" w14:textId="77777777" w:rsidR="007C668E" w:rsidRDefault="007C668E" w:rsidP="00BF71A6">
      <w:r>
        <w:t xml:space="preserve">Furthermore, recent work across a number of disciplines has shown that one singular molecular mechanism cannot be responsible for all stabilising or destabilising effects on proteins by different cosolutes. It is even highly unlikely that only one mechanism is </w:t>
      </w:r>
      <w:r>
        <w:lastRenderedPageBreak/>
        <w:t xml:space="preserve">responsible for the effects of a single cosolute on protein stability. This is particularly true where the effects on protein stability vary depending on cosolute concentration. Molecular dynamics simulations have recently shown urea to denature chymotrypsin inhibitor 2 through a mixture of direct interaction with polar residues and the peptide backbone, and indirect mechanisms involving the weakening of water structure </w:t>
      </w:r>
      <w:r>
        <w:fldChar w:fldCharType="begin" w:fldLock="1"/>
      </w:r>
      <w:r>
        <w:instrText>ADDIN CSL_CITATION { "citationItems" : [ { "id" : "ITEM-1", "itemData" : { "DOI" : "10.1073/pnas.0308633101", "ISBN" : "0027-8424\\r1091-6490", "ISSN" : "0027-8424", "PMID" : "15096583", "abstract" : "Proteins are very sensitive to their solvent environments. Urea is a common chemical denaturant of proteins, yet some animals contain high concentrations of urea. These animals have evolved an interesting mechanism to counteract the effects of urea by using trimethylamine N-oxide (TMAO). The molecular basis for the ability of TMAO to act as a chemical chaperone remains unknown. Here, we describe molecular dynamics simulations of a small globular protein, chymotrypsin inhibitor 2, in 8 M urea and 4 M TMAO/8 M urea solutions, in addition to other control simulations, to investigate this effect at the atomic level. In 8 M urea, the protein unfolds, and urea acts in both a direct and indirect manner to achieve this effect. In contrast, introduction of 4 M TMAO counteracts the effect of urea and the protein remains well structured. TMAO makes few direct interactions with the protein. Instead, it prevents unfolding of the protein by structuring the solvent. In particular, TMAO orders the solvent and discourages it from competing with intraprotein H bonds and breaking up the hydrophobic core of the protein.", "author" : [ { "dropping-particle" : "", "family" : "Bennion", "given" : "B J", "non-dropping-particle" : "", "parse-names" : false, "suffix" : "" }, { "dropping-particle" : "", "family" : "Daggett", "given" : "V", "non-dropping-particle" : "", "parse-names" : false, "suffix" : "" } ], "container-title" : "Proceedings of the National Academy of Sciences of the United States of America", "id" : "ITEM-1", "issued" : { "date-parts" : [ [ "2004" ] ] }, "page" : "6433-6438", "title" : "Counteraction of urea-induced protein denaturation by trimethylamine N-oxide: A chemical chaperone at atomic resolution", "type" : "article-journal", "volume" : "101" }, "uris" : [ "http://www.mendeley.com/documents/?uuid=6df903bf-3647-4c8c-b8a0-46abc221cdeb" ] } ], "mendeley" : { "formattedCitation" : "(Bennion &amp; Daggett 2004)", "plainTextFormattedCitation" : "(Bennion &amp; Daggett 2004)", "previouslyFormattedCitation" : "(Bennion &amp; Daggett 2004)" }, "properties" : { "noteIndex" : 0 }, "schema" : "https://github.com/citation-style-language/schema/raw/master/csl-citation.json" }</w:instrText>
      </w:r>
      <w:r>
        <w:fldChar w:fldCharType="separate"/>
      </w:r>
      <w:r w:rsidRPr="007C668E">
        <w:rPr>
          <w:noProof/>
        </w:rPr>
        <w:t>(Bennion &amp; Daggett 2004)</w:t>
      </w:r>
      <w:r>
        <w:fldChar w:fldCharType="end"/>
      </w:r>
      <w:r>
        <w:t xml:space="preserve">. Experimental techniques have also shown the Hofmeister salts to affect the stability of lysozyme through a mixture of direct and indirect mechanisms depending on whether high, medium or low concentrations of salt are present </w:t>
      </w:r>
      <w:r>
        <w:fldChar w:fldCharType="begin" w:fldLock="1"/>
      </w:r>
      <w:r w:rsidR="00BA2CA9">
        <w:instrText>ADDIN CSL_CITATION { "citationItems" : [ { "id" : "ITEM-1", "itemData" : { "DOI" : "10.1002/pro.2355", "ISSN" : "1469-896X", "PMID" : "24038575", "abstract" : "Anion and cation effects on the structural stability of lysozyme were investigated using differential scanning calorimetry. At low concentrations (&lt;5 mM) anions and cations alter the stability of lysozyme but they do not follow the Hofmeister (or inverse Hofmeister) series. At higher concentrations protein stabilization follows the well-established Hofmeister series. Our hypothesis is that there are three mechanisms at work. At low concentrations the anions interact with charged side chains where the presence of the ion can alter the structural stability of the protein. At higher concentrations the low charge density anions perchlorate and iodide interact weakly with the protein. Their presence however reduces the Gibbs free energy required to hydrate the core of the protein that is exposed during unfolding therefore destabilizing the structure. At higher concentrations the high charge density anions phosphate and sulfate compete for water with the protein as it unfolds increasing the Gibbs free energy required to hydrate the newly exposed core of the protein therefore stabilizing the structure.", "author" : [ { "dropping-particle" : "", "family" : "Bye", "given" : "J W", "non-dropping-particle" : "", "parse-names" : false, "suffix" : "" }, { "dropping-particle" : "", "family" : "Falconer", "given" : "R J", "non-dropping-particle" : "", "parse-names" : false, "suffix" : "" } ], "container-title" : "Protein Science", "id" : "ITEM-1", "issued" : { "date-parts" : [ [ "2013", "11" ] ] }, "page" : "1563-1570", "title" : "Thermal stability of lysozyme as a function of ion concentration: A reappraisal of the relationship between the Hofmeister series and protein stability", "type" : "article-journal", "volume" : "22" }, "uris" : [ "http://www.mendeley.com/documents/?uuid=cdce46dc-4ab2-44de-8184-be6984bc4e9d" ] } ], "mendeley" : { "formattedCitation" : "(Bye &amp; Falconer 2013)", "plainTextFormattedCitation" : "(Bye &amp; Falconer 2013)", "previouslyFormattedCitation" : "(Bye &amp; Falconer 2013)" }, "properties" : { "noteIndex" : 0 }, "schema" : "https://github.com/citation-style-language/schema/raw/master/csl-citation.json" }</w:instrText>
      </w:r>
      <w:r>
        <w:fldChar w:fldCharType="separate"/>
      </w:r>
      <w:r w:rsidRPr="007C668E">
        <w:rPr>
          <w:noProof/>
        </w:rPr>
        <w:t>(Bye &amp; Falconer 2013)</w:t>
      </w:r>
      <w:r>
        <w:fldChar w:fldCharType="end"/>
      </w:r>
      <w:r>
        <w:t>.</w:t>
      </w:r>
    </w:p>
    <w:p w14:paraId="13FC38DB" w14:textId="77777777" w:rsidR="00636A7C" w:rsidRDefault="00636A7C" w:rsidP="00BF71A6">
      <w:r>
        <w:t>To summarise, although a broad separation of mechanisms based on whether they involve direct interactions with the protein or global effects on water structure can at times be useful, there are mechanisms that cannot be easily defined as one type or the other. The complexity and diversity of mechanisms that exist within these two groups mean it is rarely a specific enough description to gain substantial insight into how cosolutes stabilise or destabilise proteins.</w:t>
      </w:r>
    </w:p>
    <w:p w14:paraId="4E1DE161" w14:textId="77777777" w:rsidR="00075877" w:rsidRDefault="00075877" w:rsidP="00075877">
      <w:pPr>
        <w:pStyle w:val="Heading3"/>
      </w:pPr>
      <w:bookmarkStart w:id="60" w:name="_Ref459881632"/>
      <w:bookmarkStart w:id="61" w:name="_Toc485712750"/>
      <w:r>
        <w:t>Direct interactions between cosolutes and proteins</w:t>
      </w:r>
      <w:bookmarkEnd w:id="60"/>
      <w:bookmarkEnd w:id="61"/>
    </w:p>
    <w:p w14:paraId="6B5C2C70" w14:textId="77777777" w:rsidR="00E77E13" w:rsidRDefault="00E77E13" w:rsidP="00763207">
      <w:r>
        <w:t xml:space="preserve">Many scientists believe that all stabilising cosolutes are ‘excluded’ from the protein surface (see section </w:t>
      </w:r>
      <w:r>
        <w:fldChar w:fldCharType="begin"/>
      </w:r>
      <w:r>
        <w:instrText xml:space="preserve"> REF _Ref455651654 \r \h </w:instrText>
      </w:r>
      <w:r>
        <w:fldChar w:fldCharType="separate"/>
      </w:r>
      <w:r w:rsidR="00AA6926">
        <w:t>1.4.3.2</w:t>
      </w:r>
      <w:r>
        <w:fldChar w:fldCharType="end"/>
      </w:r>
      <w:r>
        <w:t>), and exert their effects through indirect interactions mediated by water. However, there is a plethora of evidence to suggest that both stabilising and destabilising cosolutes can interact directly with proteins via a n</w:t>
      </w:r>
      <w:r w:rsidR="00DD59B6">
        <w:t>umber of different interactions</w:t>
      </w:r>
      <w:r w:rsidR="00166FB5">
        <w:t>. Direct interaction with the protein will cause stabilisation where these interactions are more favourable in the native than in the denatured state and vice versa</w:t>
      </w:r>
      <w:r w:rsidR="00FD2A79">
        <w:t xml:space="preserve"> according to Le Chatelier’s principle</w:t>
      </w:r>
      <w:r w:rsidR="00166FB5">
        <w:t xml:space="preserve">. </w:t>
      </w:r>
      <w:r w:rsidR="00DD59B6">
        <w:t xml:space="preserve">These </w:t>
      </w:r>
      <w:r w:rsidR="00166FB5">
        <w:t xml:space="preserve">direct interactions </w:t>
      </w:r>
      <w:r w:rsidR="00DC3BE1">
        <w:t xml:space="preserve">can be </w:t>
      </w:r>
      <w:r w:rsidR="00DD59B6">
        <w:t>nonspecific with the protein surface or</w:t>
      </w:r>
      <w:r w:rsidR="00DC3BE1">
        <w:t xml:space="preserve"> can be</w:t>
      </w:r>
      <w:r w:rsidR="00DD59B6">
        <w:t xml:space="preserve"> between </w:t>
      </w:r>
      <w:r w:rsidR="000C5D06">
        <w:t xml:space="preserve">the cosolute and </w:t>
      </w:r>
      <w:r w:rsidR="00DD59B6">
        <w:t xml:space="preserve">specific amino acids or regions on the protein </w:t>
      </w:r>
      <w:r w:rsidR="00DD59B6">
        <w:fldChar w:fldCharType="begin" w:fldLock="1"/>
      </w:r>
      <w:r w:rsidR="00E11F61">
        <w:instrText>ADDIN CSL_CITATION { "citationItems" : [ { "id" : "ITEM-1", "itemData" : { "DOI" : "10.1016/j.addr.2011.06.014", "ISSN" : "1872-8294", "PMID" : "21762737", "abstract" : "Protein based therapeutics hold great promise in the treatment of human diseases and disorders and subsequently, they have become the fastest growing sector of new drugs being developed. Proteins are, however, inherently unstable and the degraded form can be quite harmful if administered to a patient. Of the various degradation pathways, aggregation is one of the most common and a cause for great concern. Aggregation suppressing additives have long been used to stabilize proteins, and they still remain the most viable option for combating this problem. Much work has been devoted toward investigating the behavior of commonly used additives and the resulting models give valuable insight toward explaining aggregation suppression. In a few cases, an explanation for unique behavior is lacking or new insight provides an alternate explanation. Additive selection and the development of better performing additives may benefit from a more refined understanding of how commonly used additives inhibit or enhance aggregation. In this review, we focus on recent molecular-level studies into how a select group of commonly used additives interact with proteins and subsequently influence aggregation. The intent of the review is not meant to be comprehensive for each additive but rather to provide new insights into additive-additive interactions, which may be contributing to protein-additive interactions. This is something that is often overlooked but yet essential to understanding the effect of additives on aggregation. The importance of understanding such interactions is clear when one considers that most formulations contain a mixture of cosolutes and that ideal stability might be better achieved through tuning intra-solvent interactions. We give an example of this when we describe how novel aggregation suppressing additives were developed from the knowledge gained from the reviewed studies.", "author" : [ { "dropping-particle" : "", "family" : "Shukla", "given" : "D", "non-dropping-particle" : "", "parse-names" : false, "suffix" : "" }, { "dropping-particle" : "", "family" : "Schneider", "given" : "C P", "non-dropping-particle" : "", "parse-names" : false, "suffix" : "" }, { "dropping-particle" : "", "family" : "Trout", "given" : "B L", "non-dropping-particle" : "", "parse-names" : false, "suffix" : "" } ], "container-title" : "Advanced Drug Delivery Reviews", "id" : "ITEM-1", "issued" : { "date-parts" : [ [ "2011", "10" ] ] }, "page" : "1074-1085", "publisher" : "Elsevier B.V.", "title" : "Molecular level insight into intra-solvent interaction effects on protein stability and aggregation", "type" : "article-journal", "volume" : "63" }, "uris" : [ "http://www.mendeley.com/documents/?uuid=38920b63-36e7-4c46-9cc8-2344f8ff3a14" ] }, { "id" : "ITEM-2", "itemData" : { "DOI" : "10.1016/j.addr.2011.07.006", "ISSN" : "1872-8294", "PMID" : "21855584", "abstract" : "The purpose of this review is to demonstrate the critical importance of understanding protein-excipient interactions as a key step in the rational design of formulations to stabilize and deliver protein-based therapeutic drugs and vaccines. Biophysical methods used to examine various molecular interactions between solutes and protein molecules are discussed with an emphasis on applications to pharmaceutical excipients in terms of their effects on protein stability. Key mechanisms of protein-excipient interactions such as electrostatic and cation-pi interactions, preferential hydration, dispersive forces, and hydrogen bonding are presented in the context of different physical states of the formulation such as frozen liquids, solutions, gels, freeze-dried solids and interfacial phenomenon. An overview of the different classes of pharmaceutical excipients used to formulate and stabilize protein therapeutic drugs is also presented along with the rationale for use in different dosage forms including practical pharmaceutical considerations. The utility of high throughput analytical methodologies to examine protein-excipient interactions is presented in terms of expanding formulation design space and accelerating experimental timelines.", "author" : [ { "dropping-particle" : "", "family" : "Kamerzell", "given" : "T J", "non-dropping-particle" : "", "parse-names" : false, "suffix" : "" }, { "dropping-particle" : "", "family" : "Esfandiary", "given" : "R", "non-dropping-particle" : "", "parse-names" : false, "suffix" : "" }, { "dropping-particle" : "", "family" : "Joshi", "given" : "S B", "non-dropping-particle" : "", "parse-names" : false, "suffix" : "" }, { "dropping-particle" : "", "family" : "Middaugh", "given" : "C R", "non-dropping-particle" : "", "parse-names" : false, "suffix" : "" }, { "dropping-particle" : "", "family" : "Volkin", "given" : "D B", "non-dropping-particle" : "", "parse-names" : false, "suffix" : "" } ], "container-title" : "Advanced Drug Delivery Reviews", "id" : "ITEM-2", "issued" : { "date-parts" : [ [ "2011", "10" ] ] }, "note" : "Extensive review on a wide range of experimental techniques I could use in future work. Also goes on the look at how to determine which types of interactions are occurring between protein and excipient", "page" : "1118-1159", "publisher" : "Elsevier B.V.", "title" : "Protein-excipient interactions: Mechanisms and biophysical characterization applied to protein formulation development", "type" : "article-journal", "volume" : "63" }, "uris" : [ "http://www.mendeley.com/documents/?uuid=4fa76116-2b12-4ebe-bcb7-b8cf754d40a5" ] } ], "mendeley" : { "formattedCitation" : "(Shukla et al. 2011b; Kamerzell et al. 2011)", "plainTextFormattedCitation" : "(Shukla et al. 2011b; Kamerzell et al. 2011)", "previouslyFormattedCitation" : "(Shukla et al. 2011b; Kamerzell et al. 2011)" }, "properties" : { "noteIndex" : 0 }, "schema" : "https://github.com/citation-style-language/schema/raw/master/csl-citation.json" }</w:instrText>
      </w:r>
      <w:r w:rsidR="00DD59B6">
        <w:fldChar w:fldCharType="separate"/>
      </w:r>
      <w:r w:rsidR="00DD59B6" w:rsidRPr="00DD59B6">
        <w:rPr>
          <w:noProof/>
        </w:rPr>
        <w:t>(Shukla et al. 2011b; Kamerzell et al. 2011)</w:t>
      </w:r>
      <w:r w:rsidR="00DD59B6">
        <w:fldChar w:fldCharType="end"/>
      </w:r>
      <w:r w:rsidR="00DD59B6">
        <w:t xml:space="preserve">. One of the currently accepted major hypotheses used to explain cosolute effects on protein stability is direct interaction with or repulsion from the peptide backbone. Due to the fact that the repulsion results in a water-mediated effect this is discussed separately in section </w:t>
      </w:r>
      <w:r w:rsidR="00585CA3">
        <w:fldChar w:fldCharType="begin"/>
      </w:r>
      <w:r w:rsidR="00585CA3">
        <w:instrText xml:space="preserve"> REF _Ref460079516 \r \h </w:instrText>
      </w:r>
      <w:r w:rsidR="00585CA3">
        <w:fldChar w:fldCharType="separate"/>
      </w:r>
      <w:r w:rsidR="00AA6926">
        <w:t>1.4.5</w:t>
      </w:r>
      <w:r w:rsidR="00585CA3">
        <w:fldChar w:fldCharType="end"/>
      </w:r>
      <w:r w:rsidR="00585CA3">
        <w:t>.</w:t>
      </w:r>
    </w:p>
    <w:p w14:paraId="4A21BB99" w14:textId="77777777" w:rsidR="00221BAC" w:rsidRDefault="00221BAC" w:rsidP="00221BAC">
      <w:pPr>
        <w:pStyle w:val="Heading4"/>
      </w:pPr>
      <w:r>
        <w:lastRenderedPageBreak/>
        <w:t>Electrostatic interactions</w:t>
      </w:r>
    </w:p>
    <w:p w14:paraId="0B26C09D" w14:textId="77777777" w:rsidR="000C5D06" w:rsidRDefault="000C5D06" w:rsidP="00763207">
      <w:r>
        <w:t xml:space="preserve">One of the most obvious ways that a charged cosolute can interact directly with the protein is via electrostatic interactions with oppositely charged side chains. Although these are normally strong interactions, the high dielectric constant of water makes them much weaker in aqueous solutions. Isothermal Titration Calorimetry (ITC) experiments have proven the existence of electrostatic interactions between polyanions and proteins </w:t>
      </w:r>
      <w:r>
        <w:fldChar w:fldCharType="begin" w:fldLock="1"/>
      </w:r>
      <w:r w:rsidR="00B934CD">
        <w:instrText>ADDIN CSL_CITATION { "citationItems" : [ { "id" : "ITEM-1", "itemData" : { "DOI" : "10.1002/jps", "author" : [ { "dropping-particle" : "", "family" : "Joshi", "given" : "S B", "non-dropping-particle" : "", "parse-names" : false, "suffix" : "" }, { "dropping-particle" : "", "family" : "Kamerzell", "given" : "T J", "non-dropping-particle" : "", "parse-names" : false, "suffix" : "" }, { "dropping-particle" : "", "family" : "Mcnown", "given" : "C", "non-dropping-particle" : "", "parse-names" : false, "suffix" : "" }, { "dropping-particle" : "", "family" : "Middaugh", "given" : "C R", "non-dropping-particle" : "", "parse-names" : false, "suffix" : "" } ], "container-title" : "Journal of Pharmaceutical Sciences", "id" : "ITEM-1", "issued" : { "date-parts" : [ [ "2008" ] ] }, "page" : "1368-1385", "title" : "The interaction of heparin / polyanions with bovine, porcine, and human growth hormone", "type" : "article-journal", "volume" : "97" }, "uris" : [ "http://www.mendeley.com/documents/?uuid=50415718-4a5f-4f50-8162-2c4a3c055efb" ] } ], "mendeley" : { "formattedCitation" : "(Joshi et al. 2008)", "plainTextFormattedCitation" : "(Joshi et al. 2008)", "previouslyFormattedCitation" : "(Joshi et al. 2008)" }, "properties" : { "noteIndex" : 0 }, "schema" : "https://github.com/citation-style-language/schema/raw/master/csl-citation.json" }</w:instrText>
      </w:r>
      <w:r>
        <w:fldChar w:fldCharType="separate"/>
      </w:r>
      <w:r w:rsidRPr="000C5D06">
        <w:rPr>
          <w:noProof/>
        </w:rPr>
        <w:t>(Joshi et al. 2008)</w:t>
      </w:r>
      <w:r>
        <w:fldChar w:fldCharType="end"/>
      </w:r>
      <w:r w:rsidR="00B934CD">
        <w:t xml:space="preserve">. Equally a Differential Scanning Calorimetry (DSC) study attributed small but specific changes in protein stability in the presence of low concentrations of different Hofmeister ions to direct electrostatic interactions with charged side chains </w:t>
      </w:r>
      <w:r w:rsidR="00B934CD">
        <w:fldChar w:fldCharType="begin" w:fldLock="1"/>
      </w:r>
      <w:r w:rsidR="00357A81">
        <w:instrText>ADDIN CSL_CITATION { "citationItems" : [ { "id" : "ITEM-1", "itemData" : { "DOI" : "10.1002/pro.2355", "ISSN" : "1469-896X", "PMID" : "24038575", "abstract" : "Anion and cation effects on the structural stability of lysozyme were investigated using differential scanning calorimetry. At low concentrations (&lt;5 mM) anions and cations alter the stability of lysozyme but they do not follow the Hofmeister (or inverse Hofmeister) series. At higher concentrations protein stabilization follows the well-established Hofmeister series. Our hypothesis is that there are three mechanisms at work. At low concentrations the anions interact with charged side chains where the presence of the ion can alter the structural stability of the protein. At higher concentrations the low charge density anions perchlorate and iodide interact weakly with the protein. Their presence however reduces the Gibbs free energy required to hydrate the core of the protein that is exposed during unfolding therefore destabilizing the structure. At higher concentrations the high charge density anions phosphate and sulfate compete for water with the protein as it unfolds increasing the Gibbs free energy required to hydrate the newly exposed core of the protein therefore stabilizing the structure.", "author" : [ { "dropping-particle" : "", "family" : "Bye", "given" : "J W", "non-dropping-particle" : "", "parse-names" : false, "suffix" : "" }, { "dropping-particle" : "", "family" : "Falconer", "given" : "R J", "non-dropping-particle" : "", "parse-names" : false, "suffix" : "" } ], "container-title" : "Protein Science", "id" : "ITEM-1", "issued" : { "date-parts" : [ [ "2013", "11" ] ] }, "page" : "1563-1570", "title" : "Thermal stability of lysozyme as a function of ion concentration: A reappraisal of the relationship between the Hofmeister series and protein stability", "type" : "article-journal", "volume" : "22" }, "uris" : [ "http://www.mendeley.com/documents/?uuid=cdce46dc-4ab2-44de-8184-be6984bc4e9d" ] } ], "mendeley" : { "formattedCitation" : "(Bye &amp; Falconer 2013)", "plainTextFormattedCitation" : "(Bye &amp; Falconer 2013)", "previouslyFormattedCitation" : "(Bye &amp; Falconer 2013)" }, "properties" : { "noteIndex" : 0 }, "schema" : "https://github.com/citation-style-language/schema/raw/master/csl-citation.json" }</w:instrText>
      </w:r>
      <w:r w:rsidR="00B934CD">
        <w:fldChar w:fldCharType="separate"/>
      </w:r>
      <w:r w:rsidR="00B934CD" w:rsidRPr="00B934CD">
        <w:rPr>
          <w:noProof/>
        </w:rPr>
        <w:t>(Bye &amp; Falconer 2013)</w:t>
      </w:r>
      <w:r w:rsidR="00B934CD">
        <w:fldChar w:fldCharType="end"/>
      </w:r>
      <w:r w:rsidR="00B934CD">
        <w:t>. One of the simplest and most commonly used ways of testing whether electrostatics are responsible for effects on protein stability is to add sodium chloride to test fo</w:t>
      </w:r>
      <w:r w:rsidR="00357A81">
        <w:t>r screening of the interactions. This</w:t>
      </w:r>
      <w:r w:rsidR="00B934CD">
        <w:t xml:space="preserve"> was done in a study that concluded that phytate,</w:t>
      </w:r>
      <w:r w:rsidR="00357A81">
        <w:t xml:space="preserve"> a negatively charged polyanion, did interact electrostatically with the positively charged protein lysozyme, as its effects on protein stability measured by DSC were screened</w:t>
      </w:r>
      <w:r w:rsidR="00D7282A">
        <w:t xml:space="preserve"> by the presence of sodium chloride</w:t>
      </w:r>
      <w:r w:rsidR="00357A81">
        <w:t xml:space="preserve"> </w:t>
      </w:r>
      <w:r w:rsidR="00357A81">
        <w:fldChar w:fldCharType="begin" w:fldLock="1"/>
      </w:r>
      <w:r w:rsidR="00924827">
        <w:instrText>ADDIN CSL_CITATION { "citationItems" : [ { "id" : "ITEM-1", "itemData" : { "DOI" : "10.1021/jf303926v", "ISBN" : "0021-8561", "ISSN" : "00218561", "PMID" : "23252762", "abstract" : "The interaction between sodium phytate and three proteins was studied using solubility experiments and differential scanning calorimetry (DSC) to assess structural stability. Lysozyme, which is positively charged at neutral pH, bound phytate by an electrostatic interaction. There was evidence that phytate cross-linked lysozyme molecules forcing them out of solution. Myoglobin and human serum albumin, which were neutral or negatively charged, respectively, displayed association rather than binding, and there was no complex formation. All of the proteins were structurally destabilized by the presence of phytate but were not denatured. From these findings, we predict that phytate would bind electrostatically to a wide variety of positively charged proteins in the stomach as well as to trypsin and chymotrypsin in the duodenum. Both binding reactions may compromise the digestion of the protein component in feed stuffs. Because the interaction between phytate and protein is electrostatic, the presence of anions, such as chloride, would nullify the antinutritional effect of phytate.", "author" : [ { "dropping-particle" : "", "family" : "Bye", "given" : "J W", "non-dropping-particle" : "", "parse-names" : false, "suffix" : "" }, { "dropping-particle" : "", "family" : "Cowieson", "given" : "N P", "non-dropping-particle" : "", "parse-names" : false, "suffix" : "" }, { "dropping-particle" : "", "family" : "Cowieson", "given" : "A J", "non-dropping-particle" : "", "parse-names" : false, "suffix" : "" }, { "dropping-particle" : "", "family" : "Selle", "given" : "P H", "non-dropping-particle" : "", "parse-names" : false, "suffix" : "" }, { "dropping-particle" : "", "family" : "Falconer", "given" : "R J", "non-dropping-particle" : "", "parse-names" : false, "suffix" : "" } ], "container-title" : "Journal of Agricultural and Food Chemistry", "id" : "ITEM-1", "issued" : { "date-parts" : [ [ "2013" ] ] }, "page" : "290-295", "title" : "Dual effects of sodium phytate on the structural stability and solubility of proteins", "type" : "article-journal", "volume" : "61" }, "uris" : [ "http://www.mendeley.com/documents/?uuid=083807f2-6f5b-4fbf-b518-b38adb326d97" ] } ], "mendeley" : { "formattedCitation" : "(Bye et al. 2013)", "plainTextFormattedCitation" : "(Bye et al. 2013)", "previouslyFormattedCitation" : "(Bye et al. 2013)" }, "properties" : { "noteIndex" : 0 }, "schema" : "https://github.com/citation-style-language/schema/raw/master/csl-citation.json" }</w:instrText>
      </w:r>
      <w:r w:rsidR="00357A81">
        <w:fldChar w:fldCharType="separate"/>
      </w:r>
      <w:r w:rsidR="00357A81" w:rsidRPr="00357A81">
        <w:rPr>
          <w:noProof/>
        </w:rPr>
        <w:t>(Bye et al. 2013)</w:t>
      </w:r>
      <w:r w:rsidR="00357A81">
        <w:fldChar w:fldCharType="end"/>
      </w:r>
      <w:r w:rsidR="00357A81">
        <w:t>. Due to the specificity of electrostatic interactions, any protein stability effects caused by electrostatics are usually visible at very low concentrations of cosolute.</w:t>
      </w:r>
    </w:p>
    <w:p w14:paraId="68B80D51" w14:textId="77777777" w:rsidR="00221BAC" w:rsidRDefault="00221BAC" w:rsidP="00221BAC">
      <w:pPr>
        <w:pStyle w:val="Heading4"/>
      </w:pPr>
      <w:r>
        <w:t>Hydrogen bonding</w:t>
      </w:r>
    </w:p>
    <w:p w14:paraId="77E3C4CC" w14:textId="77777777" w:rsidR="00357A81" w:rsidRDefault="00357A81" w:rsidP="00763207">
      <w:r>
        <w:t>Most if not</w:t>
      </w:r>
      <w:r w:rsidR="00CA3BA9">
        <w:t xml:space="preserve"> all cosolute molecules have to capacity to</w:t>
      </w:r>
      <w:r>
        <w:t xml:space="preserve"> interact with either the protein or the solvent via hydrogen bonding</w:t>
      </w:r>
      <w:r w:rsidR="006A27DA">
        <w:t>, and despite the weak nature of the interaction, the number of potential sites for hydrogen bonding is vast, meaning that it has the potenti</w:t>
      </w:r>
      <w:r w:rsidR="00DC3BE1">
        <w:t>al to noticeably a</w:t>
      </w:r>
      <w:r w:rsidR="006A27DA">
        <w:t>ffect protein stability</w:t>
      </w:r>
      <w:r>
        <w:t xml:space="preserve"> </w:t>
      </w:r>
      <w:r>
        <w:fldChar w:fldCharType="begin" w:fldLock="1"/>
      </w:r>
      <w:r w:rsidR="006A27DA">
        <w:instrText>ADDIN CSL_CITATION { "citationItems" : [ { "id" : "ITEM-1", "itemData" : { "DOI" : "10.1016/j.addr.2011.07.006", "ISSN" : "1872-8294", "PMID" : "21855584", "abstract" : "The purpose of this review is to demonstrate the critical importance of understanding protein-excipient interactions as a key step in the rational design of formulations to stabilize and deliver protein-based therapeutic drugs and vaccines. Biophysical methods used to examine various molecular interactions between solutes and protein molecules are discussed with an emphasis on applications to pharmaceutical excipients in terms of their effects on protein stability. Key mechanisms of protein-excipient interactions such as electrostatic and cation-pi interactions, preferential hydration, dispersive forces, and hydrogen bonding are presented in the context of different physical states of the formulation such as frozen liquids, solutions, gels, freeze-dried solids and interfacial phenomenon. An overview of the different classes of pharmaceutical excipients used to formulate and stabilize protein therapeutic drugs is also presented along with the rationale for use in different dosage forms including practical pharmaceutical considerations. The utility of high throughput analytical methodologies to examine protein-excipient interactions is presented in terms of expanding formulation design space and accelerating experimental timelines.", "author" : [ { "dropping-particle" : "", "family" : "Kamerzell", "given" : "T J", "non-dropping-particle" : "", "parse-names" : false, "suffix" : "" }, { "dropping-particle" : "", "family" : "Esfandiary", "given" : "R", "non-dropping-particle" : "", "parse-names" : false, "suffix" : "" }, { "dropping-particle" : "", "family" : "Joshi", "given" : "S B", "non-dropping-particle" : "", "parse-names" : false, "suffix" : "" }, { "dropping-particle" : "", "family" : "Middaugh", "given" : "C R", "non-dropping-particle" : "", "parse-names" : false, "suffix" : "" }, { "dropping-particle" : "", "family" : "Volkin", "given" : "D B", "non-dropping-particle" : "", "parse-names" : false, "suffix" : "" } ], "container-title" : "Advanced Drug Delivery Reviews", "id" : "ITEM-1", "issued" : { "date-parts" : [ [ "2011", "10" ] ] }, "note" : "Extensive review on a wide range of experimental techniques I could use in future work. Also goes on the look at how to determine which types of interactions are occurring between protein and excipient", "page" : "1118-1159", "publisher" : "Elsevier B.V.", "title" : "Protein-excipient interactions: Mechanisms and biophysical characterization applied to protein formulation development", "type" : "article-journal", "volume" : "63" }, "uris" : [ "http://www.mendeley.com/documents/?uuid=4fa76116-2b12-4ebe-bcb7-b8cf754d40a5" ] } ], "mendeley" : { "formattedCitation" : "(Kamerzell et al. 2011)", "plainTextFormattedCitation" : "(Kamerzell et al. 2011)", "previouslyFormattedCitation" : "(Kamerzell et al. 2011)" }, "properties" : { "noteIndex" : 0 }, "schema" : "https://github.com/citation-style-language/schema/raw/master/csl-citation.json" }</w:instrText>
      </w:r>
      <w:r>
        <w:fldChar w:fldCharType="separate"/>
      </w:r>
      <w:r w:rsidRPr="00357A81">
        <w:rPr>
          <w:noProof/>
        </w:rPr>
        <w:t>(Kamerzell et al. 2011)</w:t>
      </w:r>
      <w:r>
        <w:fldChar w:fldCharType="end"/>
      </w:r>
      <w:r>
        <w:t>.</w:t>
      </w:r>
      <w:r w:rsidR="006A27DA">
        <w:t xml:space="preserve"> It is thought to be one of the major destabilising mechanisms of urea </w:t>
      </w:r>
      <w:r w:rsidR="006A27DA">
        <w:fldChar w:fldCharType="begin" w:fldLock="1"/>
      </w:r>
      <w:r w:rsidR="00E11F61">
        <w:instrText>ADDIN CSL_CITATION { "citationItems" : [ { "id" : "ITEM-1", "itemData" : { "DOI" : "10.1021/ja9016057", "ISSN" : "1520-5126", "PMID" : "19527028", "abstract" : "The direct binding mechanism for urea-based denaturation of proteins was tested with a thermoresponsive polymer, poly(N-isopropylacrylamide) (PNIPAM). Thermodynamic measurements of the polymer's hydrophobic collapse were complemented by Fourier transform infrared (FTIR) spectroscopy, Stokes radius measurements, and methylated urea experiments. It was found that the lower critical solution temperature (LCST) of PNIPAM decreased as urea was added to the solution. Therefore, urea actually facilitated the hydrophobic collapse of the macromolecule. Moreover, these thermodynamic measurements were strongly correlated with amide I band data which indicated that the decrease in the LCST was coupled to the direct hydrogen bonding of urea to the amide moieties of the polymer. In addition, the hydrogen bonding was found to be highly cooperative, which is consistent with a cross-linking (bivalent binding) mechanism. Cross-linking was confirmed by Stokes radius measurements below the polymer's LCST using gel filtration chromatography. Finally, phase transition measurements with methylurea, dimethylurea, and tetramethylurea indicated that these substituted compounds caused the LCST of PNIPAM to rise with increasing methyl group content. No evidence could be found for the direct binding of any of these methylated ureas to the polymer amide moieties by FTIR. These results are inconsistent with a direct hydrogen-bonding mechanism for the urea-induced denaturation of proteins.", "author" : [ { "dropping-particle" : "", "family" : "Sagle", "given" : "L B", "non-dropping-particle" : "", "parse-names" : false, "suffix" : "" }, { "dropping-particle" : "", "family" : "Zhang", "given" : "Y", "non-dropping-particle" : "", "parse-names" : false, "suffix" : "" }, { "dropping-particle" : "", "family" : "Litosh", "given" : "V A", "non-dropping-particle" : "", "parse-names" : false, "suffix" : "" }, { "dropping-particle" : "", "family" : "Chen", "given" : "X", "non-dropping-particle" : "", "parse-names" : false, "suffix" : "" }, { "dropping-particle" : "", "family" : "Cho", "given" : "Y", "non-dropping-particle" : "", "parse-names" : false, "suffix" : "" }, { "dropping-particle" : "", "family" : "Cremer", "given" : "P S", "non-dropping-particle" : "", "parse-names" : false, "suffix" : "" } ], "container-title" : "Journal of the American Chemical Society", "id" : "ITEM-1", "issued" : { "date-parts" : [ [ "2009", "7", "8" ] ] }, "page" : "9304-9310", "title" : "Investigating the hydrogen-bonding model of urea denaturation", "type" : "article-journal", "volume" : "131" }, "uris" : [ "http://www.mendeley.com/documents/?uuid=95c27efe-5bbc-4e4b-9f91-a53473cf055d" ] } ], "mendeley" : { "formattedCitation" : "(Sagle et al. 2009)", "plainTextFormattedCitation" : "(Sagle et al. 2009)", "previouslyFormattedCitation" : "(Sagle et al. 2009)" }, "properties" : { "noteIndex" : 0 }, "schema" : "https://github.com/citation-style-language/schema/raw/master/csl-citation.json" }</w:instrText>
      </w:r>
      <w:r w:rsidR="006A27DA">
        <w:fldChar w:fldCharType="separate"/>
      </w:r>
      <w:r w:rsidR="006A27DA" w:rsidRPr="006A27DA">
        <w:rPr>
          <w:noProof/>
        </w:rPr>
        <w:t>(Sagle et al. 2009)</w:t>
      </w:r>
      <w:r w:rsidR="006A27DA">
        <w:fldChar w:fldCharType="end"/>
      </w:r>
      <w:r w:rsidR="006A27DA">
        <w:t xml:space="preserve">. But equally it is thought to be the mechanism by which most sugars stabilise proteins, due to the fact that during freezing or dehydration they are able to replace the stabilising hydrogen bonds that the protein normally forms with water </w:t>
      </w:r>
      <w:r w:rsidR="006A27DA">
        <w:fldChar w:fldCharType="begin" w:fldLock="1"/>
      </w:r>
      <w:r w:rsidR="00924827">
        <w:instrText>ADDIN CSL_CITATION { "citationItems" : [ { "id" : "ITEM-1", "itemData" : { "author" : [ { "dropping-particle" : "", "family" : "Rudolph", "given" : "A S", "non-dropping-particle" : "", "parse-names" : false, "suffix" : "" }, { "dropping-particle" : "", "family" : "Crowe", "given" : "J H", "non-dropping-particle" : "", "parse-names" : false, "suffix" : "" } ], "container-title" : "Cryobiology", "id" : "ITEM-1", "issued" : { "date-parts" : [ [ "1985" ] ] }, "page" : "367-377", "title" : "Membrane stabilization during freezing: The role of two natural cryoprotectants, trehalose and proline", "type" : "article-journal", "volume" : "22" }, "uris" : [ "http://www.mendeley.com/documents/?uuid=c48f3f40-eec0-4f81-ba6c-c60813574e90" ] }, { "id" : "ITEM-2", "itemData" : { "DOI" : "10.1021/bi00435a044", "ISBN" : "0006-2960", "ISSN" : "0006-2960", "PMID" : "2526652", "abstract" : "Fourier-transform infrared spectroscopy was used to characterize the interaction of stabilizing carbohydrates with dried proteins. Freeze-drying of trehalose, lactose, and myo-inositol with lysozyme resulted in substantial alterations of the infrared spectra of the dried carbohydrates. In the fingerprint region (900-1500 cm-1), there were large shifts in the frequencies of bands, a decrease in absorbance, and a loss of band splitting. These effects mimic those of water on hydrated trehalose. Bands assigned to hydroxyl stretching modes (around 3350 cm-1) were decreased in intensity and shifted to higher frequencies in the presence of the protein. In complementary experiments, it was found that dehydration-induced shifts in the positions of amide I and amide II bands for lysozyme could be partially and fully reversed, respectively, when the protein was freeze-dried in the presence of either trehalose or lactose. In addition, the carboxylate band, which was not detectable in the protein dried without the sugar, was apparent when these sugars were present. myo-Inositol was less effective at shifting the amide bands, and the carboxylate band was not detected in the presence of this carbohydrate. Also tested was the concentration dependency of the carbohydrates' influence on the position of the amide II band for dried lysozyme. The results showed that the ability of a given concentration of a carbohydrate to shift this band back toward the position noted with the hydrated protein coincided, at least in the extreme cases, with the capacity of that same level of carbohydrate to preserve the activity of rabbit skeletal muscle phosphofructokinase during freeze-drying.", "author" : [ { "dropping-particle" : "", "family" : "Carpenter", "given" : "J F", "non-dropping-particle" : "", "parse-names" : false, "suffix" : "" }, { "dropping-particle" : "", "family" : "Crowe", "given" : "J H", "non-dropping-particle" : "", "parse-names" : false, "suffix" : "" } ], "container-title" : "Biochemistry", "id" : "ITEM-2", "issued" : { "date-parts" : [ [ "1989" ] ] }, "page" : "3916-3922", "title" : "An infrared spectroscopic study of the interactions of carbohydrates with dried proteins", "type" : "article-journal", "volume" : "28" }, "uris" : [ "http://www.mendeley.com/documents/?uuid=3acf777c-ebbb-4ab6-9b55-92e430c78dad" ] } ], "mendeley" : { "formattedCitation" : "(Rudolph &amp; Crowe 1985; Carpenter &amp; Crowe 1989)", "plainTextFormattedCitation" : "(Rudolph &amp; Crowe 1985; Carpenter &amp; Crowe 1989)", "previouslyFormattedCitation" : "(Rudolph &amp; Crowe 1985; Carpenter &amp; Crowe 1989)" }, "properties" : { "noteIndex" : 0 }, "schema" : "https://github.com/citation-style-language/schema/raw/master/csl-citation.json" }</w:instrText>
      </w:r>
      <w:r w:rsidR="006A27DA">
        <w:fldChar w:fldCharType="separate"/>
      </w:r>
      <w:r w:rsidR="006A27DA" w:rsidRPr="006A27DA">
        <w:rPr>
          <w:noProof/>
        </w:rPr>
        <w:t>(Rudolph &amp; Crowe 1985; Carpenter &amp; Crowe 1989)</w:t>
      </w:r>
      <w:r w:rsidR="006A27DA">
        <w:fldChar w:fldCharType="end"/>
      </w:r>
      <w:r w:rsidR="006A27DA">
        <w:t xml:space="preserve">. Hydrogen bonding is also thought to be one of the major interactions involved </w:t>
      </w:r>
      <w:r w:rsidR="004914C0">
        <w:t>in self-association of</w:t>
      </w:r>
      <w:r w:rsidR="006A27DA">
        <w:t xml:space="preserve"> a number of cosolutes that </w:t>
      </w:r>
      <w:r w:rsidR="004914C0">
        <w:t xml:space="preserve">form clusters in solution </w:t>
      </w:r>
      <w:r w:rsidR="004914C0">
        <w:fldChar w:fldCharType="begin" w:fldLock="1"/>
      </w:r>
      <w:r w:rsidR="00E11F61">
        <w:instrText>ADDIN CSL_CITATION { "citationItems" : [ { "id" : "ITEM-1", "itemData" : { "DOI" : "10.1016/j.addr.2011.06.014", "ISSN" : "1872-8294", "PMID" : "21762737", "abstract" : "Protein based therapeutics hold great promise in the treatment of human diseases and disorders and subsequently, they have become the fastest growing sector of new drugs being developed. Proteins are, however, inherently unstable and the degraded form can be quite harmful if administered to a patient. Of the various degradation pathways, aggregation is one of the most common and a cause for great concern. Aggregation suppressing additives have long been used to stabilize proteins, and they still remain the most viable option for combating this problem. Much work has been devoted toward investigating the behavior of commonly used additives and the resulting models give valuable insight toward explaining aggregation suppression. In a few cases, an explanation for unique behavior is lacking or new insight provides an alternate explanation. Additive selection and the development of better performing additives may benefit from a more refined understanding of how commonly used additives inhibit or enhance aggregation. In this review, we focus on recent molecular-level studies into how a select group of commonly used additives interact with proteins and subsequently influence aggregation. The intent of the review is not meant to be comprehensive for each additive but rather to provide new insights into additive-additive interactions, which may be contributing to protein-additive interactions. This is something that is often overlooked but yet essential to understanding the effect of additives on aggregation. The importance of understanding such interactions is clear when one considers that most formulations contain a mixture of cosolutes and that ideal stability might be better achieved through tuning intra-solvent interactions. We give an example of this when we describe how novel aggregation suppressing additives were developed from the knowledge gained from the reviewed studies.", "author" : [ { "dropping-particle" : "", "family" : "Shukla", "given" : "D", "non-dropping-particle" : "", "parse-names" : false, "suffix" : "" }, { "dropping-particle" : "", "family" : "Schneider", "given" : "C P", "non-dropping-particle" : "", "parse-names" : false, "suffix" : "" }, { "dropping-particle" : "", "family" : "Trout", "given" : "B L", "non-dropping-particle" : "", "parse-names" : false, "suffix" : "" } ], "container-title" : "Advanced Drug Delivery Reviews", "id" : "ITEM-1", "issued" : { "date-parts" : [ [ "2011", "10" ] ] }, "page" : "1074-1085", "publisher" : "Elsevier B.V.", "title" : "Molecular level insight into intra-solvent interaction effects on protein stability and aggregation", "type" : "article-journal", "volume" : "63" }, "uris" : [ "http://www.mendeley.com/documents/?uuid=38920b63-36e7-4c46-9cc8-2344f8ff3a14" ] } ], "mendeley" : { "formattedCitation" : "(Shukla et al. 2011b)", "plainTextFormattedCitation" : "(Shukla et al. 2011b)", "previouslyFormattedCitation" : "(Shukla et al. 2011b)" }, "properties" : { "noteIndex" : 0 }, "schema" : "https://github.com/citation-style-language/schema/raw/master/csl-citation.json" }</w:instrText>
      </w:r>
      <w:r w:rsidR="004914C0">
        <w:fldChar w:fldCharType="separate"/>
      </w:r>
      <w:r w:rsidR="004914C0" w:rsidRPr="004914C0">
        <w:rPr>
          <w:noProof/>
        </w:rPr>
        <w:t>(Shukla et al. 2011b)</w:t>
      </w:r>
      <w:r w:rsidR="004914C0">
        <w:fldChar w:fldCharType="end"/>
      </w:r>
      <w:r w:rsidR="004914C0">
        <w:t>.</w:t>
      </w:r>
    </w:p>
    <w:p w14:paraId="7801C748" w14:textId="77777777" w:rsidR="00221BAC" w:rsidRDefault="00221BAC" w:rsidP="00221BAC">
      <w:pPr>
        <w:pStyle w:val="Heading4"/>
      </w:pPr>
      <w:r>
        <w:lastRenderedPageBreak/>
        <w:t>Cation-π</w:t>
      </w:r>
      <w:r w:rsidR="00462F31">
        <w:t xml:space="preserve"> and dispersion</w:t>
      </w:r>
      <w:r>
        <w:t xml:space="preserve"> interactions</w:t>
      </w:r>
    </w:p>
    <w:p w14:paraId="77471B0D" w14:textId="77777777" w:rsidR="00786C19" w:rsidRDefault="00C31B71" w:rsidP="00C31B71">
      <w:r>
        <w:t xml:space="preserve">Cation-π interactions </w:t>
      </w:r>
      <w:r w:rsidR="00174B30">
        <w:t>with</w:t>
      </w:r>
      <w:r>
        <w:t xml:space="preserve"> aromatic amino acid residues on the protein surface </w:t>
      </w:r>
      <w:r w:rsidR="00174B30">
        <w:t xml:space="preserve">are a possible important direct interaction for positively charged cosolutes. There are a number of examples in the literature where cation-π interactions are the principal mechanism for direct interaction for both stabilising and destabilising cosolutes. </w:t>
      </w:r>
      <w:r w:rsidR="006E5F95">
        <w:t>I</w:t>
      </w:r>
      <w:r w:rsidR="00500DEB">
        <w:t xml:space="preserve">t is well documented that arginine residues consistently form cation-π interactions with tryptophan residues within the protein structure </w:t>
      </w:r>
      <w:r w:rsidR="00500DEB">
        <w:fldChar w:fldCharType="begin" w:fldLock="1"/>
      </w:r>
      <w:r w:rsidR="00786C19">
        <w:instrText>ADDIN CSL_CITATION { "citationItems" : [ { "id" : "ITEM-1", "itemData" : { "DOI" : "10.1073/pnas.96.17.9459", "ISBN" : "0027-8424 (Print)\\r0027-8424 (Linking)", "ISSN" : "0027-8424", "PMID" : "10449714", "abstract" : "Cation-{pi} interactions in protein structures are identified and evaluated by using an energy-based criterion for selecting significant sidechain pairs. Cation-{pi} interactions are found to be common among structures in the Protein Data Bank, and it is clearly demonstrated that, when a cationic sidechain (Lys or Arg) is near an aromatic sidechain (Phe, Tyr, or Trp), the geometry is biased toward one that would experience a favorable cation-{pi} interaction. The sidechain of Arg is more likely than that of Lys to be in a cation-{pi} interaction. Among the aromatics, a strong bias toward Trp is clear, such that over one-fourth of all tryptophans in the data bank experience an energetically significant cation-{pi} interaction.", "author" : [ { "dropping-particle" : "", "family" : "Gallivan", "given" : "J P", "non-dropping-particle" : "", "parse-names" : false, "suffix" : "" }, { "dropping-particle" : "", "family" : "Dougherty", "given" : "D A", "non-dropping-particle" : "", "parse-names" : false, "suffix" : "" } ], "container-title" : "Proceedings of the National Academy of Sciences of the United States of America", "id" : "ITEM-1", "issued" : { "date-parts" : [ [ "1999" ] ] }, "page" : "9459-9464", "title" : "Cation-pi interactions in structural biology", "type" : "article-journal", "volume" : "96" }, "uris" : [ "http://www.mendeley.com/documents/?uuid=41f4831f-2600-44e4-9916-861aadcf7f72" ] } ], "mendeley" : { "formattedCitation" : "(Gallivan &amp; Dougherty 1999)", "plainTextFormattedCitation" : "(Gallivan &amp; Dougherty 1999)", "previouslyFormattedCitation" : "(Gallivan &amp; Dougherty 1999)" }, "properties" : { "noteIndex" : 0 }, "schema" : "https://github.com/citation-style-language/schema/raw/master/csl-citation.json" }</w:instrText>
      </w:r>
      <w:r w:rsidR="00500DEB">
        <w:fldChar w:fldCharType="separate"/>
      </w:r>
      <w:r w:rsidR="00500DEB" w:rsidRPr="00500DEB">
        <w:rPr>
          <w:noProof/>
        </w:rPr>
        <w:t>(Gallivan &amp; Dougherty 1999)</w:t>
      </w:r>
      <w:r w:rsidR="00500DEB">
        <w:fldChar w:fldCharType="end"/>
      </w:r>
      <w:r w:rsidR="00500DEB">
        <w:t xml:space="preserve">. </w:t>
      </w:r>
      <w:r w:rsidR="00174B30">
        <w:t xml:space="preserve">Molecular dynamics simulations of both GdnHCl </w:t>
      </w:r>
      <w:r w:rsidR="00174B30">
        <w:fldChar w:fldCharType="begin" w:fldLock="1"/>
      </w:r>
      <w:r w:rsidR="00174B30">
        <w:instrText>ADDIN CSL_CITATION { "citationItems" : [ { "id" : "ITEM-1", "itemData" : { "DOI" : "10.1021/ja903478s", "ISBN" : "0002-7863", "ISSN" : "00027863", "PMID" : "19874022", "abstract" : "Small angle neutron scattering (SANS) and molecular dynamics (MD) simulations were used to characterize the long-range structuring (aggregation) of aqueous solutions of isopropanol (IPA) and pyridine and the effect on structuring of guanidinium chloride (GdmCl). These solutes serve as highly soluble analogs of the nonpolar aliphatic (IPA) and aromatic (pyridine) side chains of proteins. SANS data showed that isopropanol and pyridine both form clusters in water resulting from interaction between nonpolar groups of the solutes, with pyridine aggregation producing longer-range structuring than isopropanol in 3 m solutions. Addition of GdmCl at 3 m concentration considerably reduced pyridine aggregation but had no effect on isopropanol aggregation. MD simulations of these solutions support the conclusion that long-range structuring involves hydrophobic solute interactions and that Gdm(+) interacts with the planar pyridine group to suppress pyridine-pyridine interactions in solution. Hydrophobic interactions involving the aliphatic groups of isopropanol were unaffected by GdmCl, indicating that the planar and weakly hydrated Gdm(+) cation cannot make productive interactions with the highly curved or \"lumpy\" aliphatic groups of this solute. These observations support the conclusion that the effects of Gdm(+) ions on protein-stabilizing interactions involving aromatic amino acid side chains make significant contributions to the denaturant activity of GdmCl, whereas interactions with the \"lumpy\" aliphatic side chains are likely to be less important.", "author" : [ { "dropping-particle" : "", "family" : "Mason", "given" : "P E", "non-dropping-particle" : "", "parse-names" : false, "suffix" : "" }, { "dropping-particle" : "", "family" : "Dempsey", "given" : "C E", "non-dropping-particle" : "", "parse-names" : false, "suffix" : "" }, { "dropping-particle" : "", "family" : "Neilson", "given" : "G W", "non-dropping-particle" : "", "parse-names" : false, "suffix" : "" }, { "dropping-particle" : "", "family" : "Kline", "given" : "S R", "non-dropping-particle" : "", "parse-names" : false, "suffix" : "" }, { "dropping-particle" : "", "family" : "Brady", "given" : "J W", "non-dropping-particle" : "", "parse-names" : false, "suffix" : "" } ], "container-title" : "Journal of the American Chemical Society", "id" : "ITEM-1", "issued" : { "date-parts" : [ [ "2009" ] ] }, "page" : "16689-16696", "title" : "Preferential interactions of guanidinum ions with aromatic groups over aliphatic groups", "type" : "article-journal", "volume" : "131" }, "uris" : [ "http://www.mendeley.com/documents/?uuid=bfa5e399-3cec-4188-bb4d-0aaf24cc8b1a" ] } ], "mendeley" : { "formattedCitation" : "(Mason et al. 2009)", "plainTextFormattedCitation" : "(Mason et al. 2009)", "previouslyFormattedCitation" : "(Mason et al. 2009)" }, "properties" : { "noteIndex" : 0 }, "schema" : "https://github.com/citation-style-language/schema/raw/master/csl-citation.json" }</w:instrText>
      </w:r>
      <w:r w:rsidR="00174B30">
        <w:fldChar w:fldCharType="separate"/>
      </w:r>
      <w:r w:rsidR="00174B30" w:rsidRPr="00174B30">
        <w:rPr>
          <w:noProof/>
        </w:rPr>
        <w:t>(Mason et al. 2009)</w:t>
      </w:r>
      <w:r w:rsidR="00174B30">
        <w:fldChar w:fldCharType="end"/>
      </w:r>
      <w:r w:rsidR="00174B30">
        <w:t xml:space="preserve"> and arginine </w:t>
      </w:r>
      <w:r w:rsidR="00174B30">
        <w:fldChar w:fldCharType="begin" w:fldLock="1"/>
      </w:r>
      <w:r w:rsidR="00500DEB">
        <w:instrText>ADDIN CSL_CITATION { "citationItems" : [ { "id" : "ITEM-1", "itemData" : { "DOI" : "10.1021/jp108399g", "ISSN" : "1520-5207", "PMID" : "20925358", "abstract" : "Aqueous arginine solutions are used extensively for inhibiting protein aggregation. There are several theories proposed to explain the effect of arginine on protein stability, but the exact mechanism is still not clear. To understand the mechanism of protein cosolvent interaction, the intraprotein, protein-solvent, and intrasolvent interactions have to be understood. Molecular dynamics simulations of aqueous arginine solutions were carried out for experimentally accessible concentrations and temperature ranges to study the structure of the solution and its energetic properties and obtain insight into the mechanism by which arginine inhibits protein aggregation. Simulations of proteins (\u03b1-chymotrypsinogen A and melittin) were performed. Structurally, the most striking feature of the aqueous arginine solutions is the self-association of arginine molecules. Arginine shows a marked tendency to form clusters with head to tail hydrogen bonding. Due to the presence of the three charged groups, there are several possible configurations in which arginine molecules interact. At relatively high concentrations, these arginine clusters associate with other clusters and monomeric arginine molecules to form large clusters. The hydrogen bonds between arginine molecules were found to be stronger than those between arginine and water, which makes the process of self-association enthalpically favorable. From the simulation of the proteins in aqueous arginine solution, arginine is found to interact with the aromatic and charged side chains of surface residues. A probable mechanism of the effect of arginine on protein stability consistent with our findings is proposed. In particular, arginine interacts with aromatic and charged residues due to cation-\u03c0 interaction and salt-bridge formation, respectively, to stabilize the partially unfolded intermediates. The self-interaction of arginine leads to the formation of clusters which, due to their size, crowd out the protein-protein interaction. The mechanisms proposed in the literature are analyzed on the basis of the simulation results reported in this paper and recent experimental data.", "author" : [ { "dropping-particle" : "", "family" : "Shukla", "given" : "D", "non-dropping-particle" : "", "parse-names" : false, "suffix" : "" }, { "dropping-particle" : "", "family" : "Trout", "given" : "B L", "non-dropping-particle" : "", "parse-names" : false, "suffix" : "" } ], "container-title" : "Journal of Physical Chemistry B", "id" : "ITEM-1", "issued" : { "date-parts" : [ [ "2010", "10", "28" ] ] }, "page" : "13426-13438", "title" : "Interaction of arginine with proteins and the mechanism by which it inhibits aggregation", "type" : "article-journal", "volume" : "114" }, "uris" : [ "http://www.mendeley.com/documents/?uuid=dbec9b1d-1c9e-4add-bea5-97fc49a049c2" ] } ], "mendeley" : { "formattedCitation" : "(Shukla &amp; Trout 2010)", "plainTextFormattedCitation" : "(Shukla &amp; Trout 2010)", "previouslyFormattedCitation" : "(Shukla &amp; Trout 2010)" }, "properties" : { "noteIndex" : 0 }, "schema" : "https://github.com/citation-style-language/schema/raw/master/csl-citation.json" }</w:instrText>
      </w:r>
      <w:r w:rsidR="00174B30">
        <w:fldChar w:fldCharType="separate"/>
      </w:r>
      <w:r w:rsidR="00174B30" w:rsidRPr="00174B30">
        <w:rPr>
          <w:noProof/>
        </w:rPr>
        <w:t>(Shukla &amp; Trout 2010)</w:t>
      </w:r>
      <w:r w:rsidR="00174B30">
        <w:fldChar w:fldCharType="end"/>
      </w:r>
      <w:r w:rsidR="00174B30">
        <w:t xml:space="preserve"> </w:t>
      </w:r>
      <w:r w:rsidR="00786C19">
        <w:t xml:space="preserve">in solution </w:t>
      </w:r>
      <w:r w:rsidR="00174B30">
        <w:t>have shown them to interact with aromatic amino acid residues, and at least for arginine this was hypothesised to be the cause of its anti-aggregation effects through stabilisation of the partially unfolded state.</w:t>
      </w:r>
      <w:r w:rsidR="006E5F95">
        <w:t xml:space="preserve"> </w:t>
      </w:r>
      <w:r w:rsidR="00786C19">
        <w:t>A crystallographic study also demonstrated high affinity binding of glycine betaine and proline betaine, both strong stabilisers</w:t>
      </w:r>
      <w:r w:rsidR="0051330F">
        <w:t xml:space="preserve">, to tryptophan residues on an </w:t>
      </w:r>
      <w:r w:rsidR="0051330F" w:rsidRPr="0051330F">
        <w:rPr>
          <w:i/>
        </w:rPr>
        <w:t xml:space="preserve">E. coli </w:t>
      </w:r>
      <w:r w:rsidR="00786C19">
        <w:t xml:space="preserve">periplasmic ligand binding protein via cation-π interactions </w:t>
      </w:r>
      <w:r w:rsidR="00786C19">
        <w:fldChar w:fldCharType="begin" w:fldLock="1"/>
      </w:r>
      <w:r w:rsidR="00E11F61">
        <w:instrText>ADDIN CSL_CITATION { "citationItems" : [ { "id" : "ITEM-1", "itemData" : { "DOI" : "10.1074/jbc.M309771200", "ISSN" : "0021-9258", "PMID" : "14612446", "abstract" : "Compatible solutes such as glycine betaine and proline betaine are accumulated to exceedingly high intracellular levels by many organisms in response to high osmolarity to offset the loss of cell water. They are excluded from the immediate hydration shell of proteins and thereby stabilize their native structure. Despite their exclusion from protein surfaces, the periplasmic ligand-binding protein ProX from the Escherichia coli ATP-binding cassette transport system ProU binds the compatible solutes glycine betaine and proline betaine with high affinity and specificity. To understand the mechanism of compatible solute binding, we determined the high resolution structure of ProX in complex with its ligands glycine betaine and proline betaine. This crystallographic study revealed that cation-pi interactions between the positive charge of the quaternary amine of the ligands and three tryptophan residues forming a rectangular aromatic box are the key determinants of the high affinity binding of compatible solutes by ProX. The structural analysis was combined with site-directed mutagenesis of the ligand binding pocket to estimate the contributions of the tryptophan residues involved in binding.", "author" : [ { "dropping-particle" : "", "family" : "Schiefner", "given" : "A", "non-dropping-particle" : "", "parse-names" : false, "suffix" : "" }, { "dropping-particle" : "", "family" : "Breed", "given" : "J", "non-dropping-particle" : "", "parse-names" : false, "suffix" : "" }, { "dropping-particle" : "", "family" : "B\u00f6sser", "given" : "L", "non-dropping-particle" : "", "parse-names" : false, "suffix" : "" }, { "dropping-particle" : "", "family" : "Kneip", "given" : "S", "non-dropping-particle" : "", "parse-names" : false, "suffix" : "" }, { "dropping-particle" : "", "family" : "Gade", "given" : "J", "non-dropping-particle" : "", "parse-names" : false, "suffix" : "" }, { "dropping-particle" : "", "family" : "Holtmann", "given" : "G", "non-dropping-particle" : "", "parse-names" : false, "suffix" : "" }, { "dropping-particle" : "", "family" : "Diederichs", "given" : "K", "non-dropping-particle" : "", "parse-names" : false, "suffix" : "" }, { "dropping-particle" : "", "family" : "Welte", "given" : "W", "non-dropping-particle" : "", "parse-names" : false, "suffix" : "" }, { "dropping-particle" : "", "family" : "Bremer", "given" : "E", "non-dropping-particle" : "", "parse-names" : false, "suffix" : "" } ], "container-title" : "Journal of Biological Chemistry", "id" : "ITEM-1", "issued" : { "date-parts" : [ [ "2004", "2", "13" ] ] }, "page" : "5588-5596", "title" : "Cation-pi interactions as determinants for binding of the compatible solutes glycine betaine and proline betaine by the periplasmic ligand-binding protein ProX from Escherichia coli", "type" : "article-journal", "volume" : "279" }, "uris" : [ "http://www.mendeley.com/documents/?uuid=1975a9f6-34ef-46ed-b140-61fde288d004" ] } ], "mendeley" : { "formattedCitation" : "(Schiefner et al. 2004)", "plainTextFormattedCitation" : "(Schiefner et al. 2004)", "previouslyFormattedCitation" : "(Schiefner et al. 2004)" }, "properties" : { "noteIndex" : 0 }, "schema" : "https://github.com/citation-style-language/schema/raw/master/csl-citation.json" }</w:instrText>
      </w:r>
      <w:r w:rsidR="00786C19">
        <w:fldChar w:fldCharType="separate"/>
      </w:r>
      <w:r w:rsidR="00786C19" w:rsidRPr="00786C19">
        <w:rPr>
          <w:noProof/>
        </w:rPr>
        <w:t>(Schiefner et al. 2004)</w:t>
      </w:r>
      <w:r w:rsidR="00786C19">
        <w:fldChar w:fldCharType="end"/>
      </w:r>
      <w:r w:rsidR="00786C19">
        <w:t>.</w:t>
      </w:r>
    </w:p>
    <w:p w14:paraId="7DE5B256" w14:textId="77777777" w:rsidR="00E60F72" w:rsidRPr="00C31B71" w:rsidRDefault="0051330F" w:rsidP="00C31B71">
      <w:r>
        <w:t xml:space="preserve">Dispersion interactions between two polarisable molecules can also be an important way of interacting with the protein surface for uncharged molecules in the absence of hydrogen bonding. </w:t>
      </w:r>
      <w:r w:rsidR="00E60F72">
        <w:t xml:space="preserve">A molecular dynamics simulation has shown that dispersion interactions between urea and the peptide backbone and side chains of a protein, which are stronger than the dispersion interactions with water, are partly responsible for its denaturing capabilities </w:t>
      </w:r>
      <w:r w:rsidR="00E60F72">
        <w:fldChar w:fldCharType="begin" w:fldLock="1"/>
      </w:r>
      <w:r w:rsidR="00924827">
        <w:instrText>ADDIN CSL_CITATION { "citationItems" : [ { "id" : "ITEM-1", "itemData" : { "DOI" : "10.1073/pnas.0808427105", "ISBN" : "0808427105", "ISSN" : "0027-8424", "PMID" : "18957546", "abstract" : "The mechanism of denaturation of proteins by urea is explored by using all-atom microseconds molecular dynamics simulations of hen lysozyme generated on BlueGene/L. Accumulation of urea around lysozyme shows that water molecules are expelled from the first hydration shell of the protein. We observe a 2-stage penetration of the protein, with urea penetrating the hydrophobic core before water, forming a \"dry globule.\" The direct dispersion interaction between urea and the protein backbone and side chains is stronger than for water, which gives rise to the intrusion of urea into the protein interior and to urea's preferential binding to all regions of the protein. This is augmented by preferential hydrogen bond formation between the urea carbonyl and the backbone amides that contributes to the breaking of intrabackbone hydrogen bonds. Our study supports the \"direct interaction mechanism\" whereby urea has a stronger dispersion interaction with protein than water.", "author" : [ { "dropping-particle" : "", "family" : "Hua", "given" : "L", "non-dropping-particle" : "", "parse-names" : false, "suffix" : "" }, { "dropping-particle" : "", "family" : "Zhou", "given" : "R", "non-dropping-particle" : "", "parse-names" : false, "suffix" : "" }, { "dropping-particle" : "", "family" : "Thirumalai", "given" : "D", "non-dropping-particle" : "", "parse-names" : false, "suffix" : "" }, { "dropping-particle" : "", "family" : "Berne", "given" : "B J", "non-dropping-particle" : "", "parse-names" : false, "suffix" : "" } ], "container-title" : "Proceedings of the National Academy of Sciences of the United States of America", "id" : "ITEM-1", "issued" : { "date-parts" : [ [ "2008" ] ] }, "page" : "16928-16933", "title" : "Urea denaturation by stronger dispersion interactions with proteins than water implies a 2-stage unfolding", "type" : "article-journal", "volume" : "105" }, "uris" : [ "http://www.mendeley.com/documents/?uuid=63ef025e-b036-4ab7-8637-c58bdd10b095" ] } ], "mendeley" : { "formattedCitation" : "(Hua et al. 2008)", "plainTextFormattedCitation" : "(Hua et al. 2008)", "previouslyFormattedCitation" : "(Hua et al. 2008)" }, "properties" : { "noteIndex" : 0 }, "schema" : "https://github.com/citation-style-language/schema/raw/master/csl-citation.json" }</w:instrText>
      </w:r>
      <w:r w:rsidR="00E60F72">
        <w:fldChar w:fldCharType="separate"/>
      </w:r>
      <w:r w:rsidR="00E60F72" w:rsidRPr="00E60F72">
        <w:rPr>
          <w:noProof/>
        </w:rPr>
        <w:t>(Hua et al. 2008)</w:t>
      </w:r>
      <w:r w:rsidR="00E60F72">
        <w:fldChar w:fldCharType="end"/>
      </w:r>
      <w:r w:rsidR="00E60F72">
        <w:t xml:space="preserve">. Equally molecular dynamics simulations have shown arginine to form dispersive interactions with polar residues </w:t>
      </w:r>
      <w:r w:rsidR="00F14F27">
        <w:t>on the protein via its alkyl</w:t>
      </w:r>
      <w:r w:rsidR="00E60F72">
        <w:t xml:space="preserve"> chain </w:t>
      </w:r>
      <w:r w:rsidR="00E60F72">
        <w:fldChar w:fldCharType="begin" w:fldLock="1"/>
      </w:r>
      <w:r w:rsidR="00E11F61">
        <w:instrText>ADDIN CSL_CITATION { "citationItems" : [ { "id" : "ITEM-1", "itemData" : { "DOI" : "10.1021/jp108399g", "ISSN" : "1520-5207", "PMID" : "20925358", "abstract" : "Aqueous arginine solutions are used extensively for inhibiting protein aggregation. There are several theories proposed to explain the effect of arginine on protein stability, but the exact mechanism is still not clear. To understand the mechanism of protein cosolvent interaction, the intraprotein, protein-solvent, and intrasolvent interactions have to be understood. Molecular dynamics simulations of aqueous arginine solutions were carried out for experimentally accessible concentrations and temperature ranges to study the structure of the solution and its energetic properties and obtain insight into the mechanism by which arginine inhibits protein aggregation. Simulations of proteins (\u03b1-chymotrypsinogen A and melittin) were performed. Structurally, the most striking feature of the aqueous arginine solutions is the self-association of arginine molecules. Arginine shows a marked tendency to form clusters with head to tail hydrogen bonding. Due to the presence of the three charged groups, there are several possible configurations in which arginine molecules interact. At relatively high concentrations, these arginine clusters associate with other clusters and monomeric arginine molecules to form large clusters. The hydrogen bonds between arginine molecules were found to be stronger than those between arginine and water, which makes the process of self-association enthalpically favorable. From the simulation of the proteins in aqueous arginine solution, arginine is found to interact with the aromatic and charged side chains of surface residues. A probable mechanism of the effect of arginine on protein stability consistent with our findings is proposed. In particular, arginine interacts with aromatic and charged residues due to cation-\u03c0 interaction and salt-bridge formation, respectively, to stabilize the partially unfolded intermediates. The self-interaction of arginine leads to the formation of clusters which, due to their size, crowd out the protein-protein interaction. The mechanisms proposed in the literature are analyzed on the basis of the simulation results reported in this paper and recent experimental data.", "author" : [ { "dropping-particle" : "", "family" : "Shukla", "given" : "D", "non-dropping-particle" : "", "parse-names" : false, "suffix" : "" }, { "dropping-particle" : "", "family" : "Trout", "given" : "B L", "non-dropping-particle" : "", "parse-names" : false, "suffix" : "" } ], "container-title" : "Journal of Physical Chemistry B", "id" : "ITEM-1", "issued" : { "date-parts" : [ [ "2010", "10", "28" ] ] }, "page" : "13426-13438", "title" : "Interaction of arginine with proteins and the mechanism by which it inhibits aggregation", "type" : "article-journal", "volume" : "114" }, "uris" : [ "http://www.mendeley.com/documents/?uuid=dbec9b1d-1c9e-4add-bea5-97fc49a049c2" ] }, { "id" : "ITEM-2", "itemData" : { "DOI" : "10.1021/jp108586b", "ISSN" : "1520-5207", "PMID" : "21186800", "abstract" : "Preferential interaction coefficients provide a thermodynamic measure to quantify the interactions between cosolutes and a protein. Preferential interactions of cosolutes can be measured experimentally using dialysis/densimetry and vapor pressure osmometry (VPO) techniques. The cosolute arginine is a widely used aggregation suppressor with a seemingly unique behavior. Its role in protein aggregation has been studied extensively, although a complete mechanistic understanding of its behavior is lacking. Moreover, due to experimental limitations, experimental preferential interaction data for arginine has only been reported at low concentrations. Schneider and Trout ( J. Phys. Chem. B 2009 , 113 , 7 ) have reported experimental preferential interaction data for argHCl (up to 0.7 m), and their study raised several interesting questions about the preferential interaction of arginine with proteins. Arginine is attracted to proteins at low concentrations but it was highly excluded at high concentrations. Furthermore, the preferential interaction coefficient values were found to vary as a square of the concentration, which is different from commonly observed linear relationship for other cosolutes like urea, glycerol, guanidinium hydrochloride, etc. In this study, preferential interaction coefficients of argHCl have been estimated computationally for two proteins (lysozyme and \u03b1-chymotripsinogen A) for a large concentration range (up to 2.8 m). On the basis of these results, the molecular level interactions responsible for the nonlinear exclusion of arginine from the protein surface are identified.", "author" : [ { "dropping-particle" : "", "family" : "Shukla", "given" : "D", "non-dropping-particle" : "", "parse-names" : false, "suffix" : "" }, { "dropping-particle" : "", "family" : "Trout", "given" : "B L", "non-dropping-particle" : "", "parse-names" : false, "suffix" : "" } ], "container-title" : "Journal of Physical Chemistry B", "id" : "ITEM-2", "issued" : { "date-parts" : [ [ "2011", "2", "10" ] ] }, "page" : "1243-1253", "publisher" : "American Chemical Society", "title" : "Preferential interaction coefficients of proteins in aqueous arginine solutions and their molecular origins", "type" : "article-journal", "volume" : "115" }, "uris" : [ "http://www.mendeley.com/documents/?uuid=a81e5778-ff76-4fd8-a37b-129997e8d378" ] } ], "mendeley" : { "formattedCitation" : "(Shukla &amp; Trout 2010; Shukla &amp; Trout 2011a)", "plainTextFormattedCitation" : "(Shukla &amp; Trout 2010; Shukla &amp; Trout 2011a)", "previouslyFormattedCitation" : "(Shukla &amp; Trout 2010; Shukla &amp; Trout 2011a)" }, "properties" : { "noteIndex" : 0 }, "schema" : "https://github.com/citation-style-language/schema/raw/master/csl-citation.json" }</w:instrText>
      </w:r>
      <w:r w:rsidR="00E60F72">
        <w:fldChar w:fldCharType="separate"/>
      </w:r>
      <w:r w:rsidR="00C42D6A" w:rsidRPr="00C42D6A">
        <w:rPr>
          <w:noProof/>
        </w:rPr>
        <w:t>(Shukla &amp; Trout 2010; Shukla &amp; Trout 2011a)</w:t>
      </w:r>
      <w:r w:rsidR="00E60F72">
        <w:fldChar w:fldCharType="end"/>
      </w:r>
      <w:r w:rsidR="00E60F72">
        <w:t xml:space="preserve">. </w:t>
      </w:r>
    </w:p>
    <w:p w14:paraId="6FF78DBE" w14:textId="77777777" w:rsidR="004519BA" w:rsidRDefault="00221BAC" w:rsidP="00221BAC">
      <w:pPr>
        <w:pStyle w:val="Heading4"/>
      </w:pPr>
      <w:r>
        <w:t>Other factors affecting direct interactions</w:t>
      </w:r>
    </w:p>
    <w:p w14:paraId="07059FA6" w14:textId="77777777" w:rsidR="004519BA" w:rsidRDefault="000C5D06" w:rsidP="00763207">
      <w:r>
        <w:t xml:space="preserve">Although many cosolutes will be capable of participating in </w:t>
      </w:r>
      <w:r w:rsidR="0051330F">
        <w:t xml:space="preserve">at least some of </w:t>
      </w:r>
      <w:r>
        <w:t xml:space="preserve">these direct interactions it is worth bearing in mind that the size of the cosolute may affect its ability to interact with the protein surface in this way due to steric exclusion. </w:t>
      </w:r>
      <w:r w:rsidR="00221BAC">
        <w:t>It is therefore fairly straightforward to characterise these interactions for the Hofmeister salt</w:t>
      </w:r>
      <w:r w:rsidR="006E5F95">
        <w:t>s</w:t>
      </w:r>
      <w:r w:rsidR="00221BAC">
        <w:t>. When considering small organic molecules</w:t>
      </w:r>
      <w:r w:rsidR="00462F31">
        <w:t xml:space="preserve"> with multiple functional groups that are capable of interacting with the protein in a variety of ways,</w:t>
      </w:r>
      <w:r w:rsidR="004B0D88">
        <w:t xml:space="preserve"> and</w:t>
      </w:r>
      <w:r w:rsidR="00462F31">
        <w:t xml:space="preserve"> are also larger than </w:t>
      </w:r>
      <w:r w:rsidR="00462F31">
        <w:lastRenderedPageBreak/>
        <w:t xml:space="preserve">salts, it becomes more complicated. </w:t>
      </w:r>
      <w:r>
        <w:t xml:space="preserve">This is particularly true where cosolutes are thought to form clusters in solution (see section </w:t>
      </w:r>
      <w:r>
        <w:fldChar w:fldCharType="begin"/>
      </w:r>
      <w:r>
        <w:instrText xml:space="preserve"> REF _Ref458522735 \r \h </w:instrText>
      </w:r>
      <w:r>
        <w:fldChar w:fldCharType="separate"/>
      </w:r>
      <w:r w:rsidR="00AA6926">
        <w:t>1.4.7</w:t>
      </w:r>
      <w:r>
        <w:fldChar w:fldCharType="end"/>
      </w:r>
      <w:r>
        <w:t>).</w:t>
      </w:r>
    </w:p>
    <w:p w14:paraId="7DCA4CE3" w14:textId="77777777" w:rsidR="004519BA" w:rsidRPr="00E77E13" w:rsidRDefault="004519BA" w:rsidP="00763207">
      <w:r>
        <w:t>It is worth noting that ‘hydrophobic interactions’, whereby hydrophobic groups on cosolutes interact with hydrophobic groups on the protein due to their preference to not interact with water, can be classed as direct as briefly discussed in the previous section. However, for the purpose of this review they will be discussed in the following section as a water-mediated effect.</w:t>
      </w:r>
    </w:p>
    <w:p w14:paraId="54F49966" w14:textId="77777777" w:rsidR="00F2188A" w:rsidRDefault="00EA74F0" w:rsidP="00F45FAF">
      <w:pPr>
        <w:pStyle w:val="Heading3"/>
      </w:pPr>
      <w:bookmarkStart w:id="62" w:name="_Ref458439266"/>
      <w:bookmarkStart w:id="63" w:name="_Toc485712751"/>
      <w:r>
        <w:t>Water-mediated effects</w:t>
      </w:r>
      <w:bookmarkEnd w:id="62"/>
      <w:bookmarkEnd w:id="63"/>
    </w:p>
    <w:p w14:paraId="46ADBE7D" w14:textId="77777777" w:rsidR="006E5F95" w:rsidRDefault="00830587" w:rsidP="00830587">
      <w:r>
        <w:t xml:space="preserve">When considering the effects of a cosolute on protein stability in any aqueous context it is important to remember that this is a three-component system, with water playing just as important a role as the cosolute and the protein. </w:t>
      </w:r>
      <w:r w:rsidR="00120B0E">
        <w:t>A very large amount of research has been done over many years on the effects of the Hofmeister salts on water and how this translates to effects on protein stability</w:t>
      </w:r>
      <w:r w:rsidR="004605F2">
        <w:t xml:space="preserve"> </w:t>
      </w:r>
      <w:r w:rsidR="004605F2">
        <w:fldChar w:fldCharType="begin" w:fldLock="1"/>
      </w:r>
      <w:r w:rsidR="00E11F61">
        <w:instrText>ADDIN CSL_CITATION { "citationItems" : [ { "id" : "ITEM-1", "itemData" : { "DOI" : "10.1021/jp070245z", "ISSN" : "1520-6106", "PMID" : "17432897", "abstract" : "We apply a recently developed surface-bulk partitioning model to interpret the effects of individual Hofmeister cations and anions on the surface tension of water. The most surface-excluded salt (Na2SO4) provides a minimum estimate for the number of water molecules per unit area of the surface region of 0.2 H2O A-2. This corresponds to a lower bound thickness of the surface region of approximately 6 A, which we assume is a property of this region and not of the salt investigated. At salt concentrations &lt; or = 1 m, single-ion partition coefficients Kp,i, defined relative to Kp,Na+ = Kp,SO42- = 0, are found to be independent of bulk salt concentration and additive for different salt ions. Semiquantitative agreement with surface-sensitive spectroscopy data and molecular dynamics simulations is attained. In most cases, the rank orders of Kp,i for both anions and cations follow the conventional Hofmeister series, qualitative rankings of ions based on their effects on protein processes (folding, precipitation, assembly). Most anions that favor processes that expose protein surface to water (e.g., SCN-), and hence must interact favorably with (i.e., accumulate at) protein surface, are also accumulated at the air-water interface (Kp &gt;1, e.g., Kp,SCN- =1.6). Most anions that favor processes that remove protein surface from water (e.g., F-), and hence are excluded from protein surface, are also excluded from the air-water interface (Kp,F- = 0.5). The guanidinium cation, a strong protein denaturant and therefore accumulated at the protein surface exposed in unfolding, is somewhat excluded from the air-water surface (Kp,GuH+ = 0.7), but is much less excluded than alkali metal cations (e.g., Kp,Na+ identical with 0, Kp,K+ = 0.1). Hence, cation Kp values for the air-water surface appear shifted (toward exclusion) as compared with values inferred for interactions of these cations with protein surface.", "author" : [ { "dropping-particle" : "", "family" : "Pegram", "given" : "L M", "non-dropping-particle" : "", "parse-names" : false, "suffix" : "" }, { "dropping-particle" : "", "family" : "Record", "given" : "M T", "non-dropping-particle" : "", "parse-names" : false, "suffix" : "" } ], "container-title" : "Journal of Physical Chemistry B", "id" : "ITEM-1", "issued" : { "date-parts" : [ [ "2007", "5", "17" ] ] }, "page" : "5411-5417", "title" : "Hofmeister salt effects on surface tension arise from partitioning of anions and cations between bulk water and the air-water interface", "type" : "article-journal", "volume" : "111" }, "uris" : [ "http://www.mendeley.com/documents/?uuid=4f4fe5ae-f936-4785-984e-c47b45a2e49c" ] }, { "id" : "ITEM-2", "itemData" : { "DOI" : "10.1021/jp800816a", "ISSN" : "1520-6106", "PMID" : "18630860", "abstract" : "Quantitative interpretation and prediction of Hofmeister ion effects on protein processes, including folding and crystallization, have been elusive goals of a century of research. Here, a quantitative thermodynamic analysis, developed to treat noncoulombic interactions of solutes with biopolymer surface and recently extended to analyze the effects of Hofmeister salts on the surface tension of water, is applied to literature solubility data for small hydrocarbons and model peptides. This analysis allows us to obtain a minimum estimate of the hydration b1 (H2O A(-2)), of hydrocarbon surface and partition coefficients Kp, characterizing the distribution of salts and salt ions between this hydration water and bulk water. Assuming that Na+ and SO4(2-) ions of Na2SO4 (the salt giving the largest reduction in hydrocarbon solubility as well as the largest increase in surface tension) are fully excluded from the hydration water at hydrocarbon surface, we obtain the same b1 as for air-water surface (approximately 0.18 H2O A(-2)). Rank orders of cation and anion partition coefficients for nonpolar surface follow the Hofmeister series for protein processes, but are strongly offset for cations in the direction of exclusion (preferential hydration). By applying a coarse-grained decomposition of water accessible surface area (ASA) into nonpolar, polar amide, and other polar surface and the same hydration b1 to interpret peptide solubility increments, we determine salt partition coefficients for amide surface. These partition coefficients are separated into single-ion contributions based on the observation that both Cl- and Na+ (also K+) occupy neutral positions in the middle of the anion and cation Hofmeister series for protein folding. Independent of this assignment, we find that all cations investigated are strongly accumulated at amide surface while most anions are excluded. Cation and anion effects are independent and additive, allowing successful prediction of Hofmeister salt effects on micelle formation and other processes from structural information (ASA).", "author" : [ { "dropping-particle" : "", "family" : "Pegram", "given" : "L M", "non-dropping-particle" : "", "parse-names" : false, "suffix" : "" }, { "dropping-particle" : "", "family" : "Record", "given" : "M T", "non-dropping-particle" : "", "parse-names" : false, "suffix" : "" } ], "container-title" : "Journal of Physical Chemistry B", "id" : "ITEM-2", "issued" : { "date-parts" : [ [ "2008", "8", "7" ] ] }, "page" : "9428-9436", "title" : "Thermodynamic origin of Hofmeister ion effects", "type" : "article-journal", "volume" : "112" }, "uris" : [ "http://www.mendeley.com/documents/?uuid=a3d9a644-90f1-4260-ae2c-f88a127d8015" ] }, { "id" : "ITEM-3", "itemData" : { "DOI" : "10.1016/j.cocis.2004.05.005", "ISSN" : "13590294", "author" : [ { "dropping-particle" : "", "family" : "Kunz", "given" : "W", "non-dropping-particle" : "", "parse-names" : false, "suffix" : "" }, { "dropping-particle" : "", "family" : "Henle", "given" : "J", "non-dropping-particle" : "", "parse-names" : false, "suffix" : "" }, { "dropping-particle" : "", "family" : "Ninham", "given" : "B W", "non-dropping-particle" : "", "parse-names" : false, "suffix" : "" } ], "container-title" : "Current Opinion in Colloid &amp; Interface Science", "id" : "ITEM-3", "issued" : { "date-parts" : [ [ "2004", "8" ] ] }, "page" : "19-37", "title" : "\u2018Zur Lehre von der Wirkung der Salze\u2019 (about the science of the effect of salts): Franz Hofmeister's historical papers", "type" : "article-journal", "volume" : "9" }, "uris" : [ "http://www.mendeley.com/documents/?uuid=2d397724-78c0-4d3e-9716-c98cbf1a1214" ] }, { "id" : "ITEM-4", "itemData" : { "DOI" : "10.1016/j.cocis.2004.05.004", "ISSN" : "13590294", "author" : [ { "dropping-particle" : "", "family" : "Kunz", "given" : "W", "non-dropping-particle" : "", "parse-names" : false, "suffix" : "" }, { "dropping-particle" : "", "family" : "Nostro", "given" : "P", "non-dropping-particle" : "Lo", "parse-names" : false, "suffix" : "" }, { "dropping-particle" : "", "family" : "Ninham", "given" : "B W", "non-dropping-particle" : "", "parse-names" : false, "suffix" : "" } ], "container-title" : "Current Opinion in Colloid &amp; Interface Science", "id" : "ITEM-4", "issued" : { "date-parts" : [ [ "2004", "8" ] ] }, "page" : "1-18", "title" : "The present state of affairs with Hofmeister effects", "type" : "article-journal", "volume" : "9" }, "uris" : [ "http://www.mendeley.com/documents/?uuid=b42c1156-add6-45c7-aee4-2023475610d3" ] } ], "mendeley" : { "formattedCitation" : "(Pegram &amp; Record 2007; Pegram &amp; Record 2008; Kunz, Henle, et al. 2004; Kunz, Lo Nostro, et al. 2004)", "plainTextFormattedCitation" : "(Pegram &amp; Record 2007; Pegram &amp; Record 2008; Kunz, Henle, et al. 2004; Kunz, Lo Nostro, et al. 2004)", "previouslyFormattedCitation" : "(Pegram &amp; Record 2007; Pegram &amp; Record 2008; Kunz, Henle, et al. 2004; Kunz, Lo Nostro, et al. 2004)" }, "properties" : { "noteIndex" : 0 }, "schema" : "https://github.com/citation-style-language/schema/raw/master/csl-citation.json" }</w:instrText>
      </w:r>
      <w:r w:rsidR="004605F2">
        <w:fldChar w:fldCharType="separate"/>
      </w:r>
      <w:r w:rsidR="004605F2" w:rsidRPr="004605F2">
        <w:rPr>
          <w:noProof/>
        </w:rPr>
        <w:t>(Pegram &amp; Record 2007; Pegram &amp; Record 2008; Kunz, Henle, et al. 2004; Kunz, Lo Nostro, et al. 2004)</w:t>
      </w:r>
      <w:r w:rsidR="004605F2">
        <w:fldChar w:fldCharType="end"/>
      </w:r>
      <w:r w:rsidR="00120B0E">
        <w:t>. Much of this is relevant to interpretation of the effects of small organic molecules. Although the biophysics of water is itself worthy of an entire literature review the major aspects of water-mediated effects on protein stability on addition of cosolutes are discussed here.</w:t>
      </w:r>
      <w:r w:rsidR="00857C66">
        <w:t xml:space="preserve"> A major complication in the interpretation of the role of water in the effects of cosolutes on proteins is that the structure and behaviour of </w:t>
      </w:r>
      <w:r w:rsidR="00C5732F">
        <w:t xml:space="preserve">both </w:t>
      </w:r>
      <w:r w:rsidR="00857C66">
        <w:t>bulk and hydration water is still heavily debated.</w:t>
      </w:r>
      <w:r w:rsidR="005E1F9D">
        <w:t xml:space="preserve"> </w:t>
      </w:r>
    </w:p>
    <w:p w14:paraId="1271927C" w14:textId="77777777" w:rsidR="00830587" w:rsidRPr="00120B0E" w:rsidRDefault="005E1F9D" w:rsidP="00830587">
      <w:r>
        <w:t>A simplified picture of water structure is as a mixture of two interchanging classes; less dense, more structured water</w:t>
      </w:r>
      <w:r w:rsidR="0065734F">
        <w:t xml:space="preserve"> (with more hydrogen bonding)</w:t>
      </w:r>
      <w:r>
        <w:t xml:space="preserve"> and more dense, less structured water</w:t>
      </w:r>
      <w:r w:rsidR="0065734F">
        <w:t xml:space="preserve"> (with less hydrogen bonding)</w:t>
      </w:r>
      <w:r>
        <w:t xml:space="preserve"> </w:t>
      </w:r>
      <w:r>
        <w:fldChar w:fldCharType="begin" w:fldLock="1"/>
      </w:r>
      <w:r w:rsidR="00924827">
        <w:instrText>ADDIN CSL_CITATION { "citationItems" : [ { "id" : "ITEM-1", "itemData" : { "DOI" : "10.1016/j.cplett.2011.04.051", "ISSN" : "00092614", "abstract" : "Untypical changes of molar volume and compressibility of liquid water with temperature are analyzed using a very simple model assuming that a temperature-dependent equilibrium exists between two states of water molecules in liquid. The fittings show, independent on extremely rough assumptions and simplifications applied, that the two-state model of liquid water is still able to reproduce the molar volumes almost perfectly but in the case of compressibility physically nonrealistic results are obtained. These results generate questions and reservations about opportunity of determining the number of states describing liquid water. \u00a9 2011 Elsevier B.V. All rights reserved.", "author" : [ { "dropping-particle" : "", "family" : "Gli\u0144ski", "given" : "J", "non-dropping-particle" : "", "parse-names" : false, "suffix" : "" }, { "dropping-particle" : "", "family" : "Burakowski", "given" : "A", "non-dropping-particle" : "", "parse-names" : false, "suffix" : "" } ], "container-title" : "Chemical Physics Letters", "id" : "ITEM-1", "issued" : { "date-parts" : [ [ "2011" ] ] }, "page" : "210-214", "title" : "Structure of liquid water: Is the two-state model operative?", "type" : "article-journal", "volume" : "508" }, "uris" : [ "http://www.mendeley.com/documents/?uuid=dff99cdb-133d-451f-ad0d-2c055c9b3fa3" ] } ], "mendeley" : { "formattedCitation" : "(Gli\u0144ski &amp; Burakowski 2011)", "plainTextFormattedCitation" : "(Gli\u0144ski &amp; Burakowski 2011)", "previouslyFormattedCitation" : "(Gli\u0144ski &amp; Burakowski 2011)" }, "properties" : { "noteIndex" : 0 }, "schema" : "https://github.com/citation-style-language/schema/raw/master/csl-citation.json" }</w:instrText>
      </w:r>
      <w:r>
        <w:fldChar w:fldCharType="separate"/>
      </w:r>
      <w:r w:rsidRPr="005E1F9D">
        <w:rPr>
          <w:noProof/>
        </w:rPr>
        <w:t>(Gliński &amp; Burakowski 2011)</w:t>
      </w:r>
      <w:r>
        <w:fldChar w:fldCharType="end"/>
      </w:r>
      <w:r w:rsidR="00005396">
        <w:t>. Hydration water has be</w:t>
      </w:r>
      <w:r w:rsidR="006E5F95">
        <w:t xml:space="preserve">en shown to be different to </w:t>
      </w:r>
      <w:r w:rsidR="00005396">
        <w:t xml:space="preserve">bulk water in terms of the amounts of these two interchangeable species, although </w:t>
      </w:r>
      <w:r w:rsidR="00B613A2">
        <w:t>the nature of the perturbation</w:t>
      </w:r>
      <w:r w:rsidR="00005396">
        <w:t xml:space="preserve"> depends on the surface being hydrated </w:t>
      </w:r>
      <w:r w:rsidR="00005396">
        <w:fldChar w:fldCharType="begin" w:fldLock="1"/>
      </w:r>
      <w:r w:rsidR="00E11F61">
        <w:instrText>ADDIN CSL_CITATION { "citationItems" : [ { "id" : "ITEM-1", "itemData" : { "DOI" : "10.1002/jcc.10100", "ISBN" : "0192-8651", "ISSN" : "01928651", "PMID" : "12214315", "abstract" : "The hydration structure of human lysozyme was studied with cryogenic X-ray diffraction experiment and molecular dynamics simulations. The crystal structure analysis at a resolution of 1.4 A provided 405 crystal water molecules around the enzyme. In the simulations at 300 K, the crystal structure was immersed in explicit water molecules. We examined correlations between crystal water sites and two physical quantities calculated from the 1-ns simulation trajectories: the solvent density reflecting the time-averaged distribution of water molecules, and the solvent dipole measuring the orientational ordering of water molecules around the enzyme. The local high solvent density sites were consistent with the crystal water sites, and better correlation was observed around surface residues with smaller conformational fluctuations during the simulations. Solvent dipoles around those sites exhibited coherent and persistent ordering, indicating that the hydration water molecules at the crystal water sites were highly oriented through the interactions with hydrophilic residues. Those water molecules restrained the orientational motions of adjoining water molecules and induced a solvent dipole field, which was persistent during the simulations around the enzyme. The coherent ordering was particularly prominent in and around the active site cleft of the enzyme. Because the ordering was significant up to the third to fourth solvent layer region from the enzyme surface, the coherently ordered solvent dipoles likely contributed to the molecular recognition of the enzyme in a long-distance range. The present work may provide a new approach combining computational and the experimental studies to understand protein hydration.", "author" : [ { "dropping-particle" : "", "family" : "Higo", "given" : "J", "non-dropping-particle" : "", "parse-names" : false, "suffix" : "" }, { "dropping-particle" : "", "family" : "Nakasako", "given" : "M", "non-dropping-particle" : "", "parse-names" : false, "suffix" : "" } ], "container-title" : "Journal of Computational Chemistry", "id" : "ITEM-1", "issued" : { "date-parts" : [ [ "2002" ] ] }, "page" : "1323-1336", "title" : "Hydration structure of human lysozyme investigated by molecular dynamics simulation and cryogenic x-ray crystal structure analyses: On the correlation between crystal water sites, solvent density, and solvent dipole", "type" : "article-journal", "volume" : "23" }, "uris" : [ "http://www.mendeley.com/documents/?uuid=f0d5c231-e004-477e-9324-90f64a66289b" ] }, { "id" : "ITEM-2", "itemData" : { "DOI" : "10.1016/j.cplett.2005.04.072", "ISSN" : "00092614", "abstract" : "Hydration structures of human lysozyme were analyzed by focusing on time-averaged and instantaneous hydrogen-bond (H-bond) patterns in a molecular dynamics simulation trajectory. The time-averaged H-bond patterns were significant only near the protein surface and showed good correlation with crystal-water sites found in a cryogenic crystal structure, and the H-bond networks warped the entire protein surface. The temporal persistence of the networks regarding their shape and organization depended on the surface topography. Particularly, the networks in the large active-site cleft retained their organization for a long period. The implication of H-bond networks on the biological function was discussed in referring the crystal structure of a lysozyme-substrate complex. ?? 2005 Elsevier B.V. All rights reserved.", "author" : [ { "dropping-particle" : "", "family" : "Yokomizo", "given" : "T", "non-dropping-particle" : "", "parse-names" : false, "suffix" : "" }, { "dropping-particle" : "", "family" : "Higo", "given" : "J", "non-dropping-particle" : "", "parse-names" : false, "suffix" : "" }, { "dropping-particle" : "", "family" : "Nakasako", "given" : "M", "non-dropping-particle" : "", "parse-names" : false, "suffix" : "" } ], "container-title" : "Chemical Physics Letters", "id" : "ITEM-2", "issued" : { "date-parts" : [ [ "2005" ] ] }, "page" : "31-35", "title" : "Patterns and networks of hydrogen-bonds in the hydration structure of human lysozyme", "type" : "article-journal", "volume" : "410" }, "uris" : [ "http://www.mendeley.com/documents/?uuid=452ed187-72b1-44c8-b09d-330e87bbd4c9" ] } ], "mendeley" : { "formattedCitation" : "(Higo &amp; Nakasako 2002; Yokomizo et al. 2005)", "plainTextFormattedCitation" : "(Higo &amp; Nakasako 2002; Yokomizo et al. 2005)", "previouslyFormattedCitation" : "(Higo &amp; Nakasako 2002; Yokomizo et al. 2005)" }, "properties" : { "noteIndex" : 0 }, "schema" : "https://github.com/citation-style-language/schema/raw/master/csl-citation.json" }</w:instrText>
      </w:r>
      <w:r w:rsidR="00005396">
        <w:fldChar w:fldCharType="separate"/>
      </w:r>
      <w:r w:rsidR="0065734F" w:rsidRPr="0065734F">
        <w:rPr>
          <w:noProof/>
        </w:rPr>
        <w:t>(Higo &amp; Nakasako 2002; Yokomizo et al. 2005)</w:t>
      </w:r>
      <w:r w:rsidR="00005396">
        <w:fldChar w:fldCharType="end"/>
      </w:r>
      <w:r w:rsidR="0065734F">
        <w:t>.</w:t>
      </w:r>
      <w:r w:rsidR="004D71B1">
        <w:t xml:space="preserve"> This makes the interpretation of protein hydration fairly complicated due to the fact that the protein surface is extremely heterogeneous. In general, favourable hydrogen bonding between </w:t>
      </w:r>
      <w:r w:rsidR="004D71B1">
        <w:lastRenderedPageBreak/>
        <w:t xml:space="preserve">water and polar or charged residues on the protein surface mean the tightly bound hydration shell of the protein is considered to be more ordered and less dense than bulk water. </w:t>
      </w:r>
      <w:r w:rsidR="007D79D5">
        <w:t xml:space="preserve">Traditionally this </w:t>
      </w:r>
      <w:r w:rsidR="003B60E1">
        <w:t>more structured</w:t>
      </w:r>
      <w:r w:rsidR="007D79D5">
        <w:t xml:space="preserve"> water is considered to extend no further than the fi</w:t>
      </w:r>
      <w:r w:rsidR="00C5732F">
        <w:t>rst hydration layer of around 5</w:t>
      </w:r>
      <w:r w:rsidR="007D79D5">
        <w:t xml:space="preserve"> Å </w:t>
      </w:r>
      <w:r w:rsidR="007D79D5">
        <w:fldChar w:fldCharType="begin" w:fldLock="1"/>
      </w:r>
      <w:r w:rsidR="004F305D">
        <w:instrText>ADDIN CSL_CITATION { "citationItems" : [ { "id" : "ITEM-1", "itemData" : { "DOI" : "10.1021/jp8000724", "ISSN" : "15206106", "PMID" : "18547099", "abstract" : "Water molecules around a protein exhibit slow dynamics with respect to that of pure bulk water. One important issue in protein hydration is the thickness of the hydration layer (i.e., the distance from the protein surface up to which the water dynamics is influenced by the protein). Estimation of thickness is crucial to understand better the properties of \"biological water\" and the role that it plays in guiding the protein's function. We have performed an atomistic molecular dynamics simulation of an aqueous solution of the protein villin headpiece subdomain or HP-36 to estimate the thickness of its hydration water. In particular, several dynamical properties of water around different segments (three alpha-helices) of the protein have been calculated by varying the thickness of the hydration layers. It is found that in general the influence of the helices on water properties extends beyond the first hydration layer. However, the heterogeneous nature of water among the first hydration layers of the three helices diminishes as the thickness is increased. It indicates that, for a small protein such as HP-36, the thickness of \"biological water\" is uniform for different segments of the protein.", "author" : [ { "dropping-particle" : "", "family" : "Sinha", "given" : "S K", "non-dropping-particle" : "", "parse-names" : false, "suffix" : "" }, { "dropping-particle" : "", "family" : "Chakraborty", "given" : "S", "non-dropping-particle" : "", "parse-names" : false, "suffix" : "" }, { "dropping-particle" : "", "family" : "Bandyopadhyay", "given" : "S", "non-dropping-particle" : "", "parse-names" : false, "suffix" : "" } ], "container-title" : "Journal of Physical Chemistry B", "id" : "ITEM-1", "issued" : { "date-parts" : [ [ "2008" ] ] }, "page" : "8203-8209", "title" : "Thickness of the hydration layer of a protein from molecular dynamics simulation", "type" : "article-journal", "volume" : "112" }, "uris" : [ "http://www.mendeley.com/documents/?uuid=905c33ec-ea73-4c0a-889a-ea181a5fd386" ] } ], "mendeley" : { "formattedCitation" : "(Sinha et al. 2008)", "plainTextFormattedCitation" : "(Sinha et al. 2008)", "previouslyFormattedCitation" : "(Sinha et al. 2008)" }, "properties" : { "noteIndex" : 0 }, "schema" : "https://github.com/citation-style-language/schema/raw/master/csl-citation.json" }</w:instrText>
      </w:r>
      <w:r w:rsidR="007D79D5">
        <w:fldChar w:fldCharType="separate"/>
      </w:r>
      <w:r w:rsidR="007D79D5" w:rsidRPr="007D79D5">
        <w:rPr>
          <w:noProof/>
        </w:rPr>
        <w:t>(Sinha et al. 2008)</w:t>
      </w:r>
      <w:r w:rsidR="007D79D5">
        <w:fldChar w:fldCharType="end"/>
      </w:r>
      <w:r w:rsidR="007D79D5">
        <w:t xml:space="preserve">. </w:t>
      </w:r>
      <w:r w:rsidR="007D509A">
        <w:t xml:space="preserve">There have recently been a number of experimental studies that suggest the hydration shell surrounding proteins may be extended. Terahertz time domain spectroscopy </w:t>
      </w:r>
      <w:r w:rsidR="0017672B">
        <w:t xml:space="preserve">(THz-TDS) </w:t>
      </w:r>
      <w:r w:rsidR="007D509A">
        <w:t xml:space="preserve">experiments </w:t>
      </w:r>
      <w:r w:rsidR="00C5732F">
        <w:t xml:space="preserve">in particular </w:t>
      </w:r>
      <w:r w:rsidR="007D509A">
        <w:t xml:space="preserve">have recently </w:t>
      </w:r>
      <w:r w:rsidR="0017672B">
        <w:t>shown overlapping hydration layers between λ*6-85 repressor protein</w:t>
      </w:r>
      <w:r w:rsidR="00C1684C">
        <w:t>s</w:t>
      </w:r>
      <w:r w:rsidR="0017672B">
        <w:t xml:space="preserve"> extending 22 Å from the protein </w:t>
      </w:r>
      <w:r w:rsidR="0017672B">
        <w:fldChar w:fldCharType="begin" w:fldLock="1"/>
      </w:r>
      <w:r w:rsidR="0017672B">
        <w:instrText>ADDIN CSL_CITATION { "citationItems" : [ { "id" : "ITEM-1", "itemData" : { "DOI" : "10.1073/pnas.0709207104", "ISSN" : "1091-6490", "PMID" : "18093918", "abstract" : "The focus in protein folding has been very much on the protein backbone and sidechains. However, hydration waters make comparable contributions to the structure and energy of proteins. The coupling between fast hydration dynamics and protein dynamics is considered to play an important role in protein folding. Fundamental questions of protein hydration include, how far out into the solvent does the influence of the biomolecule reach, how is the water affected, and how are the properties of the hydration water influenced by the separation between protein molecules in solution? We show here that Terahertz spectroscopy directly probes such solvation dynamics around proteins, and determines the width of the dynamical hydration layer. We also investigate the dependence of solvation dynamics on protein concentration. We observe an unexpected nonmonotonic trend in the measured terahertz absorbance of the five helix bundle protein lambda(6-85)* as a function of the protein: water molar ratio. The trend can be explained by overlapping solvation layers around the proteins. Molecular dynamics simulations indicate water dynamics in the solvation layer around one protein to be distinct from bulk water out to approximately 10 A. At higher protein concentrations such that solvation layers overlap, the calculated absorption spectrum varies nonmonotonically, qualitatively consistent with the experimental observations. The experimental data suggest an influence on the correlated water network motion beyond 20 A, greater than the pure structural correlation length usually observed.", "author" : [ { "dropping-particle" : "", "family" : "Ebbinghaus", "given" : "S", "non-dropping-particle" : "", "parse-names" : false, "suffix" : "" }, { "dropping-particle" : "", "family" : "Kim", "given" : "S J", "non-dropping-particle" : "", "parse-names" : false, "suffix" : "" }, { "dropping-particle" : "", "family" : "Heyden", "given" : "M", "non-dropping-particle" : "", "parse-names" : false, "suffix" : "" }, { "dropping-particle" : "", "family" : "Yu", "given" : "X", "non-dropping-particle" : "", "parse-names" : false, "suffix" : "" }, { "dropping-particle" : "", "family" : "Heugen", "given" : "U", "non-dropping-particle" : "", "parse-names" : false, "suffix" : "" }, { "dropping-particle" : "", "family" : "Gruebele", "given" : "M", "non-dropping-particle" : "", "parse-names" : false, "suffix" : "" }, { "dropping-particle" : "", "family" : "Leitner", "given" : "D M", "non-dropping-particle" : "", "parse-names" : false, "suffix" : "" }, { "dropping-particle" : "", "family" : "Havenith", "given" : "M", "non-dropping-particle" : "", "parse-names" : false, "suffix" : "" } ], "container-title" : "Proceedings of the National Academy of Sciences of the United States of America", "id" : "ITEM-1", "issued" : { "date-parts" : [ [ "2007", "12", "26" ] ] }, "page" : "20749-20752", "title" : "An extended dynamical hydration shell around proteins", "type" : "article-journal", "volume" : "104" }, "uris" : [ "http://www.mendeley.com/documents/?uuid=f24017c3-cc75-4363-933b-730b5ffe25f2" ] } ], "mendeley" : { "formattedCitation" : "(Ebbinghaus et al. 2007)", "plainTextFormattedCitation" : "(Ebbinghaus et al. 2007)", "previouslyFormattedCitation" : "(Ebbinghaus et al. 2007)" }, "properties" : { "noteIndex" : 0 }, "schema" : "https://github.com/citation-style-language/schema/raw/master/csl-citation.json" }</w:instrText>
      </w:r>
      <w:r w:rsidR="0017672B">
        <w:fldChar w:fldCharType="separate"/>
      </w:r>
      <w:r w:rsidR="0017672B" w:rsidRPr="0017672B">
        <w:rPr>
          <w:noProof/>
        </w:rPr>
        <w:t>(Ebbinghaus et al. 2007)</w:t>
      </w:r>
      <w:r w:rsidR="0017672B">
        <w:fldChar w:fldCharType="end"/>
      </w:r>
      <w:r w:rsidR="0017672B">
        <w:t xml:space="preserve">. Similar THz-TDS experiments using </w:t>
      </w:r>
      <w:r w:rsidR="004B0D88">
        <w:t>bovine serum a</w:t>
      </w:r>
      <w:r w:rsidR="00CC0F20">
        <w:t>lbumin (</w:t>
      </w:r>
      <w:r w:rsidR="0017672B">
        <w:t>BSA</w:t>
      </w:r>
      <w:r w:rsidR="00CC0F20">
        <w:t>)</w:t>
      </w:r>
      <w:r w:rsidR="0017672B">
        <w:t xml:space="preserve"> also calculated extended hydration layers of 15 Å </w:t>
      </w:r>
      <w:r w:rsidR="0017672B">
        <w:fldChar w:fldCharType="begin" w:fldLock="1"/>
      </w:r>
      <w:r w:rsidR="00924827">
        <w:instrText>ADDIN CSL_CITATION { "citationItems" : [ { "id" : "ITEM-1", "itemData" : { "DOI" : "10.1021/jp407410g", "ISBN" : "1520-5215 (Electronic)\\r1089-5639 (Linking)", "ISSN" : "10895639", "PMID" : "24328100", "abstract" : "Terahertz spectroscopy was used to study the absorption of bovine serum albumin (BSA) in water. The Diamond Light Source operating in a low alpha mode generated coherent synchrotron radiation that covered a useable spectral bandwidth of 0.3-3.3 THz (10-110 cm(-1)). As the BSA concentration was raised, there was a nonlinear change in absorption inconsistent with Beer's law. At low BSA concentrations (0-1 mM), the absorption remained constant or rose slightly. Above a concentration of 1 mM BSA, a steady decrease in absorption was observed, which was followed by a plateau that started at 2.5 mM. Using a overlapping hydration layer model, the hydration layer was estimated to extend 15 \u00c5 from the protein. Calculation of the corrected absorption coefficient (\u03b1corr) for the water around BSA by subtracting the excluded volume of the protein provides an alternative approach to studying the hydration layer that provides evidence for complexity in the population of water around BSA.", "author" : [ { "dropping-particle" : "", "family" : "Bye", "given" : "J W", "non-dropping-particle" : "", "parse-names" : false, "suffix" : "" }, { "dropping-particle" : "", "family" : "Meliga", "given" : "S", "non-dropping-particle" : "", "parse-names" : false, "suffix" : "" }, { "dropping-particle" : "", "family" : "Ferachou", "given" : "D", "non-dropping-particle" : "", "parse-names" : false, "suffix" : "" }, { "dropping-particle" : "", "family" : "Cinque", "given" : "G", "non-dropping-particle" : "", "parse-names" : false, "suffix" : "" }, { "dropping-particle" : "", "family" : "Zeitler", "given" : "J A", "non-dropping-particle" : "", "parse-names" : false, "suffix" : "" }, { "dropping-particle" : "", "family" : "Falconer", "given" : "R J", "non-dropping-particle" : "", "parse-names" : false, "suffix" : "" } ], "container-title" : "Journal of Physical Chemistry A", "id" : "ITEM-1", "issued" : { "date-parts" : [ [ "2014" ] ] }, "page" : "83-88", "title" : "Analysis of the hydration water around bovine serum albumin using terahertz coherent synchrotron radiation", "type" : "article-journal", "volume" : "118" }, "uris" : [ "http://www.mendeley.com/documents/?uuid=b45e85ae-5a60-43bd-9c26-d107dde52954" ] } ], "mendeley" : { "formattedCitation" : "(Bye, Meliga, et al. 2014)", "plainTextFormattedCitation" : "(Bye, Meliga, et al. 2014)", "previouslyFormattedCitation" : "(Bye, Meliga, et al. 2014)" }, "properties" : { "noteIndex" : 0 }, "schema" : "https://github.com/citation-style-language/schema/raw/master/csl-citation.json" }</w:instrText>
      </w:r>
      <w:r w:rsidR="0017672B">
        <w:fldChar w:fldCharType="separate"/>
      </w:r>
      <w:r w:rsidR="0017672B" w:rsidRPr="0017672B">
        <w:rPr>
          <w:noProof/>
        </w:rPr>
        <w:t>(Bye, Meliga, et al. 2014)</w:t>
      </w:r>
      <w:r w:rsidR="0017672B">
        <w:fldChar w:fldCharType="end"/>
      </w:r>
      <w:r w:rsidR="0017672B">
        <w:t>.</w:t>
      </w:r>
      <w:r w:rsidR="00BA3226">
        <w:t xml:space="preserve"> Results from dielectric spectroscopy experiments on lysozyme also demonstrate hydration layers of a similar magnitude (19.1 – 19.6 Å) </w:t>
      </w:r>
      <w:r w:rsidR="00BA3226">
        <w:fldChar w:fldCharType="begin" w:fldLock="1"/>
      </w:r>
      <w:r w:rsidR="007D79D5">
        <w:instrText>ADDIN CSL_CITATION { "citationItems" : [ { "id" : "ITEM-1", "itemData" : { "DOI" : "10.1016/j.bbapap.2012.02.008", "ISBN" : "1570-9639", "ISSN" : "0006-3002", "PMID" : "22406314", "abstract" : "In the present work, we provide a dielectric study on two differently concentrated aqueous lysozyme solutions in the frequency range from 1MHz to 40GHz and for temperatures from 275 to 330K. We analyze the three dispersion regions, commonly found in protein solutions, usually termed \u03b2-, \u03b3-, and \u03b4-relaxations. The \u03b2-relaxation, occurring in the frequency range around 10MHz and the \u03b3-relaxation around 20GHz (at room temperature) can be attributed to the rotation of the polar protein molecules in their aqueous medium and the reorientational motion of the free water molecules, respectively. The nature of the \u03b4-relaxation, which is often ascribed to the motion of bound water molecules, is not yet fully understood. Here we provide data on the temperature dependence of the relaxation times and relaxation strengths of all three detected processes and on the dc conductivity arising from ionic charge transport. The temperature dependences of the \u03b2- and \u03b3-relaxations are closely correlated. We found a significant temperature dependence of the dipole moment of the protein, indicating conformational changes. Moreover we find a breakdown of the Debye-Stokes-Einstein relation in this protein solution, i.e., the dc conductivity is not completely governed by the mobility of the solvent molecules. Instead it seems that the dc conductivity is closely connected to the hydration shell dynamics.", "author" : [ { "dropping-particle" : "", "family" : "Wolf", "given" : "M", "non-dropping-particle" : "", "parse-names" : false, "suffix" : "" }, { "dropping-particle" : "", "family" : "Gulich", "given" : "R", "non-dropping-particle" : "", "parse-names" : false, "suffix" : "" }, { "dropping-particle" : "", "family" : "Lunkenheimer", "given" : "P", "non-dropping-particle" : "", "parse-names" : false, "suffix" : "" }, { "dropping-particle" : "", "family" : "Loidl", "given" : "A", "non-dropping-particle" : "", "parse-names" : false, "suffix" : "" } ], "container-title" : "Biochimica et Biophysica Acta", "id" : "ITEM-1", "issued" : { "date-parts" : [ [ "2012" ] ] }, "page" : "723-730", "publisher" : "Elsevier B.V.", "title" : "Relaxation dynamics of a protein solution investigated by dielectric spectroscopy", "type" : "article-journal", "volume" : "1824" }, "uris" : [ "http://www.mendeley.com/documents/?uuid=09fd96e3-5561-4af0-b622-f13d41ffdf30" ] } ], "mendeley" : { "formattedCitation" : "(Wolf et al. 2012)", "plainTextFormattedCitation" : "(Wolf et al. 2012)", "previouslyFormattedCitation" : "(Wolf et al. 2012)" }, "properties" : { "noteIndex" : 0 }, "schema" : "https://github.com/citation-style-language/schema/raw/master/csl-citation.json" }</w:instrText>
      </w:r>
      <w:r w:rsidR="00BA3226">
        <w:fldChar w:fldCharType="separate"/>
      </w:r>
      <w:r w:rsidR="00BA3226" w:rsidRPr="00BA3226">
        <w:rPr>
          <w:noProof/>
        </w:rPr>
        <w:t>(Wolf et al. 2012)</w:t>
      </w:r>
      <w:r w:rsidR="00BA3226">
        <w:fldChar w:fldCharType="end"/>
      </w:r>
      <w:r w:rsidR="00194A3A">
        <w:t>.</w:t>
      </w:r>
      <w:r w:rsidR="00C5732F">
        <w:t xml:space="preserve"> Understanding the structure and dynamics of hydration water and bulk water is important in order to interpret how the addition of cosolutes alters these properties, and how that can translate to changes in protein stability. </w:t>
      </w:r>
    </w:p>
    <w:p w14:paraId="2A0D670E" w14:textId="77777777" w:rsidR="00EA74F0" w:rsidRDefault="00EA74F0" w:rsidP="00EA74F0">
      <w:pPr>
        <w:pStyle w:val="Heading4"/>
      </w:pPr>
      <w:bookmarkStart w:id="64" w:name="_Ref456083118"/>
      <w:bookmarkStart w:id="65" w:name="_Ref462648922"/>
      <w:r>
        <w:t>Kosmotrope and chaotrope theory</w:t>
      </w:r>
      <w:bookmarkEnd w:id="64"/>
      <w:bookmarkEnd w:id="65"/>
    </w:p>
    <w:p w14:paraId="5F374CEA" w14:textId="77777777" w:rsidR="005E1F9D" w:rsidRDefault="00BC73CA" w:rsidP="005E1F9D">
      <w:r>
        <w:t>One of the older and more contested theories related to water-mediated effects originates from a mechanism originally suggested for the Hofmeister salts involving long-range changes in the structure of water</w:t>
      </w:r>
      <w:r w:rsidR="005F4D80">
        <w:t>, which was first used to explain viscosity changes and much later related to effects on proteins</w:t>
      </w:r>
      <w:r>
        <w:t xml:space="preserve"> </w:t>
      </w:r>
      <w:r>
        <w:fldChar w:fldCharType="begin" w:fldLock="1"/>
      </w:r>
      <w:r w:rsidR="00924827">
        <w:instrText>ADDIN CSL_CITATION { "citationItems" : [ { "id" : "ITEM-1", "itemData" : { "DOI" : "10.1098/rspa.1983.0054", "ISSN" : "1364-5021", "author" : [ { "dropping-particle" : "", "family" : "Cox", "given" : "W M", "non-dropping-particle" : "", "parse-names" : false, "suffix" : "" }, { "dropping-particle" : "", "family" : "Wolfenden", "given" : "J H", "non-dropping-particle" : "", "parse-names" : false, "suffix" : "" } ], "container-title" : "Proceedings of the Royal Society of London: Series A", "id" : "ITEM-1", "issued" : { "date-parts" : [ [ "1934" ] ] }, "page" : "475-488", "title" : "The viscosity of strong electrolytes measured by a differential method", "type" : "article-journal", "volume" : "92" }, "uris" : [ "http://www.mendeley.com/documents/?uuid=6c4275e1-fe67-43e1-a599-f7c5895ba70a" ] }, { "id" : "ITEM-2", "itemData" : { "DOI" : "10.1017/S0033583500005369", "ISBN" : "0033-5835", "ISSN" : "0033-5835", "PMID" : "3916340", "abstract" : "Starting from known properties of non-specific salt effects on the surface tension at an air-water interface, we propose the first general, detailed qualitative molecular mechanism for the origins of ion-specific (Hofmeister) effects on the surface potential difference at an air-water interface; this mechanism suggests a simple model for the behaviour of water at all interfaces (including water-solute interfaces), regardless of whether the non-aqueous component is neutral or charged, polar or non-polar. Specifically, water near an isolated interface is conceptually divided into three layers, each layer being I water-molecule thick. We propose that the solute determines the behaviour of the adjacent first interfacial water layer (I1); that the bulk solution determines the behaviour of the third interfacial water layer (I3), and that both I1 and I3 compete for hydrogen-bonding interactions with the intervening water layer (I2), which can be thought of as a transition layer. The model requires that a polar kosmotrope (polar water-structure maker) interact with I1 more strongly than would bulk water in its place; that a chaotrope (water-structure breaker) interact with I1 somewhat less strongly than would bulk water in its place; and that a non-polar kosmotrope (non-polar water-structure maker) interact with I1 much less strongly than would bulk water in its place. We introduce two simple new postulates to describe the behaviour of I1 water molecules in aqueous solution. The first, the 'relative competition' postulate, states that an I1 water molecule, in maximizing its free energy (--delta G), will favour those of its highly directional polar (hydrogen-bonding) interactions with its immediate neighbours for which the maximum pairwise enthalpy of interaction (--delta H) is greatest; that is, it will favour the strongest interactions. We describe such behaviour as 'compliant', since an I1 water molecule will continually adjust its position to maximize these strong interactions. Its behaviour towards its remaining immediate neighbours, with whom it interacts relatively weakly (but still favourably), we describe as 'recalcitrant', since it will be unable to adjust its position to maximize simultaneously these interactions.", "author" : [ { "dropping-particle" : "", "family" : "Collins", "given" : "K D", "non-dropping-particle" : "", "parse-names" : false, "suffix" : "" }, { "dropping-particle" : "", "family" : "Washabaugh", "given" : "M W", "non-dropping-particle" : "", "parse-names" : false, "suffix" : "" } ], "container-title" : "Quarterly Review of Biophysics", "id" : "ITEM-2", "issued" : { "date-parts" : [ [ "1985" ] ] }, "page" : "323-422", "title" : "The Hofmeister effect and the behaviour of water at interfaces", "type" : "article-journal", "volume" : "18" }, "uris" : [ "http://www.mendeley.com/documents/?uuid=4be9efad-d471-4baa-833f-5f6c0e09cb72" ] } ], "mendeley" : { "formattedCitation" : "(Cox &amp; Wolfenden 1934; Collins &amp; Washabaugh 1985)", "plainTextFormattedCitation" : "(Cox &amp; Wolfenden 1934; Collins &amp; Washabaugh 1985)", "previouslyFormattedCitation" : "(Cox &amp; Wolfenden 1934; Collins &amp; Washabaugh 1985)" }, "properties" : { "noteIndex" : 0 }, "schema" : "https://github.com/citation-style-language/schema/raw/master/csl-citation.json" }</w:instrText>
      </w:r>
      <w:r>
        <w:fldChar w:fldCharType="separate"/>
      </w:r>
      <w:r w:rsidR="00D01D31" w:rsidRPr="00D01D31">
        <w:rPr>
          <w:noProof/>
        </w:rPr>
        <w:t>(Cox &amp; Wolfenden 1934; Collins &amp; Washabaugh 1985)</w:t>
      </w:r>
      <w:r>
        <w:fldChar w:fldCharType="end"/>
      </w:r>
      <w:r w:rsidR="005F4D80">
        <w:t>. A</w:t>
      </w:r>
      <w:r>
        <w:t>s such it could be considered the original ‘indirect effect’. Under this theory molecules that st</w:t>
      </w:r>
      <w:r w:rsidR="00C1684C">
        <w:t>abilise proteins do so through making</w:t>
      </w:r>
      <w:r>
        <w:t xml:space="preserve"> water more structured, termed ‘kosmotropes’. Conversely destabil</w:t>
      </w:r>
      <w:r w:rsidR="00C1684C">
        <w:t>ising molecules are thought to break</w:t>
      </w:r>
      <w:r>
        <w:t xml:space="preserve"> water structure, and as such are termed ‘chaotropes’. More specifically, structure-making </w:t>
      </w:r>
      <w:r w:rsidR="004B0D88">
        <w:t>co</w:t>
      </w:r>
      <w:r>
        <w:t>solutes increase the population of the le</w:t>
      </w:r>
      <w:r w:rsidR="00B613A2">
        <w:t xml:space="preserve">ss dense more structured water surrounding the </w:t>
      </w:r>
      <w:r w:rsidR="004B0D88">
        <w:t>cosolute</w:t>
      </w:r>
      <w:r w:rsidR="00B613A2">
        <w:t xml:space="preserve"> and structure-breaking </w:t>
      </w:r>
      <w:r w:rsidR="004B0D88">
        <w:t>co</w:t>
      </w:r>
      <w:r w:rsidR="00B613A2">
        <w:t xml:space="preserve">solutes increase the population of the more dense less structured water surrounding the </w:t>
      </w:r>
      <w:r w:rsidR="004B0D88">
        <w:t>co</w:t>
      </w:r>
      <w:r w:rsidR="00B613A2">
        <w:t xml:space="preserve">solute. It is worth noting that in both of these scenarios the structure altering effects on water are thought to be long-range. </w:t>
      </w:r>
      <w:r w:rsidR="00480D2A">
        <w:t xml:space="preserve">There have been a number of molecular dynamics </w:t>
      </w:r>
      <w:r w:rsidR="00480D2A">
        <w:lastRenderedPageBreak/>
        <w:t xml:space="preserve">simulations carried out that support this theory for both stabilisers </w:t>
      </w:r>
      <w:r w:rsidR="00480D2A">
        <w:fldChar w:fldCharType="begin" w:fldLock="1"/>
      </w:r>
      <w:r w:rsidR="00480D2A">
        <w:instrText>ADDIN CSL_CITATION { "citationItems" : [ { "id" : "ITEM-1", "itemData" : { "ISSN" : "0002-7863", "PMID" : "11841287", "abstract" : "Trimethylamine n-oxide (TMAO) is a naturally occurring osmolyte that stabilizes proteins and offsets the destabilizing effects of urea. To investigate the molecular mechanism of these effects, we have studied the thermodynamics of interaction between TMAO and protein functional groups. The solubilities of a homologous series of cyclic dipeptides were measured by differential refractive index and the dissolution heats were determined calorimetrically as a function of TMAO concentration at 25 degrees C. The transfer free energy of the amide unit (-CONH-) from water to 1 M TMAO is large and positive, indicating an unfavorable interaction between the TMAO solution and the amide unit. This unfavorable interaction is enthalpic in origin. The interaction between TMAO and apolar groups is slightly favorable. The transfer free energy of apolar groups from water to TMAO consists of favorable enthalpic and unfavorable entropic contributions. This is in contrast to the contributions for the interaction between urea and apolar groups. Molecular dynamics simulations were performed to provide a structural framework for the interpretation of these results. The simulations show enhancement of water structure by TMAO in the form of a slight increase in the number of hydrogen bonds per water molecule, stronger water hydrogen bonds, and long-range spatial ordering of the solvent. These findings suggest that TMAO stabilizes proteins via enhancement of water structure, such that interactions with the amide unit are discouraged.", "author" : [ { "dropping-particle" : "", "family" : "Zou", "given" : "Q", "non-dropping-particle" : "", "parse-names" : false, "suffix" : "" }, { "dropping-particle" : "", "family" : "Bennion", "given" : "B J", "non-dropping-particle" : "", "parse-names" : false, "suffix" : "" }, { "dropping-particle" : "", "family" : "Daggett", "given" : "V", "non-dropping-particle" : "", "parse-names" : false, "suffix" : "" }, { "dropping-particle" : "", "family" : "Murphy", "given" : "K P", "non-dropping-particle" : "", "parse-names" : false, "suffix" : "" } ], "container-title" : "Journal of the American Chemical Society", "id" : "ITEM-1", "issued" : { "date-parts" : [ [ "2002", "2", "20" ] ] }, "page" : "1192-1202", "title" : "The molecular mechanism of stabilization of proteins by TMAO and its ability to counteract the effects of urea", "type" : "article-journal", "volume" : "124" }, "uris" : [ "http://www.mendeley.com/documents/?uuid=dc60cbf4-b452-4299-986e-41bb6c52b0aa" ] } ], "mendeley" : { "formattedCitation" : "(Zou et al. 2002)", "plainTextFormattedCitation" : "(Zou et al. 2002)", "previouslyFormattedCitation" : "(Zou et al. 2002)" }, "properties" : { "noteIndex" : 0 }, "schema" : "https://github.com/citation-style-language/schema/raw/master/csl-citation.json" }</w:instrText>
      </w:r>
      <w:r w:rsidR="00480D2A">
        <w:fldChar w:fldCharType="separate"/>
      </w:r>
      <w:r w:rsidR="00480D2A" w:rsidRPr="00480D2A">
        <w:rPr>
          <w:noProof/>
        </w:rPr>
        <w:t>(Zou et al. 2002)</w:t>
      </w:r>
      <w:r w:rsidR="00480D2A">
        <w:fldChar w:fldCharType="end"/>
      </w:r>
      <w:r w:rsidR="00480D2A">
        <w:t xml:space="preserve">, and destabilisers </w:t>
      </w:r>
      <w:r w:rsidR="00480D2A">
        <w:fldChar w:fldCharType="begin" w:fldLock="1"/>
      </w:r>
      <w:r w:rsidR="00480D2A">
        <w:instrText>ADDIN CSL_CITATION { "citationItems" : [ { "id" : "ITEM-1", "itemData" : { "DOI" : "10.1021/ja981529n", "ISSN" : "0002-7863", "author" : [ { "dropping-particle" : "", "family" : "Vanzi", "given" : "F", "non-dropping-particle" : "", "parse-names" : false, "suffix" : "" }, { "dropping-particle" : "", "family" : "Madan", "given" : "B", "non-dropping-particle" : "", "parse-names" : false, "suffix" : "" }, { "dropping-particle" : "", "family" : "Sharp", "given" : "K A", "non-dropping-particle" : "", "parse-names" : false, "suffix" : "" } ], "container-title" : "Journal of the American Chemical Society", "id" : "ITEM-1", "issued" : { "date-parts" : [ [ "1998", "10" ] ] }, "page" : "10748-10753", "title" : "Effect of the protein denaturants urea and guanidinium on water structure: A structural and thermodynamic study", "type" : "article-journal", "volume" : "120" }, "uris" : [ "http://www.mendeley.com/documents/?uuid=5873042b-5233-44fc-bc85-378f26710f4d" ] } ], "mendeley" : { "formattedCitation" : "(Vanzi et al. 1998)", "plainTextFormattedCitation" : "(Vanzi et al. 1998)", "previouslyFormattedCitation" : "(Vanzi et al. 1998)" }, "properties" : { "noteIndex" : 0 }, "schema" : "https://github.com/citation-style-language/schema/raw/master/csl-citation.json" }</w:instrText>
      </w:r>
      <w:r w:rsidR="00480D2A">
        <w:fldChar w:fldCharType="separate"/>
      </w:r>
      <w:r w:rsidR="00480D2A" w:rsidRPr="00480D2A">
        <w:rPr>
          <w:noProof/>
        </w:rPr>
        <w:t>(Vanzi et al. 1998)</w:t>
      </w:r>
      <w:r w:rsidR="00480D2A">
        <w:fldChar w:fldCharType="end"/>
      </w:r>
      <w:r w:rsidR="00480D2A">
        <w:t>.</w:t>
      </w:r>
    </w:p>
    <w:p w14:paraId="678E9C20" w14:textId="77777777" w:rsidR="00480D2A" w:rsidRDefault="00480D2A" w:rsidP="005E1F9D">
      <w:r>
        <w:t>More recently this theory has been heavily contested, with a number of experimental studies disproving any long-range effects on water structure. Pressure perturbation calorimetry</w:t>
      </w:r>
      <w:r w:rsidR="004B0D88">
        <w:t xml:space="preserve"> (PPC)</w:t>
      </w:r>
      <w:r>
        <w:t xml:space="preserve"> </w:t>
      </w:r>
      <w:r w:rsidR="005F10D1">
        <w:t>is a technique that can be</w:t>
      </w:r>
      <w:r>
        <w:t xml:space="preserve"> used to probe </w:t>
      </w:r>
      <w:r w:rsidR="005F10D1">
        <w:t xml:space="preserve">cosolute effects on water structure by measuring the temperature dependence of the </w:t>
      </w:r>
      <w:r w:rsidR="004B0D88">
        <w:t>co</w:t>
      </w:r>
      <w:r w:rsidR="005F10D1">
        <w:t>solute’s partial compressibility.</w:t>
      </w:r>
      <w:r>
        <w:t xml:space="preserve"> </w:t>
      </w:r>
      <w:r w:rsidR="005F10D1">
        <w:t>The effects on water structure of a variety of common cosolutes with known effects on protein stability showed n</w:t>
      </w:r>
      <w:r>
        <w:t xml:space="preserve">o correlation between long-range effects on water structure and effects on protein stability </w:t>
      </w:r>
      <w:r>
        <w:fldChar w:fldCharType="begin" w:fldLock="1"/>
      </w:r>
      <w:r w:rsidR="00924827">
        <w:instrText>ADDIN CSL_CITATION { "citationItems" : [ { "id" : "ITEM-1", "itemData" : { "DOI" : "10.1021/ja039335h", "ISSN" : "0002-7863", "PMID" : "14971928", "abstract" : "It is of great interest to determine how solutes such as urea, sugars, guanidinium salts, and trimethylamine N-oxide affect the stability, solubility, and solvation of globular proteins. A key hypothesis in this field states that solutes affect protein stability indirectly by making or breaking water structure. We used a new technique, pressure perturbation calorimetry, to measure the temperature dependence of a solute's partial compressibility. Using fundamental thermodynamic relations, we converted these data to the pressure dependence of the partial heat capacity to examine the impact of protein stabilizing and denaturing solutes on water structure by applying the classic two-state mixture model for water. Contrary to widely held expectations, we found no correlation between a solute's impact on water structure and its effect on protein stability. Our results indicate that efforts to explain solute effects should focus on other hypotheses, including those based on preferential interaction and excluded volume.", "author" : [ { "dropping-particle" : "", "family" : "Batchelor", "given" : "J D", "non-dropping-particle" : "", "parse-names" : false, "suffix" : "" }, { "dropping-particle" : "", "family" : "Olteanu", "given" : "A", "non-dropping-particle" : "", "parse-names" : false, "suffix" : "" }, { "dropping-particle" : "", "family" : "Tripathy", "given" : "A", "non-dropping-particle" : "", "parse-names" : false, "suffix" : "" }, { "dropping-particle" : "", "family" : "Pielak", "given" : "G J", "non-dropping-particle" : "", "parse-names" : false, "suffix" : "" } ], "container-title" : "Journal of the American Chemical Society", "id" : "ITEM-1", "issued" : { "date-parts" : [ [ "2004", "2", "25" ] ] }, "page" : "1958-61", "title" : "Impact of protein denaturants and stabilizers on water structure", "type" : "article-journal", "volume" : "126" }, "uris" : [ "http://www.mendeley.com/documents/?uuid=0bc8f594-df11-4d8e-828e-9c47eef7f9cb" ] } ], "mendeley" : { "formattedCitation" : "(Batchelor et al. 2004)", "plainTextFormattedCitation" : "(Batchelor et al. 2004)", "previouslyFormattedCitation" : "(Batchelor et al. 2004)" }, "properties" : { "noteIndex" : 0 }, "schema" : "https://github.com/citation-style-language/schema/raw/master/csl-citation.json" }</w:instrText>
      </w:r>
      <w:r>
        <w:fldChar w:fldCharType="separate"/>
      </w:r>
      <w:r w:rsidRPr="00480D2A">
        <w:rPr>
          <w:noProof/>
        </w:rPr>
        <w:t>(Batchelor et al. 2004)</w:t>
      </w:r>
      <w:r>
        <w:fldChar w:fldCharType="end"/>
      </w:r>
      <w:r>
        <w:t xml:space="preserve">. It was even discovered that certain cosolutes that stabilise proteins actually exhibited structure breaking properties. A study using femtosecond pump-probe spectroscopy also concluded that both protein stabilisers and protein destabilisers had no effect on hydrogen bonding beyond their first hydration shell, meaning that long-range perturbations of water structure surrounding cosolutes is unlikely </w:t>
      </w:r>
      <w:r>
        <w:fldChar w:fldCharType="begin" w:fldLock="1"/>
      </w:r>
      <w:r w:rsidR="00E11F61">
        <w:instrText>ADDIN CSL_CITATION { "citationItems" : [ { "id" : "ITEM-1", "itemData" : { "DOI" : "10.1126/science.1084801", "ISSN" : "1095-9203", "PMID" : "12869755", "abstract" : "The effects of ions on bulk properties of liquid water, such as viscosity, have suggested that ions alter water's hydrogen-bonding network. We measured the orientational correlation time of water molecules in Mg(ClO4)2, NaClO4, and Na2SO4 solutions by means of femtosecond pump-probe spectroscopy. The addition of ions had no influence on the rotational dynamics of water molecules outside the first solvation shells of the ions. This result shows that the presence of ions does not lead to an enhancement or a breakdown of the hydrogen-bond network in liquid water.", "author" : [ { "dropping-particle" : "", "family" : "Omta", "given" : "A W", "non-dropping-particle" : "", "parse-names" : false, "suffix" : "" }, { "dropping-particle" : "", "family" : "Kropman", "given" : "M F", "non-dropping-particle" : "", "parse-names" : false, "suffix" : "" }, { "dropping-particle" : "", "family" : "Woutersen", "given" : "S", "non-dropping-particle" : "", "parse-names" : false, "suffix" : "" }, { "dropping-particle" : "", "family" : "Bakker", "given" : "H J", "non-dropping-particle" : "", "parse-names" : false, "suffix" : "" } ], "container-title" : "Science", "id" : "ITEM-1", "issued" : { "date-parts" : [ [ "2003", "7", "18" ] ] }, "page" : "347-349", "title" : "Negligible effect of ions on the hydrogen-bond structure in liquid water", "type" : "article-journal", "volume" : "301" }, "uris" : [ "http://www.mendeley.com/documents/?uuid=9c7eea08-2cec-4700-9d25-9a16269e6ec2" ] } ], "mendeley" : { "formattedCitation" : "(Omta et al. 2003)", "plainTextFormattedCitation" : "(Omta et al. 2003)", "previouslyFormattedCitation" : "(Omta et al. 2003)" }, "properties" : { "noteIndex" : 0 }, "schema" : "https://github.com/citation-style-language/schema/raw/master/csl-citation.json" }</w:instrText>
      </w:r>
      <w:r>
        <w:fldChar w:fldCharType="separate"/>
      </w:r>
      <w:r w:rsidRPr="00480D2A">
        <w:rPr>
          <w:noProof/>
        </w:rPr>
        <w:t>(Omta et al. 2003)</w:t>
      </w:r>
      <w:r>
        <w:fldChar w:fldCharType="end"/>
      </w:r>
      <w:r>
        <w:t>.</w:t>
      </w:r>
      <w:r w:rsidR="003373EC">
        <w:t xml:space="preserve"> However, shorter range effects of cosolutes on water structure are thought to constitute a potential mechanism of action on protein stability, which is discussed in section </w:t>
      </w:r>
      <w:r w:rsidR="003373EC">
        <w:fldChar w:fldCharType="begin"/>
      </w:r>
      <w:r w:rsidR="003373EC">
        <w:instrText xml:space="preserve"> REF _Ref456105943 \r \h </w:instrText>
      </w:r>
      <w:r w:rsidR="003373EC">
        <w:fldChar w:fldCharType="separate"/>
      </w:r>
      <w:r w:rsidR="00AA6926">
        <w:t>1.4.3.4</w:t>
      </w:r>
      <w:r w:rsidR="003373EC">
        <w:fldChar w:fldCharType="end"/>
      </w:r>
      <w:r w:rsidR="003373EC">
        <w:t>.</w:t>
      </w:r>
    </w:p>
    <w:p w14:paraId="65085FC6" w14:textId="77777777" w:rsidR="004D71B1" w:rsidRDefault="004D71B1" w:rsidP="004D71B1">
      <w:pPr>
        <w:pStyle w:val="Heading4"/>
      </w:pPr>
      <w:bookmarkStart w:id="66" w:name="_Ref455651654"/>
      <w:bookmarkStart w:id="67" w:name="_Ref462648901"/>
      <w:r>
        <w:t>Preferential interaction and exclusion theory</w:t>
      </w:r>
      <w:bookmarkEnd w:id="66"/>
      <w:bookmarkEnd w:id="67"/>
    </w:p>
    <w:p w14:paraId="0D4F1B34" w14:textId="77777777" w:rsidR="00C81DE2" w:rsidRDefault="00C24332" w:rsidP="00C81DE2">
      <w:r>
        <w:t>The basic premise of preferential interaction theory is that in a three component system of protein, water and cosolute, the cosolute will either preferentially accumulate at</w:t>
      </w:r>
      <w:r w:rsidR="007855B3">
        <w:t xml:space="preserve"> (or interact with)</w:t>
      </w:r>
      <w:r>
        <w:t xml:space="preserve"> the protein surface, or be preferentially excluded from the protein surface, meaning the protein is preferentially hydrated by water (</w:t>
      </w:r>
      <w:r>
        <w:fldChar w:fldCharType="begin"/>
      </w:r>
      <w:r>
        <w:instrText xml:space="preserve"> REF _Ref456108040 \h </w:instrText>
      </w:r>
      <w:r>
        <w:fldChar w:fldCharType="separate"/>
      </w:r>
      <w:r w:rsidR="00AA6926">
        <w:t xml:space="preserve">Figure </w:t>
      </w:r>
      <w:r w:rsidR="00AA6926">
        <w:rPr>
          <w:noProof/>
        </w:rPr>
        <w:t>1</w:t>
      </w:r>
      <w:r w:rsidR="00AA6926">
        <w:noBreakHyphen/>
      </w:r>
      <w:r w:rsidR="00AA6926">
        <w:rPr>
          <w:noProof/>
        </w:rPr>
        <w:t>6</w:t>
      </w:r>
      <w:r>
        <w:fldChar w:fldCharType="end"/>
      </w:r>
      <w:r>
        <w:t>).</w:t>
      </w:r>
      <w:r w:rsidRPr="00C24332">
        <w:t xml:space="preserve"> </w:t>
      </w:r>
      <w:r>
        <w:t xml:space="preserve">The resulting effect on protein stability is </w:t>
      </w:r>
      <w:r w:rsidR="007855B3">
        <w:t>stabilisation in the case of preferential hydration</w:t>
      </w:r>
      <w:r>
        <w:t xml:space="preserve">, and </w:t>
      </w:r>
      <w:r w:rsidR="007855B3">
        <w:t>destabilisation as a result of preferential accumulation or interaction</w:t>
      </w:r>
      <w:r>
        <w:t xml:space="preserve">. </w:t>
      </w:r>
      <w:r w:rsidR="005E5CAE">
        <w:t>Preferential exclusion stabilises the protein against denaturation as the cosolute ‘prefers’ to not interact with the protein surface</w:t>
      </w:r>
      <w:r w:rsidR="004E1A14">
        <w:t>. T</w:t>
      </w:r>
      <w:r w:rsidR="005E5CAE">
        <w:t xml:space="preserve">his unfavourable interaction will be greater with the unfolded state due to more of the protein surface being exposed to the solvent. Therefore, the state with the least exposed surface area, in this case the native state, is favoured. </w:t>
      </w:r>
      <w:r w:rsidR="004E1A14">
        <w:t xml:space="preserve">The opposite is true for preferential interaction; </w:t>
      </w:r>
      <w:r w:rsidR="00A357DC">
        <w:t xml:space="preserve">the </w:t>
      </w:r>
      <w:r w:rsidR="00A357DC">
        <w:lastRenderedPageBreak/>
        <w:t xml:space="preserve">denatured state is favoured as </w:t>
      </w:r>
      <w:r w:rsidR="004E1A14">
        <w:t>there will be more protein surface exposed for the favourable interactions between cosolute and protein</w:t>
      </w:r>
      <w:r w:rsidR="00F5265D">
        <w:t>.</w:t>
      </w:r>
    </w:p>
    <w:p w14:paraId="2ED35F6D" w14:textId="2DB7C903" w:rsidR="00B35329" w:rsidRDefault="00075B3D" w:rsidP="00F5265D">
      <w:commentRangeStart w:id="68"/>
      <w:r>
        <w:rPr>
          <w:noProof/>
          <w:lang w:eastAsia="en-GB"/>
        </w:rPr>
        <w:drawing>
          <wp:inline distT="0" distB="0" distL="0" distR="0" wp14:anchorId="7EA75167" wp14:editId="12F87C18">
            <wp:extent cx="5479049" cy="303847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rential interaction diagram.jpg"/>
                    <pic:cNvPicPr/>
                  </pic:nvPicPr>
                  <pic:blipFill>
                    <a:blip r:embed="rId21">
                      <a:extLst>
                        <a:ext uri="{28A0092B-C50C-407E-A947-70E740481C1C}">
                          <a14:useLocalDpi xmlns:a14="http://schemas.microsoft.com/office/drawing/2010/main" val="0"/>
                        </a:ext>
                      </a:extLst>
                    </a:blip>
                    <a:stretch>
                      <a:fillRect/>
                    </a:stretch>
                  </pic:blipFill>
                  <pic:spPr>
                    <a:xfrm>
                      <a:off x="0" y="0"/>
                      <a:ext cx="5486029" cy="3042346"/>
                    </a:xfrm>
                    <a:prstGeom prst="rect">
                      <a:avLst/>
                    </a:prstGeom>
                  </pic:spPr>
                </pic:pic>
              </a:graphicData>
            </a:graphic>
          </wp:inline>
        </w:drawing>
      </w:r>
      <w:commentRangeEnd w:id="68"/>
      <w:r>
        <w:rPr>
          <w:rStyle w:val="CommentReference"/>
        </w:rPr>
        <w:commentReference w:id="68"/>
      </w:r>
    </w:p>
    <w:p w14:paraId="7E00A1A6" w14:textId="259501E9" w:rsidR="00082D15" w:rsidRDefault="00B35329" w:rsidP="00C81DE2">
      <w:pPr>
        <w:pStyle w:val="Caption"/>
        <w:jc w:val="left"/>
      </w:pPr>
      <w:bookmarkStart w:id="69" w:name="_Ref456108040"/>
      <w:bookmarkStart w:id="70" w:name="_Ref456108021"/>
      <w:bookmarkStart w:id="71" w:name="_Toc482633164"/>
      <w:r>
        <w:t xml:space="preserve">Figure </w:t>
      </w:r>
      <w:fldSimple w:instr=" STYLEREF 1 \s ">
        <w:r w:rsidR="00AA6926">
          <w:rPr>
            <w:noProof/>
          </w:rPr>
          <w:t>1</w:t>
        </w:r>
      </w:fldSimple>
      <w:r w:rsidR="00BA082C">
        <w:noBreakHyphen/>
      </w:r>
      <w:fldSimple w:instr=" SEQ Figure \* ARABIC \s 1 ">
        <w:r w:rsidR="00AA6926">
          <w:rPr>
            <w:noProof/>
          </w:rPr>
          <w:t>6</w:t>
        </w:r>
      </w:fldSimple>
      <w:bookmarkEnd w:id="69"/>
      <w:r>
        <w:t xml:space="preserve">. </w:t>
      </w:r>
      <w:r w:rsidRPr="00F4606B">
        <w:t xml:space="preserve">Schematic </w:t>
      </w:r>
      <w:r w:rsidR="00211B2C">
        <w:t>drawing</w:t>
      </w:r>
      <w:r>
        <w:t xml:space="preserve"> </w:t>
      </w:r>
      <w:r w:rsidRPr="00F4606B">
        <w:t>showing preferential interaction</w:t>
      </w:r>
      <w:r w:rsidR="00CF025A">
        <w:t>/binding</w:t>
      </w:r>
      <w:r w:rsidRPr="00F4606B">
        <w:t xml:space="preserve"> (a) and preferential exclusion/hydration (b) as developed by Timasheff and coworkers</w:t>
      </w:r>
      <w:bookmarkEnd w:id="70"/>
      <w:r w:rsidR="00554F45">
        <w:t>. Figure adapted from theory presented in Arakawa &amp; Timasheff (1982a;1982b;1983).</w:t>
      </w:r>
      <w:bookmarkEnd w:id="71"/>
    </w:p>
    <w:p w14:paraId="79466153" w14:textId="77777777" w:rsidR="00F5265D" w:rsidRDefault="00F5265D" w:rsidP="00F5265D">
      <w:r>
        <w:t xml:space="preserve">Preferential interaction theory is one that is well established, well studied and still widely accepted. It is a theory that still appears to hold true for a large number of cosolute molecules ranging from salts </w:t>
      </w:r>
      <w:r>
        <w:fldChar w:fldCharType="begin" w:fldLock="1"/>
      </w:r>
      <w:r>
        <w:instrText>ADDIN CSL_CITATION { "citationItems" : [ { "id" : "ITEM-1", "itemData" : { "ISSN" : "0006-2960", "PMID" : "7150575", "abstract" : "The preferential interactions of proteins with solvent components were studied in concentrated salt by densimetric measurements. Proteins were found to be preferentially hydrated in NaCl, NaCH3COO, and Na2SO4. The resulting unfavorable free-energy change was related to the effects of these salts on solubility and stability of the proteins. This unfavorable free-energy change was correlated with the large, positive surface tension increment of these salts, i.e., their perturbation of surface free energy. On the other hand, KSCN, CaCl2, and MgCl2 showed considerable binding to bovine serum albumin, which could be related to their destabilizing and salting-in effects on macromolecules. Since the last two salts have high surface tension increments, it was concluded that this does not necessarily lead to protein preferential hydration and stabilization.", "author" : [ { "dropping-particle" : "", "family" : "Arakawa", "given" : "T", "non-dropping-particle" : "", "parse-names" : false, "suffix" : "" }, { "dropping-particle" : "", "family" : "Timasheff", "given" : "S N", "non-dropping-particle" : "", "parse-names" : false, "suffix" : "" } ], "container-title" : "Biochemistry", "id" : "ITEM-1", "issued" : { "date-parts" : [ [ "1982", "12", "7" ] ] }, "page" : "6545-6552", "title" : "Preferential interactions of proteins with salts in concentrated solutions", "type" : "article-journal", "volume" : "21" }, "uris" : [ "http://www.mendeley.com/documents/?uuid=c01411bd-68f9-4eb7-be30-8bddb7042154" ] } ], "mendeley" : { "formattedCitation" : "(Arakawa &amp; Timasheff 1982a)", "plainTextFormattedCitation" : "(Arakawa &amp; Timasheff 1982a)", "previouslyFormattedCitation" : "(Arakawa &amp; Timasheff 1982a)" }, "properties" : { "noteIndex" : 0 }, "schema" : "https://github.com/citation-style-language/schema/raw/master/csl-citation.json" }</w:instrText>
      </w:r>
      <w:r>
        <w:fldChar w:fldCharType="separate"/>
      </w:r>
      <w:r w:rsidRPr="00622439">
        <w:rPr>
          <w:noProof/>
        </w:rPr>
        <w:t>(Arakawa &amp; Timasheff 1982a)</w:t>
      </w:r>
      <w:r>
        <w:fldChar w:fldCharType="end"/>
      </w:r>
      <w:r>
        <w:t xml:space="preserve">, to sugars </w:t>
      </w:r>
      <w:r>
        <w:fldChar w:fldCharType="begin" w:fldLock="1"/>
      </w:r>
      <w:r>
        <w:instrText>ADDIN CSL_CITATION { "citationItems" : [ { "id" : "ITEM-1", "itemData" : { "ISSN" : "0006-2960", "PMID" : "7150574", "abstract" : "The preferential interaction of proteins with solvent components was measured in aqueous lactose and glucose systems by using a high precision densimeter. In all cases, the protein was preferentially hydrated; i.e., addition of these sugars to an aqueous solution of the protein resulted in an unfavorable free-energy change. This effect was shown to increase with an increase in protein surface area, explaining the protein stabilizing action of these sugars and their enhancing effect of protein associations. Correlation of the preferential interaction parameter with the effect of the sugars on the surface tension of water, i.e., their positive surface tension increment, has led to the conclusion that the surface free energy perturbation by sugars plays a predominant role in their preferential interaction with proteins. Other contributing factors are the exclusion volume of the sugars and the chemical nature of the protein surface.", "author" : [ { "dropping-particle" : "", "family" : "Arakawa", "given" : "T", "non-dropping-particle" : "", "parse-names" : false, "suffix" : "" }, { "dropping-particle" : "", "family" : "Timasheff", "given" : "S N", "non-dropping-particle" : "", "parse-names" : false, "suffix" : "" } ], "container-title" : "Biochemistry", "id" : "ITEM-1", "issued" : { "date-parts" : [ [ "1982", "12", "7" ] ] }, "page" : "6536-6544", "title" : "Stabilization of protein structure by sugars", "type" : "article-journal", "volume" : "21" }, "uris" : [ "http://www.mendeley.com/documents/?uuid=03fc4568-a1d8-45c0-b1b2-88c972ef6ccc" ] } ], "mendeley" : { "formattedCitation" : "(Arakawa &amp; Timasheff 1982b)", "plainTextFormattedCitation" : "(Arakawa &amp; Timasheff 1982b)", "previouslyFormattedCitation" : "(Arakawa &amp; Timasheff 1982b)" }, "properties" : { "noteIndex" : 0 }, "schema" : "https://github.com/citation-style-language/schema/raw/master/csl-citation.json" }</w:instrText>
      </w:r>
      <w:r>
        <w:fldChar w:fldCharType="separate"/>
      </w:r>
      <w:r w:rsidRPr="00622439">
        <w:rPr>
          <w:noProof/>
        </w:rPr>
        <w:t>(Arakawa &amp; Timasheff 1982b)</w:t>
      </w:r>
      <w:r>
        <w:fldChar w:fldCharType="end"/>
      </w:r>
      <w:r>
        <w:t xml:space="preserve"> and amino acids </w:t>
      </w:r>
      <w:r>
        <w:fldChar w:fldCharType="begin" w:fldLock="1"/>
      </w:r>
      <w:r>
        <w:instrText>ADDIN CSL_CITATION { "citationItems" : [ { "id" : "ITEM-1", "itemData" : { "ISSN" : "0003-9861", "PMID" : "6870251", "abstract" : "The preferential interactions of proteins with solvent components in concentrated amino acid solutions were measured by high-precision densimetry. Bovine serum albumin and lysozyme were preferentially hydrated in all of the amino acids examined, glycine, alpha- and beta-alanine, and betaine, i.e., addition of these amino acids resulted in an unfavorable free energy change. It was shown that, for the former three amino acids, known to have a positive surface tension increment, their perturbation of the surface free energy of water is consistent with their preferential exclusion from the protein surface. In the case of betaine, which does not increase the surface tension of water, preferential exclusion from protein surface must reflect the chemical structure of this cosolvent, which is considerably more hydrophobic than that of the other three amino acids.", "author" : [ { "dropping-particle" : "", "family" : "Arakawa", "given" : "T", "non-dropping-particle" : "", "parse-names" : false, "suffix" : "" }, { "dropping-particle" : "", "family" : "Timasheff", "given" : "S N", "non-dropping-particle" : "", "parse-names" : false, "suffix" : "" } ], "container-title" : "Archives of Biochemistry and Biophysics", "id" : "ITEM-1", "issued" : { "date-parts" : [ [ "1983", "7", "1" ] ] }, "page" : "169-177", "title" : "Preferential interactions of proteins with solvent components in aqueous amino acid solutions", "type" : "article-journal", "volume" : "224" }, "uris" : [ "http://www.mendeley.com/documents/?uuid=1a6cbc50-77f9-4f1c-84c3-3f29af9f71b8" ] } ], "mendeley" : { "formattedCitation" : "(Arakawa &amp; Timasheff 1983)", "plainTextFormattedCitation" : "(Arakawa &amp; Timasheff 1983)", "previouslyFormattedCitation" : "(Arakawa &amp; Timasheff 1983)" }, "properties" : { "noteIndex" : 0 }, "schema" : "https://github.com/citation-style-language/schema/raw/master/csl-citation.json" }</w:instrText>
      </w:r>
      <w:r>
        <w:fldChar w:fldCharType="separate"/>
      </w:r>
      <w:r w:rsidRPr="00622439">
        <w:rPr>
          <w:noProof/>
        </w:rPr>
        <w:t>(Arakawa &amp; Timasheff 1983)</w:t>
      </w:r>
      <w:r>
        <w:fldChar w:fldCharType="end"/>
      </w:r>
      <w:r>
        <w:t xml:space="preserve">. </w:t>
      </w:r>
      <w:r w:rsidR="005F4D80">
        <w:t xml:space="preserve">Originally </w:t>
      </w:r>
      <w:r>
        <w:t xml:space="preserve">based on Kirkwood &amp; Buff theory of solutions </w:t>
      </w:r>
      <w:r>
        <w:fldChar w:fldCharType="begin" w:fldLock="1"/>
      </w:r>
      <w:r w:rsidR="00924827">
        <w:instrText>ADDIN CSL_CITATION { "citationItems" : [ { "id" : "ITEM-1", "itemData" : { "DOI" : "10.1063/1.1748352", "ISSN" : "00219606", "author" : [ { "dropping-particle" : "", "family" : "Kirkwood", "given" : "J G", "non-dropping-particle" : "", "parse-names" : false, "suffix" : "" }, { "dropping-particle" : "", "family" : "Buff", "given" : "F P", "non-dropping-particle" : "", "parse-names" : false, "suffix" : "" } ], "container-title" : "Journal of Chemical Physics", "id" : "ITEM-1", "issued" : { "date-parts" : [ [ "1951" ] ] }, "page" : "774-777", "title" : "The statistical mechanical theory of solutions. I", "type" : "article-journal", "volume" : "19" }, "uris" : [ "http://www.mendeley.com/documents/?uuid=ec685e29-da59-4f01-9409-a0322adb912d" ] } ], "mendeley" : { "formattedCitation" : "(Kirkwood &amp; Buff 1951)", "plainTextFormattedCitation" : "(Kirkwood &amp; Buff 1951)", "previouslyFormattedCitation" : "(Kirkwood &amp; Buff 1951)" }, "properties" : { "noteIndex" : 0 }, "schema" : "https://github.com/citation-style-language/schema/raw/master/csl-citation.json" }</w:instrText>
      </w:r>
      <w:r>
        <w:fldChar w:fldCharType="separate"/>
      </w:r>
      <w:r w:rsidRPr="00CC0F20">
        <w:rPr>
          <w:noProof/>
        </w:rPr>
        <w:t>(Kirkwood &amp; Buff 1951)</w:t>
      </w:r>
      <w:r>
        <w:fldChar w:fldCharType="end"/>
      </w:r>
      <w:r>
        <w:t>, the linking of preferential interaction theory to protein stabilisation and destabilisation by cosolutes was developed and applied to various systems by Timashef</w:t>
      </w:r>
      <w:r w:rsidR="007F7E1A">
        <w:t>f and co</w:t>
      </w:r>
      <w:r w:rsidR="00641447">
        <w:t>-</w:t>
      </w:r>
      <w:r w:rsidR="007F7E1A">
        <w:t>workers over many years</w:t>
      </w:r>
      <w:r w:rsidR="00C1684C">
        <w:t xml:space="preserve"> (</w:t>
      </w:r>
      <w:r w:rsidR="007F7E1A">
        <w:fldChar w:fldCharType="begin"/>
      </w:r>
      <w:r w:rsidR="007F7E1A">
        <w:instrText xml:space="preserve"> REF _Ref456946772 \h </w:instrText>
      </w:r>
      <w:r w:rsidR="007F7E1A">
        <w:fldChar w:fldCharType="separate"/>
      </w:r>
      <w:r w:rsidR="00AA6926">
        <w:t xml:space="preserve">Table </w:t>
      </w:r>
      <w:r w:rsidR="00AA6926">
        <w:rPr>
          <w:noProof/>
        </w:rPr>
        <w:t>1</w:t>
      </w:r>
      <w:r w:rsidR="00AA6926">
        <w:noBreakHyphen/>
      </w:r>
      <w:r w:rsidR="00AA6926">
        <w:rPr>
          <w:noProof/>
        </w:rPr>
        <w:t>7</w:t>
      </w:r>
      <w:r w:rsidR="007F7E1A">
        <w:fldChar w:fldCharType="end"/>
      </w:r>
      <w:r w:rsidR="00C1684C">
        <w:t>)</w:t>
      </w:r>
      <w:r>
        <w:t xml:space="preserve">. More recently Vapour Pressure Osmometry (VPO) has been used to confirm that a number of stabilising cosolutes are preferentially excluded from the surface of BSA, and more specifically that the degree of exclusion corresponds with the cosolute’s ability as an osmoprotectant </w:t>
      </w:r>
      <w:r>
        <w:fldChar w:fldCharType="begin" w:fldLock="1"/>
      </w:r>
      <w:r>
        <w:instrText>ADDIN CSL_CITATION { "citationItems" : [ { "id" : "ITEM-1", "itemData" : { "ISSN" : "0006-2960", "PMID" : "10757995", "abstract" : "To interpret or to predict the responses of biopolymer processes in vivo and in vitro to changes in solute concentration and to coupled changes in water activity (osmotic stress), a quantitative understanding of the thermodynamic consequences of interactions of solutes and water with biopolymer surfaces is required. To this end, we report isoosmolal preferential interaction coefficients (Gamma(mu1) determined by vapor pressure osmometry (VPO) over a wide range of concentrations for interactions between native bovine serum albumin (BSA) and six small solutes. These include Escherichia coli cytoplasmic osmolytes [potassium glutamate (K(+)Glu(-)), trehalose], E. coli osmoprotectants (proline, glycine betaine), and also glycerol and trimethylamine N-oxide (TMAO). For all six solutes, Gamma(mu1) and the corresponding dialysis preferential interaction coefficient Gamma(mu1),(mu3) (both calculated from the VPO data) are negative; Gamma(mu1), (mu3) is proportional to bulk solute molality (m(bulk)3) at least up to 1 m (molal). Negative values of Gamma(mu1),(mu3) indicate preferential exclusion of these solutes from a BSA solution at dialysis equilibrium and correspond to local concentrations of these solutes in the vicinity of BSA which are lower than their bulk concentrations. Of the solutes investigated, betaine is the most excluded (Gamma(mu1),(mu3)/m(bulk)3 = -49 +/- 1 m(-1)); glycerol is the least excluded (Gamma(mu1),(mu3)/m(bulk)3 = -10 +/- 1 m(-1)). Between these extremes, the magnitude of Gamma(mu1),(mu3)/m(bulk)3 decreases in the order glycine betaine &gt; proline &gt;TMAO &gt; trehalose approximately K(+)Glu(-) &gt; glycerol. The order of exclusion of E. coli osmolytes from BSA surface correlates with their effectiveness as osmoprotectants, which increase the growth rate of E. coli at high external osmolality. For the most excluded solute (betaine), Gamma(mu1),(mu3) provides a minimum estimate of the hydration of native BSA of approximately 2.8 x 10(3) H(2)O/BSA, which corresponds to slightly less than a monolayer (estimated to be approximately 3.2 x 10(3) H(2)O). Consequently, of the solutes investigated here, only betaine might be suitable for use in osmotic stress experiments in vitro as a direct probe to quantify changes in hydration of protein surface in biopolymer processes. More generally, however, our results and analysis lead to the proposal that any of these solutes can be used to quantify changes in water-accessible surface area (ASA) in biopolymer pro\u2026", "author" : [ { "dropping-particle" : "", "family" : "Courtenay", "given" : "E S", "non-dropping-particle" : "", "parse-names" : false, "suffix" : "" }, { "dropping-particle" : "", "family" : "Capp", "given" : "M W", "non-dropping-particle" : "", "parse-names" : false, "suffix" : "" }, { "dropping-particle" : "", "family" : "Anderson", "given" : "C F", "non-dropping-particle" : "", "parse-names" : false, "suffix" : "" }, { "dropping-particle" : "", "family" : "Record", "given" : "M T", "non-dropping-particle" : "", "parse-names" : false, "suffix" : "" } ], "container-title" : "Biochemistry", "id" : "ITEM-1", "issued" : { "date-parts" : [ [ "2000", "4", "18" ] ] }, "page" : "4455-4471", "title" : "Vapor pressure osmometry studies of osmolyte-protein interactions: Implications for the action of osmoprotectants in vivo and for the interpretation of \"osmotic stress\" experiments in vitro", "type" : "article-journal", "volume" : "39" }, "uris" : [ "http://www.mendeley.com/documents/?uuid=6089abc7-371a-47e3-9bee-c5bbc756b769" ] } ], "mendeley" : { "formattedCitation" : "(Courtenay et al. 2000)", "plainTextFormattedCitation" : "(Courtenay et al. 2000)", "previouslyFormattedCitation" : "(Courtenay et al. 2000)" }, "properties" : { "noteIndex" : 0 }, "schema" : "https://github.com/citation-style-language/schema/raw/master/csl-citation.json" }</w:instrText>
      </w:r>
      <w:r>
        <w:fldChar w:fldCharType="separate"/>
      </w:r>
      <w:r w:rsidRPr="000D4791">
        <w:rPr>
          <w:noProof/>
        </w:rPr>
        <w:t>(Courtenay et al. 2000)</w:t>
      </w:r>
      <w:r>
        <w:fldChar w:fldCharType="end"/>
      </w:r>
      <w:r>
        <w:t xml:space="preserve">. The same group also demonstrated preferential interaction of both urea and guanidinium with BSA using the same technique </w:t>
      </w:r>
      <w:r>
        <w:fldChar w:fldCharType="begin" w:fldLock="1"/>
      </w:r>
      <w:r>
        <w:instrText>ADDIN CSL_CITATION { "citationItems" : [ { "id" : "ITEM-1", "itemData" : { "DOI" : "10.1110/ps.ps.20801", "ISSN" : "0961-8368", "PMID" : "11714916", "abstract" : "To interpret effects of urea and guanidinium (GuH(+)) salts on processes that involve large changes in protein water-accessible surface area (ASA), and to predict these effects from structural information, a thermodynamic characterization of the interactions of these solutes with different types of protein surface is required. In the present work we quantify the interactions of urea, GuHCl, GuHSCN, and, for comparison, KCl with native bovine serum albumin (BSA) surface, using vapor pressure osmometry (VPO) to obtain preferential interaction coefficients (Gamma(mu3)) as functions of nondenaturing concentrations of these solutes (0-1 molal). From analysis of Gamma(mu3) using the local-bulk domain model, we obtain concentration-independent partition coefficients K(nat)(P) that characterize the accumulation of these solutes near native protein (BSA) surface: K(nat)(P,urea)= 1.10 +/- 0.04, K(nat)(P,SCN(-)) = 2.4 +/- 0.2, K(nat)(P,GuH(+)) = 1.60 +/- 0.08, relative to K(nat)(P,K(+)) identical with 1 and K(nat)(P,Cl(-)) = 1.0 +/- 0.08. The relative magnitudes of K(nat)(P) are consistent with the relative effectiveness of these solutes as perturbants of protein processes. From a comparison of partition coefficients for these solutes and native surface (K(nat)(P)) with those determined by us previously for unfolded protein and alanine-based peptide surface K(unf)(P), we dissect K(P) into contributions from polar peptide backbone and other types of protein surface. For globular protein-urea interactions, we find K(nat)(P,urea) = K(unf)(P,urea). We propose that this equality arises because polar peptide backbone is the same fraction (0.13) of total ASA for both classes of surface. The analysis presented here quantifies and provides a physical basis for understanding Hofmeister effects of salt ions and the effects of uncharged solutes on protein processes in terms of K(P) and the change in protein ASA.", "author" : [ { "dropping-particle" : "", "family" : "Courtenay", "given" : "E S", "non-dropping-particle" : "", "parse-names" : false, "suffix" : "" }, { "dropping-particle" : "", "family" : "Capp", "given" : "M W", "non-dropping-particle" : "", "parse-names" : false, "suffix" : "" }, { "dropping-particle" : "", "family" : "Record", "given" : "M T", "non-dropping-particle" : "", "parse-names" : false, "suffix" : "" } ], "container-title" : "Protein Science", "id" : "ITEM-1", "issued" : { "date-parts" : [ [ "2001", "12" ] ] }, "page" : "2485-2497", "title" : "Thermodynamics of interactions of urea and guanidinium salts with protein surface: Relationship between solute effects on protein processes and changes in water-accessible surface area", "type" : "article-journal", "volume" : "10" }, "uris" : [ "http://www.mendeley.com/documents/?uuid=e3676007-086d-440d-a9cc-f778525309e5" ] } ], "mendeley" : { "formattedCitation" : "(Courtenay et al. 2001)", "plainTextFormattedCitation" : "(Courtenay et al. 2001)", "previouslyFormattedCitation" : "(Courtenay et al. 2001)" }, "properties" : { "noteIndex" : 0 }, "schema" : "https://github.com/citation-style-language/schema/raw/master/csl-citation.json" }</w:instrText>
      </w:r>
      <w:r>
        <w:fldChar w:fldCharType="separate"/>
      </w:r>
      <w:r w:rsidRPr="000D4791">
        <w:rPr>
          <w:noProof/>
        </w:rPr>
        <w:t>(Courtenay et al. 2001)</w:t>
      </w:r>
      <w:r>
        <w:fldChar w:fldCharType="end"/>
      </w:r>
      <w:r>
        <w:t>.</w:t>
      </w:r>
    </w:p>
    <w:p w14:paraId="1C10AF75" w14:textId="77777777" w:rsidR="00C679EA" w:rsidRDefault="00C679EA" w:rsidP="006B257F">
      <w:pPr>
        <w:pStyle w:val="Caption"/>
        <w:keepNext/>
        <w:jc w:val="left"/>
      </w:pPr>
      <w:bookmarkStart w:id="72" w:name="_Ref456946772"/>
      <w:bookmarkStart w:id="73" w:name="_Ref456946755"/>
      <w:r>
        <w:lastRenderedPageBreak/>
        <w:t xml:space="preserve">Table </w:t>
      </w:r>
      <w:fldSimple w:instr=" STYLEREF 1 \s ">
        <w:r w:rsidR="00AA6926">
          <w:rPr>
            <w:noProof/>
          </w:rPr>
          <w:t>1</w:t>
        </w:r>
      </w:fldSimple>
      <w:r w:rsidR="00D6574D">
        <w:noBreakHyphen/>
      </w:r>
      <w:fldSimple w:instr=" SEQ Table \* ARABIC \s 1 ">
        <w:r w:rsidR="00AA6926">
          <w:rPr>
            <w:noProof/>
          </w:rPr>
          <w:t>7</w:t>
        </w:r>
      </w:fldSimple>
      <w:bookmarkEnd w:id="72"/>
      <w:r>
        <w:t>. Preferential interaction data recorded in the literature for a selection of stabilising small molecules and denaturants</w:t>
      </w:r>
      <w:bookmarkEnd w:id="73"/>
    </w:p>
    <w:tbl>
      <w:tblPr>
        <w:tblStyle w:val="LightShading"/>
        <w:tblW w:w="0" w:type="auto"/>
        <w:tblLayout w:type="fixed"/>
        <w:tblLook w:val="04A0" w:firstRow="1" w:lastRow="0" w:firstColumn="1" w:lastColumn="0" w:noHBand="0" w:noVBand="1"/>
      </w:tblPr>
      <w:tblGrid>
        <w:gridCol w:w="1526"/>
        <w:gridCol w:w="1701"/>
        <w:gridCol w:w="2268"/>
        <w:gridCol w:w="1559"/>
        <w:gridCol w:w="1666"/>
      </w:tblGrid>
      <w:tr w:rsidR="008A2DF5" w14:paraId="49402D5D" w14:textId="77777777" w:rsidTr="00585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4727CA2F" w14:textId="77777777" w:rsidR="00A5147E" w:rsidRDefault="00A5147E" w:rsidP="00F5265D">
            <w:r>
              <w:t>Cosolute</w:t>
            </w:r>
          </w:p>
        </w:tc>
        <w:tc>
          <w:tcPr>
            <w:tcW w:w="1701" w:type="dxa"/>
            <w:shd w:val="clear" w:color="auto" w:fill="auto"/>
          </w:tcPr>
          <w:p w14:paraId="5C844D22" w14:textId="77777777" w:rsidR="00A5147E" w:rsidRDefault="00A5147E" w:rsidP="00F5265D">
            <w:pPr>
              <w:cnfStyle w:val="100000000000" w:firstRow="1" w:lastRow="0" w:firstColumn="0" w:lastColumn="0" w:oddVBand="0" w:evenVBand="0" w:oddHBand="0" w:evenHBand="0" w:firstRowFirstColumn="0" w:firstRowLastColumn="0" w:lastRowFirstColumn="0" w:lastRowLastColumn="0"/>
            </w:pPr>
            <w:r>
              <w:t>Preferentially bound or excluded</w:t>
            </w:r>
          </w:p>
        </w:tc>
        <w:tc>
          <w:tcPr>
            <w:tcW w:w="2268" w:type="dxa"/>
            <w:shd w:val="clear" w:color="auto" w:fill="auto"/>
          </w:tcPr>
          <w:p w14:paraId="5A8FE5F2" w14:textId="77777777" w:rsidR="00A5147E" w:rsidRDefault="00A5147E" w:rsidP="00F5265D">
            <w:pPr>
              <w:cnfStyle w:val="100000000000" w:firstRow="1" w:lastRow="0" w:firstColumn="0" w:lastColumn="0" w:oddVBand="0" w:evenVBand="0" w:oddHBand="0" w:evenHBand="0" w:firstRowFirstColumn="0" w:firstRowLastColumn="0" w:lastRowFirstColumn="0" w:lastRowLastColumn="0"/>
            </w:pPr>
            <w:r>
              <w:t>Proteins used</w:t>
            </w:r>
          </w:p>
        </w:tc>
        <w:tc>
          <w:tcPr>
            <w:tcW w:w="1559" w:type="dxa"/>
            <w:shd w:val="clear" w:color="auto" w:fill="auto"/>
          </w:tcPr>
          <w:p w14:paraId="5D755186" w14:textId="77777777" w:rsidR="00A5147E" w:rsidRDefault="00A5147E" w:rsidP="00F5265D">
            <w:pPr>
              <w:cnfStyle w:val="100000000000" w:firstRow="1" w:lastRow="0" w:firstColumn="0" w:lastColumn="0" w:oddVBand="0" w:evenVBand="0" w:oddHBand="0" w:evenHBand="0" w:firstRowFirstColumn="0" w:firstRowLastColumn="0" w:lastRowFirstColumn="0" w:lastRowLastColumn="0"/>
            </w:pPr>
            <w:r>
              <w:t>Experimental technique used</w:t>
            </w:r>
          </w:p>
        </w:tc>
        <w:tc>
          <w:tcPr>
            <w:tcW w:w="1666" w:type="dxa"/>
            <w:shd w:val="clear" w:color="auto" w:fill="auto"/>
          </w:tcPr>
          <w:p w14:paraId="78C56EFF" w14:textId="77777777" w:rsidR="00A5147E" w:rsidRDefault="00A5147E" w:rsidP="00F5265D">
            <w:pPr>
              <w:cnfStyle w:val="100000000000" w:firstRow="1" w:lastRow="0" w:firstColumn="0" w:lastColumn="0" w:oddVBand="0" w:evenVBand="0" w:oddHBand="0" w:evenHBand="0" w:firstRowFirstColumn="0" w:firstRowLastColumn="0" w:lastRowFirstColumn="0" w:lastRowLastColumn="0"/>
            </w:pPr>
            <w:r>
              <w:t>Reference</w:t>
            </w:r>
          </w:p>
        </w:tc>
      </w:tr>
      <w:tr w:rsidR="0005028A" w14:paraId="65AE21A8" w14:textId="77777777" w:rsidTr="0058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gridSpan w:val="5"/>
            <w:shd w:val="clear" w:color="auto" w:fill="BFBFBF" w:themeFill="background1" w:themeFillShade="BF"/>
          </w:tcPr>
          <w:p w14:paraId="3E192506" w14:textId="77777777" w:rsidR="0005028A" w:rsidRPr="0005028A" w:rsidRDefault="00FF401B" w:rsidP="0005028A">
            <w:pPr>
              <w:rPr>
                <w:b w:val="0"/>
                <w:i/>
              </w:rPr>
            </w:pPr>
            <w:r>
              <w:rPr>
                <w:b w:val="0"/>
                <w:i/>
              </w:rPr>
              <w:t>Stabilising cosolutes</w:t>
            </w:r>
          </w:p>
        </w:tc>
      </w:tr>
      <w:tr w:rsidR="0005028A" w14:paraId="0DAA6374" w14:textId="77777777" w:rsidTr="00585CA3">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44E1900" w14:textId="77777777" w:rsidR="0005028A" w:rsidRPr="009D78ED" w:rsidRDefault="0005028A" w:rsidP="00582E57">
            <w:pPr>
              <w:spacing w:before="0" w:after="0"/>
              <w:rPr>
                <w:sz w:val="20"/>
                <w:szCs w:val="20"/>
              </w:rPr>
            </w:pPr>
            <w:r w:rsidRPr="009D78ED">
              <w:rPr>
                <w:sz w:val="20"/>
                <w:szCs w:val="20"/>
              </w:rPr>
              <w:t>Arginine</w:t>
            </w:r>
          </w:p>
        </w:tc>
        <w:tc>
          <w:tcPr>
            <w:tcW w:w="1701" w:type="dxa"/>
            <w:shd w:val="clear" w:color="auto" w:fill="auto"/>
          </w:tcPr>
          <w:p w14:paraId="2321EF37" w14:textId="77777777" w:rsidR="00E73C59" w:rsidRPr="009D78ED" w:rsidRDefault="00E73C59" w:rsidP="00E73C59">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 xml:space="preserve">(1) </w:t>
            </w:r>
            <w:r w:rsidR="0005028A" w:rsidRPr="009D78ED">
              <w:rPr>
                <w:sz w:val="20"/>
                <w:szCs w:val="20"/>
              </w:rPr>
              <w:t>&lt;0.5 M Neutral, &gt;0.5 M Excluded</w:t>
            </w:r>
          </w:p>
          <w:p w14:paraId="67E2DF21" w14:textId="77777777" w:rsidR="00E73C59" w:rsidRPr="009D78ED" w:rsidRDefault="00E73C59" w:rsidP="00E73C59">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(2) Excluded</w:t>
            </w:r>
          </w:p>
          <w:p w14:paraId="0596E024" w14:textId="77777777" w:rsidR="0005028A" w:rsidRPr="009D78ED" w:rsidRDefault="00E73C59" w:rsidP="00E73C59">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(3) Neutral</w:t>
            </w:r>
          </w:p>
          <w:p w14:paraId="08216ED1" w14:textId="77777777" w:rsidR="00260B1A" w:rsidRPr="009D78ED" w:rsidRDefault="00260B1A" w:rsidP="00E73C59">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(4) Weakly excluded</w:t>
            </w:r>
          </w:p>
        </w:tc>
        <w:tc>
          <w:tcPr>
            <w:tcW w:w="2268" w:type="dxa"/>
            <w:shd w:val="clear" w:color="auto" w:fill="auto"/>
          </w:tcPr>
          <w:p w14:paraId="05A50213" w14:textId="77777777" w:rsidR="00E73C59" w:rsidRPr="009D78ED" w:rsidRDefault="00E73C59"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 xml:space="preserve">(1) </w:t>
            </w:r>
            <w:r w:rsidR="0005028A" w:rsidRPr="009D78ED">
              <w:rPr>
                <w:sz w:val="20"/>
                <w:szCs w:val="20"/>
              </w:rPr>
              <w:t>BSA, Lysozyme, α-chymotrypsinogen</w:t>
            </w:r>
          </w:p>
          <w:p w14:paraId="264D4495" w14:textId="77777777" w:rsidR="00E73C59" w:rsidRPr="009D78ED" w:rsidRDefault="00E73C59"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(2) Lysozyme</w:t>
            </w:r>
          </w:p>
          <w:p w14:paraId="7D4CCC03" w14:textId="77777777" w:rsidR="0005028A" w:rsidRPr="009D78ED" w:rsidRDefault="00E73C59"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(3) BSA</w:t>
            </w:r>
          </w:p>
          <w:p w14:paraId="063B7EA9" w14:textId="77777777" w:rsidR="00260B1A" w:rsidRPr="009D78ED" w:rsidRDefault="00260B1A"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(4) RNase A</w:t>
            </w:r>
          </w:p>
        </w:tc>
        <w:tc>
          <w:tcPr>
            <w:tcW w:w="1559" w:type="dxa"/>
            <w:shd w:val="clear" w:color="auto" w:fill="auto"/>
          </w:tcPr>
          <w:p w14:paraId="3376DEB4" w14:textId="77777777" w:rsidR="00E73C59" w:rsidRPr="009D78ED" w:rsidRDefault="00E73C59" w:rsidP="00E73C59">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(1)</w:t>
            </w:r>
            <w:r w:rsidR="0005028A" w:rsidRPr="009D78ED">
              <w:rPr>
                <w:sz w:val="20"/>
                <w:szCs w:val="20"/>
              </w:rPr>
              <w:t>VPO</w:t>
            </w:r>
            <w:r w:rsidRPr="009D78ED">
              <w:rPr>
                <w:sz w:val="20"/>
                <w:szCs w:val="20"/>
              </w:rPr>
              <w:t xml:space="preserve">, </w:t>
            </w:r>
            <w:r w:rsidR="0005028A" w:rsidRPr="009D78ED">
              <w:rPr>
                <w:sz w:val="20"/>
                <w:szCs w:val="20"/>
              </w:rPr>
              <w:t>Densimetry</w:t>
            </w:r>
          </w:p>
          <w:p w14:paraId="724A79E7" w14:textId="77777777" w:rsidR="0005028A" w:rsidRPr="009D78ED" w:rsidRDefault="00E73C59" w:rsidP="00E73C59">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(2;3</w:t>
            </w:r>
            <w:r w:rsidR="00260B1A" w:rsidRPr="009D78ED">
              <w:rPr>
                <w:sz w:val="20"/>
                <w:szCs w:val="20"/>
              </w:rPr>
              <w:t>;4</w:t>
            </w:r>
            <w:r w:rsidRPr="009D78ED">
              <w:rPr>
                <w:sz w:val="20"/>
                <w:szCs w:val="20"/>
              </w:rPr>
              <w:t>) High precision densimetry</w:t>
            </w:r>
          </w:p>
        </w:tc>
        <w:tc>
          <w:tcPr>
            <w:tcW w:w="1666" w:type="dxa"/>
            <w:shd w:val="clear" w:color="auto" w:fill="auto"/>
          </w:tcPr>
          <w:p w14:paraId="2E337CF1" w14:textId="77777777" w:rsidR="0005028A" w:rsidRPr="009D78ED" w:rsidRDefault="00E73C59"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(1)</w:t>
            </w:r>
            <w:r w:rsidR="0005028A" w:rsidRPr="009D78ED">
              <w:rPr>
                <w:sz w:val="20"/>
                <w:szCs w:val="20"/>
              </w:rPr>
              <w:fldChar w:fldCharType="begin" w:fldLock="1"/>
            </w:r>
            <w:r w:rsidRPr="009D78ED">
              <w:rPr>
                <w:sz w:val="20"/>
                <w:szCs w:val="20"/>
              </w:rPr>
              <w:instrText>ADDIN CSL_CITATION { "citationItems" : [ { "id" : "ITEM-1", "itemData" : { "DOI" : "10.1021/jp808042w", "ISSN" : "1520-6106", "PMID" : "19199688", "abstract" : "The relatively new technique of vapor pressure osmometry was utilized to determine the preferential interaction of five common solution additives (arginine HCl, guanidine HCl, glycerol, glucose, and urea) using three different model proteins (BSA, lysozyme, and alpha-chymotrypsinogen). Results for guanidine, glycerol, glucose, and urea are comparable to literature values, which utilized the dialysis/densimetry technique. However, values for arginine differ greatly from literature values, making it unclear what is the nature of arginine-protein interactions. A repeat of the dialysis/densimetry measurements reported in the literature supports the vapor pressure osmometry measurements and reveals a never before seen trend in the interaction of arginine with proteins as a function of concentration. This trend is dependent on the protein size and shows arginine to be unique among solution additives. For concentrations below 0.5 M, arginine has a preferential interaction coefficient near zero (slightly greater than zero for small proteins but decreases as the size of the protein increases), which indicates that arginine is neither strongly bound nor excluded from the protein surface. This trend differs greatly from cosolutes that influence the protein folding equilibrium. However, as the concentration of arginine increases beyond 0.5 M, arginine becomes increasingly excluded. Such behavior might be indicative of the protein surface becoming saturated with arginine, thus causing any additional arginine added to the solution to be excluded from interacting with the surface. All of this behavior is most likely the result of a balance between the affinity arginine has for the peptide backbone and certain amino acids and the repulsion generated by surface tension increment and volume exclusion effects [Arakawa et al. Biophysical Chemistry 2007, 127, 1]. In addition, such behavior may explain why arginine has little effect on protein folding equilibrium but is an effective aggregation suppressor.", "author" : [ { "dropping-particle" : "", "family" : "Schneider", "given" : "C P", "non-dropping-particle" : "", "parse-names" : false, "suffix" : "" }, { "dropping-particle" : "", "family" : "Trout", "given" : "B L", "non-dropping-particle" : "", "parse-names" : false, "suffix" : "" } ], "container-title" : "Journal of Physical Chemistry B", "id" : "ITEM-1", "issued" : { "date-parts" : [ [ "2009", "2", "19" ] ] }, "page" : "2050-2058", "title" : "Investigation of cosolute-protein preferential interaction coefficients: New insight into the mechanism by which arginine inhibits aggregation", "type" : "article-journal", "volume" : "113" }, "uris" : [ "http://www.mendeley.com/documents/?uuid=9eed0480-0f78-439e-accc-1dcb3b07e260" ] } ], "mendeley" : { "formattedCitation" : "(Schneider &amp; Trout 2009)", "plainTextFormattedCitation" : "(Schneider &amp; Trout 2009)", "previouslyFormattedCitation" : "(Schneider &amp; Trout 2009)" }, "properties" : { "noteIndex" : 0 }, "schema" : "https://github.com/citation-style-language/schema/raw/master/csl-citation.json" }</w:instrText>
            </w:r>
            <w:r w:rsidR="0005028A" w:rsidRPr="009D78ED">
              <w:rPr>
                <w:sz w:val="20"/>
                <w:szCs w:val="20"/>
              </w:rPr>
              <w:fldChar w:fldCharType="separate"/>
            </w:r>
            <w:r w:rsidR="0005028A" w:rsidRPr="009D78ED">
              <w:rPr>
                <w:noProof/>
                <w:sz w:val="20"/>
                <w:szCs w:val="20"/>
              </w:rPr>
              <w:t>(Schneider &amp; Trout 2009)</w:t>
            </w:r>
            <w:r w:rsidR="0005028A" w:rsidRPr="009D78ED">
              <w:rPr>
                <w:sz w:val="20"/>
                <w:szCs w:val="20"/>
              </w:rPr>
              <w:fldChar w:fldCharType="end"/>
            </w:r>
            <w:r w:rsidR="00260B1A" w:rsidRPr="009D78ED">
              <w:rPr>
                <w:sz w:val="20"/>
                <w:szCs w:val="20"/>
              </w:rPr>
              <w:t xml:space="preserve"> (2&amp;3)</w:t>
            </w:r>
            <w:r w:rsidRPr="009D78ED">
              <w:rPr>
                <w:sz w:val="20"/>
                <w:szCs w:val="20"/>
              </w:rPr>
              <w:fldChar w:fldCharType="begin" w:fldLock="1"/>
            </w:r>
            <w:r w:rsidR="00FF6FB8">
              <w:rPr>
                <w:sz w:val="20"/>
                <w:szCs w:val="20"/>
              </w:rPr>
              <w:instrText>ADDIN CSL_CITATION { "citationItems" : [ { "id" : "ITEM-1", "itemData" : { "ISSN" : "0006-2960", "PMID" : "7999778", "abstract" : "Surface tension measurements were carried out at 20 degrees C by a capillary drop-weight method on aqueous solutions of sodium glutamate (NaGlu), lysine hydrochloride (LysHCl), potassium aspartate (KAsp), arginine hydrochloride (ArgHCl), lysylglutamate (LysGlu), argininylglutamate (ArgGlu), guanidinium sulfate, trehalose, trimethylamine N-oxide (TMAO), dimethyl sulfoxide, 2-methyl-2,4-pentanediol (hexylene glycol), and poly(ethylene glycol)s of molecular weights 200, 400, 600, and 1000. All of the salts and the sugar increased the surface tension of water, while the last four compounds decreased it, with 2-methyl-2,4-pentanediol lowering it most effectively and TMAO being the least effective. The preferential hydration of bovine serum albumin (BSA) and lysozyme was measured in KAsp, ArgHCl, LysGlu, and ArgGlu. The high values of preferential hydration found in all cases, except for BSA in ArgHCl, suggest that they should stabilize protein structure, as had been found for lysine hydrochloride and monosodium glutamate [Arakawa, T., &amp; Timasheff, S. N. (1984) J. Biol. Chem. 259, 4979-4986]. A correlation was found for both BSA and lysozyme in KAsp, NaGlu, LysHCl, ArgGlu, and LysGlu between the surface tension effect and the observed preferential interactions, indicating that the change in the surface free energy of the protein-containing cavity due to the surface tension increase for water by these amino acid salts contributes dominantly to the observed increase in the chemical potential of the protein by their addition. The lack of a correlation observed for BSA, but not lysozyme, in ArgHCl at low concentrations where preferential binding is close to zero suggests, however, that the surface tension effect is not the sole factor involved in the protein-solvent interactions in these amino acid salts. Binding of ArgHCl to BSA, probably through hydrogen bonds between the Arg guanidinium group and peptide bonds, was proposed to occur, the affinity of Arg+ being reduced by electrostatic repulsion when proteins carry a net positive charge, such as is the case with lysozyme. Since the four organic solvent additives also lead to protein preferential hydration, no correlation exists between their preferential interactions and the surface free energy perturbation. Therefore, in their case, the preferential hydration must be ascribed to other factors that overcome the preferential binding expected from the Gibbs adsorption isotherm. The surface tension results, howeve\u2026", "author" : [ { "dropping-particle" : "", "family" : "Kita", "given" : "Y", "non-dropping-particle" : "", "parse-names" : false, "suffix" : "" }, { "dropping-particle" : "", "family" : "Arakawa", "given" : "T", "non-dropping-particle" : "", "parse-names" : false, "suffix" : "" }, { "dropping-particle" : "", "family" : "Lin", "given" : "T Y", "non-dropping-particle" : "", "parse-names" : false, "suffix" : "" }, { "dropping-particle" : "", "family" : "Timasheff", "given" : "S N", "non-dropping-particle" : "", "parse-names" : false, "suffix" : "" } ], "container-title" : "Biochemistry", "id" : "ITEM-1", "issued" : { "date-parts" : [ [ "1994", "12", "20" ] ] }, "page" : "15178-15189", "title" : "Contribution of the surface free energy perturbation to protein-solvent interactions", "type" : "article-journal", "volume" : "33" }, "uris" : [ "http://www.mendeley.com/documents/?uuid=182aa376-d2a7-43c5-ab39-1c1a5a5666ea" ] } ], "mendeley" : { "formattedCitation" : "(Kita et al. 1994)", "plainTextFormattedCitation" : "(Kita et al. 1994)", "previouslyFormattedCitation" : "(Kita et al. 1994)" }, "properties" : { "noteIndex" : 0 }, "schema" : "https://github.com/citation-style-language/schema/raw/master/csl-citation.json" }</w:instrText>
            </w:r>
            <w:r w:rsidRPr="009D78ED">
              <w:rPr>
                <w:sz w:val="20"/>
                <w:szCs w:val="20"/>
              </w:rPr>
              <w:fldChar w:fldCharType="separate"/>
            </w:r>
            <w:r w:rsidRPr="009D78ED">
              <w:rPr>
                <w:noProof/>
                <w:sz w:val="20"/>
                <w:szCs w:val="20"/>
              </w:rPr>
              <w:t>(Kita et al. 1994)</w:t>
            </w:r>
            <w:r w:rsidRPr="009D78ED">
              <w:rPr>
                <w:sz w:val="20"/>
                <w:szCs w:val="20"/>
              </w:rPr>
              <w:fldChar w:fldCharType="end"/>
            </w:r>
          </w:p>
          <w:p w14:paraId="084D044B" w14:textId="77777777" w:rsidR="00260B1A" w:rsidRPr="009D78ED" w:rsidRDefault="00260B1A"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(4)</w:t>
            </w:r>
            <w:r w:rsidRPr="009D78ED">
              <w:rPr>
                <w:sz w:val="20"/>
                <w:szCs w:val="20"/>
              </w:rPr>
              <w:fldChar w:fldCharType="begin" w:fldLock="1"/>
            </w:r>
            <w:r w:rsidR="00054313" w:rsidRPr="009D78ED">
              <w:rPr>
                <w:sz w:val="20"/>
                <w:szCs w:val="20"/>
              </w:rPr>
              <w:instrText>ADDIN CSL_CITATION { "citationItems" : [ { "id" : "ITEM-1", "itemData" : { "DOI" : "10.1002/pro.5560050222", "ISSN" : "0961-8368", "PMID" : "8745416", "abstract" : "The stabilization of proteins by a variety of co-solvents can be related to their property of increasing the surface tension of water. It is demonstrated that, during the thermal unfolding of proteins, this increase of the surface tension can be overcome by the increase in the temperature of the solution at the midpoint of the transition, Tm, and the weak binding of co-solvent molecules. Three such co-solvents were studied: trehalose, lysine hydrochloride (LysHCl), and arginine hydrochloride (ArgHCl). Trehalose and LysHCl increase the midpoint of Tm. The increase of the surface tension by addition of trehalose is completely compensated by its decrease due to the increase in Tm. However, for LysHCl, the increase of the surface tension by the co-solvent is partly reduced by its binding to the protein. For trehalose, preferential interaction measurements with RNaseA demonstrate that it is totally excluded from the protein. In contrast, LysHCl gives evidence of binding to RNaseA. ArgHCl also increases the surface tension of water. Nevertheless, Tm of RNaseA decreases on addition of ArgHCl to the solution. Preferential interaction measurements showed very small values of preferential hydration of the native protein, indicating extensive binding of ArgHCl to the protein. During unfolding, the amount of additional ArgHCl binding is sufficiently large to counteract the surface tension effects, and the protein is destabilized. Therefore, although surface tension appears to be a critical factor in the stabilization of proteins, its increase by co-solvent does not ensure increased stabilization. The binding of ligands can reduce significantly, or even overwhelm, its effects.", "author" : [ { "dropping-particle" : "", "family" : "Lin", "given" : "T Y", "non-dropping-particle" : "", "parse-names" : false, "suffix" : "" }, { "dropping-particle" : "", "family" : "Timasheff", "given" : "S N", "non-dropping-particle" : "", "parse-names" : false, "suffix" : "" } ], "container-title" : "Protein Science", "id" : "ITEM-1", "issued" : { "date-parts" : [ [ "1996", "2" ] ] }, "page" : "372-381", "title" : "On the role of surface tension in the stabilization of globular proteins", "type" : "article-journal", "volume" : "5" }, "uris" : [ "http://www.mendeley.com/documents/?uuid=65a03a66-a695-45e1-93c7-9608d165afd9" ] } ], "mendeley" : { "formattedCitation" : "(Lin &amp; Timasheff 1996)", "plainTextFormattedCitation" : "(Lin &amp; Timasheff 1996)", "previouslyFormattedCitation" : "(Lin &amp; Timasheff 1996)" }, "properties" : { "noteIndex" : 0 }, "schema" : "https://github.com/citation-style-language/schema/raw/master/csl-citation.json" }</w:instrText>
            </w:r>
            <w:r w:rsidRPr="009D78ED">
              <w:rPr>
                <w:sz w:val="20"/>
                <w:szCs w:val="20"/>
              </w:rPr>
              <w:fldChar w:fldCharType="separate"/>
            </w:r>
            <w:r w:rsidRPr="009D78ED">
              <w:rPr>
                <w:noProof/>
                <w:sz w:val="20"/>
                <w:szCs w:val="20"/>
              </w:rPr>
              <w:t>(Lin &amp; Timasheff 1996)</w:t>
            </w:r>
            <w:r w:rsidRPr="009D78ED">
              <w:rPr>
                <w:sz w:val="20"/>
                <w:szCs w:val="20"/>
              </w:rPr>
              <w:fldChar w:fldCharType="end"/>
            </w:r>
          </w:p>
        </w:tc>
      </w:tr>
      <w:tr w:rsidR="00582E57" w14:paraId="1855F236" w14:textId="77777777" w:rsidTr="0058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5CB60113" w14:textId="77777777" w:rsidR="00582E57" w:rsidRPr="009D78ED" w:rsidRDefault="00582E57" w:rsidP="00582E57">
            <w:pPr>
              <w:spacing w:before="0" w:after="0"/>
              <w:rPr>
                <w:sz w:val="20"/>
                <w:szCs w:val="20"/>
              </w:rPr>
            </w:pPr>
            <w:r w:rsidRPr="009D78ED">
              <w:rPr>
                <w:sz w:val="20"/>
                <w:szCs w:val="20"/>
              </w:rPr>
              <w:t>Betaine</w:t>
            </w:r>
          </w:p>
        </w:tc>
        <w:tc>
          <w:tcPr>
            <w:tcW w:w="1701" w:type="dxa"/>
            <w:shd w:val="clear" w:color="auto" w:fill="auto"/>
          </w:tcPr>
          <w:p w14:paraId="4D542EFC" w14:textId="77777777" w:rsidR="00582E57" w:rsidRPr="009D78ED" w:rsidRDefault="00582E57"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Excluded</w:t>
            </w:r>
          </w:p>
        </w:tc>
        <w:tc>
          <w:tcPr>
            <w:tcW w:w="2268" w:type="dxa"/>
            <w:shd w:val="clear" w:color="auto" w:fill="auto"/>
          </w:tcPr>
          <w:p w14:paraId="319B67C5" w14:textId="77777777" w:rsidR="00E73C59" w:rsidRPr="009D78ED" w:rsidRDefault="00E73C59"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(1) Lysozyme</w:t>
            </w:r>
          </w:p>
          <w:p w14:paraId="31E8AB76" w14:textId="77777777" w:rsidR="00582E57" w:rsidRPr="009D78ED" w:rsidRDefault="00582E57"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(2;3) BSA</w:t>
            </w:r>
          </w:p>
        </w:tc>
        <w:tc>
          <w:tcPr>
            <w:tcW w:w="1559" w:type="dxa"/>
            <w:shd w:val="clear" w:color="auto" w:fill="auto"/>
          </w:tcPr>
          <w:p w14:paraId="46069EDD" w14:textId="77777777" w:rsidR="00E73C59" w:rsidRPr="009D78ED" w:rsidRDefault="00E73C59"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(1;2) High precision densimetry</w:t>
            </w:r>
          </w:p>
          <w:p w14:paraId="07096BB1" w14:textId="77777777" w:rsidR="00582E57" w:rsidRPr="009D78ED" w:rsidRDefault="00582E57"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(3) VPO</w:t>
            </w:r>
          </w:p>
        </w:tc>
        <w:tc>
          <w:tcPr>
            <w:tcW w:w="1666" w:type="dxa"/>
            <w:shd w:val="clear" w:color="auto" w:fill="auto"/>
          </w:tcPr>
          <w:p w14:paraId="0F750BE4" w14:textId="77777777" w:rsidR="00582E57" w:rsidRPr="009D78ED" w:rsidRDefault="00582E57"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(1)</w:t>
            </w:r>
            <w:r w:rsidRPr="009D78ED">
              <w:rPr>
                <w:sz w:val="20"/>
                <w:szCs w:val="20"/>
              </w:rPr>
              <w:fldChar w:fldCharType="begin" w:fldLock="1"/>
            </w:r>
            <w:r w:rsidRPr="009D78ED">
              <w:rPr>
                <w:sz w:val="20"/>
                <w:szCs w:val="20"/>
              </w:rPr>
              <w:instrText>ADDIN CSL_CITATION { "citationItems" : [ { "id" : "ITEM-1", "itemData" : { "DOI" : "10.1016/S0006-3495(85)83932-1", "ISSN" : "0006-3495", "PMID" : "3978211", "abstract" : "The preferential interactions of lysozyme with solvent components and the effects of solvent additives on its stability were examined for several neutral osmolytes: L-proline, L-serine, gamma-aminobutyric acid, sarcosine, taurine, alpha-alanine, beta-alanine, glycine, betaine, and trimethylamine N-oxide. It was shown that all these substances stabilize the protein structure against thermal denaturation and (except for trimethylamine N-oxide for which interaction measurements could not be made) are strongly excluded from the protein domain, rendering unlikely their direct binding to proteins. On the other hand, valine, not known as an osmolyte, had no stabilizing effect, although it induced a large protein-preferential hydration. A possible explanation is given for the use of these substances as osmotic-pressure-regulating agents in organisms living under high osmotic pressure.", "author" : [ { "dropping-particle" : "", "family" : "Arakawa", "given" : "T", "non-dropping-particle" : "", "parse-names" : false, "suffix" : "" }, { "dropping-particle" : "", "family" : "Timasheff", "given" : "S N", "non-dropping-particle" : "", "parse-names" : false, "suffix" : "" } ], "container-title" : "Biophysical Journal", "id" : "ITEM-1", "issued" : { "date-parts" : [ [ "1985", "3" ] ] }, "page" : "411-414", "title" : "The stabilization of proteins by osmolytes", "type" : "article-journal", "volume" : "47" }, "uris" : [ "http://www.mendeley.com/documents/?uuid=a1e19a58-b0d0-4a61-ada1-8d4bd546989a" ] } ], "mendeley" : { "formattedCitation" : "(Arakawa &amp; Timasheff 1985)", "plainTextFormattedCitation" : "(Arakawa &amp; Timasheff 1985)", "previouslyFormattedCitation" : "(Arakawa &amp; Timasheff 1985)" }, "properties" : { "noteIndex" : 0 }, "schema" : "https://github.com/citation-style-language/schema/raw/master/csl-citation.json" }</w:instrText>
            </w:r>
            <w:r w:rsidRPr="009D78ED">
              <w:rPr>
                <w:sz w:val="20"/>
                <w:szCs w:val="20"/>
              </w:rPr>
              <w:fldChar w:fldCharType="separate"/>
            </w:r>
            <w:r w:rsidRPr="009D78ED">
              <w:rPr>
                <w:noProof/>
                <w:sz w:val="20"/>
                <w:szCs w:val="20"/>
              </w:rPr>
              <w:t>(Arakawa &amp; Timasheff 1985)</w:t>
            </w:r>
            <w:r w:rsidRPr="009D78ED">
              <w:rPr>
                <w:sz w:val="20"/>
                <w:szCs w:val="20"/>
              </w:rPr>
              <w:fldChar w:fldCharType="end"/>
            </w:r>
            <w:r w:rsidRPr="009D78ED">
              <w:rPr>
                <w:sz w:val="20"/>
                <w:szCs w:val="20"/>
              </w:rPr>
              <w:t xml:space="preserve"> (2)</w:t>
            </w:r>
            <w:r w:rsidRPr="009D78ED">
              <w:rPr>
                <w:sz w:val="20"/>
                <w:szCs w:val="20"/>
              </w:rPr>
              <w:fldChar w:fldCharType="begin" w:fldLock="1"/>
            </w:r>
            <w:r w:rsidRPr="009D78ED">
              <w:rPr>
                <w:sz w:val="20"/>
                <w:szCs w:val="20"/>
              </w:rPr>
              <w:instrText>ADDIN CSL_CITATION { "citationItems" : [ { "id" : "ITEM-1", "itemData" : { "ISSN" : "0003-9861", "PMID" : "6870251", "abstract" : "The preferential interactions of proteins with solvent components in concentrated amino acid solutions were measured by high-precision densimetry. Bovine serum albumin and lysozyme were preferentially hydrated in all of the amino acids examined, glycine, alpha- and beta-alanine, and betaine, i.e., addition of these amino acids resulted in an unfavorable free energy change. It was shown that, for the former three amino acids, known to have a positive surface tension increment, their perturbation of the surface free energy of water is consistent with their preferential exclusion from the protein surface. In the case of betaine, which does not increase the surface tension of water, preferential exclusion from protein surface must reflect the chemical structure of this cosolvent, which is considerably more hydrophobic than that of the other three amino acids.", "author" : [ { "dropping-particle" : "", "family" : "Arakawa", "given" : "T", "non-dropping-particle" : "", "parse-names" : false, "suffix" : "" }, { "dropping-particle" : "", "family" : "Timasheff", "given" : "S N", "non-dropping-particle" : "", "parse-names" : false, "suffix" : "" } ], "container-title" : "Archives of Biochemistry and Biophysics", "id" : "ITEM-1", "issued" : { "date-parts" : [ [ "1983", "7", "1" ] ] }, "page" : "169-177", "title" : "Preferential interactions of proteins with solvent components in aqueous amino acid solutions", "type" : "article-journal", "volume" : "224" }, "uris" : [ "http://www.mendeley.com/documents/?uuid=1a6cbc50-77f9-4f1c-84c3-3f29af9f71b8" ] } ], "mendeley" : { "formattedCitation" : "(Arakawa &amp; Timasheff 1983)", "plainTextFormattedCitation" : "(Arakawa &amp; Timasheff 1983)", "previouslyFormattedCitation" : "(Arakawa &amp; Timasheff 1983)" }, "properties" : { "noteIndex" : 0 }, "schema" : "https://github.com/citation-style-language/schema/raw/master/csl-citation.json" }</w:instrText>
            </w:r>
            <w:r w:rsidRPr="009D78ED">
              <w:rPr>
                <w:sz w:val="20"/>
                <w:szCs w:val="20"/>
              </w:rPr>
              <w:fldChar w:fldCharType="separate"/>
            </w:r>
            <w:r w:rsidRPr="009D78ED">
              <w:rPr>
                <w:noProof/>
                <w:sz w:val="20"/>
                <w:szCs w:val="20"/>
              </w:rPr>
              <w:t>(Arakawa &amp; Timasheff 1983)</w:t>
            </w:r>
            <w:r w:rsidRPr="009D78ED">
              <w:rPr>
                <w:sz w:val="20"/>
                <w:szCs w:val="20"/>
              </w:rPr>
              <w:fldChar w:fldCharType="end"/>
            </w:r>
            <w:r w:rsidRPr="009D78ED">
              <w:rPr>
                <w:sz w:val="20"/>
                <w:szCs w:val="20"/>
              </w:rPr>
              <w:t xml:space="preserve"> (3)</w:t>
            </w:r>
            <w:r w:rsidRPr="009D78ED">
              <w:rPr>
                <w:sz w:val="20"/>
                <w:szCs w:val="20"/>
              </w:rPr>
              <w:fldChar w:fldCharType="begin" w:fldLock="1"/>
            </w:r>
            <w:r w:rsidRPr="009D78ED">
              <w:rPr>
                <w:sz w:val="20"/>
                <w:szCs w:val="20"/>
              </w:rPr>
              <w:instrText>ADDIN CSL_CITATION { "citationItems" : [ { "id" : "ITEM-1", "itemData" : { "ISSN" : "0006-2960", "PMID" : "10757995", "abstract" : "To interpret or to predict the responses of biopolymer processes in vivo and in vitro to changes in solute concentration and to coupled changes in water activity (osmotic stress), a quantitative understanding of the thermodynamic consequences of interactions of solutes and water with biopolymer surfaces is required. To this end, we report isoosmolal preferential interaction coefficients (Gamma(mu1) determined by vapor pressure osmometry (VPO) over a wide range of concentrations for interactions between native bovine serum albumin (BSA) and six small solutes. These include Escherichia coli cytoplasmic osmolytes [potassium glutamate (K(+)Glu(-)), trehalose], E. coli osmoprotectants (proline, glycine betaine), and also glycerol and trimethylamine N-oxide (TMAO). For all six solutes, Gamma(mu1) and the corresponding dialysis preferential interaction coefficient Gamma(mu1),(mu3) (both calculated from the VPO data) are negative; Gamma(mu1), (mu3) is proportional to bulk solute molality (m(bulk)3) at least up to 1 m (molal). Negative values of Gamma(mu1),(mu3) indicate preferential exclusion of these solutes from a BSA solution at dialysis equilibrium and correspond to local concentrations of these solutes in the vicinity of BSA which are lower than their bulk concentrations. Of the solutes investigated, betaine is the most excluded (Gamma(mu1),(mu3)/m(bulk)3 = -49 +/- 1 m(-1)); glycerol is the least excluded (Gamma(mu1),(mu3)/m(bulk)3 = -10 +/- 1 m(-1)). Between these extremes, the magnitude of Gamma(mu1),(mu3)/m(bulk)3 decreases in the order glycine betaine &gt; proline &gt;TMAO &gt; trehalose approximately K(+)Glu(-) &gt; glycerol. The order of exclusion of E. coli osmolytes from BSA surface correlates with their effectiveness as osmoprotectants, which increase the growth rate of E. coli at high external osmolality. For the most excluded solute (betaine), Gamma(mu1),(mu3) provides a minimum estimate of the hydration of native BSA of approximately 2.8 x 10(3) H(2)O/BSA, which corresponds to slightly less than a monolayer (estimated to be approximately 3.2 x 10(3) H(2)O). Consequently, of the solutes investigated here, only betaine might be suitable for use in osmotic stress experiments in vitro as a direct probe to quantify changes in hydration of protein surface in biopolymer processes. More generally, however, our results and analysis lead to the proposal that any of these solutes can be used to quantify changes in water-accessible surface area (ASA) in biopolymer pro\u2026", "author" : [ { "dropping-particle" : "", "family" : "Courtenay", "given" : "E S", "non-dropping-particle" : "", "parse-names" : false, "suffix" : "" }, { "dropping-particle" : "", "family" : "Capp", "given" : "M W", "non-dropping-particle" : "", "parse-names" : false, "suffix" : "" }, { "dropping-particle" : "", "family" : "Anderson", "given" : "C F", "non-dropping-particle" : "", "parse-names" : false, "suffix" : "" }, { "dropping-particle" : "", "family" : "Record", "given" : "M T", "non-dropping-particle" : "", "parse-names" : false, "suffix" : "" } ], "container-title" : "Biochemistry", "id" : "ITEM-1", "issued" : { "date-parts" : [ [ "2000", "4", "18" ] ] }, "page" : "4455-4471", "title" : "Vapor pressure osmometry studies of osmolyte-protein interactions: Implications for the action of osmoprotectants in vivo and for the interpretation of \"osmotic stress\" experiments in vitro", "type" : "article-journal", "volume" : "39" }, "uris" : [ "http://www.mendeley.com/documents/?uuid=6089abc7-371a-47e3-9bee-c5bbc756b769" ] } ], "mendeley" : { "formattedCitation" : "(Courtenay et al. 2000)", "plainTextFormattedCitation" : "(Courtenay et al. 2000)", "previouslyFormattedCitation" : "(Courtenay et al. 2000)" }, "properties" : { "noteIndex" : 0 }, "schema" : "https://github.com/citation-style-language/schema/raw/master/csl-citation.json" }</w:instrText>
            </w:r>
            <w:r w:rsidRPr="009D78ED">
              <w:rPr>
                <w:sz w:val="20"/>
                <w:szCs w:val="20"/>
              </w:rPr>
              <w:fldChar w:fldCharType="separate"/>
            </w:r>
            <w:r w:rsidRPr="009D78ED">
              <w:rPr>
                <w:noProof/>
                <w:sz w:val="20"/>
                <w:szCs w:val="20"/>
              </w:rPr>
              <w:t>(Courtenay et al. 2000)</w:t>
            </w:r>
            <w:r w:rsidRPr="009D78ED">
              <w:rPr>
                <w:sz w:val="20"/>
                <w:szCs w:val="20"/>
              </w:rPr>
              <w:fldChar w:fldCharType="end"/>
            </w:r>
          </w:p>
        </w:tc>
      </w:tr>
      <w:tr w:rsidR="00582E57" w14:paraId="15286FF6" w14:textId="77777777" w:rsidTr="00585CA3">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3439C6ED" w14:textId="77777777" w:rsidR="00582E57" w:rsidRPr="009D78ED" w:rsidRDefault="00582E57" w:rsidP="00582E57">
            <w:pPr>
              <w:spacing w:before="0" w:after="0"/>
              <w:rPr>
                <w:sz w:val="20"/>
                <w:szCs w:val="20"/>
              </w:rPr>
            </w:pPr>
            <w:r w:rsidRPr="009D78ED">
              <w:rPr>
                <w:sz w:val="20"/>
                <w:szCs w:val="20"/>
              </w:rPr>
              <w:t>Glucose</w:t>
            </w:r>
          </w:p>
        </w:tc>
        <w:tc>
          <w:tcPr>
            <w:tcW w:w="1701" w:type="dxa"/>
            <w:shd w:val="clear" w:color="auto" w:fill="auto"/>
          </w:tcPr>
          <w:p w14:paraId="27914C9D" w14:textId="77777777" w:rsidR="00582E57"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Excluded</w:t>
            </w:r>
          </w:p>
        </w:tc>
        <w:tc>
          <w:tcPr>
            <w:tcW w:w="2268" w:type="dxa"/>
            <w:shd w:val="clear" w:color="auto" w:fill="auto"/>
          </w:tcPr>
          <w:p w14:paraId="0C34E6B3" w14:textId="77777777" w:rsidR="00582E57" w:rsidRPr="009D78ED" w:rsidRDefault="0005028A"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RNase A, Lysozyme, C</w:t>
            </w:r>
            <w:r w:rsidR="00582E57" w:rsidRPr="009D78ED">
              <w:rPr>
                <w:sz w:val="20"/>
                <w:szCs w:val="20"/>
              </w:rPr>
              <w:t>hymotrysi</w:t>
            </w:r>
            <w:r w:rsidRPr="009D78ED">
              <w:rPr>
                <w:sz w:val="20"/>
                <w:szCs w:val="20"/>
              </w:rPr>
              <w:t>nogen A, β-lactoglobulin, BSA, O</w:t>
            </w:r>
            <w:r w:rsidR="00582E57" w:rsidRPr="009D78ED">
              <w:rPr>
                <w:sz w:val="20"/>
                <w:szCs w:val="20"/>
              </w:rPr>
              <w:t>valbumin</w:t>
            </w:r>
          </w:p>
        </w:tc>
        <w:tc>
          <w:tcPr>
            <w:tcW w:w="1559" w:type="dxa"/>
            <w:shd w:val="clear" w:color="auto" w:fill="auto"/>
          </w:tcPr>
          <w:p w14:paraId="64831553" w14:textId="77777777" w:rsidR="00582E57"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High precision densimetry</w:t>
            </w:r>
          </w:p>
        </w:tc>
        <w:tc>
          <w:tcPr>
            <w:tcW w:w="1666" w:type="dxa"/>
            <w:shd w:val="clear" w:color="auto" w:fill="auto"/>
          </w:tcPr>
          <w:p w14:paraId="13D6091E" w14:textId="77777777" w:rsidR="00582E57"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fldChar w:fldCharType="begin" w:fldLock="1"/>
            </w:r>
            <w:r w:rsidRPr="009D78ED">
              <w:rPr>
                <w:sz w:val="20"/>
                <w:szCs w:val="20"/>
              </w:rPr>
              <w:instrText>ADDIN CSL_CITATION { "citationItems" : [ { "id" : "ITEM-1", "itemData" : { "ISSN" : "0006-2960", "PMID" : "7150574", "abstract" : "The preferential interaction of proteins with solvent components was measured in aqueous lactose and glucose systems by using a high precision densimeter. In all cases, the protein was preferentially hydrated; i.e., addition of these sugars to an aqueous solution of the protein resulted in an unfavorable free-energy change. This effect was shown to increase with an increase in protein surface area, explaining the protein stabilizing action of these sugars and their enhancing effect of protein associations. Correlation of the preferential interaction parameter with the effect of the sugars on the surface tension of water, i.e., their positive surface tension increment, has led to the conclusion that the surface free energy perturbation by sugars plays a predominant role in their preferential interaction with proteins. Other contributing factors are the exclusion volume of the sugars and the chemical nature of the protein surface.", "author" : [ { "dropping-particle" : "", "family" : "Arakawa", "given" : "T", "non-dropping-particle" : "", "parse-names" : false, "suffix" : "" }, { "dropping-particle" : "", "family" : "Timasheff", "given" : "S N", "non-dropping-particle" : "", "parse-names" : false, "suffix" : "" } ], "container-title" : "Biochemistry", "id" : "ITEM-1", "issued" : { "date-parts" : [ [ "1982", "12", "7" ] ] }, "page" : "6536-6544", "title" : "Stabilization of protein structure by sugars", "type" : "article-journal", "volume" : "21" }, "uris" : [ "http://www.mendeley.com/documents/?uuid=03fc4568-a1d8-45c0-b1b2-88c972ef6ccc" ] } ], "mendeley" : { "formattedCitation" : "(Arakawa &amp; Timasheff 1982b)", "plainTextFormattedCitation" : "(Arakawa &amp; Timasheff 1982b)", "previouslyFormattedCitation" : "(Arakawa &amp; Timasheff 1982b)" }, "properties" : { "noteIndex" : 0 }, "schema" : "https://github.com/citation-style-language/schema/raw/master/csl-citation.json" }</w:instrText>
            </w:r>
            <w:r w:rsidRPr="009D78ED">
              <w:rPr>
                <w:sz w:val="20"/>
                <w:szCs w:val="20"/>
              </w:rPr>
              <w:fldChar w:fldCharType="separate"/>
            </w:r>
            <w:r w:rsidRPr="009D78ED">
              <w:rPr>
                <w:noProof/>
                <w:sz w:val="20"/>
                <w:szCs w:val="20"/>
              </w:rPr>
              <w:t>(Arakawa &amp; Timasheff 1982b)</w:t>
            </w:r>
            <w:r w:rsidRPr="009D78ED">
              <w:rPr>
                <w:sz w:val="20"/>
                <w:szCs w:val="20"/>
              </w:rPr>
              <w:fldChar w:fldCharType="end"/>
            </w:r>
          </w:p>
        </w:tc>
      </w:tr>
      <w:tr w:rsidR="00582E57" w14:paraId="34E18B7C" w14:textId="77777777" w:rsidTr="0058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4B5BDC5A" w14:textId="77777777" w:rsidR="00582E57" w:rsidRPr="009D78ED" w:rsidRDefault="00582E57" w:rsidP="00582E57">
            <w:pPr>
              <w:spacing w:before="0" w:after="0"/>
              <w:rPr>
                <w:sz w:val="20"/>
                <w:szCs w:val="20"/>
              </w:rPr>
            </w:pPr>
            <w:r w:rsidRPr="009D78ED">
              <w:rPr>
                <w:sz w:val="20"/>
                <w:szCs w:val="20"/>
              </w:rPr>
              <w:t>Glycerol</w:t>
            </w:r>
          </w:p>
        </w:tc>
        <w:tc>
          <w:tcPr>
            <w:tcW w:w="1701" w:type="dxa"/>
            <w:shd w:val="clear" w:color="auto" w:fill="auto"/>
          </w:tcPr>
          <w:p w14:paraId="1E213413" w14:textId="77777777" w:rsidR="00582E57" w:rsidRPr="009D78ED" w:rsidRDefault="00582E57"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Excluded</w:t>
            </w:r>
          </w:p>
        </w:tc>
        <w:tc>
          <w:tcPr>
            <w:tcW w:w="2268" w:type="dxa"/>
            <w:shd w:val="clear" w:color="auto" w:fill="auto"/>
          </w:tcPr>
          <w:p w14:paraId="7AD78C66" w14:textId="77777777" w:rsidR="00582E57" w:rsidRPr="009D78ED" w:rsidRDefault="00653FED"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 xml:space="preserve">(1;2) </w:t>
            </w:r>
            <w:r w:rsidR="00582E57" w:rsidRPr="009D78ED">
              <w:rPr>
                <w:sz w:val="20"/>
                <w:szCs w:val="20"/>
              </w:rPr>
              <w:t>BSA</w:t>
            </w:r>
          </w:p>
          <w:p w14:paraId="3A321A8B" w14:textId="77777777" w:rsidR="00653FED" w:rsidRPr="009D78ED" w:rsidRDefault="00653FED"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(2) Lysozyme, α-chymotrypsinogen</w:t>
            </w:r>
          </w:p>
        </w:tc>
        <w:tc>
          <w:tcPr>
            <w:tcW w:w="1559" w:type="dxa"/>
            <w:shd w:val="clear" w:color="auto" w:fill="auto"/>
          </w:tcPr>
          <w:p w14:paraId="2F311925" w14:textId="77777777" w:rsidR="00582E57" w:rsidRPr="009D78ED" w:rsidRDefault="00653FED"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 xml:space="preserve">(1;2) </w:t>
            </w:r>
            <w:r w:rsidR="00582E57" w:rsidRPr="009D78ED">
              <w:rPr>
                <w:sz w:val="20"/>
                <w:szCs w:val="20"/>
              </w:rPr>
              <w:t>VPO</w:t>
            </w:r>
          </w:p>
          <w:p w14:paraId="099E6155" w14:textId="77777777" w:rsidR="00653FED" w:rsidRPr="009D78ED" w:rsidRDefault="00653FED"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(2) High precision densimetry</w:t>
            </w:r>
          </w:p>
        </w:tc>
        <w:tc>
          <w:tcPr>
            <w:tcW w:w="1666" w:type="dxa"/>
            <w:shd w:val="clear" w:color="auto" w:fill="auto"/>
          </w:tcPr>
          <w:p w14:paraId="1C08B8E5" w14:textId="77777777" w:rsidR="00582E57" w:rsidRPr="009D78ED" w:rsidRDefault="00653FED"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(1)</w:t>
            </w:r>
            <w:r w:rsidR="00582E57" w:rsidRPr="009D78ED">
              <w:rPr>
                <w:sz w:val="20"/>
                <w:szCs w:val="20"/>
              </w:rPr>
              <w:fldChar w:fldCharType="begin" w:fldLock="1"/>
            </w:r>
            <w:r w:rsidR="00582E57" w:rsidRPr="009D78ED">
              <w:rPr>
                <w:sz w:val="20"/>
                <w:szCs w:val="20"/>
              </w:rPr>
              <w:instrText>ADDIN CSL_CITATION { "citationItems" : [ { "id" : "ITEM-1", "itemData" : { "ISSN" : "0006-2960", "PMID" : "10757995", "abstract" : "To interpret or to predict the responses of biopolymer processes in vivo and in vitro to changes in solute concentration and to coupled changes in water activity (osmotic stress), a quantitative understanding of the thermodynamic consequences of interactions of solutes and water with biopolymer surfaces is required. To this end, we report isoosmolal preferential interaction coefficients (Gamma(mu1) determined by vapor pressure osmometry (VPO) over a wide range of concentrations for interactions between native bovine serum albumin (BSA) and six small solutes. These include Escherichia coli cytoplasmic osmolytes [potassium glutamate (K(+)Glu(-)), trehalose], E. coli osmoprotectants (proline, glycine betaine), and also glycerol and trimethylamine N-oxide (TMAO). For all six solutes, Gamma(mu1) and the corresponding dialysis preferential interaction coefficient Gamma(mu1),(mu3) (both calculated from the VPO data) are negative; Gamma(mu1), (mu3) is proportional to bulk solute molality (m(bulk)3) at least up to 1 m (molal). Negative values of Gamma(mu1),(mu3) indicate preferential exclusion of these solutes from a BSA solution at dialysis equilibrium and correspond to local concentrations of these solutes in the vicinity of BSA which are lower than their bulk concentrations. Of the solutes investigated, betaine is the most excluded (Gamma(mu1),(mu3)/m(bulk)3 = -49 +/- 1 m(-1)); glycerol is the least excluded (Gamma(mu1),(mu3)/m(bulk)3 = -10 +/- 1 m(-1)). Between these extremes, the magnitude of Gamma(mu1),(mu3)/m(bulk)3 decreases in the order glycine betaine &gt; proline &gt;TMAO &gt; trehalose approximately K(+)Glu(-) &gt; glycerol. The order of exclusion of E. coli osmolytes from BSA surface correlates with their effectiveness as osmoprotectants, which increase the growth rate of E. coli at high external osmolality. For the most excluded solute (betaine), Gamma(mu1),(mu3) provides a minimum estimate of the hydration of native BSA of approximately 2.8 x 10(3) H(2)O/BSA, which corresponds to slightly less than a monolayer (estimated to be approximately 3.2 x 10(3) H(2)O). Consequently, of the solutes investigated here, only betaine might be suitable for use in osmotic stress experiments in vitro as a direct probe to quantify changes in hydration of protein surface in biopolymer processes. More generally, however, our results and analysis lead to the proposal that any of these solutes can be used to quantify changes in water-accessible surface area (ASA) in biopolymer pro\u2026", "author" : [ { "dropping-particle" : "", "family" : "Courtenay", "given" : "E S", "non-dropping-particle" : "", "parse-names" : false, "suffix" : "" }, { "dropping-particle" : "", "family" : "Capp", "given" : "M W", "non-dropping-particle" : "", "parse-names" : false, "suffix" : "" }, { "dropping-particle" : "", "family" : "Anderson", "given" : "C F", "non-dropping-particle" : "", "parse-names" : false, "suffix" : "" }, { "dropping-particle" : "", "family" : "Record", "given" : "M T", "non-dropping-particle" : "", "parse-names" : false, "suffix" : "" } ], "container-title" : "Biochemistry", "id" : "ITEM-1", "issued" : { "date-parts" : [ [ "2000", "4", "18" ] ] }, "page" : "4455-4471", "title" : "Vapor pressure osmometry studies of osmolyte-protein interactions: Implications for the action of osmoprotectants in vivo and for the interpretation of \"osmotic stress\" experiments in vitro", "type" : "article-journal", "volume" : "39" }, "uris" : [ "http://www.mendeley.com/documents/?uuid=6089abc7-371a-47e3-9bee-c5bbc756b769" ] } ], "mendeley" : { "formattedCitation" : "(Courtenay et al. 2000)", "plainTextFormattedCitation" : "(Courtenay et al. 2000)", "previouslyFormattedCitation" : "(Courtenay et al. 2000)" }, "properties" : { "noteIndex" : 0 }, "schema" : "https://github.com/citation-style-language/schema/raw/master/csl-citation.json" }</w:instrText>
            </w:r>
            <w:r w:rsidR="00582E57" w:rsidRPr="009D78ED">
              <w:rPr>
                <w:sz w:val="20"/>
                <w:szCs w:val="20"/>
              </w:rPr>
              <w:fldChar w:fldCharType="separate"/>
            </w:r>
            <w:r w:rsidR="00582E57" w:rsidRPr="009D78ED">
              <w:rPr>
                <w:noProof/>
                <w:sz w:val="20"/>
                <w:szCs w:val="20"/>
              </w:rPr>
              <w:t>(Courtenay et al. 2000)</w:t>
            </w:r>
            <w:r w:rsidR="00582E57" w:rsidRPr="009D78ED">
              <w:rPr>
                <w:sz w:val="20"/>
                <w:szCs w:val="20"/>
              </w:rPr>
              <w:fldChar w:fldCharType="end"/>
            </w:r>
          </w:p>
          <w:p w14:paraId="15A9F9D1" w14:textId="77777777" w:rsidR="00653FED" w:rsidRPr="009D78ED" w:rsidRDefault="00653FED"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(2)</w:t>
            </w:r>
            <w:r w:rsidRPr="009D78ED">
              <w:rPr>
                <w:sz w:val="20"/>
                <w:szCs w:val="20"/>
              </w:rPr>
              <w:fldChar w:fldCharType="begin" w:fldLock="1"/>
            </w:r>
            <w:r w:rsidR="009608B8" w:rsidRPr="009D78ED">
              <w:rPr>
                <w:sz w:val="20"/>
                <w:szCs w:val="20"/>
              </w:rPr>
              <w:instrText>ADDIN CSL_CITATION { "citationItems" : [ { "id" : "ITEM-1", "itemData" : { "DOI" : "10.1021/jp808042w", "ISSN" : "1520-6106", "PMID" : "19199688", "abstract" : "The relatively new technique of vapor pressure osmometry was utilized to determine the preferential interaction of five common solution additives (arginine HCl, guanidine HCl, glycerol, glucose, and urea) using three different model proteins (BSA, lysozyme, and alpha-chymotrypsinogen). Results for guanidine, glycerol, glucose, and urea are comparable to literature values, which utilized the dialysis/densimetry technique. However, values for arginine differ greatly from literature values, making it unclear what is the nature of arginine-protein interactions. A repeat of the dialysis/densimetry measurements reported in the literature supports the vapor pressure osmometry measurements and reveals a never before seen trend in the interaction of arginine with proteins as a function of concentration. This trend is dependent on the protein size and shows arginine to be unique among solution additives. For concentrations below 0.5 M, arginine has a preferential interaction coefficient near zero (slightly greater than zero for small proteins but decreases as the size of the protein increases), which indicates that arginine is neither strongly bound nor excluded from the protein surface. This trend differs greatly from cosolutes that influence the protein folding equilibrium. However, as the concentration of arginine increases beyond 0.5 M, arginine becomes increasingly excluded. Such behavior might be indicative of the protein surface becoming saturated with arginine, thus causing any additional arginine added to the solution to be excluded from interacting with the surface. All of this behavior is most likely the result of a balance between the affinity arginine has for the peptide backbone and certain amino acids and the repulsion generated by surface tension increment and volume exclusion effects [Arakawa et al. Biophysical Chemistry 2007, 127, 1]. In addition, such behavior may explain why arginine has little effect on protein folding equilibrium but is an effective aggregation suppressor.", "author" : [ { "dropping-particle" : "", "family" : "Schneider", "given" : "C P", "non-dropping-particle" : "", "parse-names" : false, "suffix" : "" }, { "dropping-particle" : "", "family" : "Trout", "given" : "B L", "non-dropping-particle" : "", "parse-names" : false, "suffix" : "" } ], "container-title" : "Journal of Physical Chemistry B", "id" : "ITEM-1", "issued" : { "date-parts" : [ [ "2009", "2", "19" ] ] }, "page" : "2050-2058", "title" : "Investigation of cosolute-protein preferential interaction coefficients: New insight into the mechanism by which arginine inhibits aggregation", "type" : "article-journal", "volume" : "113" }, "uris" : [ "http://www.mendeley.com/documents/?uuid=9eed0480-0f78-439e-accc-1dcb3b07e260" ] } ], "mendeley" : { "formattedCitation" : "(Schneider &amp; Trout 2009)", "plainTextFormattedCitation" : "(Schneider &amp; Trout 2009)", "previouslyFormattedCitation" : "(Schneider &amp; Trout 2009)" }, "properties" : { "noteIndex" : 0 }, "schema" : "https://github.com/citation-style-language/schema/raw/master/csl-citation.json" }</w:instrText>
            </w:r>
            <w:r w:rsidRPr="009D78ED">
              <w:rPr>
                <w:sz w:val="20"/>
                <w:szCs w:val="20"/>
              </w:rPr>
              <w:fldChar w:fldCharType="separate"/>
            </w:r>
            <w:r w:rsidRPr="009D78ED">
              <w:rPr>
                <w:noProof/>
                <w:sz w:val="20"/>
                <w:szCs w:val="20"/>
              </w:rPr>
              <w:t>(Schneider &amp; Trout 2009)</w:t>
            </w:r>
            <w:r w:rsidRPr="009D78ED">
              <w:rPr>
                <w:sz w:val="20"/>
                <w:szCs w:val="20"/>
              </w:rPr>
              <w:fldChar w:fldCharType="end"/>
            </w:r>
          </w:p>
        </w:tc>
      </w:tr>
      <w:tr w:rsidR="00582E57" w14:paraId="5349CF85" w14:textId="77777777" w:rsidTr="00585CA3">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4BB0F59A" w14:textId="77777777" w:rsidR="00582E57" w:rsidRPr="009D78ED" w:rsidRDefault="00582E57" w:rsidP="00582E57">
            <w:pPr>
              <w:spacing w:before="0" w:after="0"/>
              <w:rPr>
                <w:sz w:val="20"/>
                <w:szCs w:val="20"/>
              </w:rPr>
            </w:pPr>
            <w:r w:rsidRPr="009D78ED">
              <w:rPr>
                <w:sz w:val="20"/>
                <w:szCs w:val="20"/>
              </w:rPr>
              <w:t>Glycine</w:t>
            </w:r>
          </w:p>
        </w:tc>
        <w:tc>
          <w:tcPr>
            <w:tcW w:w="1701" w:type="dxa"/>
            <w:shd w:val="clear" w:color="auto" w:fill="auto"/>
          </w:tcPr>
          <w:p w14:paraId="5ECB01D1" w14:textId="77777777" w:rsidR="00582E57"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Excluded</w:t>
            </w:r>
          </w:p>
        </w:tc>
        <w:tc>
          <w:tcPr>
            <w:tcW w:w="2268" w:type="dxa"/>
            <w:shd w:val="clear" w:color="auto" w:fill="auto"/>
          </w:tcPr>
          <w:p w14:paraId="2D1185D8" w14:textId="77777777" w:rsidR="00582E57"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Lysozyme</w:t>
            </w:r>
          </w:p>
        </w:tc>
        <w:tc>
          <w:tcPr>
            <w:tcW w:w="1559" w:type="dxa"/>
            <w:shd w:val="clear" w:color="auto" w:fill="auto"/>
          </w:tcPr>
          <w:p w14:paraId="14487DEC" w14:textId="77777777" w:rsidR="00582E57"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High precision densimetry</w:t>
            </w:r>
          </w:p>
        </w:tc>
        <w:tc>
          <w:tcPr>
            <w:tcW w:w="1666" w:type="dxa"/>
            <w:shd w:val="clear" w:color="auto" w:fill="auto"/>
          </w:tcPr>
          <w:p w14:paraId="3C138107" w14:textId="77777777" w:rsidR="00582E57"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fldChar w:fldCharType="begin" w:fldLock="1"/>
            </w:r>
            <w:r w:rsidRPr="009D78ED">
              <w:rPr>
                <w:sz w:val="20"/>
                <w:szCs w:val="20"/>
              </w:rPr>
              <w:instrText>ADDIN CSL_CITATION { "citationItems" : [ { "id" : "ITEM-1", "itemData" : { "DOI" : "10.1016/S0006-3495(85)83932-1", "ISSN" : "0006-3495", "PMID" : "3978211", "abstract" : "The preferential interactions of lysozyme with solvent components and the effects of solvent additives on its stability were examined for several neutral osmolytes: L-proline, L-serine, gamma-aminobutyric acid, sarcosine, taurine, alpha-alanine, beta-alanine, glycine, betaine, and trimethylamine N-oxide. It was shown that all these substances stabilize the protein structure against thermal denaturation and (except for trimethylamine N-oxide for which interaction measurements could not be made) are strongly excluded from the protein domain, rendering unlikely their direct binding to proteins. On the other hand, valine, not known as an osmolyte, had no stabilizing effect, although it induced a large protein-preferential hydration. A possible explanation is given for the use of these substances as osmotic-pressure-regulating agents in organisms living under high osmotic pressure.", "author" : [ { "dropping-particle" : "", "family" : "Arakawa", "given" : "T", "non-dropping-particle" : "", "parse-names" : false, "suffix" : "" }, { "dropping-particle" : "", "family" : "Timasheff", "given" : "S N", "non-dropping-particle" : "", "parse-names" : false, "suffix" : "" } ], "container-title" : "Biophysical Journal", "id" : "ITEM-1", "issued" : { "date-parts" : [ [ "1985", "3" ] ] }, "page" : "411-414", "title" : "The stabilization of proteins by osmolytes", "type" : "article-journal", "volume" : "47" }, "uris" : [ "http://www.mendeley.com/documents/?uuid=a1e19a58-b0d0-4a61-ada1-8d4bd546989a" ] } ], "mendeley" : { "formattedCitation" : "(Arakawa &amp; Timasheff 1985)", "plainTextFormattedCitation" : "(Arakawa &amp; Timasheff 1985)", "previouslyFormattedCitation" : "(Arakawa &amp; Timasheff 1985)" }, "properties" : { "noteIndex" : 0 }, "schema" : "https://github.com/citation-style-language/schema/raw/master/csl-citation.json" }</w:instrText>
            </w:r>
            <w:r w:rsidRPr="009D78ED">
              <w:rPr>
                <w:sz w:val="20"/>
                <w:szCs w:val="20"/>
              </w:rPr>
              <w:fldChar w:fldCharType="separate"/>
            </w:r>
            <w:r w:rsidRPr="009D78ED">
              <w:rPr>
                <w:noProof/>
                <w:sz w:val="20"/>
                <w:szCs w:val="20"/>
              </w:rPr>
              <w:t>(Arakawa &amp; Timasheff 1985)</w:t>
            </w:r>
            <w:r w:rsidRPr="009D78ED">
              <w:rPr>
                <w:sz w:val="20"/>
                <w:szCs w:val="20"/>
              </w:rPr>
              <w:fldChar w:fldCharType="end"/>
            </w:r>
          </w:p>
        </w:tc>
      </w:tr>
      <w:tr w:rsidR="00582E57" w14:paraId="39D255D7" w14:textId="77777777" w:rsidTr="0058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51AB0352" w14:textId="77777777" w:rsidR="00582E57" w:rsidRPr="009D78ED" w:rsidRDefault="00582E57" w:rsidP="00582E57">
            <w:pPr>
              <w:spacing w:before="0" w:after="0"/>
              <w:rPr>
                <w:sz w:val="20"/>
                <w:szCs w:val="20"/>
              </w:rPr>
            </w:pPr>
            <w:r w:rsidRPr="009D78ED">
              <w:rPr>
                <w:sz w:val="20"/>
                <w:szCs w:val="20"/>
              </w:rPr>
              <w:t>Lactose</w:t>
            </w:r>
          </w:p>
        </w:tc>
        <w:tc>
          <w:tcPr>
            <w:tcW w:w="1701" w:type="dxa"/>
            <w:shd w:val="clear" w:color="auto" w:fill="auto"/>
          </w:tcPr>
          <w:p w14:paraId="28AB511C" w14:textId="77777777" w:rsidR="00582E57" w:rsidRPr="009D78ED" w:rsidRDefault="00582E57"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Excluded</w:t>
            </w:r>
          </w:p>
        </w:tc>
        <w:tc>
          <w:tcPr>
            <w:tcW w:w="2268" w:type="dxa"/>
            <w:shd w:val="clear" w:color="auto" w:fill="auto"/>
          </w:tcPr>
          <w:p w14:paraId="4F535D5D" w14:textId="77777777" w:rsidR="00582E57" w:rsidRPr="009D78ED" w:rsidRDefault="0005028A"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RNase A, Lysozyme, C</w:t>
            </w:r>
            <w:r w:rsidR="00582E57" w:rsidRPr="009D78ED">
              <w:rPr>
                <w:sz w:val="20"/>
                <w:szCs w:val="20"/>
              </w:rPr>
              <w:t>hymotrysi</w:t>
            </w:r>
            <w:r w:rsidRPr="009D78ED">
              <w:rPr>
                <w:sz w:val="20"/>
                <w:szCs w:val="20"/>
              </w:rPr>
              <w:t xml:space="preserve">nogen A, β-lactoglobulin, BSA, </w:t>
            </w:r>
            <w:r w:rsidRPr="009D78ED">
              <w:rPr>
                <w:sz w:val="20"/>
                <w:szCs w:val="20"/>
              </w:rPr>
              <w:lastRenderedPageBreak/>
              <w:t>O</w:t>
            </w:r>
            <w:r w:rsidR="00582E57" w:rsidRPr="009D78ED">
              <w:rPr>
                <w:sz w:val="20"/>
                <w:szCs w:val="20"/>
              </w:rPr>
              <w:t>valbumin</w:t>
            </w:r>
          </w:p>
        </w:tc>
        <w:tc>
          <w:tcPr>
            <w:tcW w:w="1559" w:type="dxa"/>
            <w:shd w:val="clear" w:color="auto" w:fill="auto"/>
          </w:tcPr>
          <w:p w14:paraId="4C31897C" w14:textId="77777777" w:rsidR="00582E57" w:rsidRPr="009D78ED" w:rsidRDefault="00582E57"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lastRenderedPageBreak/>
              <w:t>High precision densimetry</w:t>
            </w:r>
          </w:p>
        </w:tc>
        <w:tc>
          <w:tcPr>
            <w:tcW w:w="1666" w:type="dxa"/>
            <w:shd w:val="clear" w:color="auto" w:fill="auto"/>
          </w:tcPr>
          <w:p w14:paraId="23742594" w14:textId="77777777" w:rsidR="00582E57" w:rsidRPr="009D78ED" w:rsidRDefault="00582E57"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fldChar w:fldCharType="begin" w:fldLock="1"/>
            </w:r>
            <w:r w:rsidRPr="009D78ED">
              <w:rPr>
                <w:sz w:val="20"/>
                <w:szCs w:val="20"/>
              </w:rPr>
              <w:instrText>ADDIN CSL_CITATION { "citationItems" : [ { "id" : "ITEM-1", "itemData" : { "ISSN" : "0006-2960", "PMID" : "7150574", "abstract" : "The preferential interaction of proteins with solvent components was measured in aqueous lactose and glucose systems by using a high precision densimeter. In all cases, the protein was preferentially hydrated; i.e., addition of these sugars to an aqueous solution of the protein resulted in an unfavorable free-energy change. This effect was shown to increase with an increase in protein surface area, explaining the protein stabilizing action of these sugars and their enhancing effect of protein associations. Correlation of the preferential interaction parameter with the effect of the sugars on the surface tension of water, i.e., their positive surface tension increment, has led to the conclusion that the surface free energy perturbation by sugars plays a predominant role in their preferential interaction with proteins. Other contributing factors are the exclusion volume of the sugars and the chemical nature of the protein surface.", "author" : [ { "dropping-particle" : "", "family" : "Arakawa", "given" : "T", "non-dropping-particle" : "", "parse-names" : false, "suffix" : "" }, { "dropping-particle" : "", "family" : "Timasheff", "given" : "S N", "non-dropping-particle" : "", "parse-names" : false, "suffix" : "" } ], "container-title" : "Biochemistry", "id" : "ITEM-1", "issued" : { "date-parts" : [ [ "1982", "12", "7" ] ] }, "page" : "6536-6544", "title" : "Stabilization of protein structure by sugars", "type" : "article-journal", "volume" : "21" }, "uris" : [ "http://www.mendeley.com/documents/?uuid=03fc4568-a1d8-45c0-b1b2-88c972ef6ccc" ] } ], "mendeley" : { "formattedCitation" : "(Arakawa &amp; Timasheff 1982b)", "plainTextFormattedCitation" : "(Arakawa &amp; Timasheff 1982b)", "previouslyFormattedCitation" : "(Arakawa &amp; Timasheff 1982b)" }, "properties" : { "noteIndex" : 0 }, "schema" : "https://github.com/citation-style-language/schema/raw/master/csl-citation.json" }</w:instrText>
            </w:r>
            <w:r w:rsidRPr="009D78ED">
              <w:rPr>
                <w:sz w:val="20"/>
                <w:szCs w:val="20"/>
              </w:rPr>
              <w:fldChar w:fldCharType="separate"/>
            </w:r>
            <w:r w:rsidRPr="009D78ED">
              <w:rPr>
                <w:noProof/>
                <w:sz w:val="20"/>
                <w:szCs w:val="20"/>
              </w:rPr>
              <w:t>(Arakawa &amp; Timasheff 1982b)</w:t>
            </w:r>
            <w:r w:rsidRPr="009D78ED">
              <w:rPr>
                <w:sz w:val="20"/>
                <w:szCs w:val="20"/>
              </w:rPr>
              <w:fldChar w:fldCharType="end"/>
            </w:r>
          </w:p>
        </w:tc>
      </w:tr>
      <w:tr w:rsidR="00582E57" w14:paraId="1E846F49" w14:textId="77777777" w:rsidTr="00585CA3">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5533DFFD" w14:textId="77777777" w:rsidR="00582E57" w:rsidRPr="009D78ED" w:rsidRDefault="00582E57" w:rsidP="00582E57">
            <w:pPr>
              <w:spacing w:before="0" w:after="0"/>
              <w:rPr>
                <w:sz w:val="20"/>
                <w:szCs w:val="20"/>
              </w:rPr>
            </w:pPr>
            <w:r w:rsidRPr="009D78ED">
              <w:rPr>
                <w:sz w:val="20"/>
                <w:szCs w:val="20"/>
              </w:rPr>
              <w:lastRenderedPageBreak/>
              <w:t>Lysine hydrochloride</w:t>
            </w:r>
          </w:p>
        </w:tc>
        <w:tc>
          <w:tcPr>
            <w:tcW w:w="1701" w:type="dxa"/>
            <w:shd w:val="clear" w:color="auto" w:fill="auto"/>
          </w:tcPr>
          <w:p w14:paraId="4224C04E" w14:textId="77777777" w:rsidR="00E73C59"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 xml:space="preserve">(1) </w:t>
            </w:r>
            <w:r w:rsidR="00E73C59" w:rsidRPr="009D78ED">
              <w:rPr>
                <w:sz w:val="20"/>
                <w:szCs w:val="20"/>
              </w:rPr>
              <w:t>Excluded</w:t>
            </w:r>
          </w:p>
          <w:p w14:paraId="16F2508C" w14:textId="77777777" w:rsidR="00E73C59"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(2) Neutral</w:t>
            </w:r>
          </w:p>
          <w:p w14:paraId="6908C706" w14:textId="77777777" w:rsidR="00665EC3" w:rsidRPr="009D78ED" w:rsidRDefault="00665EC3"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(3) Bound</w:t>
            </w:r>
          </w:p>
        </w:tc>
        <w:tc>
          <w:tcPr>
            <w:tcW w:w="2268" w:type="dxa"/>
            <w:shd w:val="clear" w:color="auto" w:fill="auto"/>
          </w:tcPr>
          <w:p w14:paraId="10C82BEA" w14:textId="77777777" w:rsidR="00E73C59"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(1)</w:t>
            </w:r>
            <w:r w:rsidR="00E73C59" w:rsidRPr="009D78ED">
              <w:rPr>
                <w:sz w:val="20"/>
                <w:szCs w:val="20"/>
              </w:rPr>
              <w:t>BSA, Lysozyme, β-lactoglobulin</w:t>
            </w:r>
          </w:p>
          <w:p w14:paraId="6A4977B6" w14:textId="77777777" w:rsidR="00E73C59"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(2) Calf brain tubulin</w:t>
            </w:r>
          </w:p>
          <w:p w14:paraId="1F827ACE" w14:textId="77777777" w:rsidR="00665EC3" w:rsidRPr="009D78ED" w:rsidRDefault="00665EC3"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(3) RNase A</w:t>
            </w:r>
          </w:p>
        </w:tc>
        <w:tc>
          <w:tcPr>
            <w:tcW w:w="1559" w:type="dxa"/>
            <w:shd w:val="clear" w:color="auto" w:fill="auto"/>
          </w:tcPr>
          <w:p w14:paraId="6BADE3B6" w14:textId="77777777" w:rsidR="00582E57"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High precision densimetry</w:t>
            </w:r>
          </w:p>
        </w:tc>
        <w:tc>
          <w:tcPr>
            <w:tcW w:w="1666" w:type="dxa"/>
            <w:shd w:val="clear" w:color="auto" w:fill="auto"/>
          </w:tcPr>
          <w:p w14:paraId="0905A3C6" w14:textId="77777777" w:rsidR="00E73C59" w:rsidRPr="009D78ED" w:rsidRDefault="00E73C59"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(1;2)</w:t>
            </w:r>
            <w:r w:rsidR="00582E57" w:rsidRPr="009D78ED">
              <w:rPr>
                <w:sz w:val="20"/>
                <w:szCs w:val="20"/>
              </w:rPr>
              <w:fldChar w:fldCharType="begin" w:fldLock="1"/>
            </w:r>
            <w:r w:rsidR="00582E57" w:rsidRPr="009D78ED">
              <w:rPr>
                <w:sz w:val="20"/>
                <w:szCs w:val="20"/>
              </w:rPr>
              <w:instrText>ADDIN CSL_CITATION { "citationItems" : [ { "id" : "ITEM-1", "itemData" : { "ISBN" : "0021-9258", "ISSN" : "00219258", "PMID" : "6325414", "abstract" : "Preferential interaction measurements between proteins and monosodium glutamate were carried out to arrive at an understanding of the mechanism of its strong effect on tubulin stability and self-assembly into microtubules. For all proteins studied, i.e. bovine serum albumin, lysozyme, beta-lactoglobulin, and calf brain tubulin, the protein showed a large preferential hydration in the presence of monosodium glutamate. The enhancement of tubulin self-association by monosodium glutamate can be interpreted in terms of the large unfavorable free energy of interaction between the additive and the protein. Preferential interactions were also examined for lysine hydrochloride, which also gave a preferential hydration of the proteins, except for tubulin. The dependence of the preferential hydration parameter on proteins was different for the two additives, suggesting the importance of net electrostatic charges of proteins in their interaction with glutamate anions and lysinium cations. The zero preferential interaction of lysine hydrochloride with tubulin indicates an affinity of the lysine cation for the protein. Both additives increased the transition temperature of proteins. This can be understood in terms of the unfavorable free energy of interaction between the additive and the protein surface, which should be even more unfavorable when the denaturation causes an increase in the surface area.", "author" : [ { "dropping-particle" : "", "family" : "Arakawa", "given" : "T", "non-dropping-particle" : "", "parse-names" : false, "suffix" : "" }, { "dropping-particle" : "", "family" : "Timasheff", "given" : "S N", "non-dropping-particle" : "", "parse-names" : false, "suffix" : "" } ], "container-title" : "Journal of Biological Chemistry", "id" : "ITEM-1", "issued" : { "date-parts" : [ [ "1984" ] ] }, "page" : "4979-4986", "title" : "The mechanism of action of Na glutamate, lysine HCl, and piperazine-N,N'-bis(2-ethanesulfonic acid) in the stabilization of tubulin and microtubule formation", "type" : "article-journal", "volume" : "259" }, "uris" : [ "http://www.mendeley.com/documents/?uuid=75a30318-d51a-44cc-bb18-bd53c36e6017" ] } ], "mendeley" : { "formattedCitation" : "(Arakawa &amp; Timasheff 1984b)", "plainTextFormattedCitation" : "(Arakawa &amp; Timasheff 1984b)", "previouslyFormattedCitation" : "(Arakawa &amp; Timasheff 1984b)" }, "properties" : { "noteIndex" : 0 }, "schema" : "https://github.com/citation-style-language/schema/raw/master/csl-citation.json" }</w:instrText>
            </w:r>
            <w:r w:rsidR="00582E57" w:rsidRPr="009D78ED">
              <w:rPr>
                <w:sz w:val="20"/>
                <w:szCs w:val="20"/>
              </w:rPr>
              <w:fldChar w:fldCharType="separate"/>
            </w:r>
            <w:r w:rsidR="00582E57" w:rsidRPr="009D78ED">
              <w:rPr>
                <w:noProof/>
                <w:sz w:val="20"/>
                <w:szCs w:val="20"/>
              </w:rPr>
              <w:t>(Arakawa &amp; Timasheff 1984b)</w:t>
            </w:r>
            <w:r w:rsidR="00582E57" w:rsidRPr="009D78ED">
              <w:rPr>
                <w:sz w:val="20"/>
                <w:szCs w:val="20"/>
              </w:rPr>
              <w:fldChar w:fldCharType="end"/>
            </w:r>
          </w:p>
          <w:p w14:paraId="386890B6" w14:textId="77777777" w:rsidR="00665EC3" w:rsidRPr="009D78ED" w:rsidRDefault="00665EC3"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(3)</w:t>
            </w:r>
            <w:r w:rsidRPr="009D78ED">
              <w:rPr>
                <w:sz w:val="20"/>
                <w:szCs w:val="20"/>
              </w:rPr>
              <w:fldChar w:fldCharType="begin" w:fldLock="1"/>
            </w:r>
            <w:r w:rsidR="00054313" w:rsidRPr="009D78ED">
              <w:rPr>
                <w:sz w:val="20"/>
                <w:szCs w:val="20"/>
              </w:rPr>
              <w:instrText>ADDIN CSL_CITATION { "citationItems" : [ { "id" : "ITEM-1", "itemData" : { "DOI" : "10.1002/pro.5560050222", "ISSN" : "0961-8368", "PMID" : "8745416", "abstract" : "The stabilization of proteins by a variety of co-solvents can be related to their property of increasing the surface tension of water. It is demonstrated that, during the thermal unfolding of proteins, this increase of the surface tension can be overcome by the increase in the temperature of the solution at the midpoint of the transition, Tm, and the weak binding of co-solvent molecules. Three such co-solvents were studied: trehalose, lysine hydrochloride (LysHCl), and arginine hydrochloride (ArgHCl). Trehalose and LysHCl increase the midpoint of Tm. The increase of the surface tension by addition of trehalose is completely compensated by its decrease due to the increase in Tm. However, for LysHCl, the increase of the surface tension by the co-solvent is partly reduced by its binding to the protein. For trehalose, preferential interaction measurements with RNaseA demonstrate that it is totally excluded from the protein. In contrast, LysHCl gives evidence of binding to RNaseA. ArgHCl also increases the surface tension of water. Nevertheless, Tm of RNaseA decreases on addition of ArgHCl to the solution. Preferential interaction measurements showed very small values of preferential hydration of the native protein, indicating extensive binding of ArgHCl to the protein. During unfolding, the amount of additional ArgHCl binding is sufficiently large to counteract the surface tension effects, and the protein is destabilized. Therefore, although surface tension appears to be a critical factor in the stabilization of proteins, its increase by co-solvent does not ensure increased stabilization. The binding of ligands can reduce significantly, or even overwhelm, its effects.", "author" : [ { "dropping-particle" : "", "family" : "Lin", "given" : "T Y", "non-dropping-particle" : "", "parse-names" : false, "suffix" : "" }, { "dropping-particle" : "", "family" : "Timasheff", "given" : "S N", "non-dropping-particle" : "", "parse-names" : false, "suffix" : "" } ], "container-title" : "Protein Science", "id" : "ITEM-1", "issued" : { "date-parts" : [ [ "1996", "2" ] ] }, "page" : "372-381", "title" : "On the role of surface tension in the stabilization of globular proteins", "type" : "article-journal", "volume" : "5" }, "uris" : [ "http://www.mendeley.com/documents/?uuid=65a03a66-a695-45e1-93c7-9608d165afd9" ] } ], "mendeley" : { "formattedCitation" : "(Lin &amp; Timasheff 1996)", "plainTextFormattedCitation" : "(Lin &amp; Timasheff 1996)", "previouslyFormattedCitation" : "(Lin &amp; Timasheff 1996)" }, "properties" : { "noteIndex" : 0 }, "schema" : "https://github.com/citation-style-language/schema/raw/master/csl-citation.json" }</w:instrText>
            </w:r>
            <w:r w:rsidRPr="009D78ED">
              <w:rPr>
                <w:sz w:val="20"/>
                <w:szCs w:val="20"/>
              </w:rPr>
              <w:fldChar w:fldCharType="separate"/>
            </w:r>
            <w:r w:rsidRPr="009D78ED">
              <w:rPr>
                <w:noProof/>
                <w:sz w:val="20"/>
                <w:szCs w:val="20"/>
              </w:rPr>
              <w:t>(Lin &amp; Timasheff 1996)</w:t>
            </w:r>
            <w:r w:rsidRPr="009D78ED">
              <w:rPr>
                <w:sz w:val="20"/>
                <w:szCs w:val="20"/>
              </w:rPr>
              <w:fldChar w:fldCharType="end"/>
            </w:r>
          </w:p>
        </w:tc>
      </w:tr>
      <w:tr w:rsidR="00723AFC" w14:paraId="57B96218" w14:textId="77777777" w:rsidTr="0058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59ADFCD7" w14:textId="77777777" w:rsidR="00723AFC" w:rsidRPr="009D78ED" w:rsidRDefault="00F959DD" w:rsidP="00582E57">
            <w:pPr>
              <w:spacing w:before="0" w:after="0"/>
              <w:rPr>
                <w:sz w:val="20"/>
                <w:szCs w:val="20"/>
              </w:rPr>
            </w:pPr>
            <w:r w:rsidRPr="009D78ED">
              <w:rPr>
                <w:sz w:val="20"/>
                <w:szCs w:val="20"/>
              </w:rPr>
              <w:t>Lysine g</w:t>
            </w:r>
            <w:r w:rsidR="00723AFC" w:rsidRPr="009D78ED">
              <w:rPr>
                <w:sz w:val="20"/>
                <w:szCs w:val="20"/>
              </w:rPr>
              <w:t>lutamate</w:t>
            </w:r>
          </w:p>
        </w:tc>
        <w:tc>
          <w:tcPr>
            <w:tcW w:w="1701" w:type="dxa"/>
            <w:shd w:val="clear" w:color="auto" w:fill="auto"/>
          </w:tcPr>
          <w:p w14:paraId="02C99C3A" w14:textId="77777777" w:rsidR="00723AFC" w:rsidRPr="009D78ED" w:rsidRDefault="00723AFC"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Excluded</w:t>
            </w:r>
          </w:p>
        </w:tc>
        <w:tc>
          <w:tcPr>
            <w:tcW w:w="2268" w:type="dxa"/>
            <w:shd w:val="clear" w:color="auto" w:fill="auto"/>
          </w:tcPr>
          <w:p w14:paraId="0B7B0190" w14:textId="77777777" w:rsidR="00723AFC" w:rsidRPr="009D78ED" w:rsidRDefault="00723AFC"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BSA, Lysozyme</w:t>
            </w:r>
          </w:p>
        </w:tc>
        <w:tc>
          <w:tcPr>
            <w:tcW w:w="1559" w:type="dxa"/>
            <w:shd w:val="clear" w:color="auto" w:fill="auto"/>
          </w:tcPr>
          <w:p w14:paraId="08F7B667" w14:textId="77777777" w:rsidR="00723AFC" w:rsidRPr="009D78ED" w:rsidRDefault="00723AFC"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High precision densimetry</w:t>
            </w:r>
          </w:p>
        </w:tc>
        <w:tc>
          <w:tcPr>
            <w:tcW w:w="1666" w:type="dxa"/>
            <w:shd w:val="clear" w:color="auto" w:fill="auto"/>
          </w:tcPr>
          <w:p w14:paraId="221D43A9" w14:textId="77777777" w:rsidR="00723AFC" w:rsidRPr="009D78ED" w:rsidRDefault="00723AFC"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fldChar w:fldCharType="begin" w:fldLock="1"/>
            </w:r>
            <w:r w:rsidR="00FF6FB8">
              <w:rPr>
                <w:sz w:val="20"/>
                <w:szCs w:val="20"/>
              </w:rPr>
              <w:instrText>ADDIN CSL_CITATION { "citationItems" : [ { "id" : "ITEM-1", "itemData" : { "ISSN" : "0006-2960", "PMID" : "7999778", "abstract" : "Surface tension measurements were carried out at 20 degrees C by a capillary drop-weight method on aqueous solutions of sodium glutamate (NaGlu), lysine hydrochloride (LysHCl), potassium aspartate (KAsp), arginine hydrochloride (ArgHCl), lysylglutamate (LysGlu), argininylglutamate (ArgGlu), guanidinium sulfate, trehalose, trimethylamine N-oxide (TMAO), dimethyl sulfoxide, 2-methyl-2,4-pentanediol (hexylene glycol), and poly(ethylene glycol)s of molecular weights 200, 400, 600, and 1000. All of the salts and the sugar increased the surface tension of water, while the last four compounds decreased it, with 2-methyl-2,4-pentanediol lowering it most effectively and TMAO being the least effective. The preferential hydration of bovine serum albumin (BSA) and lysozyme was measured in KAsp, ArgHCl, LysGlu, and ArgGlu. The high values of preferential hydration found in all cases, except for BSA in ArgHCl, suggest that they should stabilize protein structure, as had been found for lysine hydrochloride and monosodium glutamate [Arakawa, T., &amp; Timasheff, S. N. (1984) J. Biol. Chem. 259, 4979-4986]. A correlation was found for both BSA and lysozyme in KAsp, NaGlu, LysHCl, ArgGlu, and LysGlu between the surface tension effect and the observed preferential interactions, indicating that the change in the surface free energy of the protein-containing cavity due to the surface tension increase for water by these amino acid salts contributes dominantly to the observed increase in the chemical potential of the protein by their addition. The lack of a correlation observed for BSA, but not lysozyme, in ArgHCl at low concentrations where preferential binding is close to zero suggests, however, that the surface tension effect is not the sole factor involved in the protein-solvent interactions in these amino acid salts. Binding of ArgHCl to BSA, probably through hydrogen bonds between the Arg guanidinium group and peptide bonds, was proposed to occur, the affinity of Arg+ being reduced by electrostatic repulsion when proteins carry a net positive charge, such as is the case with lysozyme. Since the four organic solvent additives also lead to protein preferential hydration, no correlation exists between their preferential interactions and the surface free energy perturbation. Therefore, in their case, the preferential hydration must be ascribed to other factors that overcome the preferential binding expected from the Gibbs adsorption isotherm. The surface tension results, howeve\u2026", "author" : [ { "dropping-particle" : "", "family" : "Kita", "given" : "Y", "non-dropping-particle" : "", "parse-names" : false, "suffix" : "" }, { "dropping-particle" : "", "family" : "Arakawa", "given" : "T", "non-dropping-particle" : "", "parse-names" : false, "suffix" : "" }, { "dropping-particle" : "", "family" : "Lin", "given" : "T Y", "non-dropping-particle" : "", "parse-names" : false, "suffix" : "" }, { "dropping-particle" : "", "family" : "Timasheff", "given" : "S N", "non-dropping-particle" : "", "parse-names" : false, "suffix" : "" } ], "container-title" : "Biochemistry", "id" : "ITEM-1", "issued" : { "date-parts" : [ [ "1994", "12", "20" ] ] }, "page" : "15178-15189", "title" : "Contribution of the surface free energy perturbation to protein-solvent interactions", "type" : "article-journal", "volume" : "33" }, "uris" : [ "http://www.mendeley.com/documents/?uuid=182aa376-d2a7-43c5-ab39-1c1a5a5666ea" ] } ], "mendeley" : { "formattedCitation" : "(Kita et al. 1994)", "plainTextFormattedCitation" : "(Kita et al. 1994)", "previouslyFormattedCitation" : "(Kita et al. 1994)" }, "properties" : { "noteIndex" : 0 }, "schema" : "https://github.com/citation-style-language/schema/raw/master/csl-citation.json" }</w:instrText>
            </w:r>
            <w:r w:rsidRPr="009D78ED">
              <w:rPr>
                <w:sz w:val="20"/>
                <w:szCs w:val="20"/>
              </w:rPr>
              <w:fldChar w:fldCharType="separate"/>
            </w:r>
            <w:r w:rsidRPr="009D78ED">
              <w:rPr>
                <w:noProof/>
                <w:sz w:val="20"/>
                <w:szCs w:val="20"/>
              </w:rPr>
              <w:t>(Kita et al. 1994)</w:t>
            </w:r>
            <w:r w:rsidRPr="009D78ED">
              <w:rPr>
                <w:sz w:val="20"/>
                <w:szCs w:val="20"/>
              </w:rPr>
              <w:fldChar w:fldCharType="end"/>
            </w:r>
          </w:p>
        </w:tc>
      </w:tr>
      <w:tr w:rsidR="00582E57" w14:paraId="5B310623" w14:textId="77777777" w:rsidTr="00585CA3">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7DF51266" w14:textId="77777777" w:rsidR="00285F4D" w:rsidRPr="009D78ED" w:rsidRDefault="00285F4D" w:rsidP="00582E57">
            <w:pPr>
              <w:spacing w:before="0" w:after="0"/>
              <w:rPr>
                <w:sz w:val="20"/>
                <w:szCs w:val="20"/>
              </w:rPr>
            </w:pPr>
            <w:r w:rsidRPr="009D78ED">
              <w:rPr>
                <w:sz w:val="20"/>
                <w:szCs w:val="20"/>
              </w:rPr>
              <w:t>Proline</w:t>
            </w:r>
          </w:p>
        </w:tc>
        <w:tc>
          <w:tcPr>
            <w:tcW w:w="1701" w:type="dxa"/>
            <w:shd w:val="clear" w:color="auto" w:fill="auto"/>
          </w:tcPr>
          <w:p w14:paraId="3DCFD189" w14:textId="77777777" w:rsidR="00285F4D"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Excluded</w:t>
            </w:r>
          </w:p>
        </w:tc>
        <w:tc>
          <w:tcPr>
            <w:tcW w:w="2268" w:type="dxa"/>
            <w:shd w:val="clear" w:color="auto" w:fill="auto"/>
          </w:tcPr>
          <w:p w14:paraId="68A63F9F" w14:textId="77777777" w:rsidR="00285F4D" w:rsidRPr="009D78ED" w:rsidRDefault="00285F4D"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(1) Lysozyme</w:t>
            </w:r>
          </w:p>
          <w:p w14:paraId="4CE3A235" w14:textId="77777777" w:rsidR="00582E57"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(2) BSA</w:t>
            </w:r>
          </w:p>
        </w:tc>
        <w:tc>
          <w:tcPr>
            <w:tcW w:w="1559" w:type="dxa"/>
            <w:shd w:val="clear" w:color="auto" w:fill="auto"/>
          </w:tcPr>
          <w:p w14:paraId="53D2B73A" w14:textId="77777777" w:rsidR="000D32AC" w:rsidRPr="009D78ED" w:rsidRDefault="000D32AC"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(1) High precision densimetry</w:t>
            </w:r>
          </w:p>
          <w:p w14:paraId="55CBFC18" w14:textId="77777777" w:rsidR="00582E57"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(2) VPO</w:t>
            </w:r>
          </w:p>
        </w:tc>
        <w:tc>
          <w:tcPr>
            <w:tcW w:w="1666" w:type="dxa"/>
            <w:shd w:val="clear" w:color="auto" w:fill="auto"/>
          </w:tcPr>
          <w:p w14:paraId="0D92FE43" w14:textId="77777777" w:rsidR="00582E57"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(1)</w:t>
            </w:r>
            <w:r w:rsidRPr="009D78ED">
              <w:rPr>
                <w:sz w:val="20"/>
                <w:szCs w:val="20"/>
              </w:rPr>
              <w:fldChar w:fldCharType="begin" w:fldLock="1"/>
            </w:r>
            <w:r w:rsidRPr="009D78ED">
              <w:rPr>
                <w:sz w:val="20"/>
                <w:szCs w:val="20"/>
              </w:rPr>
              <w:instrText>ADDIN CSL_CITATION { "citationItems" : [ { "id" : "ITEM-1", "itemData" : { "DOI" : "10.1016/S0006-3495(85)83932-1", "ISSN" : "0006-3495", "PMID" : "3978211", "abstract" : "The preferential interactions of lysozyme with solvent components and the effects of solvent additives on its stability were examined for several neutral osmolytes: L-proline, L-serine, gamma-aminobutyric acid, sarcosine, taurine, alpha-alanine, beta-alanine, glycine, betaine, and trimethylamine N-oxide. It was shown that all these substances stabilize the protein structure against thermal denaturation and (except for trimethylamine N-oxide for which interaction measurements could not be made) are strongly excluded from the protein domain, rendering unlikely their direct binding to proteins. On the other hand, valine, not known as an osmolyte, had no stabilizing effect, although it induced a large protein-preferential hydration. A possible explanation is given for the use of these substances as osmotic-pressure-regulating agents in organisms living under high osmotic pressure.", "author" : [ { "dropping-particle" : "", "family" : "Arakawa", "given" : "T", "non-dropping-particle" : "", "parse-names" : false, "suffix" : "" }, { "dropping-particle" : "", "family" : "Timasheff", "given" : "S N", "non-dropping-particle" : "", "parse-names" : false, "suffix" : "" } ], "container-title" : "Biophysical Journal", "id" : "ITEM-1", "issued" : { "date-parts" : [ [ "1985", "3" ] ] }, "page" : "411-414", "title" : "The stabilization of proteins by osmolytes", "type" : "article-journal", "volume" : "47" }, "uris" : [ "http://www.mendeley.com/documents/?uuid=a1e19a58-b0d0-4a61-ada1-8d4bd546989a" ] } ], "mendeley" : { "formattedCitation" : "(Arakawa &amp; Timasheff 1985)", "plainTextFormattedCitation" : "(Arakawa &amp; Timasheff 1985)", "previouslyFormattedCitation" : "(Arakawa &amp; Timasheff 1985)" }, "properties" : { "noteIndex" : 0 }, "schema" : "https://github.com/citation-style-language/schema/raw/master/csl-citation.json" }</w:instrText>
            </w:r>
            <w:r w:rsidRPr="009D78ED">
              <w:rPr>
                <w:sz w:val="20"/>
                <w:szCs w:val="20"/>
              </w:rPr>
              <w:fldChar w:fldCharType="separate"/>
            </w:r>
            <w:r w:rsidRPr="009D78ED">
              <w:rPr>
                <w:noProof/>
                <w:sz w:val="20"/>
                <w:szCs w:val="20"/>
              </w:rPr>
              <w:t>(Arakawa &amp; Timasheff 1985)</w:t>
            </w:r>
            <w:r w:rsidRPr="009D78ED">
              <w:rPr>
                <w:sz w:val="20"/>
                <w:szCs w:val="20"/>
              </w:rPr>
              <w:fldChar w:fldCharType="end"/>
            </w:r>
            <w:r w:rsidRPr="009D78ED">
              <w:rPr>
                <w:sz w:val="20"/>
                <w:szCs w:val="20"/>
              </w:rPr>
              <w:t xml:space="preserve"> (2)</w:t>
            </w:r>
            <w:r w:rsidRPr="009D78ED">
              <w:rPr>
                <w:sz w:val="20"/>
                <w:szCs w:val="20"/>
              </w:rPr>
              <w:fldChar w:fldCharType="begin" w:fldLock="1"/>
            </w:r>
            <w:r w:rsidRPr="009D78ED">
              <w:rPr>
                <w:sz w:val="20"/>
                <w:szCs w:val="20"/>
              </w:rPr>
              <w:instrText>ADDIN CSL_CITATION { "citationItems" : [ { "id" : "ITEM-1", "itemData" : { "ISSN" : "0006-2960", "PMID" : "10757995", "abstract" : "To interpret or to predict the responses of biopolymer processes in vivo and in vitro to changes in solute concentration and to coupled changes in water activity (osmotic stress), a quantitative understanding of the thermodynamic consequences of interactions of solutes and water with biopolymer surfaces is required. To this end, we report isoosmolal preferential interaction coefficients (Gamma(mu1) determined by vapor pressure osmometry (VPO) over a wide range of concentrations for interactions between native bovine serum albumin (BSA) and six small solutes. These include Escherichia coli cytoplasmic osmolytes [potassium glutamate (K(+)Glu(-)), trehalose], E. coli osmoprotectants (proline, glycine betaine), and also glycerol and trimethylamine N-oxide (TMAO). For all six solutes, Gamma(mu1) and the corresponding dialysis preferential interaction coefficient Gamma(mu1),(mu3) (both calculated from the VPO data) are negative; Gamma(mu1), (mu3) is proportional to bulk solute molality (m(bulk)3) at least up to 1 m (molal). Negative values of Gamma(mu1),(mu3) indicate preferential exclusion of these solutes from a BSA solution at dialysis equilibrium and correspond to local concentrations of these solutes in the vicinity of BSA which are lower than their bulk concentrations. Of the solutes investigated, betaine is the most excluded (Gamma(mu1),(mu3)/m(bulk)3 = -49 +/- 1 m(-1)); glycerol is the least excluded (Gamma(mu1),(mu3)/m(bulk)3 = -10 +/- 1 m(-1)). Between these extremes, the magnitude of Gamma(mu1),(mu3)/m(bulk)3 decreases in the order glycine betaine &gt; proline &gt;TMAO &gt; trehalose approximately K(+)Glu(-) &gt; glycerol. The order of exclusion of E. coli osmolytes from BSA surface correlates with their effectiveness as osmoprotectants, which increase the growth rate of E. coli at high external osmolality. For the most excluded solute (betaine), Gamma(mu1),(mu3) provides a minimum estimate of the hydration of native BSA of approximately 2.8 x 10(3) H(2)O/BSA, which corresponds to slightly less than a monolayer (estimated to be approximately 3.2 x 10(3) H(2)O). Consequently, of the solutes investigated here, only betaine might be suitable for use in osmotic stress experiments in vitro as a direct probe to quantify changes in hydration of protein surface in biopolymer processes. More generally, however, our results and analysis lead to the proposal that any of these solutes can be used to quantify changes in water-accessible surface area (ASA) in biopolymer pro\u2026", "author" : [ { "dropping-particle" : "", "family" : "Courtenay", "given" : "E S", "non-dropping-particle" : "", "parse-names" : false, "suffix" : "" }, { "dropping-particle" : "", "family" : "Capp", "given" : "M W", "non-dropping-particle" : "", "parse-names" : false, "suffix" : "" }, { "dropping-particle" : "", "family" : "Anderson", "given" : "C F", "non-dropping-particle" : "", "parse-names" : false, "suffix" : "" }, { "dropping-particle" : "", "family" : "Record", "given" : "M T", "non-dropping-particle" : "", "parse-names" : false, "suffix" : "" } ], "container-title" : "Biochemistry", "id" : "ITEM-1", "issued" : { "date-parts" : [ [ "2000", "4", "18" ] ] }, "page" : "4455-4471", "title" : "Vapor pressure osmometry studies of osmolyte-protein interactions: Implications for the action of osmoprotectants in vivo and for the interpretation of \"osmotic stress\" experiments in vitro", "type" : "article-journal", "volume" : "39" }, "uris" : [ "http://www.mendeley.com/documents/?uuid=6089abc7-371a-47e3-9bee-c5bbc756b769" ] } ], "mendeley" : { "formattedCitation" : "(Courtenay et al. 2000)", "plainTextFormattedCitation" : "(Courtenay et al. 2000)", "previouslyFormattedCitation" : "(Courtenay et al. 2000)" }, "properties" : { "noteIndex" : 0 }, "schema" : "https://github.com/citation-style-language/schema/raw/master/csl-citation.json" }</w:instrText>
            </w:r>
            <w:r w:rsidRPr="009D78ED">
              <w:rPr>
                <w:sz w:val="20"/>
                <w:szCs w:val="20"/>
              </w:rPr>
              <w:fldChar w:fldCharType="separate"/>
            </w:r>
            <w:r w:rsidRPr="009D78ED">
              <w:rPr>
                <w:noProof/>
                <w:sz w:val="20"/>
                <w:szCs w:val="20"/>
              </w:rPr>
              <w:t>(Courtenay et al. 2000)</w:t>
            </w:r>
            <w:r w:rsidRPr="009D78ED">
              <w:rPr>
                <w:sz w:val="20"/>
                <w:szCs w:val="20"/>
              </w:rPr>
              <w:fldChar w:fldCharType="end"/>
            </w:r>
          </w:p>
        </w:tc>
      </w:tr>
      <w:tr w:rsidR="00582E57" w14:paraId="143F78E1" w14:textId="77777777" w:rsidTr="0058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02C55698" w14:textId="77777777" w:rsidR="00582E57" w:rsidRPr="009D78ED" w:rsidRDefault="00582E57" w:rsidP="00582E57">
            <w:pPr>
              <w:spacing w:before="0" w:after="0"/>
              <w:rPr>
                <w:sz w:val="20"/>
                <w:szCs w:val="20"/>
              </w:rPr>
            </w:pPr>
            <w:r w:rsidRPr="009D78ED">
              <w:rPr>
                <w:sz w:val="20"/>
                <w:szCs w:val="20"/>
              </w:rPr>
              <w:t>Sarcosine</w:t>
            </w:r>
          </w:p>
        </w:tc>
        <w:tc>
          <w:tcPr>
            <w:tcW w:w="1701" w:type="dxa"/>
            <w:shd w:val="clear" w:color="auto" w:fill="auto"/>
          </w:tcPr>
          <w:p w14:paraId="6797AB94" w14:textId="77777777" w:rsidR="00582E57" w:rsidRPr="009D78ED" w:rsidRDefault="00582E57"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Excluded</w:t>
            </w:r>
          </w:p>
        </w:tc>
        <w:tc>
          <w:tcPr>
            <w:tcW w:w="2268" w:type="dxa"/>
            <w:shd w:val="clear" w:color="auto" w:fill="auto"/>
          </w:tcPr>
          <w:p w14:paraId="409E4CF8" w14:textId="77777777" w:rsidR="00582E57" w:rsidRPr="009D78ED" w:rsidRDefault="00582E57"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Lysozyme</w:t>
            </w:r>
          </w:p>
        </w:tc>
        <w:tc>
          <w:tcPr>
            <w:tcW w:w="1559" w:type="dxa"/>
            <w:shd w:val="clear" w:color="auto" w:fill="auto"/>
          </w:tcPr>
          <w:p w14:paraId="13FBAEC6" w14:textId="77777777" w:rsidR="00582E57" w:rsidRPr="009D78ED" w:rsidRDefault="00582E57"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High precision densimetry</w:t>
            </w:r>
          </w:p>
        </w:tc>
        <w:tc>
          <w:tcPr>
            <w:tcW w:w="1666" w:type="dxa"/>
            <w:shd w:val="clear" w:color="auto" w:fill="auto"/>
          </w:tcPr>
          <w:p w14:paraId="396C8BE4" w14:textId="77777777" w:rsidR="00582E57" w:rsidRPr="009D78ED" w:rsidRDefault="00582E57"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fldChar w:fldCharType="begin" w:fldLock="1"/>
            </w:r>
            <w:r w:rsidRPr="009D78ED">
              <w:rPr>
                <w:sz w:val="20"/>
                <w:szCs w:val="20"/>
              </w:rPr>
              <w:instrText>ADDIN CSL_CITATION { "citationItems" : [ { "id" : "ITEM-1", "itemData" : { "DOI" : "10.1016/S0006-3495(85)83932-1", "ISSN" : "0006-3495", "PMID" : "3978211", "abstract" : "The preferential interactions of lysozyme with solvent components and the effects of solvent additives on its stability were examined for several neutral osmolytes: L-proline, L-serine, gamma-aminobutyric acid, sarcosine, taurine, alpha-alanine, beta-alanine, glycine, betaine, and trimethylamine N-oxide. It was shown that all these substances stabilize the protein structure against thermal denaturation and (except for trimethylamine N-oxide for which interaction measurements could not be made) are strongly excluded from the protein domain, rendering unlikely their direct binding to proteins. On the other hand, valine, not known as an osmolyte, had no stabilizing effect, although it induced a large protein-preferential hydration. A possible explanation is given for the use of these substances as osmotic-pressure-regulating agents in organisms living under high osmotic pressure.", "author" : [ { "dropping-particle" : "", "family" : "Arakawa", "given" : "T", "non-dropping-particle" : "", "parse-names" : false, "suffix" : "" }, { "dropping-particle" : "", "family" : "Timasheff", "given" : "S N", "non-dropping-particle" : "", "parse-names" : false, "suffix" : "" } ], "container-title" : "Biophysical Journal", "id" : "ITEM-1", "issued" : { "date-parts" : [ [ "1985", "3" ] ] }, "page" : "411-414", "title" : "The stabilization of proteins by osmolytes", "type" : "article-journal", "volume" : "47" }, "uris" : [ "http://www.mendeley.com/documents/?uuid=a1e19a58-b0d0-4a61-ada1-8d4bd546989a" ] } ], "mendeley" : { "formattedCitation" : "(Arakawa &amp; Timasheff 1985)", "plainTextFormattedCitation" : "(Arakawa &amp; Timasheff 1985)", "previouslyFormattedCitation" : "(Arakawa &amp; Timasheff 1985)" }, "properties" : { "noteIndex" : 0 }, "schema" : "https://github.com/citation-style-language/schema/raw/master/csl-citation.json" }</w:instrText>
            </w:r>
            <w:r w:rsidRPr="009D78ED">
              <w:rPr>
                <w:sz w:val="20"/>
                <w:szCs w:val="20"/>
              </w:rPr>
              <w:fldChar w:fldCharType="separate"/>
            </w:r>
            <w:r w:rsidRPr="009D78ED">
              <w:rPr>
                <w:noProof/>
                <w:sz w:val="20"/>
                <w:szCs w:val="20"/>
              </w:rPr>
              <w:t>(Arakawa &amp; Timasheff 1985)</w:t>
            </w:r>
            <w:r w:rsidRPr="009D78ED">
              <w:rPr>
                <w:sz w:val="20"/>
                <w:szCs w:val="20"/>
              </w:rPr>
              <w:fldChar w:fldCharType="end"/>
            </w:r>
          </w:p>
        </w:tc>
      </w:tr>
      <w:tr w:rsidR="00582E57" w14:paraId="312CBDB4" w14:textId="77777777" w:rsidTr="00585CA3">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20D1B6A" w14:textId="77777777" w:rsidR="00582E57" w:rsidRPr="009D78ED" w:rsidRDefault="00582E57" w:rsidP="00582E57">
            <w:pPr>
              <w:spacing w:before="0" w:after="0"/>
              <w:rPr>
                <w:sz w:val="20"/>
                <w:szCs w:val="20"/>
              </w:rPr>
            </w:pPr>
            <w:r w:rsidRPr="009D78ED">
              <w:rPr>
                <w:sz w:val="20"/>
                <w:szCs w:val="20"/>
              </w:rPr>
              <w:t>Serine</w:t>
            </w:r>
          </w:p>
        </w:tc>
        <w:tc>
          <w:tcPr>
            <w:tcW w:w="1701" w:type="dxa"/>
            <w:shd w:val="clear" w:color="auto" w:fill="auto"/>
          </w:tcPr>
          <w:p w14:paraId="2BE19CE2" w14:textId="77777777" w:rsidR="00582E57"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Excluded</w:t>
            </w:r>
          </w:p>
        </w:tc>
        <w:tc>
          <w:tcPr>
            <w:tcW w:w="2268" w:type="dxa"/>
            <w:shd w:val="clear" w:color="auto" w:fill="auto"/>
          </w:tcPr>
          <w:p w14:paraId="094C48BF" w14:textId="77777777" w:rsidR="00582E57"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Lysozyme</w:t>
            </w:r>
          </w:p>
        </w:tc>
        <w:tc>
          <w:tcPr>
            <w:tcW w:w="1559" w:type="dxa"/>
            <w:shd w:val="clear" w:color="auto" w:fill="auto"/>
          </w:tcPr>
          <w:p w14:paraId="4E8F752B" w14:textId="77777777" w:rsidR="00582E57"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High precision densimetry</w:t>
            </w:r>
          </w:p>
        </w:tc>
        <w:tc>
          <w:tcPr>
            <w:tcW w:w="1666" w:type="dxa"/>
            <w:shd w:val="clear" w:color="auto" w:fill="auto"/>
          </w:tcPr>
          <w:p w14:paraId="708ECBC8" w14:textId="77777777" w:rsidR="00582E57"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fldChar w:fldCharType="begin" w:fldLock="1"/>
            </w:r>
            <w:r w:rsidRPr="009D78ED">
              <w:rPr>
                <w:sz w:val="20"/>
                <w:szCs w:val="20"/>
              </w:rPr>
              <w:instrText>ADDIN CSL_CITATION { "citationItems" : [ { "id" : "ITEM-1", "itemData" : { "DOI" : "10.1016/S0006-3495(85)83932-1", "ISSN" : "0006-3495", "PMID" : "3978211", "abstract" : "The preferential interactions of lysozyme with solvent components and the effects of solvent additives on its stability were examined for several neutral osmolytes: L-proline, L-serine, gamma-aminobutyric acid, sarcosine, taurine, alpha-alanine, beta-alanine, glycine, betaine, and trimethylamine N-oxide. It was shown that all these substances stabilize the protein structure against thermal denaturation and (except for trimethylamine N-oxide for which interaction measurements could not be made) are strongly excluded from the protein domain, rendering unlikely their direct binding to proteins. On the other hand, valine, not known as an osmolyte, had no stabilizing effect, although it induced a large protein-preferential hydration. A possible explanation is given for the use of these substances as osmotic-pressure-regulating agents in organisms living under high osmotic pressure.", "author" : [ { "dropping-particle" : "", "family" : "Arakawa", "given" : "T", "non-dropping-particle" : "", "parse-names" : false, "suffix" : "" }, { "dropping-particle" : "", "family" : "Timasheff", "given" : "S N", "non-dropping-particle" : "", "parse-names" : false, "suffix" : "" } ], "container-title" : "Biophysical Journal", "id" : "ITEM-1", "issued" : { "date-parts" : [ [ "1985", "3" ] ] }, "page" : "411-414", "title" : "The stabilization of proteins by osmolytes", "type" : "article-journal", "volume" : "47" }, "uris" : [ "http://www.mendeley.com/documents/?uuid=a1e19a58-b0d0-4a61-ada1-8d4bd546989a" ] } ], "mendeley" : { "formattedCitation" : "(Arakawa &amp; Timasheff 1985)", "plainTextFormattedCitation" : "(Arakawa &amp; Timasheff 1985)", "previouslyFormattedCitation" : "(Arakawa &amp; Timasheff 1985)" }, "properties" : { "noteIndex" : 0 }, "schema" : "https://github.com/citation-style-language/schema/raw/master/csl-citation.json" }</w:instrText>
            </w:r>
            <w:r w:rsidRPr="009D78ED">
              <w:rPr>
                <w:sz w:val="20"/>
                <w:szCs w:val="20"/>
              </w:rPr>
              <w:fldChar w:fldCharType="separate"/>
            </w:r>
            <w:r w:rsidRPr="009D78ED">
              <w:rPr>
                <w:noProof/>
                <w:sz w:val="20"/>
                <w:szCs w:val="20"/>
              </w:rPr>
              <w:t>(Arakawa &amp; Timasheff 1985)</w:t>
            </w:r>
            <w:r w:rsidRPr="009D78ED">
              <w:rPr>
                <w:sz w:val="20"/>
                <w:szCs w:val="20"/>
              </w:rPr>
              <w:fldChar w:fldCharType="end"/>
            </w:r>
          </w:p>
        </w:tc>
      </w:tr>
      <w:tr w:rsidR="00582E57" w14:paraId="6C988BAE" w14:textId="77777777" w:rsidTr="0058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1C767A95" w14:textId="77777777" w:rsidR="00582E57" w:rsidRPr="009D78ED" w:rsidRDefault="00582E57" w:rsidP="00582E57">
            <w:pPr>
              <w:spacing w:before="0" w:after="0"/>
              <w:rPr>
                <w:sz w:val="20"/>
                <w:szCs w:val="20"/>
              </w:rPr>
            </w:pPr>
            <w:r w:rsidRPr="009D78ED">
              <w:rPr>
                <w:sz w:val="20"/>
                <w:szCs w:val="20"/>
              </w:rPr>
              <w:t>Sucrose</w:t>
            </w:r>
          </w:p>
        </w:tc>
        <w:tc>
          <w:tcPr>
            <w:tcW w:w="1701" w:type="dxa"/>
            <w:shd w:val="clear" w:color="auto" w:fill="auto"/>
          </w:tcPr>
          <w:p w14:paraId="084977F4" w14:textId="77777777" w:rsidR="00582E57" w:rsidRPr="009D78ED" w:rsidRDefault="00582E57"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Excluded</w:t>
            </w:r>
          </w:p>
        </w:tc>
        <w:tc>
          <w:tcPr>
            <w:tcW w:w="2268" w:type="dxa"/>
            <w:shd w:val="clear" w:color="auto" w:fill="auto"/>
          </w:tcPr>
          <w:p w14:paraId="058B8C9B" w14:textId="77777777" w:rsidR="00582E57" w:rsidRPr="009D78ED" w:rsidRDefault="0005028A"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α-chymotrypsin, C</w:t>
            </w:r>
            <w:r w:rsidR="00582E57" w:rsidRPr="009D78ED">
              <w:rPr>
                <w:sz w:val="20"/>
                <w:szCs w:val="20"/>
              </w:rPr>
              <w:t>hymotrypsinogen, RNase</w:t>
            </w:r>
          </w:p>
        </w:tc>
        <w:tc>
          <w:tcPr>
            <w:tcW w:w="1559" w:type="dxa"/>
            <w:shd w:val="clear" w:color="auto" w:fill="auto"/>
          </w:tcPr>
          <w:p w14:paraId="559DDC4A" w14:textId="77777777" w:rsidR="00582E57" w:rsidRPr="009D78ED" w:rsidRDefault="00582E57"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High precision densimetry</w:t>
            </w:r>
          </w:p>
        </w:tc>
        <w:tc>
          <w:tcPr>
            <w:tcW w:w="1666" w:type="dxa"/>
            <w:shd w:val="clear" w:color="auto" w:fill="auto"/>
          </w:tcPr>
          <w:p w14:paraId="2418F5C0" w14:textId="77777777" w:rsidR="00582E57" w:rsidRPr="009D78ED" w:rsidRDefault="00582E57"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fldChar w:fldCharType="begin" w:fldLock="1"/>
            </w:r>
            <w:r w:rsidRPr="009D78ED">
              <w:rPr>
                <w:sz w:val="20"/>
                <w:szCs w:val="20"/>
              </w:rPr>
              <w:instrText>ADDIN CSL_CITATION { "citationItems" : [ { "id" : "ITEM-1", "itemData" : { "ISSN" : "0021-9258", "PMID" : "7251592", "abstract" : "The interactions between proteins and solvent components have been investigated for the sucrose/water system. Thermodynamic and kinetic measurements of the thermal unfolding of alpha-chymotrypsin, chymotrypsinogen, and ribonuclease were performed as a function of sucrose concentration. The alteration in protein-solvent interactions in the presence of sucrose was also studied by density measurements and analyzed by multicomponent thermodynamic theory. Sucrose does not induce a conformational change in three proteins studied, although it does induce a small change in the circular dichroism spectrum of ribonuclease. The enthalpy of thermal unfolding shows little dependence on the concentration of sucrose, while the apparent activation energy of the unfolding process is increased by the addition of sucrose. The results from the protein-solvent interaction study indicate that sucrose is preferentially excluded from the protein domain, increasing the free energy of the system. Thermodynamically this leads to protein stabilization since the unfolded state of the protein becomes thermodynamically even less favorable in the presence of sucrose. The exclusion of sucrose from the protein domain seems to be related to the higher cohesive force of the sucrose water solvent system since all the experimental observations can be correlated with the effect of sucrose on the surface tension of water.", "author" : [ { "dropping-particle" : "", "family" : "Lee", "given" : "J C", "non-dropping-particle" : "", "parse-names" : false, "suffix" : "" }, { "dropping-particle" : "", "family" : "Timasheff", "given" : "S N", "non-dropping-particle" : "", "parse-names" : false, "suffix" : "" } ], "container-title" : "Journal of Biological Chemistry", "id" : "ITEM-1", "issued" : { "date-parts" : [ [ "1981", "7", "25" ] ] }, "page" : "7193-7201", "title" : "The stabilization of proteins by sucrose", "type" : "article-journal", "volume" : "256" }, "uris" : [ "http://www.mendeley.com/documents/?uuid=8a6f5bed-bbb2-4e74-a824-06d098602e7c" ] } ], "mendeley" : { "formattedCitation" : "(Lee &amp; Timasheff 1981)", "plainTextFormattedCitation" : "(Lee &amp; Timasheff 1981)", "previouslyFormattedCitation" : "(Lee &amp; Timasheff 1981)" }, "properties" : { "noteIndex" : 0 }, "schema" : "https://github.com/citation-style-language/schema/raw/master/csl-citation.json" }</w:instrText>
            </w:r>
            <w:r w:rsidRPr="009D78ED">
              <w:rPr>
                <w:sz w:val="20"/>
                <w:szCs w:val="20"/>
              </w:rPr>
              <w:fldChar w:fldCharType="separate"/>
            </w:r>
            <w:r w:rsidRPr="009D78ED">
              <w:rPr>
                <w:noProof/>
                <w:sz w:val="20"/>
                <w:szCs w:val="20"/>
              </w:rPr>
              <w:t>(Lee &amp; Timasheff 1981)</w:t>
            </w:r>
            <w:r w:rsidRPr="009D78ED">
              <w:rPr>
                <w:sz w:val="20"/>
                <w:szCs w:val="20"/>
              </w:rPr>
              <w:fldChar w:fldCharType="end"/>
            </w:r>
          </w:p>
        </w:tc>
      </w:tr>
      <w:tr w:rsidR="00582E57" w14:paraId="50D4C027" w14:textId="77777777" w:rsidTr="00585CA3">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3333969C" w14:textId="77777777" w:rsidR="00582E57" w:rsidRPr="009D78ED" w:rsidRDefault="00582E57" w:rsidP="00582E57">
            <w:pPr>
              <w:spacing w:before="0" w:after="0"/>
              <w:rPr>
                <w:sz w:val="20"/>
                <w:szCs w:val="20"/>
              </w:rPr>
            </w:pPr>
            <w:r w:rsidRPr="009D78ED">
              <w:rPr>
                <w:sz w:val="20"/>
                <w:szCs w:val="20"/>
              </w:rPr>
              <w:t>Taurine</w:t>
            </w:r>
          </w:p>
        </w:tc>
        <w:tc>
          <w:tcPr>
            <w:tcW w:w="1701" w:type="dxa"/>
            <w:shd w:val="clear" w:color="auto" w:fill="auto"/>
          </w:tcPr>
          <w:p w14:paraId="5D25B703" w14:textId="77777777" w:rsidR="00582E57"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Excluded</w:t>
            </w:r>
          </w:p>
        </w:tc>
        <w:tc>
          <w:tcPr>
            <w:tcW w:w="2268" w:type="dxa"/>
            <w:shd w:val="clear" w:color="auto" w:fill="auto"/>
          </w:tcPr>
          <w:p w14:paraId="0AEACDDA" w14:textId="77777777" w:rsidR="000D32AC" w:rsidRPr="009D78ED" w:rsidRDefault="000D32AC"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(1) Lysozyme</w:t>
            </w:r>
          </w:p>
          <w:p w14:paraId="6CE7DCEA" w14:textId="77777777" w:rsidR="00582E57"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(2) BSA</w:t>
            </w:r>
          </w:p>
        </w:tc>
        <w:tc>
          <w:tcPr>
            <w:tcW w:w="1559" w:type="dxa"/>
            <w:shd w:val="clear" w:color="auto" w:fill="auto"/>
          </w:tcPr>
          <w:p w14:paraId="1612EA1B" w14:textId="77777777" w:rsidR="00582E57"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High precision densimetry</w:t>
            </w:r>
          </w:p>
        </w:tc>
        <w:tc>
          <w:tcPr>
            <w:tcW w:w="1666" w:type="dxa"/>
            <w:shd w:val="clear" w:color="auto" w:fill="auto"/>
          </w:tcPr>
          <w:p w14:paraId="6EABD344" w14:textId="77777777" w:rsidR="00582E57"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(1)</w:t>
            </w:r>
            <w:r w:rsidRPr="009D78ED">
              <w:rPr>
                <w:sz w:val="20"/>
                <w:szCs w:val="20"/>
              </w:rPr>
              <w:fldChar w:fldCharType="begin" w:fldLock="1"/>
            </w:r>
            <w:r w:rsidRPr="009D78ED">
              <w:rPr>
                <w:sz w:val="20"/>
                <w:szCs w:val="20"/>
              </w:rPr>
              <w:instrText>ADDIN CSL_CITATION { "citationItems" : [ { "id" : "ITEM-1", "itemData" : { "DOI" : "10.1016/S0006-3495(85)83932-1", "ISSN" : "0006-3495", "PMID" : "3978211", "abstract" : "The preferential interactions of lysozyme with solvent components and the effects of solvent additives on its stability were examined for several neutral osmolytes: L-proline, L-serine, gamma-aminobutyric acid, sarcosine, taurine, alpha-alanine, beta-alanine, glycine, betaine, and trimethylamine N-oxide. It was shown that all these substances stabilize the protein structure against thermal denaturation and (except for trimethylamine N-oxide for which interaction measurements could not be made) are strongly excluded from the protein domain, rendering unlikely their direct binding to proteins. On the other hand, valine, not known as an osmolyte, had no stabilizing effect, although it induced a large protein-preferential hydration. A possible explanation is given for the use of these substances as osmotic-pressure-regulating agents in organisms living under high osmotic pressure.", "author" : [ { "dropping-particle" : "", "family" : "Arakawa", "given" : "T", "non-dropping-particle" : "", "parse-names" : false, "suffix" : "" }, { "dropping-particle" : "", "family" : "Timasheff", "given" : "S N", "non-dropping-particle" : "", "parse-names" : false, "suffix" : "" } ], "container-title" : "Biophysical Journal", "id" : "ITEM-1", "issued" : { "date-parts" : [ [ "1985", "3" ] ] }, "page" : "411-414", "title" : "The stabilization of proteins by osmolytes", "type" : "article-journal", "volume" : "47" }, "uris" : [ "http://www.mendeley.com/documents/?uuid=a1e19a58-b0d0-4a61-ada1-8d4bd546989a" ] } ], "mendeley" : { "formattedCitation" : "(Arakawa &amp; Timasheff 1985)", "plainTextFormattedCitation" : "(Arakawa &amp; Timasheff 1985)", "previouslyFormattedCitation" : "(Arakawa &amp; Timasheff 1985)" }, "properties" : { "noteIndex" : 0 }, "schema" : "https://github.com/citation-style-language/schema/raw/master/csl-citation.json" }</w:instrText>
            </w:r>
            <w:r w:rsidRPr="009D78ED">
              <w:rPr>
                <w:sz w:val="20"/>
                <w:szCs w:val="20"/>
              </w:rPr>
              <w:fldChar w:fldCharType="separate"/>
            </w:r>
            <w:r w:rsidRPr="009D78ED">
              <w:rPr>
                <w:noProof/>
                <w:sz w:val="20"/>
                <w:szCs w:val="20"/>
              </w:rPr>
              <w:t>(Arakawa &amp; Timasheff 1985)</w:t>
            </w:r>
            <w:r w:rsidRPr="009D78ED">
              <w:rPr>
                <w:sz w:val="20"/>
                <w:szCs w:val="20"/>
              </w:rPr>
              <w:fldChar w:fldCharType="end"/>
            </w:r>
            <w:r w:rsidRPr="009D78ED">
              <w:rPr>
                <w:sz w:val="20"/>
                <w:szCs w:val="20"/>
              </w:rPr>
              <w:t xml:space="preserve"> (2)</w:t>
            </w:r>
            <w:r w:rsidRPr="009D78ED">
              <w:rPr>
                <w:sz w:val="20"/>
                <w:szCs w:val="20"/>
              </w:rPr>
              <w:fldChar w:fldCharType="begin" w:fldLock="1"/>
            </w:r>
            <w:r w:rsidRPr="009D78ED">
              <w:rPr>
                <w:sz w:val="20"/>
                <w:szCs w:val="20"/>
              </w:rPr>
              <w:instrText>ADDIN CSL_CITATION { "citationItems" : [ { "id" : "ITEM-1", "itemData" : { "ISSN" : "0003-9861", "PMID" : "6870251", "abstract" : "The preferential interactions of proteins with solvent components in concentrated amino acid solutions were measured by high-precision densimetry. Bovine serum albumin and lysozyme were preferentially hydrated in all of the amino acids examined, glycine, alpha- and beta-alanine, and betaine, i.e., addition of these amino acids resulted in an unfavorable free energy change. It was shown that, for the former three amino acids, known to have a positive surface tension increment, their perturbation of the surface free energy of water is consistent with their preferential exclusion from the protein surface. In the case of betaine, which does not increase the surface tension of water, preferential exclusion from protein surface must reflect the chemical structure of this cosolvent, which is considerably more hydrophobic than that of the other three amino acids.", "author" : [ { "dropping-particle" : "", "family" : "Arakawa", "given" : "T", "non-dropping-particle" : "", "parse-names" : false, "suffix" : "" }, { "dropping-particle" : "", "family" : "Timasheff", "given" : "S N", "non-dropping-particle" : "", "parse-names" : false, "suffix" : "" } ], "container-title" : "Archives of Biochemistry and Biophysics", "id" : "ITEM-1", "issued" : { "date-parts" : [ [ "1983", "7", "1" ] ] }, "page" : "169-177", "title" : "Preferential interactions of proteins with solvent components in aqueous amino acid solutions", "type" : "article-journal", "volume" : "224" }, "uris" : [ "http://www.mendeley.com/documents/?uuid=1a6cbc50-77f9-4f1c-84c3-3f29af9f71b8" ] } ], "mendeley" : { "formattedCitation" : "(Arakawa &amp; Timasheff 1983)", "plainTextFormattedCitation" : "(Arakawa &amp; Timasheff 1983)", "previouslyFormattedCitation" : "(Arakawa &amp; Timasheff 1983)" }, "properties" : { "noteIndex" : 0 }, "schema" : "https://github.com/citation-style-language/schema/raw/master/csl-citation.json" }</w:instrText>
            </w:r>
            <w:r w:rsidRPr="009D78ED">
              <w:rPr>
                <w:sz w:val="20"/>
                <w:szCs w:val="20"/>
              </w:rPr>
              <w:fldChar w:fldCharType="separate"/>
            </w:r>
            <w:r w:rsidRPr="009D78ED">
              <w:rPr>
                <w:noProof/>
                <w:sz w:val="20"/>
                <w:szCs w:val="20"/>
              </w:rPr>
              <w:t>(Arakawa &amp; Timasheff 1983)</w:t>
            </w:r>
            <w:r w:rsidRPr="009D78ED">
              <w:rPr>
                <w:sz w:val="20"/>
                <w:szCs w:val="20"/>
              </w:rPr>
              <w:fldChar w:fldCharType="end"/>
            </w:r>
          </w:p>
        </w:tc>
      </w:tr>
      <w:tr w:rsidR="00582E57" w14:paraId="3562FEF7" w14:textId="77777777" w:rsidTr="0058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0CDC7A1A" w14:textId="77777777" w:rsidR="00582E57" w:rsidRPr="009D78ED" w:rsidRDefault="00582E57" w:rsidP="00582E57">
            <w:pPr>
              <w:spacing w:before="0" w:after="0"/>
              <w:rPr>
                <w:sz w:val="20"/>
                <w:szCs w:val="20"/>
              </w:rPr>
            </w:pPr>
            <w:r w:rsidRPr="009D78ED">
              <w:rPr>
                <w:sz w:val="20"/>
                <w:szCs w:val="20"/>
              </w:rPr>
              <w:t>TMAO</w:t>
            </w:r>
          </w:p>
        </w:tc>
        <w:tc>
          <w:tcPr>
            <w:tcW w:w="1701" w:type="dxa"/>
            <w:shd w:val="clear" w:color="auto" w:fill="auto"/>
          </w:tcPr>
          <w:p w14:paraId="0144FA6F" w14:textId="77777777" w:rsidR="00582E57" w:rsidRPr="009D78ED" w:rsidRDefault="00582E57"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Excluded</w:t>
            </w:r>
          </w:p>
        </w:tc>
        <w:tc>
          <w:tcPr>
            <w:tcW w:w="2268" w:type="dxa"/>
            <w:shd w:val="clear" w:color="auto" w:fill="auto"/>
          </w:tcPr>
          <w:p w14:paraId="4E4836A3" w14:textId="77777777" w:rsidR="00582E57" w:rsidRPr="009D78ED" w:rsidRDefault="00582E57"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BSA</w:t>
            </w:r>
          </w:p>
        </w:tc>
        <w:tc>
          <w:tcPr>
            <w:tcW w:w="1559" w:type="dxa"/>
            <w:shd w:val="clear" w:color="auto" w:fill="auto"/>
          </w:tcPr>
          <w:p w14:paraId="4364DB8A" w14:textId="77777777" w:rsidR="00582E57" w:rsidRPr="009D78ED" w:rsidRDefault="00582E57"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VPO</w:t>
            </w:r>
          </w:p>
        </w:tc>
        <w:tc>
          <w:tcPr>
            <w:tcW w:w="1666" w:type="dxa"/>
            <w:shd w:val="clear" w:color="auto" w:fill="auto"/>
          </w:tcPr>
          <w:p w14:paraId="0F4717A6" w14:textId="77777777" w:rsidR="00582E57" w:rsidRPr="009D78ED" w:rsidRDefault="00582E57"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fldChar w:fldCharType="begin" w:fldLock="1"/>
            </w:r>
            <w:r w:rsidRPr="009D78ED">
              <w:rPr>
                <w:sz w:val="20"/>
                <w:szCs w:val="20"/>
              </w:rPr>
              <w:instrText>ADDIN CSL_CITATION { "citationItems" : [ { "id" : "ITEM-1", "itemData" : { "ISSN" : "0006-2960", "PMID" : "10757995", "abstract" : "To interpret or to predict the responses of biopolymer processes in vivo and in vitro to changes in solute concentration and to coupled changes in water activity (osmotic stress), a quantitative understanding of the thermodynamic consequences of interactions of solutes and water with biopolymer surfaces is required. To this end, we report isoosmolal preferential interaction coefficients (Gamma(mu1) determined by vapor pressure osmometry (VPO) over a wide range of concentrations for interactions between native bovine serum albumin (BSA) and six small solutes. These include Escherichia coli cytoplasmic osmolytes [potassium glutamate (K(+)Glu(-)), trehalose], E. coli osmoprotectants (proline, glycine betaine), and also glycerol and trimethylamine N-oxide (TMAO). For all six solutes, Gamma(mu1) and the corresponding dialysis preferential interaction coefficient Gamma(mu1),(mu3) (both calculated from the VPO data) are negative; Gamma(mu1), (mu3) is proportional to bulk solute molality (m(bulk)3) at least up to 1 m (molal). Negative values of Gamma(mu1),(mu3) indicate preferential exclusion of these solutes from a BSA solution at dialysis equilibrium and correspond to local concentrations of these solutes in the vicinity of BSA which are lower than their bulk concentrations. Of the solutes investigated, betaine is the most excluded (Gamma(mu1),(mu3)/m(bulk)3 = -49 +/- 1 m(-1)); glycerol is the least excluded (Gamma(mu1),(mu3)/m(bulk)3 = -10 +/- 1 m(-1)). Between these extremes, the magnitude of Gamma(mu1),(mu3)/m(bulk)3 decreases in the order glycine betaine &gt; proline &gt;TMAO &gt; trehalose approximately K(+)Glu(-) &gt; glycerol. The order of exclusion of E. coli osmolytes from BSA surface correlates with their effectiveness as osmoprotectants, which increase the growth rate of E. coli at high external osmolality. For the most excluded solute (betaine), Gamma(mu1),(mu3) provides a minimum estimate of the hydration of native BSA of approximately 2.8 x 10(3) H(2)O/BSA, which corresponds to slightly less than a monolayer (estimated to be approximately 3.2 x 10(3) H(2)O). Consequently, of the solutes investigated here, only betaine might be suitable for use in osmotic stress experiments in vitro as a direct probe to quantify changes in hydration of protein surface in biopolymer processes. More generally, however, our results and analysis lead to the proposal that any of these solutes can be used to quantify changes in water-accessible surface area (ASA) in biopolymer pro\u2026", "author" : [ { "dropping-particle" : "", "family" : "Courtenay", "given" : "E S", "non-dropping-particle" : "", "parse-names" : false, "suffix" : "" }, { "dropping-particle" : "", "family" : "Capp", "given" : "M W", "non-dropping-particle" : "", "parse-names" : false, "suffix" : "" }, { "dropping-particle" : "", "family" : "Anderson", "given" : "C F", "non-dropping-particle" : "", "parse-names" : false, "suffix" : "" }, { "dropping-particle" : "", "family" : "Record", "given" : "M T", "non-dropping-particle" : "", "parse-names" : false, "suffix" : "" } ], "container-title" : "Biochemistry", "id" : "ITEM-1", "issued" : { "date-parts" : [ [ "2000", "4", "18" ] ] }, "page" : "4455-4471", "title" : "Vapor pressure osmometry studies of osmolyte-protein interactions: Implications for the action of osmoprotectants in vivo and for the interpretation of \"osmotic stress\" experiments in vitro", "type" : "article-journal", "volume" : "39" }, "uris" : [ "http://www.mendeley.com/documents/?uuid=6089abc7-371a-47e3-9bee-c5bbc756b769" ] } ], "mendeley" : { "formattedCitation" : "(Courtenay et al. 2000)", "plainTextFormattedCitation" : "(Courtenay et al. 2000)", "previouslyFormattedCitation" : "(Courtenay et al. 2000)" }, "properties" : { "noteIndex" : 0 }, "schema" : "https://github.com/citation-style-language/schema/raw/master/csl-citation.json" }</w:instrText>
            </w:r>
            <w:r w:rsidRPr="009D78ED">
              <w:rPr>
                <w:sz w:val="20"/>
                <w:szCs w:val="20"/>
              </w:rPr>
              <w:fldChar w:fldCharType="separate"/>
            </w:r>
            <w:r w:rsidRPr="009D78ED">
              <w:rPr>
                <w:noProof/>
                <w:sz w:val="20"/>
                <w:szCs w:val="20"/>
              </w:rPr>
              <w:t>(Courtenay et al. 2000)</w:t>
            </w:r>
            <w:r w:rsidRPr="009D78ED">
              <w:rPr>
                <w:sz w:val="20"/>
                <w:szCs w:val="20"/>
              </w:rPr>
              <w:fldChar w:fldCharType="end"/>
            </w:r>
          </w:p>
        </w:tc>
      </w:tr>
      <w:tr w:rsidR="00582E57" w14:paraId="1F403306" w14:textId="77777777" w:rsidTr="00585CA3">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31DC2465" w14:textId="77777777" w:rsidR="00582E57" w:rsidRPr="009D78ED" w:rsidRDefault="00582E57" w:rsidP="00582E57">
            <w:pPr>
              <w:spacing w:before="0" w:after="0"/>
              <w:rPr>
                <w:sz w:val="20"/>
                <w:szCs w:val="20"/>
              </w:rPr>
            </w:pPr>
            <w:r w:rsidRPr="009D78ED">
              <w:rPr>
                <w:sz w:val="20"/>
                <w:szCs w:val="20"/>
              </w:rPr>
              <w:t>Trehalose</w:t>
            </w:r>
          </w:p>
        </w:tc>
        <w:tc>
          <w:tcPr>
            <w:tcW w:w="1701" w:type="dxa"/>
            <w:shd w:val="clear" w:color="auto" w:fill="auto"/>
          </w:tcPr>
          <w:p w14:paraId="656D0849" w14:textId="77777777" w:rsidR="00582E57" w:rsidRPr="009D78ED" w:rsidRDefault="00582E57"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Excluded</w:t>
            </w:r>
          </w:p>
        </w:tc>
        <w:tc>
          <w:tcPr>
            <w:tcW w:w="2268" w:type="dxa"/>
            <w:shd w:val="clear" w:color="auto" w:fill="auto"/>
          </w:tcPr>
          <w:p w14:paraId="22E3D14E" w14:textId="77777777" w:rsidR="00582E57" w:rsidRPr="009D78ED" w:rsidRDefault="00260B1A"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 xml:space="preserve">(1) </w:t>
            </w:r>
            <w:r w:rsidR="00582E57" w:rsidRPr="009D78ED">
              <w:rPr>
                <w:sz w:val="20"/>
                <w:szCs w:val="20"/>
              </w:rPr>
              <w:t>BSA</w:t>
            </w:r>
          </w:p>
          <w:p w14:paraId="18E16FAF" w14:textId="77777777" w:rsidR="00260B1A" w:rsidRPr="009D78ED" w:rsidRDefault="00260B1A"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(2) RNase A</w:t>
            </w:r>
          </w:p>
        </w:tc>
        <w:tc>
          <w:tcPr>
            <w:tcW w:w="1559" w:type="dxa"/>
            <w:shd w:val="clear" w:color="auto" w:fill="auto"/>
          </w:tcPr>
          <w:p w14:paraId="1B8657F4" w14:textId="77777777" w:rsidR="00582E57" w:rsidRPr="009D78ED" w:rsidRDefault="00260B1A"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 xml:space="preserve">(1) </w:t>
            </w:r>
            <w:r w:rsidR="00582E57" w:rsidRPr="009D78ED">
              <w:rPr>
                <w:sz w:val="20"/>
                <w:szCs w:val="20"/>
              </w:rPr>
              <w:t>VPO</w:t>
            </w:r>
          </w:p>
          <w:p w14:paraId="0BE8FB25" w14:textId="77777777" w:rsidR="00260B1A" w:rsidRPr="009D78ED" w:rsidRDefault="00260B1A"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(2) High precision densimetry</w:t>
            </w:r>
          </w:p>
        </w:tc>
        <w:tc>
          <w:tcPr>
            <w:tcW w:w="1666" w:type="dxa"/>
            <w:shd w:val="clear" w:color="auto" w:fill="auto"/>
          </w:tcPr>
          <w:p w14:paraId="03F76335" w14:textId="77777777" w:rsidR="00582E57" w:rsidRPr="009D78ED" w:rsidRDefault="00260B1A"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(1)</w:t>
            </w:r>
            <w:r w:rsidR="00582E57" w:rsidRPr="009D78ED">
              <w:rPr>
                <w:sz w:val="20"/>
                <w:szCs w:val="20"/>
              </w:rPr>
              <w:fldChar w:fldCharType="begin" w:fldLock="1"/>
            </w:r>
            <w:r w:rsidR="00582E57" w:rsidRPr="009D78ED">
              <w:rPr>
                <w:sz w:val="20"/>
                <w:szCs w:val="20"/>
              </w:rPr>
              <w:instrText>ADDIN CSL_CITATION { "citationItems" : [ { "id" : "ITEM-1", "itemData" : { "ISSN" : "0006-2960", "PMID" : "10757995", "abstract" : "To interpret or to predict the responses of biopolymer processes in vivo and in vitro to changes in solute concentration and to coupled changes in water activity (osmotic stress), a quantitative understanding of the thermodynamic consequences of interactions of solutes and water with biopolymer surfaces is required. To this end, we report isoosmolal preferential interaction coefficients (Gamma(mu1) determined by vapor pressure osmometry (VPO) over a wide range of concentrations for interactions between native bovine serum albumin (BSA) and six small solutes. These include Escherichia coli cytoplasmic osmolytes [potassium glutamate (K(+)Glu(-)), trehalose], E. coli osmoprotectants (proline, glycine betaine), and also glycerol and trimethylamine N-oxide (TMAO). For all six solutes, Gamma(mu1) and the corresponding dialysis preferential interaction coefficient Gamma(mu1),(mu3) (both calculated from the VPO data) are negative; Gamma(mu1), (mu3) is proportional to bulk solute molality (m(bulk)3) at least up to 1 m (molal). Negative values of Gamma(mu1),(mu3) indicate preferential exclusion of these solutes from a BSA solution at dialysis equilibrium and correspond to local concentrations of these solutes in the vicinity of BSA which are lower than their bulk concentrations. Of the solutes investigated, betaine is the most excluded (Gamma(mu1),(mu3)/m(bulk)3 = -49 +/- 1 m(-1)); glycerol is the least excluded (Gamma(mu1),(mu3)/m(bulk)3 = -10 +/- 1 m(-1)). Between these extremes, the magnitude of Gamma(mu1),(mu3)/m(bulk)3 decreases in the order glycine betaine &gt; proline &gt;TMAO &gt; trehalose approximately K(+)Glu(-) &gt; glycerol. The order of exclusion of E. coli osmolytes from BSA surface correlates with their effectiveness as osmoprotectants, which increase the growth rate of E. coli at high external osmolality. For the most excluded solute (betaine), Gamma(mu1),(mu3) provides a minimum estimate of the hydration of native BSA of approximately 2.8 x 10(3) H(2)O/BSA, which corresponds to slightly less than a monolayer (estimated to be approximately 3.2 x 10(3) H(2)O). Consequently, of the solutes investigated here, only betaine might be suitable for use in osmotic stress experiments in vitro as a direct probe to quantify changes in hydration of protein surface in biopolymer processes. More generally, however, our results and analysis lead to the proposal that any of these solutes can be used to quantify changes in water-accessible surface area (ASA) in biopolymer pro\u2026", "author" : [ { "dropping-particle" : "", "family" : "Courtenay", "given" : "E S", "non-dropping-particle" : "", "parse-names" : false, "suffix" : "" }, { "dropping-particle" : "", "family" : "Capp", "given" : "M W", "non-dropping-particle" : "", "parse-names" : false, "suffix" : "" }, { "dropping-particle" : "", "family" : "Anderson", "given" : "C F", "non-dropping-particle" : "", "parse-names" : false, "suffix" : "" }, { "dropping-particle" : "", "family" : "Record", "given" : "M T", "non-dropping-particle" : "", "parse-names" : false, "suffix" : "" } ], "container-title" : "Biochemistry", "id" : "ITEM-1", "issued" : { "date-parts" : [ [ "2000", "4", "18" ] ] }, "page" : "4455-4471", "title" : "Vapor pressure osmometry studies of osmolyte-protein interactions: Implications for the action of osmoprotectants in vivo and for the interpretation of \"osmotic stress\" experiments in vitro", "type" : "article-journal", "volume" : "39" }, "uris" : [ "http://www.mendeley.com/documents/?uuid=6089abc7-371a-47e3-9bee-c5bbc756b769" ] } ], "mendeley" : { "formattedCitation" : "(Courtenay et al. 2000)", "plainTextFormattedCitation" : "(Courtenay et al. 2000)", "previouslyFormattedCitation" : "(Courtenay et al. 2000)" }, "properties" : { "noteIndex" : 0 }, "schema" : "https://github.com/citation-style-language/schema/raw/master/csl-citation.json" }</w:instrText>
            </w:r>
            <w:r w:rsidR="00582E57" w:rsidRPr="009D78ED">
              <w:rPr>
                <w:sz w:val="20"/>
                <w:szCs w:val="20"/>
              </w:rPr>
              <w:fldChar w:fldCharType="separate"/>
            </w:r>
            <w:r w:rsidR="00582E57" w:rsidRPr="009D78ED">
              <w:rPr>
                <w:noProof/>
                <w:sz w:val="20"/>
                <w:szCs w:val="20"/>
              </w:rPr>
              <w:t>(Courtenay et al. 2000)</w:t>
            </w:r>
            <w:r w:rsidR="00582E57" w:rsidRPr="009D78ED">
              <w:rPr>
                <w:sz w:val="20"/>
                <w:szCs w:val="20"/>
              </w:rPr>
              <w:fldChar w:fldCharType="end"/>
            </w:r>
          </w:p>
          <w:p w14:paraId="44A59489" w14:textId="77777777" w:rsidR="00260B1A" w:rsidRPr="009D78ED" w:rsidRDefault="00260B1A"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(2)</w:t>
            </w:r>
            <w:r w:rsidRPr="009D78ED">
              <w:rPr>
                <w:sz w:val="20"/>
                <w:szCs w:val="20"/>
              </w:rPr>
              <w:fldChar w:fldCharType="begin" w:fldLock="1"/>
            </w:r>
            <w:r w:rsidR="00054313" w:rsidRPr="009D78ED">
              <w:rPr>
                <w:sz w:val="20"/>
                <w:szCs w:val="20"/>
              </w:rPr>
              <w:instrText>ADDIN CSL_CITATION { "citationItems" : [ { "id" : "ITEM-1", "itemData" : { "DOI" : "10.1002/pro.5560050222", "ISSN" : "0961-8368", "PMID" : "8745416", "abstract" : "The stabilization of proteins by a variety of co-solvents can be related to their property of increasing the surface tension of water. It is demonstrated that, during the thermal unfolding of proteins, this increase of the surface tension can be overcome by the increase in the temperature of the solution at the midpoint of the transition, Tm, and the weak binding of co-solvent molecules. Three such co-solvents were studied: trehalose, lysine hydrochloride (LysHCl), and arginine hydrochloride (ArgHCl). Trehalose and LysHCl increase the midpoint of Tm. The increase of the surface tension by addition of trehalose is completely compensated by its decrease due to the increase in Tm. However, for LysHCl, the increase of the surface tension by the co-solvent is partly reduced by its binding to the protein. For trehalose, preferential interaction measurements with RNaseA demonstrate that it is totally excluded from the protein. In contrast, LysHCl gives evidence of binding to RNaseA. ArgHCl also increases the surface tension of water. Nevertheless, Tm of RNaseA decreases on addition of ArgHCl to the solution. Preferential interaction measurements showed very small values of preferential hydration of the native protein, indicating extensive binding of ArgHCl to the protein. During unfolding, the amount of additional ArgHCl binding is sufficiently large to counteract the surface tension effects, and the protein is destabilized. Therefore, although surface tension appears to be a critical factor in the stabilization of proteins, its increase by co-solvent does not ensure increased stabilization. The binding of ligands can reduce significantly, or even overwhelm, its effects.", "author" : [ { "dropping-particle" : "", "family" : "Lin", "given" : "T Y", "non-dropping-particle" : "", "parse-names" : false, "suffix" : "" }, { "dropping-particle" : "", "family" : "Timasheff", "given" : "S N", "non-dropping-particle" : "", "parse-names" : false, "suffix" : "" } ], "container-title" : "Protein Science", "id" : "ITEM-1", "issued" : { "date-parts" : [ [ "1996", "2" ] ] }, "page" : "372-381", "title" : "On the role of surface tension in the stabilization of globular proteins", "type" : "article-journal", "volume" : "5" }, "uris" : [ "http://www.mendeley.com/documents/?uuid=65a03a66-a695-45e1-93c7-9608d165afd9" ] } ], "mendeley" : { "formattedCitation" : "(Lin &amp; Timasheff 1996)", "plainTextFormattedCitation" : "(Lin &amp; Timasheff 1996)", "previouslyFormattedCitation" : "(Lin &amp; Timasheff 1996)" }, "properties" : { "noteIndex" : 0 }, "schema" : "https://github.com/citation-style-language/schema/raw/master/csl-citation.json" }</w:instrText>
            </w:r>
            <w:r w:rsidRPr="009D78ED">
              <w:rPr>
                <w:sz w:val="20"/>
                <w:szCs w:val="20"/>
              </w:rPr>
              <w:fldChar w:fldCharType="separate"/>
            </w:r>
            <w:r w:rsidRPr="009D78ED">
              <w:rPr>
                <w:noProof/>
                <w:sz w:val="20"/>
                <w:szCs w:val="20"/>
              </w:rPr>
              <w:t>(Lin &amp; Timasheff 1996)</w:t>
            </w:r>
            <w:r w:rsidRPr="009D78ED">
              <w:rPr>
                <w:sz w:val="20"/>
                <w:szCs w:val="20"/>
              </w:rPr>
              <w:fldChar w:fldCharType="end"/>
            </w:r>
          </w:p>
        </w:tc>
      </w:tr>
      <w:tr w:rsidR="00582E57" w14:paraId="7F10A0A3" w14:textId="77777777" w:rsidTr="0058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7CF22C31" w14:textId="77777777" w:rsidR="00582E57" w:rsidRPr="009D78ED" w:rsidRDefault="00582E57" w:rsidP="00582E57">
            <w:pPr>
              <w:spacing w:before="0" w:after="0"/>
              <w:rPr>
                <w:sz w:val="20"/>
                <w:szCs w:val="20"/>
              </w:rPr>
            </w:pPr>
            <w:r w:rsidRPr="009D78ED">
              <w:rPr>
                <w:sz w:val="20"/>
                <w:szCs w:val="20"/>
              </w:rPr>
              <w:t>α-alanine</w:t>
            </w:r>
          </w:p>
        </w:tc>
        <w:tc>
          <w:tcPr>
            <w:tcW w:w="1701" w:type="dxa"/>
            <w:shd w:val="clear" w:color="auto" w:fill="auto"/>
          </w:tcPr>
          <w:p w14:paraId="71964AC9" w14:textId="77777777" w:rsidR="00582E57" w:rsidRPr="009D78ED" w:rsidRDefault="00582E57"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Excluded</w:t>
            </w:r>
          </w:p>
        </w:tc>
        <w:tc>
          <w:tcPr>
            <w:tcW w:w="2268" w:type="dxa"/>
            <w:shd w:val="clear" w:color="auto" w:fill="auto"/>
          </w:tcPr>
          <w:p w14:paraId="2DBFEBF2" w14:textId="77777777" w:rsidR="000D32AC" w:rsidRPr="009D78ED" w:rsidRDefault="000D32AC"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(1) Lysozyme</w:t>
            </w:r>
          </w:p>
          <w:p w14:paraId="36CB5E2F" w14:textId="77777777" w:rsidR="00582E57" w:rsidRPr="009D78ED" w:rsidRDefault="00582E57"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(2) BSA</w:t>
            </w:r>
          </w:p>
        </w:tc>
        <w:tc>
          <w:tcPr>
            <w:tcW w:w="1559" w:type="dxa"/>
            <w:shd w:val="clear" w:color="auto" w:fill="auto"/>
          </w:tcPr>
          <w:p w14:paraId="32E8FE8D" w14:textId="77777777" w:rsidR="00582E57" w:rsidRPr="009D78ED" w:rsidRDefault="00582E57"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High precision densimetry</w:t>
            </w:r>
          </w:p>
        </w:tc>
        <w:tc>
          <w:tcPr>
            <w:tcW w:w="1666" w:type="dxa"/>
            <w:shd w:val="clear" w:color="auto" w:fill="auto"/>
          </w:tcPr>
          <w:p w14:paraId="2F7A3A05" w14:textId="77777777" w:rsidR="00582E57" w:rsidRPr="009D78ED" w:rsidRDefault="00582E57"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(1)</w:t>
            </w:r>
            <w:r w:rsidRPr="009D78ED">
              <w:rPr>
                <w:sz w:val="20"/>
                <w:szCs w:val="20"/>
              </w:rPr>
              <w:fldChar w:fldCharType="begin" w:fldLock="1"/>
            </w:r>
            <w:r w:rsidRPr="009D78ED">
              <w:rPr>
                <w:sz w:val="20"/>
                <w:szCs w:val="20"/>
              </w:rPr>
              <w:instrText>ADDIN CSL_CITATION { "citationItems" : [ { "id" : "ITEM-1", "itemData" : { "DOI" : "10.1016/S0006-3495(85)83932-1", "ISSN" : "0006-3495", "PMID" : "3978211", "abstract" : "The preferential interactions of lysozyme with solvent components and the effects of solvent additives on its stability were examined for several neutral osmolytes: L-proline, L-serine, gamma-aminobutyric acid, sarcosine, taurine, alpha-alanine, beta-alanine, glycine, betaine, and trimethylamine N-oxide. It was shown that all these substances stabilize the protein structure against thermal denaturation and (except for trimethylamine N-oxide for which interaction measurements could not be made) are strongly excluded from the protein domain, rendering unlikely their direct binding to proteins. On the other hand, valine, not known as an osmolyte, had no stabilizing effect, although it induced a large protein-preferential hydration. A possible explanation is given for the use of these substances as osmotic-pressure-regulating agents in organisms living under high osmotic pressure.", "author" : [ { "dropping-particle" : "", "family" : "Arakawa", "given" : "T", "non-dropping-particle" : "", "parse-names" : false, "suffix" : "" }, { "dropping-particle" : "", "family" : "Timasheff", "given" : "S N", "non-dropping-particle" : "", "parse-names" : false, "suffix" : "" } ], "container-title" : "Biophysical Journal", "id" : "ITEM-1", "issued" : { "date-parts" : [ [ "1985", "3" ] ] }, "page" : "411-414", "title" : "The stabilization of proteins by osmolytes", "type" : "article-journal", "volume" : "47" }, "uris" : [ "http://www.mendeley.com/documents/?uuid=a1e19a58-b0d0-4a61-ada1-8d4bd546989a" ] } ], "mendeley" : { "formattedCitation" : "(Arakawa &amp; Timasheff 1985)", "plainTextFormattedCitation" : "(Arakawa &amp; Timasheff 1985)", "previouslyFormattedCitation" : "(Arakawa &amp; Timasheff 1985)" }, "properties" : { "noteIndex" : 0 }, "schema" : "https://github.com/citation-style-language/schema/raw/master/csl-citation.json" }</w:instrText>
            </w:r>
            <w:r w:rsidRPr="009D78ED">
              <w:rPr>
                <w:sz w:val="20"/>
                <w:szCs w:val="20"/>
              </w:rPr>
              <w:fldChar w:fldCharType="separate"/>
            </w:r>
            <w:r w:rsidRPr="009D78ED">
              <w:rPr>
                <w:noProof/>
                <w:sz w:val="20"/>
                <w:szCs w:val="20"/>
              </w:rPr>
              <w:t>(Arakawa &amp; Timasheff 1985)</w:t>
            </w:r>
            <w:r w:rsidRPr="009D78ED">
              <w:rPr>
                <w:sz w:val="20"/>
                <w:szCs w:val="20"/>
              </w:rPr>
              <w:fldChar w:fldCharType="end"/>
            </w:r>
            <w:r w:rsidRPr="009D78ED">
              <w:rPr>
                <w:sz w:val="20"/>
                <w:szCs w:val="20"/>
              </w:rPr>
              <w:t xml:space="preserve"> (2)</w:t>
            </w:r>
            <w:r w:rsidRPr="009D78ED">
              <w:rPr>
                <w:sz w:val="20"/>
                <w:szCs w:val="20"/>
              </w:rPr>
              <w:fldChar w:fldCharType="begin" w:fldLock="1"/>
            </w:r>
            <w:r w:rsidRPr="009D78ED">
              <w:rPr>
                <w:sz w:val="20"/>
                <w:szCs w:val="20"/>
              </w:rPr>
              <w:instrText>ADDIN CSL_CITATION { "citationItems" : [ { "id" : "ITEM-1", "itemData" : { "ISSN" : "0003-9861", "PMID" : "6870251", "abstract" : "The preferential interactions of proteins with solvent components in concentrated amino acid solutions were measured by high-precision densimetry. Bovine serum albumin and lysozyme were preferentially hydrated in all of the amino acids examined, glycine, alpha- and beta-alanine, and betaine, i.e., addition of these amino acids resulted in an unfavorable free energy change. It was shown that, for the former three amino acids, known to have a positive surface tension increment, their perturbation of the surface free energy of water is consistent with their preferential exclusion from the protein surface. In the case of betaine, which does not increase the surface tension of water, preferential exclusion from protein surface must reflect the chemical structure of this cosolvent, which is considerably more hydrophobic than that of the other three amino acids.", "author" : [ { "dropping-particle" : "", "family" : "Arakawa", "given" : "T", "non-dropping-particle" : "", "parse-names" : false, "suffix" : "" }, { "dropping-particle" : "", "family" : "Timasheff", "given" : "S N", "non-dropping-particle" : "", "parse-names" : false, "suffix" : "" } ], "container-title" : "Archives of Biochemistry and Biophysics", "id" : "ITEM-1", "issued" : { "date-parts" : [ [ "1983", "7", "1" ] ] }, "page" : "169-177", "title" : "Preferential interactions of proteins with solvent components in aqueous amino acid solutions", "type" : "article-journal", "volume" : "224" }, "uris" : [ "http://www.mendeley.com/documents/?uuid=1a6cbc50-77f9-4f1c-84c3-3f29af9f71b8" ] } ], "mendeley" : { "formattedCitation" : "(Arakawa &amp; Timasheff 1983)", "plainTextFormattedCitation" : "(Arakawa &amp; Timasheff 1983)", "previouslyFormattedCitation" : "(Arakawa &amp; Timasheff 1983)" }, "properties" : { "noteIndex" : 0 }, "schema" : "https://github.com/citation-style-language/schema/raw/master/csl-citation.json" }</w:instrText>
            </w:r>
            <w:r w:rsidRPr="009D78ED">
              <w:rPr>
                <w:sz w:val="20"/>
                <w:szCs w:val="20"/>
              </w:rPr>
              <w:fldChar w:fldCharType="separate"/>
            </w:r>
            <w:r w:rsidRPr="009D78ED">
              <w:rPr>
                <w:noProof/>
                <w:sz w:val="20"/>
                <w:szCs w:val="20"/>
              </w:rPr>
              <w:t>(Arakawa &amp; Timasheff 1983)</w:t>
            </w:r>
            <w:r w:rsidRPr="009D78ED">
              <w:rPr>
                <w:sz w:val="20"/>
                <w:szCs w:val="20"/>
              </w:rPr>
              <w:fldChar w:fldCharType="end"/>
            </w:r>
          </w:p>
        </w:tc>
      </w:tr>
      <w:tr w:rsidR="0005028A" w14:paraId="708F8DED" w14:textId="77777777" w:rsidTr="00585CA3">
        <w:tc>
          <w:tcPr>
            <w:cnfStyle w:val="001000000000" w:firstRow="0" w:lastRow="0" w:firstColumn="1" w:lastColumn="0" w:oddVBand="0" w:evenVBand="0" w:oddHBand="0" w:evenHBand="0" w:firstRowFirstColumn="0" w:firstRowLastColumn="0" w:lastRowFirstColumn="0" w:lastRowLastColumn="0"/>
            <w:tcW w:w="8720" w:type="dxa"/>
            <w:gridSpan w:val="5"/>
            <w:shd w:val="clear" w:color="auto" w:fill="BFBFBF" w:themeFill="background1" w:themeFillShade="BF"/>
          </w:tcPr>
          <w:p w14:paraId="3BEF90B7" w14:textId="77777777" w:rsidR="0005028A" w:rsidRPr="009D78ED" w:rsidRDefault="0005028A" w:rsidP="0005028A">
            <w:pPr>
              <w:rPr>
                <w:b w:val="0"/>
                <w:i/>
                <w:szCs w:val="24"/>
              </w:rPr>
            </w:pPr>
            <w:r w:rsidRPr="009D78ED">
              <w:rPr>
                <w:b w:val="0"/>
                <w:i/>
                <w:szCs w:val="24"/>
              </w:rPr>
              <w:t>Denaturants</w:t>
            </w:r>
          </w:p>
        </w:tc>
      </w:tr>
      <w:tr w:rsidR="00582E57" w14:paraId="34FE5D83" w14:textId="77777777" w:rsidTr="0058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4E44A7F2" w14:textId="77777777" w:rsidR="00582E57" w:rsidRPr="009D78ED" w:rsidRDefault="00582E57" w:rsidP="00582E57">
            <w:pPr>
              <w:spacing w:before="0" w:after="0"/>
              <w:rPr>
                <w:sz w:val="20"/>
                <w:szCs w:val="20"/>
              </w:rPr>
            </w:pPr>
            <w:r w:rsidRPr="009D78ED">
              <w:rPr>
                <w:sz w:val="20"/>
                <w:szCs w:val="20"/>
              </w:rPr>
              <w:t>Urea</w:t>
            </w:r>
          </w:p>
        </w:tc>
        <w:tc>
          <w:tcPr>
            <w:tcW w:w="1701" w:type="dxa"/>
            <w:shd w:val="clear" w:color="auto" w:fill="auto"/>
          </w:tcPr>
          <w:p w14:paraId="3AEBC9A7" w14:textId="77777777" w:rsidR="00582E57" w:rsidRPr="009D78ED" w:rsidRDefault="00582E57"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Bound</w:t>
            </w:r>
          </w:p>
        </w:tc>
        <w:tc>
          <w:tcPr>
            <w:tcW w:w="2268" w:type="dxa"/>
            <w:shd w:val="clear" w:color="auto" w:fill="auto"/>
          </w:tcPr>
          <w:p w14:paraId="02A3E43D" w14:textId="77777777" w:rsidR="00582E57" w:rsidRPr="009D78ED" w:rsidRDefault="00653FED"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 xml:space="preserve">(1;2) </w:t>
            </w:r>
            <w:r w:rsidR="00582E57" w:rsidRPr="009D78ED">
              <w:rPr>
                <w:sz w:val="20"/>
                <w:szCs w:val="20"/>
              </w:rPr>
              <w:t>BSA</w:t>
            </w:r>
          </w:p>
          <w:p w14:paraId="6477A018" w14:textId="77777777" w:rsidR="00653FED" w:rsidRPr="009D78ED" w:rsidRDefault="00653FED"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(2) Lysozyme, α-</w:t>
            </w:r>
            <w:r w:rsidRPr="009D78ED">
              <w:rPr>
                <w:sz w:val="20"/>
                <w:szCs w:val="20"/>
              </w:rPr>
              <w:lastRenderedPageBreak/>
              <w:t>chymotrypsinogen</w:t>
            </w:r>
          </w:p>
        </w:tc>
        <w:tc>
          <w:tcPr>
            <w:tcW w:w="1559" w:type="dxa"/>
            <w:shd w:val="clear" w:color="auto" w:fill="auto"/>
          </w:tcPr>
          <w:p w14:paraId="5C45B1CE" w14:textId="77777777" w:rsidR="00582E57" w:rsidRPr="009D78ED" w:rsidRDefault="00653FED"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lastRenderedPageBreak/>
              <w:t xml:space="preserve">(1;2) </w:t>
            </w:r>
            <w:r w:rsidR="00582E57" w:rsidRPr="009D78ED">
              <w:rPr>
                <w:sz w:val="20"/>
                <w:szCs w:val="20"/>
              </w:rPr>
              <w:t>VPO</w:t>
            </w:r>
          </w:p>
          <w:p w14:paraId="78C30AB1" w14:textId="77777777" w:rsidR="00653FED" w:rsidRPr="009D78ED" w:rsidRDefault="00653FED"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 xml:space="preserve">(2) High </w:t>
            </w:r>
            <w:r w:rsidRPr="009D78ED">
              <w:rPr>
                <w:sz w:val="20"/>
                <w:szCs w:val="20"/>
              </w:rPr>
              <w:lastRenderedPageBreak/>
              <w:t>precision densimetry</w:t>
            </w:r>
          </w:p>
        </w:tc>
        <w:tc>
          <w:tcPr>
            <w:tcW w:w="1666" w:type="dxa"/>
            <w:shd w:val="clear" w:color="auto" w:fill="auto"/>
          </w:tcPr>
          <w:p w14:paraId="6D7E26DA" w14:textId="77777777" w:rsidR="00582E57" w:rsidRPr="009D78ED" w:rsidRDefault="00653FED"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lastRenderedPageBreak/>
              <w:t>(1)</w:t>
            </w:r>
            <w:r w:rsidR="00582E57" w:rsidRPr="009D78ED">
              <w:rPr>
                <w:sz w:val="20"/>
                <w:szCs w:val="20"/>
              </w:rPr>
              <w:fldChar w:fldCharType="begin" w:fldLock="1"/>
            </w:r>
            <w:r w:rsidR="0005028A" w:rsidRPr="009D78ED">
              <w:rPr>
                <w:sz w:val="20"/>
                <w:szCs w:val="20"/>
              </w:rPr>
              <w:instrText>ADDIN CSL_CITATION { "citationItems" : [ { "id" : "ITEM-1", "itemData" : { "DOI" : "10.1110/ps.ps.20801", "ISSN" : "0961-8368", "PMID" : "11714916", "abstract" : "To interpret effects of urea and guanidinium (GuH(+)) salts on processes that involve large changes in protein water-accessible surface area (ASA), and to predict these effects from structural information, a thermodynamic characterization of the interactions of these solutes with different types of protein surface is required. In the present work we quantify the interactions of urea, GuHCl, GuHSCN, and, for comparison, KCl with native bovine serum albumin (BSA) surface, using vapor pressure osmometry (VPO) to obtain preferential interaction coefficients (Gamma(mu3)) as functions of nondenaturing concentrations of these solutes (0-1 molal). From analysis of Gamma(mu3) using the local-bulk domain model, we obtain concentration-independent partition coefficients K(nat)(P) that characterize the accumulation of these solutes near native protein (BSA) surface: K(nat)(P,urea)= 1.10 +/- 0.04, K(nat)(P,SCN(-)) = 2.4 +/- 0.2, K(nat)(P,GuH(+)) = 1.60 +/- 0.08, relative to K(nat)(P,K(+)) identical with 1 and K(nat)(P,Cl(-)) = 1.0 +/- 0.08. The relative magnitudes of K(nat)(P) are consistent with the relative effectiveness of these solutes as perturbants of protein processes. From a comparison of partition coefficients for these solutes and native surface (K(nat)(P)) with those determined by us previously for unfolded protein and alanine-based peptide surface K(unf)(P), we dissect K(P) into contributions from polar peptide backbone and other types of protein surface. For globular protein-urea interactions, we find K(nat)(P,urea) = K(unf)(P,urea). We propose that this equality arises because polar peptide backbone is the same fraction (0.13) of total ASA for both classes of surface. The analysis presented here quantifies and provides a physical basis for understanding Hofmeister effects of salt ions and the effects of uncharged solutes on protein processes in terms of K(P) and the change in protein ASA.", "author" : [ { "dropping-particle" : "", "family" : "Courtenay", "given" : "E S", "non-dropping-particle" : "", "parse-names" : false, "suffix" : "" }, { "dropping-particle" : "", "family" : "Capp", "given" : "M W", "non-dropping-particle" : "", "parse-names" : false, "suffix" : "" }, { "dropping-particle" : "", "family" : "Record", "given" : "M T", "non-dropping-particle" : "", "parse-names" : false, "suffix" : "" } ], "container-title" : "Protein Science", "id" : "ITEM-1", "issued" : { "date-parts" : [ [ "2001", "12" ] ] }, "page" : "2485-2497", "title" : "Thermodynamics of interactions of urea and guanidinium salts with protein surface: Relationship between solute effects on protein processes and changes in water-accessible surface area", "type" : "article-journal", "volume" : "10" }, "uris" : [ "http://www.mendeley.com/documents/?uuid=e3676007-086d-440d-a9cc-f778525309e5" ] } ], "mendeley" : { "formattedCitation" : "(Courtenay et al. 2001)", "plainTextFormattedCitation" : "(Courtenay et al. 2001)", "previouslyFormattedCitation" : "(Courtenay et al. 2001)" }, "properties" : { "noteIndex" : 0 }, "schema" : "https://github.com/citation-style-language/schema/raw/master/csl-citation.json" }</w:instrText>
            </w:r>
            <w:r w:rsidR="00582E57" w:rsidRPr="009D78ED">
              <w:rPr>
                <w:sz w:val="20"/>
                <w:szCs w:val="20"/>
              </w:rPr>
              <w:fldChar w:fldCharType="separate"/>
            </w:r>
            <w:r w:rsidR="00582E57" w:rsidRPr="009D78ED">
              <w:rPr>
                <w:noProof/>
                <w:sz w:val="20"/>
                <w:szCs w:val="20"/>
              </w:rPr>
              <w:t>(Courtenay et al. 2001)</w:t>
            </w:r>
            <w:r w:rsidR="00582E57" w:rsidRPr="009D78ED">
              <w:rPr>
                <w:sz w:val="20"/>
                <w:szCs w:val="20"/>
              </w:rPr>
              <w:fldChar w:fldCharType="end"/>
            </w:r>
          </w:p>
          <w:p w14:paraId="1BA57175" w14:textId="77777777" w:rsidR="00653FED" w:rsidRPr="009D78ED" w:rsidRDefault="00653FED" w:rsidP="00582E5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lastRenderedPageBreak/>
              <w:t>(2)</w:t>
            </w:r>
            <w:r w:rsidRPr="009D78ED">
              <w:rPr>
                <w:sz w:val="20"/>
                <w:szCs w:val="20"/>
              </w:rPr>
              <w:fldChar w:fldCharType="begin" w:fldLock="1"/>
            </w:r>
            <w:r w:rsidRPr="009D78ED">
              <w:rPr>
                <w:sz w:val="20"/>
                <w:szCs w:val="20"/>
              </w:rPr>
              <w:instrText>ADDIN CSL_CITATION { "citationItems" : [ { "id" : "ITEM-1", "itemData" : { "DOI" : "10.1021/jp808042w", "ISSN" : "1520-6106", "PMID" : "19199688", "abstract" : "The relatively new technique of vapor pressure osmometry was utilized to determine the preferential interaction of five common solution additives (arginine HCl, guanidine HCl, glycerol, glucose, and urea) using three different model proteins (BSA, lysozyme, and alpha-chymotrypsinogen). Results for guanidine, glycerol, glucose, and urea are comparable to literature values, which utilized the dialysis/densimetry technique. However, values for arginine differ greatly from literature values, making it unclear what is the nature of arginine-protein interactions. A repeat of the dialysis/densimetry measurements reported in the literature supports the vapor pressure osmometry measurements and reveals a never before seen trend in the interaction of arginine with proteins as a function of concentration. This trend is dependent on the protein size and shows arginine to be unique among solution additives. For concentrations below 0.5 M, arginine has a preferential interaction coefficient near zero (slightly greater than zero for small proteins but decreases as the size of the protein increases), which indicates that arginine is neither strongly bound nor excluded from the protein surface. This trend differs greatly from cosolutes that influence the protein folding equilibrium. However, as the concentration of arginine increases beyond 0.5 M, arginine becomes increasingly excluded. Such behavior might be indicative of the protein surface becoming saturated with arginine, thus causing any additional arginine added to the solution to be excluded from interacting with the surface. All of this behavior is most likely the result of a balance between the affinity arginine has for the peptide backbone and certain amino acids and the repulsion generated by surface tension increment and volume exclusion effects [Arakawa et al. Biophysical Chemistry 2007, 127, 1]. In addition, such behavior may explain why arginine has little effect on protein folding equilibrium but is an effective aggregation suppressor.", "author" : [ { "dropping-particle" : "", "family" : "Schneider", "given" : "C P", "non-dropping-particle" : "", "parse-names" : false, "suffix" : "" }, { "dropping-particle" : "", "family" : "Trout", "given" : "B L", "non-dropping-particle" : "", "parse-names" : false, "suffix" : "" } ], "container-title" : "Journal of Physical Chemistry B", "id" : "ITEM-1", "issued" : { "date-parts" : [ [ "2009", "2", "19" ] ] }, "page" : "2050-2058", "title" : "Investigation of cosolute-protein preferential interaction coefficients: New insight into the mechanism by which arginine inhibits aggregation", "type" : "article-journal", "volume" : "113" }, "uris" : [ "http://www.mendeley.com/documents/?uuid=9eed0480-0f78-439e-accc-1dcb3b07e260" ] } ], "mendeley" : { "formattedCitation" : "(Schneider &amp; Trout 2009)", "plainTextFormattedCitation" : "(Schneider &amp; Trout 2009)", "previouslyFormattedCitation" : "(Schneider &amp; Trout 2009)" }, "properties" : { "noteIndex" : 0 }, "schema" : "https://github.com/citation-style-language/schema/raw/master/csl-citation.json" }</w:instrText>
            </w:r>
            <w:r w:rsidRPr="009D78ED">
              <w:rPr>
                <w:sz w:val="20"/>
                <w:szCs w:val="20"/>
              </w:rPr>
              <w:fldChar w:fldCharType="separate"/>
            </w:r>
            <w:r w:rsidRPr="009D78ED">
              <w:rPr>
                <w:noProof/>
                <w:sz w:val="20"/>
                <w:szCs w:val="20"/>
              </w:rPr>
              <w:t>(Schneider &amp; Trout 2009)</w:t>
            </w:r>
            <w:r w:rsidRPr="009D78ED">
              <w:rPr>
                <w:sz w:val="20"/>
                <w:szCs w:val="20"/>
              </w:rPr>
              <w:fldChar w:fldCharType="end"/>
            </w:r>
          </w:p>
        </w:tc>
      </w:tr>
      <w:tr w:rsidR="00653FED" w14:paraId="5E4ED636" w14:textId="77777777" w:rsidTr="00585CA3">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1D56336C" w14:textId="77777777" w:rsidR="00653FED" w:rsidRPr="009D78ED" w:rsidRDefault="0033053C" w:rsidP="00582E57">
            <w:pPr>
              <w:spacing w:before="0" w:after="0"/>
              <w:rPr>
                <w:sz w:val="20"/>
                <w:szCs w:val="20"/>
              </w:rPr>
            </w:pPr>
            <w:r>
              <w:rPr>
                <w:sz w:val="20"/>
                <w:szCs w:val="20"/>
              </w:rPr>
              <w:lastRenderedPageBreak/>
              <w:t>Guanidine</w:t>
            </w:r>
            <w:r w:rsidR="00653FED" w:rsidRPr="009D78ED">
              <w:rPr>
                <w:sz w:val="20"/>
                <w:szCs w:val="20"/>
              </w:rPr>
              <w:t xml:space="preserve"> hydrochloride</w:t>
            </w:r>
          </w:p>
        </w:tc>
        <w:tc>
          <w:tcPr>
            <w:tcW w:w="1701" w:type="dxa"/>
            <w:shd w:val="clear" w:color="auto" w:fill="auto"/>
          </w:tcPr>
          <w:p w14:paraId="0EFF7EFE" w14:textId="77777777" w:rsidR="00653FED" w:rsidRPr="009D78ED" w:rsidRDefault="00653FED"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(1) Bound</w:t>
            </w:r>
          </w:p>
          <w:p w14:paraId="7AB7980F" w14:textId="77777777" w:rsidR="00653FED" w:rsidRPr="009D78ED" w:rsidRDefault="00653FED"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(2) Weakly bound</w:t>
            </w:r>
          </w:p>
          <w:p w14:paraId="705163B8" w14:textId="77777777" w:rsidR="009608B8" w:rsidRPr="009D78ED" w:rsidRDefault="009608B8"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(3) Strongly bound</w:t>
            </w:r>
          </w:p>
        </w:tc>
        <w:tc>
          <w:tcPr>
            <w:tcW w:w="2268" w:type="dxa"/>
            <w:shd w:val="clear" w:color="auto" w:fill="auto"/>
          </w:tcPr>
          <w:p w14:paraId="7D6B75D0" w14:textId="77777777" w:rsidR="00653FED" w:rsidRPr="007F0FF0" w:rsidRDefault="009608B8"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7F0FF0">
              <w:rPr>
                <w:sz w:val="20"/>
                <w:szCs w:val="20"/>
              </w:rPr>
              <w:t xml:space="preserve">(1) </w:t>
            </w:r>
            <w:r w:rsidR="00653FED" w:rsidRPr="007F0FF0">
              <w:rPr>
                <w:sz w:val="20"/>
                <w:szCs w:val="20"/>
              </w:rPr>
              <w:t>BSA</w:t>
            </w:r>
          </w:p>
          <w:p w14:paraId="1E93A307" w14:textId="77777777" w:rsidR="009608B8" w:rsidRPr="007F0FF0" w:rsidRDefault="009608B8"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7F0FF0">
              <w:rPr>
                <w:sz w:val="20"/>
                <w:szCs w:val="20"/>
              </w:rPr>
              <w:t xml:space="preserve">(2) RNase A, catalase, </w:t>
            </w:r>
            <w:r w:rsidRPr="009D78ED">
              <w:rPr>
                <w:sz w:val="20"/>
                <w:szCs w:val="20"/>
              </w:rPr>
              <w:t>α</w:t>
            </w:r>
            <w:r w:rsidRPr="007F0FF0">
              <w:rPr>
                <w:sz w:val="20"/>
                <w:szCs w:val="20"/>
              </w:rPr>
              <w:t>-lactalbumin</w:t>
            </w:r>
          </w:p>
          <w:p w14:paraId="20E1FDC4" w14:textId="77777777" w:rsidR="009608B8" w:rsidRPr="007F0FF0" w:rsidRDefault="009608B8"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7F0FF0">
              <w:rPr>
                <w:sz w:val="20"/>
                <w:szCs w:val="20"/>
              </w:rPr>
              <w:t xml:space="preserve">(3) Lysozyme, Chymotrypsinogen A, BSA, </w:t>
            </w:r>
            <w:r w:rsidRPr="009D78ED">
              <w:rPr>
                <w:sz w:val="20"/>
                <w:szCs w:val="20"/>
              </w:rPr>
              <w:t>α</w:t>
            </w:r>
            <w:r w:rsidRPr="007F0FF0">
              <w:rPr>
                <w:sz w:val="20"/>
                <w:szCs w:val="20"/>
              </w:rPr>
              <w:t xml:space="preserve">-chymotrypsin </w:t>
            </w:r>
          </w:p>
        </w:tc>
        <w:tc>
          <w:tcPr>
            <w:tcW w:w="1559" w:type="dxa"/>
            <w:shd w:val="clear" w:color="auto" w:fill="auto"/>
          </w:tcPr>
          <w:p w14:paraId="18D100DA" w14:textId="77777777" w:rsidR="00653FED" w:rsidRPr="009D78ED" w:rsidRDefault="009608B8"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 xml:space="preserve">(1) </w:t>
            </w:r>
            <w:r w:rsidR="00653FED" w:rsidRPr="009D78ED">
              <w:rPr>
                <w:sz w:val="20"/>
                <w:szCs w:val="20"/>
              </w:rPr>
              <w:t>VPO</w:t>
            </w:r>
          </w:p>
          <w:p w14:paraId="251A6AF6" w14:textId="77777777" w:rsidR="009608B8" w:rsidRPr="009D78ED" w:rsidRDefault="009608B8"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(2;3) High precision densimetry</w:t>
            </w:r>
          </w:p>
        </w:tc>
        <w:tc>
          <w:tcPr>
            <w:tcW w:w="1666" w:type="dxa"/>
            <w:shd w:val="clear" w:color="auto" w:fill="auto"/>
          </w:tcPr>
          <w:p w14:paraId="018628F3" w14:textId="77777777" w:rsidR="00653FED" w:rsidRPr="009D78ED" w:rsidRDefault="009608B8"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(1)</w:t>
            </w:r>
            <w:r w:rsidR="00653FED" w:rsidRPr="009D78ED">
              <w:rPr>
                <w:sz w:val="20"/>
                <w:szCs w:val="20"/>
              </w:rPr>
              <w:fldChar w:fldCharType="begin" w:fldLock="1"/>
            </w:r>
            <w:r w:rsidR="00653FED" w:rsidRPr="009D78ED">
              <w:rPr>
                <w:sz w:val="20"/>
                <w:szCs w:val="20"/>
              </w:rPr>
              <w:instrText>ADDIN CSL_CITATION { "citationItems" : [ { "id" : "ITEM-1", "itemData" : { "DOI" : "10.1110/ps.ps.20801", "ISSN" : "0961-8368", "PMID" : "11714916", "abstract" : "To interpret effects of urea and guanidinium (GuH(+)) salts on processes that involve large changes in protein water-accessible surface area (ASA), and to predict these effects from structural information, a thermodynamic characterization of the interactions of these solutes with different types of protein surface is required. In the present work we quantify the interactions of urea, GuHCl, GuHSCN, and, for comparison, KCl with native bovine serum albumin (BSA) surface, using vapor pressure osmometry (VPO) to obtain preferential interaction coefficients (Gamma(mu3)) as functions of nondenaturing concentrations of these solutes (0-1 molal). From analysis of Gamma(mu3) using the local-bulk domain model, we obtain concentration-independent partition coefficients K(nat)(P) that characterize the accumulation of these solutes near native protein (BSA) surface: K(nat)(P,urea)= 1.10 +/- 0.04, K(nat)(P,SCN(-)) = 2.4 +/- 0.2, K(nat)(P,GuH(+)) = 1.60 +/- 0.08, relative to K(nat)(P,K(+)) identical with 1 and K(nat)(P,Cl(-)) = 1.0 +/- 0.08. The relative magnitudes of K(nat)(P) are consistent with the relative effectiveness of these solutes as perturbants of protein processes. From a comparison of partition coefficients for these solutes and native surface (K(nat)(P)) with those determined by us previously for unfolded protein and alanine-based peptide surface K(unf)(P), we dissect K(P) into contributions from polar peptide backbone and other types of protein surface. For globular protein-urea interactions, we find K(nat)(P,urea) = K(unf)(P,urea). We propose that this equality arises because polar peptide backbone is the same fraction (0.13) of total ASA for both classes of surface. The analysis presented here quantifies and provides a physical basis for understanding Hofmeister effects of salt ions and the effects of uncharged solutes on protein processes in terms of K(P) and the change in protein ASA.", "author" : [ { "dropping-particle" : "", "family" : "Courtenay", "given" : "E S", "non-dropping-particle" : "", "parse-names" : false, "suffix" : "" }, { "dropping-particle" : "", "family" : "Capp", "given" : "M W", "non-dropping-particle" : "", "parse-names" : false, "suffix" : "" }, { "dropping-particle" : "", "family" : "Record", "given" : "M T", "non-dropping-particle" : "", "parse-names" : false, "suffix" : "" } ], "container-title" : "Protein Science", "id" : "ITEM-1", "issued" : { "date-parts" : [ [ "2001", "12" ] ] }, "page" : "2485-2497", "title" : "Thermodynamics of interactions of urea and guanidinium salts with protein surface: Relationship between solute effects on protein processes and changes in water-accessible surface area", "type" : "article-journal", "volume" : "10" }, "uris" : [ "http://www.mendeley.com/documents/?uuid=e3676007-086d-440d-a9cc-f778525309e5" ] } ], "mendeley" : { "formattedCitation" : "(Courtenay et al. 2001)", "plainTextFormattedCitation" : "(Courtenay et al. 2001)", "previouslyFormattedCitation" : "(Courtenay et al. 2001)" }, "properties" : { "noteIndex" : 0 }, "schema" : "https://github.com/citation-style-language/schema/raw/master/csl-citation.json" }</w:instrText>
            </w:r>
            <w:r w:rsidR="00653FED" w:rsidRPr="009D78ED">
              <w:rPr>
                <w:sz w:val="20"/>
                <w:szCs w:val="20"/>
              </w:rPr>
              <w:fldChar w:fldCharType="separate"/>
            </w:r>
            <w:r w:rsidR="00653FED" w:rsidRPr="009D78ED">
              <w:rPr>
                <w:noProof/>
                <w:sz w:val="20"/>
                <w:szCs w:val="20"/>
              </w:rPr>
              <w:t>(Courtenay et al. 2001)</w:t>
            </w:r>
            <w:r w:rsidR="00653FED" w:rsidRPr="009D78ED">
              <w:rPr>
                <w:sz w:val="20"/>
                <w:szCs w:val="20"/>
              </w:rPr>
              <w:fldChar w:fldCharType="end"/>
            </w:r>
          </w:p>
          <w:p w14:paraId="12DDB3FE" w14:textId="77777777" w:rsidR="009608B8" w:rsidRPr="009D78ED" w:rsidRDefault="009608B8" w:rsidP="00582E5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(2;3)</w:t>
            </w:r>
            <w:r w:rsidRPr="009D78ED">
              <w:rPr>
                <w:sz w:val="20"/>
                <w:szCs w:val="20"/>
              </w:rPr>
              <w:fldChar w:fldCharType="begin" w:fldLock="1"/>
            </w:r>
            <w:r w:rsidR="00924827">
              <w:rPr>
                <w:sz w:val="20"/>
                <w:szCs w:val="20"/>
              </w:rPr>
              <w:instrText>ADDIN CSL_CITATION { "citationItems" : [ { "id" : "ITEM-1", "itemData" : { "ISSN" : "0006-2960", "PMID" : "4855654", "author" : [ { "dropping-particle" : "", "family" : "Lee", "given" : "J C", "non-dropping-particle" : "", "parse-names" : false, "suffix" : "" }, { "dropping-particle" : "", "family" : "Timasheff", "given" : "S N", "non-dropping-particle" : "", "parse-names" : false, "suffix" : "" } ], "container-title" : "Biochemistry", "id" : "ITEM-1", "issued" : { "date-parts" : [ [ "1974", "1", "15" ] ] }, "page" : "257-265", "title" : "Partial specific volumes and interactions with solvent components of proteins in guanidine hydrochloride", "type" : "article-journal", "volume" : "13" }, "uris" : [ "http://www.mendeley.com/documents/?uuid=3ec4abcb-f380-48d1-b0c8-4a2b55528c32" ] } ], "mendeley" : { "formattedCitation" : "(Lee &amp; Timasheff 1974)", "plainTextFormattedCitation" : "(Lee &amp; Timasheff 1974)", "previouslyFormattedCitation" : "(Lee &amp; Timasheff 1974)" }, "properties" : { "noteIndex" : 0 }, "schema" : "https://github.com/citation-style-language/schema/raw/master/csl-citation.json" }</w:instrText>
            </w:r>
            <w:r w:rsidRPr="009D78ED">
              <w:rPr>
                <w:sz w:val="20"/>
                <w:szCs w:val="20"/>
              </w:rPr>
              <w:fldChar w:fldCharType="separate"/>
            </w:r>
            <w:r w:rsidR="00924827" w:rsidRPr="00924827">
              <w:rPr>
                <w:noProof/>
                <w:sz w:val="20"/>
                <w:szCs w:val="20"/>
              </w:rPr>
              <w:t>(Lee &amp; Timasheff 1974)</w:t>
            </w:r>
            <w:r w:rsidRPr="009D78ED">
              <w:rPr>
                <w:sz w:val="20"/>
                <w:szCs w:val="20"/>
              </w:rPr>
              <w:fldChar w:fldCharType="end"/>
            </w:r>
          </w:p>
        </w:tc>
      </w:tr>
    </w:tbl>
    <w:p w14:paraId="117CD124" w14:textId="77777777" w:rsidR="00F5265D" w:rsidRPr="00CC0F20" w:rsidRDefault="00F5265D" w:rsidP="00F5265D">
      <w:r>
        <w:t>Timasheff and colleagues also discovered a correlation between preferential hydration and a cosolute’s ability to increase the surface tension of water, and inferred that cosolutes’ effect on</w:t>
      </w:r>
      <w:r w:rsidR="004B0D88">
        <w:t xml:space="preserve"> the surface tension of water was</w:t>
      </w:r>
      <w:r>
        <w:t xml:space="preserve"> a potential mechanism for protein stabilisation </w:t>
      </w:r>
      <w:r>
        <w:fldChar w:fldCharType="begin" w:fldLock="1"/>
      </w:r>
      <w:r w:rsidR="00054313">
        <w:instrText>ADDIN CSL_CITATION { "citationItems" : [ { "id" : "ITEM-1", "itemData" : { "DOI" : "10.1002/pro.5560050222", "ISSN" : "0961-8368", "PMID" : "8745416", "abstract" : "The stabilization of proteins by a variety of co-solvents can be related to their property of increasing the surface tension of water. It is demonstrated that, during the thermal unfolding of proteins, this increase of the surface tension can be overcome by the increase in the temperature of the solution at the midpoint of the transition, Tm, and the weak binding of co-solvent molecules. Three such co-solvents were studied: trehalose, lysine hydrochloride (LysHCl), and arginine hydrochloride (ArgHCl). Trehalose and LysHCl increase the midpoint of Tm. The increase of the surface tension by addition of trehalose is completely compensated by its decrease due to the increase in Tm. However, for LysHCl, the increase of the surface tension by the co-solvent is partly reduced by its binding to the protein. For trehalose, preferential interaction measurements with RNaseA demonstrate that it is totally excluded from the protein. In contrast, LysHCl gives evidence of binding to RNaseA. ArgHCl also increases the surface tension of water. Nevertheless, Tm of RNaseA decreases on addition of ArgHCl to the solution. Preferential interaction measurements showed very small values of preferential hydration of the native protein, indicating extensive binding of ArgHCl to the protein. During unfolding, the amount of additional ArgHCl binding is sufficiently large to counteract the surface tension effects, and the protein is destabilized. Therefore, although surface tension appears to be a critical factor in the stabilization of proteins, its increase by co-solvent does not ensure increased stabilization. The binding of ligands can reduce significantly, or even overwhelm, its effects.", "author" : [ { "dropping-particle" : "", "family" : "Lin", "given" : "T Y", "non-dropping-particle" : "", "parse-names" : false, "suffix" : "" }, { "dropping-particle" : "", "family" : "Timasheff", "given" : "S N", "non-dropping-particle" : "", "parse-names" : false, "suffix" : "" } ], "container-title" : "Protein Science", "id" : "ITEM-1", "issued" : { "date-parts" : [ [ "1996", "2" ] ] }, "page" : "372-381", "title" : "On the role of surface tension in the stabilization of globular proteins", "type" : "article-journal", "volume" : "5" }, "uris" : [ "http://www.mendeley.com/documents/?uuid=65a03a66-a695-45e1-93c7-9608d165afd9" ] } ], "mendeley" : { "formattedCitation" : "(Lin &amp; Timasheff 1996)", "plainTextFormattedCitation" : "(Lin &amp; Timasheff 1996)", "previouslyFormattedCitation" : "(Lin &amp; Timasheff 1996)" }, "properties" : { "noteIndex" : 0 }, "schema" : "https://github.com/citation-style-language/schema/raw/master/csl-citation.json" }</w:instrText>
      </w:r>
      <w:r>
        <w:fldChar w:fldCharType="separate"/>
      </w:r>
      <w:r w:rsidRPr="000D4791">
        <w:rPr>
          <w:noProof/>
        </w:rPr>
        <w:t>(Lin &amp; Timasheff 1996)</w:t>
      </w:r>
      <w:r>
        <w:fldChar w:fldCharType="end"/>
      </w:r>
      <w:r>
        <w:t xml:space="preserve">. This was certainly shown to be true for many cosolutes including sucrose </w:t>
      </w:r>
      <w:r>
        <w:fldChar w:fldCharType="begin" w:fldLock="1"/>
      </w:r>
      <w:r>
        <w:instrText>ADDIN CSL_CITATION { "citationItems" : [ { "id" : "ITEM-1", "itemData" : { "ISSN" : "0021-9258", "PMID" : "7251592", "abstract" : "The interactions between proteins and solvent components have been investigated for the sucrose/water system. Thermodynamic and kinetic measurements of the thermal unfolding of alpha-chymotrypsin, chymotrypsinogen, and ribonuclease were performed as a function of sucrose concentration. The alteration in protein-solvent interactions in the presence of sucrose was also studied by density measurements and analyzed by multicomponent thermodynamic theory. Sucrose does not induce a conformational change in three proteins studied, although it does induce a small change in the circular dichroism spectrum of ribonuclease. The enthalpy of thermal unfolding shows little dependence on the concentration of sucrose, while the apparent activation energy of the unfolding process is increased by the addition of sucrose. The results from the protein-solvent interaction study indicate that sucrose is preferentially excluded from the protein domain, increasing the free energy of the system. Thermodynamically this leads to protein stabilization since the unfolded state of the protein becomes thermodynamically even less favorable in the presence of sucrose. The exclusion of sucrose from the protein domain seems to be related to the higher cohesive force of the sucrose water solvent system since all the experimental observations can be correlated with the effect of sucrose on the surface tension of water.", "author" : [ { "dropping-particle" : "", "family" : "Lee", "given" : "J C", "non-dropping-particle" : "", "parse-names" : false, "suffix" : "" }, { "dropping-particle" : "", "family" : "Timasheff", "given" : "S N", "non-dropping-particle" : "", "parse-names" : false, "suffix" : "" } ], "container-title" : "Journal of Biological Chemistry", "id" : "ITEM-1", "issued" : { "date-parts" : [ [ "1981", "7", "25" ] ] }, "page" : "7193-7201", "title" : "The stabilization of proteins by sucrose", "type" : "article-journal", "volume" : "256" }, "uris" : [ "http://www.mendeley.com/documents/?uuid=8a6f5bed-bbb2-4e74-a824-06d098602e7c" ] } ], "mendeley" : { "formattedCitation" : "(Lee &amp; Timasheff 1981)", "plainTextFormattedCitation" : "(Lee &amp; Timasheff 1981)", "previouslyFormattedCitation" : "(Lee &amp; Timasheff 1981)" }, "properties" : { "noteIndex" : 0 }, "schema" : "https://github.com/citation-style-language/schema/raw/master/csl-citation.json" }</w:instrText>
      </w:r>
      <w:r>
        <w:fldChar w:fldCharType="separate"/>
      </w:r>
      <w:r w:rsidRPr="000D4791">
        <w:rPr>
          <w:noProof/>
        </w:rPr>
        <w:t>(Lee &amp; Timasheff 1981)</w:t>
      </w:r>
      <w:r>
        <w:fldChar w:fldCharType="end"/>
      </w:r>
      <w:r>
        <w:t xml:space="preserve">, lactose, glucose </w:t>
      </w:r>
      <w:r>
        <w:fldChar w:fldCharType="begin" w:fldLock="1"/>
      </w:r>
      <w:r>
        <w:instrText>ADDIN CSL_CITATION { "citationItems" : [ { "id" : "ITEM-1", "itemData" : { "ISSN" : "0006-2960", "PMID" : "7150574", "abstract" : "The preferential interaction of proteins with solvent components was measured in aqueous lactose and glucose systems by using a high precision densimeter. In all cases, the protein was preferentially hydrated; i.e., addition of these sugars to an aqueous solution of the protein resulted in an unfavorable free-energy change. This effect was shown to increase with an increase in protein surface area, explaining the protein stabilizing action of these sugars and their enhancing effect of protein associations. Correlation of the preferential interaction parameter with the effect of the sugars on the surface tension of water, i.e., their positive surface tension increment, has led to the conclusion that the surface free energy perturbation by sugars plays a predominant role in their preferential interaction with proteins. Other contributing factors are the exclusion volume of the sugars and the chemical nature of the protein surface.", "author" : [ { "dropping-particle" : "", "family" : "Arakawa", "given" : "T", "non-dropping-particle" : "", "parse-names" : false, "suffix" : "" }, { "dropping-particle" : "", "family" : "Timasheff", "given" : "S N", "non-dropping-particle" : "", "parse-names" : false, "suffix" : "" } ], "container-title" : "Biochemistry", "id" : "ITEM-1", "issued" : { "date-parts" : [ [ "1982", "12", "7" ] ] }, "page" : "6536-6544", "title" : "Stabilization of protein structure by sugars", "type" : "article-journal", "volume" : "21" }, "uris" : [ "http://www.mendeley.com/documents/?uuid=03fc4568-a1d8-45c0-b1b2-88c972ef6ccc" ] } ], "mendeley" : { "formattedCitation" : "(Arakawa &amp; Timasheff 1982b)", "plainTextFormattedCitation" : "(Arakawa &amp; Timasheff 1982b)", "previouslyFormattedCitation" : "(Arakawa &amp; Timasheff 1982b)" }, "properties" : { "noteIndex" : 0 }, "schema" : "https://github.com/citation-style-language/schema/raw/master/csl-citation.json" }</w:instrText>
      </w:r>
      <w:r>
        <w:fldChar w:fldCharType="separate"/>
      </w:r>
      <w:r w:rsidRPr="000D4791">
        <w:rPr>
          <w:noProof/>
        </w:rPr>
        <w:t>(Arakawa &amp; Timasheff 1982b)</w:t>
      </w:r>
      <w:r>
        <w:fldChar w:fldCharType="end"/>
      </w:r>
      <w:r>
        <w:t xml:space="preserve"> and certain stabilising salts </w:t>
      </w:r>
      <w:r>
        <w:fldChar w:fldCharType="begin" w:fldLock="1"/>
      </w:r>
      <w:r>
        <w:instrText>ADDIN CSL_CITATION { "citationItems" : [ { "id" : "ITEM-1", "itemData" : { "ISSN" : "0006-2960", "PMID" : "7150575", "abstract" : "The preferential interactions of proteins with solvent components were studied in concentrated salt by densimetric measurements. Proteins were found to be preferentially hydrated in NaCl, NaCH3COO, and Na2SO4. The resulting unfavorable free-energy change was related to the effects of these salts on solubility and stability of the proteins. This unfavorable free-energy change was correlated with the large, positive surface tension increment of these salts, i.e., their perturbation of surface free energy. On the other hand, KSCN, CaCl2, and MgCl2 showed considerable binding to bovine serum albumin, which could be related to their destabilizing and salting-in effects on macromolecules. Since the last two salts have high surface tension increments, it was concluded that this does not necessarily lead to protein preferential hydration and stabilization.", "author" : [ { "dropping-particle" : "", "family" : "Arakawa", "given" : "T", "non-dropping-particle" : "", "parse-names" : false, "suffix" : "" }, { "dropping-particle" : "", "family" : "Timasheff", "given" : "S N", "non-dropping-particle" : "", "parse-names" : false, "suffix" : "" } ], "container-title" : "Biochemistry", "id" : "ITEM-1", "issued" : { "date-parts" : [ [ "1982", "12", "7" ] ] }, "page" : "6545-6552", "title" : "Preferential interactions of proteins with salts in concentrated solutions", "type" : "article-journal", "volume" : "21" }, "uris" : [ "http://www.mendeley.com/documents/?uuid=c01411bd-68f9-4eb7-be30-8bddb7042154" ] } ], "mendeley" : { "formattedCitation" : "(Arakawa &amp; Timasheff 1982a)", "plainTextFormattedCitation" : "(Arakawa &amp; Timasheff 1982a)", "previouslyFormattedCitation" : "(Arakawa &amp; Timasheff 1982a)" }, "properties" : { "noteIndex" : 0 }, "schema" : "https://github.com/citation-style-language/schema/raw/master/csl-citation.json" }</w:instrText>
      </w:r>
      <w:r>
        <w:fldChar w:fldCharType="separate"/>
      </w:r>
      <w:r w:rsidRPr="000D4791">
        <w:rPr>
          <w:noProof/>
        </w:rPr>
        <w:t>(Arakawa &amp; Timasheff 1982a)</w:t>
      </w:r>
      <w:r>
        <w:fldChar w:fldCharType="end"/>
      </w:r>
      <w:r>
        <w:t xml:space="preserve">. However, there are exceptions to the rule including an increase in surface tension of water by guanidinium </w:t>
      </w:r>
      <w:r>
        <w:fldChar w:fldCharType="begin" w:fldLock="1"/>
      </w:r>
      <w:r>
        <w:instrText>ADDIN CSL_CITATION { "citationItems" : [ { "id" : "ITEM-1", "itemData" : { "ISSN" : "0027-8424", "PMID" : "2153285", "abstract" : "Since the salting-in agents guanidinium chloride, urea, and lithium perchlorate increase the surface tension of water, the salting-in phenomenon does not reflect easier cavity formation in water. Therefore, these salting-in agents must be directly contributing to the solvation of a solute such as benzene in water, probably by a direct solvation interaction. The increased surface-tension effects do not overbalance these solvation effects since they are smaller than the large surface-tension increases with lithium chloride, a typical salting-out agent. The salting-in agent tetra-n-butylammonium chloride differs in that it lowers the surface tension of water. Thus, it probably contributes both to easier cavity formation and to direct solvation of the substrate. The previous findings that most salting-in agents switch to become salting-out agents in other polar solvents such as ethylene glycol and formamide but that tetra-n-butylammonium chloride does not switch in these solvents can be understood in terms of relative polarities.", "author" : [ { "dropping-particle" : "", "family" : "Breslow", "given" : "R", "non-dropping-particle" : "", "parse-names" : false, "suffix" : "" }, { "dropping-particle" : "", "family" : "Guo", "given" : "T", "non-dropping-particle" : "", "parse-names" : false, "suffix" : "" } ], "container-title" : "Proceedings of the National Academy of Sciences of the United States of America", "id" : "ITEM-1", "issued" : { "date-parts" : [ [ "1990", "1" ] ] }, "page" : "167-169", "title" : "Surface tension measurements show that chaotropic salting-in denaturants are not just water-structure breakers", "type" : "article-journal", "volume" : "87" }, "uris" : [ "http://www.mendeley.com/documents/?uuid=5a2e02af-5a62-49c3-acb3-dcd6dcaf6973" ] } ], "mendeley" : { "formattedCitation" : "(Breslow &amp; Guo 1990)", "plainTextFormattedCitation" : "(Breslow &amp; Guo 1990)", "previouslyFormattedCitation" : "(Breslow &amp; Guo 1990)" }, "properties" : { "noteIndex" : 0 }, "schema" : "https://github.com/citation-style-language/schema/raw/master/csl-citation.json" }</w:instrText>
      </w:r>
      <w:r>
        <w:fldChar w:fldCharType="separate"/>
      </w:r>
      <w:r w:rsidRPr="00013830">
        <w:rPr>
          <w:noProof/>
        </w:rPr>
        <w:t>(Breslow &amp; Guo 1990)</w:t>
      </w:r>
      <w:r>
        <w:fldChar w:fldCharType="end"/>
      </w:r>
      <w:r>
        <w:t xml:space="preserve">, which means that the mechanism by itself cannot be responsible for the action of </w:t>
      </w:r>
      <w:r w:rsidR="00FF401B">
        <w:t xml:space="preserve">all </w:t>
      </w:r>
      <w:r>
        <w:t>cosolutes on protein stability.</w:t>
      </w:r>
    </w:p>
    <w:p w14:paraId="7C700314" w14:textId="77777777" w:rsidR="00F5265D" w:rsidRDefault="00F5265D" w:rsidP="00F5265D">
      <w:r w:rsidRPr="00013830">
        <w:t xml:space="preserve">When referring to the preferential interaction theory it is worth noting that preferential hydration and protein hydration are separate concepts </w:t>
      </w:r>
      <w:r>
        <w:fldChar w:fldCharType="begin" w:fldLock="1"/>
      </w:r>
      <w:r w:rsidR="00AE3A49">
        <w:instrText>ADDIN CSL_CITATION { "citationItems" : [ { "id" : "ITEM-1", "itemData" : { "author" : [ { "dropping-particle" : "", "family" : "Timasheff", "given" : "S N", "non-dropping-particle" : "", "parse-names" : false, "suffix" : "" } ], "container-title" : "Biochemistry", "id" : "ITEM-1", "issued" : { "date-parts" : [ [ "2002" ] ] }, "page" : "13473-13482", "title" : "Protein hydration, thermodynamic binding, and preferential hydration", "type" : "article-journal", "volume" : "41" }, "uris" : [ "http://www.mendeley.com/documents/?uuid=4be1d2a3-dba8-47b5-a114-07c45c5e07e0" ] } ], "mendeley" : { "formattedCitation" : "(Timasheff 2002a)", "plainTextFormattedCitation" : "(Timasheff 2002a)", "previouslyFormattedCitation" : "(Timasheff 2002a)" }, "properties" : { "noteIndex" : 0 }, "schema" : "https://github.com/citation-style-language/schema/raw/master/csl-citation.json" }</w:instrText>
      </w:r>
      <w:r>
        <w:fldChar w:fldCharType="separate"/>
      </w:r>
      <w:r w:rsidR="004D58E8" w:rsidRPr="004D58E8">
        <w:rPr>
          <w:noProof/>
        </w:rPr>
        <w:t>(Timasheff 2002a)</w:t>
      </w:r>
      <w:r>
        <w:fldChar w:fldCharType="end"/>
      </w:r>
      <w:r w:rsidRPr="00013830">
        <w:t xml:space="preserve">. </w:t>
      </w:r>
      <w:r w:rsidR="001D3B13">
        <w:t>Preferential hydration does not describe changes in the interaction between the protein and the hydration shell, but rather describes that the cosolute in the three component system is absent from the</w:t>
      </w:r>
      <w:r w:rsidR="004B0D88">
        <w:t xml:space="preserve"> protein</w:t>
      </w:r>
      <w:r w:rsidR="001D3B13">
        <w:t xml:space="preserve"> hydration shell. This is a concept that is often misconstrued, with many researchers assuming that preferential hydration indicates that the protein has a larger</w:t>
      </w:r>
      <w:r w:rsidR="000629E2">
        <w:t xml:space="preserve"> or a dynamically altered</w:t>
      </w:r>
      <w:r w:rsidR="001D3B13">
        <w:t xml:space="preserve"> hydration shell </w:t>
      </w:r>
      <w:r w:rsidR="001D3B13">
        <w:fldChar w:fldCharType="begin" w:fldLock="1"/>
      </w:r>
      <w:r w:rsidR="00663DFF">
        <w:instrText>ADDIN CSL_CITATION { "citationItems" : [ { "id" : "ITEM-1", "itemData" : { "DOI" : "10.1002/jps.24630", "ISSN" : "00223549", "author" : [ { "dropping-particle" : "", "family" : "Wallace", "given" : "V P", "non-dropping-particle" : "", "parse-names" : false, "suffix" : "" }, { "dropping-particle" : "", "family" : "Ferachou", "given" : "D", "non-dropping-particle" : "", "parse-names" : false, "suffix" : "" }, { "dropping-particle" : "", "family" : "Ke", "given" : "P", "non-dropping-particle" : "", "parse-names" : false, "suffix" : "" }, { "dropping-particle" : "", "family" : "Day", "given" : "K", "non-dropping-particle" : "", "parse-names" : false, "suffix" : "" }, { "dropping-particle" : "", "family" : "Uddin", "given" : "S", "non-dropping-particle" : "", "parse-names" : false, "suffix" : "" }, { "dropping-particle" : "", "family" : "Casas-Finet", "given" : "J", "non-dropping-particle" : "", "parse-names" : false, "suffix" : "" }, { "dropping-particle" : "", "family" : "Walle", "given" : "C F", "non-dropping-particle" : "Van Der", "parse-names" : false, "suffix" : "" }, { "dropping-particle" : "", "family" : "Falconer", "given" : "R J", "non-dropping-particle" : "", "parse-names" : false, "suffix" : "" }, { "dropping-particle" : "", "family" : "Zeitler", "given" : "J A", "non-dropping-particle" : "", "parse-names" : false, "suffix" : "" } ], "container-title" : "Journal of Pharmaceutical Sciences", "id" : "ITEM-1", "issued" : { "date-parts" : [ [ "2015" ] ] }, "page" : "4025-4033", "title" : "Modulation of the hydration water around monoclonal antibodies on addition of excipients detected by terahertz time-domain spectroscopy", "type" : "article-journal", "volume" : "104" }, "uris" : [ "http://www.mendeley.com/documents/?uuid=ac3f3a07-e87f-4a2e-98a1-079ba19717b6" ] }, { "id" : "ITEM-2", "itemData" : { "DOI" : "10.1016/j.bpc.2011.09.007", "ISSN" : "1873-4200", "PMID" : "22014723", "abstract" : "We have performed Molecular Dynamics simulations of ectoine, hydroxyectoine and urea in explicit solvent. Special attention has been spent on the local surrounding structure of water molecules. Our results indicate that ectoine and hydroxyectoine are able to accumulate more water molecules than urea by a pronounced ordering due to hydrogen bonds. We have validated that the charging of the molecules is of main importance resulting in a well defined hydration sphere. The influence of a varying salt concentration is also investigated. Finally we present experimental results of a DPPC monolayer phase transition that validate our numerical findings.", "author" : [ { "dropping-particle" : "", "family" : "Smiatek", "given" : "J", "non-dropping-particle" : "", "parse-names" : false, "suffix" : "" }, { "dropping-particle" : "", "family" : "Harishchandra", "given" : "R K", "non-dropping-particle" : "", "parse-names" : false, "suffix" : "" }, { "dropping-particle" : "", "family" : "Rubner", "given" : "O", "non-dropping-particle" : "", "parse-names" : false, "suffix" : "" }, { "dropping-particle" : "", "family" : "Galla", "given" : "H J", "non-dropping-particle" : "", "parse-names" : false, "suffix" : "" }, { "dropping-particle" : "", "family" : "Heuer", "given" : "A", "non-dropping-particle" : "", "parse-names" : false, "suffix" : "" } ], "container-title" : "Biophysical Chemistry", "id" : "ITEM-2", "issued" : { "date-parts" : [ [ "2012", "1" ] ] }, "page" : "62-68", "publisher" : "Elsevier B.V.", "title" : "Properties of compatible solutes in aqueous solution", "type" : "article-journal", "volume" : "160" }, "uris" : [ "http://www.mendeley.com/documents/?uuid=6316450e-c1f5-4ea6-8941-5449337d3944" ] } ], "mendeley" : { "formattedCitation" : "(Wallace et al. 2015; Smiatek et al. 2012)", "plainTextFormattedCitation" : "(Wallace et al. 2015; Smiatek et al. 2012)", "previouslyFormattedCitation" : "(Wallace et al. 2015; Smiatek et al. 2012)" }, "properties" : { "noteIndex" : 0 }, "schema" : "https://github.com/citation-style-language/schema/raw/master/csl-citation.json" }</w:instrText>
      </w:r>
      <w:r w:rsidR="001D3B13">
        <w:fldChar w:fldCharType="separate"/>
      </w:r>
      <w:r w:rsidR="000629E2" w:rsidRPr="000629E2">
        <w:rPr>
          <w:noProof/>
        </w:rPr>
        <w:t>(Wallace et al. 2015; Smiatek et al. 2012)</w:t>
      </w:r>
      <w:r w:rsidR="001D3B13">
        <w:fldChar w:fldCharType="end"/>
      </w:r>
      <w:r w:rsidR="001D3B13">
        <w:t xml:space="preserve">. </w:t>
      </w:r>
      <w:r w:rsidR="000629E2">
        <w:t xml:space="preserve">Although it is often inferred that preferential hydration means that more structured water molecules are present in the hydration shell, which results in stabilisation, in fact it is impossible to say whether the structure or dynamics of the hydration shell are altered simply from a preferential interaction parameter. Other techniques must be used to confirm or disprove whether this is the case. </w:t>
      </w:r>
      <w:r w:rsidRPr="00013830">
        <w:t>Furthermore, preferential interaction does</w:t>
      </w:r>
      <w:r>
        <w:t xml:space="preserve"> </w:t>
      </w:r>
      <w:r w:rsidRPr="00013830">
        <w:t>n</w:t>
      </w:r>
      <w:r>
        <w:t>o</w:t>
      </w:r>
      <w:r w:rsidRPr="00013830">
        <w:t xml:space="preserve">t imply direct binding between cosolute and protein, only accumulation at the </w:t>
      </w:r>
      <w:r>
        <w:t xml:space="preserve">protein </w:t>
      </w:r>
      <w:r w:rsidRPr="00013830">
        <w:t xml:space="preserve">surface as opposed to </w:t>
      </w:r>
      <w:r>
        <w:t xml:space="preserve">the </w:t>
      </w:r>
      <w:r w:rsidRPr="00013830">
        <w:t xml:space="preserve">bulk </w:t>
      </w:r>
      <w:r>
        <w:lastRenderedPageBreak/>
        <w:fldChar w:fldCharType="begin" w:fldLock="1"/>
      </w:r>
      <w:r>
        <w:instrText>ADDIN CSL_CITATION { "citationItems" : [ { "id" : "ITEM-1", "itemData" : { "ISSN" : "0006-2960", "PMID" : "7150574", "abstract" : "The preferential interaction of proteins with solvent components was measured in aqueous lactose and glucose systems by using a high precision densimeter. In all cases, the protein was preferentially hydrated; i.e., addition of these sugars to an aqueous solution of the protein resulted in an unfavorable free-energy change. This effect was shown to increase with an increase in protein surface area, explaining the protein stabilizing action of these sugars and their enhancing effect of protein associations. Correlation of the preferential interaction parameter with the effect of the sugars on the surface tension of water, i.e., their positive surface tension increment, has led to the conclusion that the surface free energy perturbation by sugars plays a predominant role in their preferential interaction with proteins. Other contributing factors are the exclusion volume of the sugars and the chemical nature of the protein surface.", "author" : [ { "dropping-particle" : "", "family" : "Arakawa", "given" : "T", "non-dropping-particle" : "", "parse-names" : false, "suffix" : "" }, { "dropping-particle" : "", "family" : "Timasheff", "given" : "S N", "non-dropping-particle" : "", "parse-names" : false, "suffix" : "" } ], "container-title" : "Biochemistry", "id" : "ITEM-1", "issued" : { "date-parts" : [ [ "1982", "12", "7" ] ] }, "page" : "6536-6544", "title" : "Stabilization of protein structure by sugars", "type" : "article-journal", "volume" : "21" }, "uris" : [ "http://www.mendeley.com/documents/?uuid=03fc4568-a1d8-45c0-b1b2-88c972ef6ccc" ] } ], "mendeley" : { "formattedCitation" : "(Arakawa &amp; Timasheff 1982b)", "plainTextFormattedCitation" : "(Arakawa &amp; Timasheff 1982b)", "previouslyFormattedCitation" : "(Arakawa &amp; Timasheff 1982b)" }, "properties" : { "noteIndex" : 0 }, "schema" : "https://github.com/citation-style-language/schema/raw/master/csl-citation.json" }</w:instrText>
      </w:r>
      <w:r>
        <w:fldChar w:fldCharType="separate"/>
      </w:r>
      <w:r w:rsidRPr="00013830">
        <w:rPr>
          <w:noProof/>
        </w:rPr>
        <w:t>(Arakawa &amp; Timasheff 1982b)</w:t>
      </w:r>
      <w:r>
        <w:fldChar w:fldCharType="end"/>
      </w:r>
      <w:r>
        <w:t xml:space="preserve">. As such it should be made clear that </w:t>
      </w:r>
      <w:r w:rsidRPr="00013830">
        <w:t xml:space="preserve">many </w:t>
      </w:r>
      <w:r w:rsidR="00C1684C">
        <w:t xml:space="preserve">molecular </w:t>
      </w:r>
      <w:r w:rsidRPr="00013830">
        <w:t>mechanisms can be described within the preferential interaction model</w:t>
      </w:r>
      <w:r>
        <w:t xml:space="preserve"> without being contradictory</w:t>
      </w:r>
      <w:r w:rsidRPr="00013830">
        <w:t>.</w:t>
      </w:r>
      <w:r>
        <w:t xml:space="preserve"> Preferential interaction or exclusion can arise from any combination of specific and nonspecific interactions between the protein, cosolute and water, which are discussed in other subsections within section </w:t>
      </w:r>
      <w:r>
        <w:fldChar w:fldCharType="begin"/>
      </w:r>
      <w:r>
        <w:instrText xml:space="preserve"> REF _Ref453342046 \r \h </w:instrText>
      </w:r>
      <w:r>
        <w:fldChar w:fldCharType="separate"/>
      </w:r>
      <w:r w:rsidR="00AA6926">
        <w:t>1.4</w:t>
      </w:r>
      <w:r>
        <w:fldChar w:fldCharType="end"/>
      </w:r>
      <w:r>
        <w:t>.</w:t>
      </w:r>
    </w:p>
    <w:p w14:paraId="70330E86" w14:textId="77777777" w:rsidR="00F5265D" w:rsidRDefault="00F5265D" w:rsidP="00F5265D">
      <w:r>
        <w:t xml:space="preserve">As with the grouping of cosolutes into those that directly interact and those that indirectly interact with the protein it is probable that the preferential interaction theory is far too simplistic to explain the various effects of cosolutes on protein stability. This is supported by the fact that there are cases where preferential interaction or hydration is concentration and protein dependent, and where preferential hydration doesn’t always result in stabilisation of the protein. More specifically, Timasheff and colleagues discovered that although magnesium chloride is preferentially excluded from proteins under conditions of low pH and low salt concentration, it does not stabilise the protein </w:t>
      </w:r>
      <w:r>
        <w:fldChar w:fldCharType="begin" w:fldLock="1"/>
      </w:r>
      <w:r w:rsidR="007228DB">
        <w:instrText>ADDIN CSL_CITATION { "citationItems" : [ { "id" : "ITEM-1", "itemData" : { "ISSN" : "0006-2960", "PMID" : "2331472", "abstract" : "The observed preferential hydration of proteins in aqueous MgCl2 solutions at low pH and low salt concentration (Arakawa et al., 1990) prompted a scrutiny of possible protein stabilization by MgCl2 under the same conditions, in view of earlier observations in aqueous solutions of sugars, amino acids, and a number of salts that preferential hydration is usually accompanied by the stabilization of the native structure of globular proteins. The results of thermal transition experiments on five proteins (ribonuclease A, lysozyme, beta-lactoglobulin, chymotrypsinogen, and bovine serum albumin) revealed neither significant stabilization nor destabilization of the protein structures by MgCl2 both at acid conditions (except for ribonuclease A, which was stabilized, but to a much smaller extent than by MgSO4) and at higher pH at which MgCl2 displayed little preferential hydration. This was in contrast to the great stabilizing action of MgSO4 at the same conditions. 2-Methyl-2,4-pentanediol (MPD), which gives a very large preferential hydration of native ribonuclease A at pH 5.8 [Pittz &amp; Timasheff (1978) Biochemistry 17, 615-623], was found to be a strong destabilizer of that protein at the same conditions. Analysis of the preferentially hydrating solvent systems led to their classification into two categories: those in which the preferential hydration is independent of solution conditions and those in which it varies with conditions. The first always stabilize protein structure, while the second do not. In the first category the predominant interaction is that of cosolvent exclusion, determined by solvent properties, with the protein being essentially inert. In the second category interactions are determined to a major extent by the chemical nature of the protein surface.(ABSTRACT TRUNCATED AT 250 WORDS)", "author" : [ { "dropping-particle" : "", "family" : "Arakawa", "given" : "T", "non-dropping-particle" : "", "parse-names" : false, "suffix" : "" }, { "dropping-particle" : "", "family" : "Bhat", "given" : "R", "non-dropping-particle" : "", "parse-names" : false, "suffix" : "" }, { "dropping-particle" : "", "family" : "Timasheff", "given" : "S N", "non-dropping-particle" : "", "parse-names" : false, "suffix" : "" } ], "container-title" : "Biochemistry", "id" : "ITEM-1", "issued" : { "date-parts" : [ [ "1990", "2", "20" ] ] }, "page" : "1924-1931", "title" : "Why preferential hydration does not always stabilize the native structure of globular proteins", "type" : "article-journal", "volume" : "29" }, "uris" : [ "http://www.mendeley.com/documents/?uuid=61b7a28f-fca0-495a-8c72-de8e73c0c221" ] } ], "mendeley" : { "formattedCitation" : "(Arakawa et al. 1990b)", "plainTextFormattedCitation" : "(Arakawa et al. 1990b)", "previouslyFormattedCitation" : "(Arakawa et al. 1990b)" }, "properties" : { "noteIndex" : 0 }, "schema" : "https://github.com/citation-style-language/schema/raw/master/csl-citation.json" }</w:instrText>
      </w:r>
      <w:r>
        <w:fldChar w:fldCharType="separate"/>
      </w:r>
      <w:r w:rsidR="0064368A" w:rsidRPr="0064368A">
        <w:rPr>
          <w:noProof/>
        </w:rPr>
        <w:t>(Arakawa et al. 1990b)</w:t>
      </w:r>
      <w:r>
        <w:fldChar w:fldCharType="end"/>
      </w:r>
      <w:r>
        <w:t xml:space="preserve">. This led to a separate classification of cosolutes that have </w:t>
      </w:r>
      <w:r w:rsidR="00FF401B">
        <w:t xml:space="preserve">variable </w:t>
      </w:r>
      <w:r>
        <w:t>preferential interaction coefficients depending on solution conditions, which do not necessarily stabilise or destabilise the protein. It was hypothesised that this is due to a fine balance between preferential hydration and binding to the protein, which is dependent on the chemical nature of the protein surface itself, and as such will vary depending on the protein in question. Due to more of the protein surface being exposed during unfolding, it is possible that there will be more sites for preferential binding which will make the denatured state more energetically favourable and counteract the preferential hydration also taking pl</w:t>
      </w:r>
      <w:r w:rsidR="00A6541B">
        <w:t xml:space="preserve">ace. </w:t>
      </w:r>
    </w:p>
    <w:p w14:paraId="71C1190C" w14:textId="77777777" w:rsidR="00A6541B" w:rsidRDefault="00A6541B" w:rsidP="00F5265D">
      <w:r>
        <w:t xml:space="preserve">Another of Timasheff’s studies described lysine and arginine as extensively but weakly bound to RNase A despite having parameters of preferential hydration, due to the fact that the preferential hydration increased with increasing concentrations of the two cosolutes </w:t>
      </w:r>
      <w:r>
        <w:fldChar w:fldCharType="begin" w:fldLock="1"/>
      </w:r>
      <w:r w:rsidR="00054313">
        <w:instrText>ADDIN CSL_CITATION { "citationItems" : [ { "id" : "ITEM-1", "itemData" : { "DOI" : "10.1002/pro.5560050222", "ISSN" : "0961-8368", "PMID" : "8745416", "abstract" : "The stabilization of proteins by a variety of co-solvents can be related to their property of increasing the surface tension of water. It is demonstrated that, during the thermal unfolding of proteins, this increase of the surface tension can be overcome by the increase in the temperature of the solution at the midpoint of the transition, Tm, and the weak binding of co-solvent molecules. Three such co-solvents were studied: trehalose, lysine hydrochloride (LysHCl), and arginine hydrochloride (ArgHCl). Trehalose and LysHCl increase the midpoint of Tm. The increase of the surface tension by addition of trehalose is completely compensated by its decrease due to the increase in Tm. However, for LysHCl, the increase of the surface tension by the co-solvent is partly reduced by its binding to the protein. For trehalose, preferential interaction measurements with RNaseA demonstrate that it is totally excluded from the protein. In contrast, LysHCl gives evidence of binding to RNaseA. ArgHCl also increases the surface tension of water. Nevertheless, Tm of RNaseA decreases on addition of ArgHCl to the solution. Preferential interaction measurements showed very small values of preferential hydration of the native protein, indicating extensive binding of ArgHCl to the protein. During unfolding, the amount of additional ArgHCl binding is sufficiently large to counteract the surface tension effects, and the protein is destabilized. Therefore, although surface tension appears to be a critical factor in the stabilization of proteins, its increase by co-solvent does not ensure increased stabilization. The binding of ligands can reduce significantly, or even overwhelm, its effects.", "author" : [ { "dropping-particle" : "", "family" : "Lin", "given" : "T Y", "non-dropping-particle" : "", "parse-names" : false, "suffix" : "" }, { "dropping-particle" : "", "family" : "Timasheff", "given" : "S N", "non-dropping-particle" : "", "parse-names" : false, "suffix" : "" } ], "container-title" : "Protein Science", "id" : "ITEM-1", "issued" : { "date-parts" : [ [ "1996", "2" ] ] }, "page" : "372-381", "title" : "On the role of surface tension in the stabilization of globular proteins", "type" : "article-journal", "volume" : "5" }, "uris" : [ "http://www.mendeley.com/documents/?uuid=65a03a66-a695-45e1-93c7-9608d165afd9" ] } ], "mendeley" : { "formattedCitation" : "(Lin &amp; Timasheff 1996)", "plainTextFormattedCitation" : "(Lin &amp; Timasheff 1996)", "previouslyFormattedCitation" : "(Lin &amp; Timasheff 1996)" }, "properties" : { "noteIndex" : 0 }, "schema" : "https://github.com/citation-style-language/schema/raw/master/csl-citation.json" }</w:instrText>
      </w:r>
      <w:r>
        <w:fldChar w:fldCharType="separate"/>
      </w:r>
      <w:r w:rsidRPr="00A6541B">
        <w:rPr>
          <w:noProof/>
        </w:rPr>
        <w:t>(Lin &amp; Timasheff 1996)</w:t>
      </w:r>
      <w:r>
        <w:fldChar w:fldCharType="end"/>
      </w:r>
      <w:r>
        <w:t xml:space="preserve">. This is another example of how this measurement is often </w:t>
      </w:r>
      <w:r w:rsidR="005C0ACC">
        <w:t>misconstrued</w:t>
      </w:r>
      <w:r>
        <w:t xml:space="preserve">, and as such </w:t>
      </w:r>
      <w:r w:rsidR="00A0442C">
        <w:t xml:space="preserve">is </w:t>
      </w:r>
      <w:r>
        <w:t>not generally useful for describing the specific ways in which a cosolute acts on protein stability.</w:t>
      </w:r>
    </w:p>
    <w:p w14:paraId="17EAD0A1" w14:textId="77777777" w:rsidR="00F5265D" w:rsidRDefault="00F5265D" w:rsidP="00F5265D">
      <w:r>
        <w:lastRenderedPageBreak/>
        <w:t xml:space="preserve">When referring to cosolutes that are preferentially excluded from the protein surface independent of solution conditions Timasheff described the protein itself as being essentially ‘inert’ </w:t>
      </w:r>
      <w:r>
        <w:fldChar w:fldCharType="begin" w:fldLock="1"/>
      </w:r>
      <w:r w:rsidR="007228DB">
        <w:instrText>ADDIN CSL_CITATION { "citationItems" : [ { "id" : "ITEM-1", "itemData" : { "ISSN" : "0006-2960", "PMID" : "2331472", "abstract" : "The observed preferential hydration of proteins in aqueous MgCl2 solutions at low pH and low salt concentration (Arakawa et al., 1990) prompted a scrutiny of possible protein stabilization by MgCl2 under the same conditions, in view of earlier observations in aqueous solutions of sugars, amino acids, and a number of salts that preferential hydration is usually accompanied by the stabilization of the native structure of globular proteins. The results of thermal transition experiments on five proteins (ribonuclease A, lysozyme, beta-lactoglobulin, chymotrypsinogen, and bovine serum albumin) revealed neither significant stabilization nor destabilization of the protein structures by MgCl2 both at acid conditions (except for ribonuclease A, which was stabilized, but to a much smaller extent than by MgSO4) and at higher pH at which MgCl2 displayed little preferential hydration. This was in contrast to the great stabilizing action of MgSO4 at the same conditions. 2-Methyl-2,4-pentanediol (MPD), which gives a very large preferential hydration of native ribonuclease A at pH 5.8 [Pittz &amp; Timasheff (1978) Biochemistry 17, 615-623], was found to be a strong destabilizer of that protein at the same conditions. Analysis of the preferentially hydrating solvent systems led to their classification into two categories: those in which the preferential hydration is independent of solution conditions and those in which it varies with conditions. The first always stabilize protein structure, while the second do not. In the first category the predominant interaction is that of cosolvent exclusion, determined by solvent properties, with the protein being essentially inert. In the second category interactions are determined to a major extent by the chemical nature of the protein surface.(ABSTRACT TRUNCATED AT 250 WORDS)", "author" : [ { "dropping-particle" : "", "family" : "Arakawa", "given" : "T", "non-dropping-particle" : "", "parse-names" : false, "suffix" : "" }, { "dropping-particle" : "", "family" : "Bhat", "given" : "R", "non-dropping-particle" : "", "parse-names" : false, "suffix" : "" }, { "dropping-particle" : "", "family" : "Timasheff", "given" : "S N", "non-dropping-particle" : "", "parse-names" : false, "suffix" : "" } ], "container-title" : "Biochemistry", "id" : "ITEM-1", "issued" : { "date-parts" : [ [ "1990", "2", "20" ] ] }, "page" : "1924-1931", "title" : "Why preferential hydration does not always stabilize the native structure of globular proteins", "type" : "article-journal", "volume" : "29" }, "uris" : [ "http://www.mendeley.com/documents/?uuid=61b7a28f-fca0-495a-8c72-de8e73c0c221" ] } ], "mendeley" : { "formattedCitation" : "(Arakawa et al. 1990b)", "plainTextFormattedCitation" : "(Arakawa et al. 1990b)", "previouslyFormattedCitation" : "(Arakawa et al. 1990b)" }, "properties" : { "noteIndex" : 0 }, "schema" : "https://github.com/citation-style-language/schema/raw/master/csl-citation.json" }</w:instrText>
      </w:r>
      <w:r>
        <w:fldChar w:fldCharType="separate"/>
      </w:r>
      <w:r w:rsidR="0064368A" w:rsidRPr="0064368A">
        <w:rPr>
          <w:noProof/>
        </w:rPr>
        <w:t>(Arakawa et al. 1990b)</w:t>
      </w:r>
      <w:r>
        <w:fldChar w:fldCharType="end"/>
      </w:r>
      <w:r>
        <w:t xml:space="preserve">. However, as the protein surface can never be considered as an inert sphere due to its heterogeneous nature and ability to participate in various interactions </w:t>
      </w:r>
      <w:r>
        <w:fldChar w:fldCharType="begin" w:fldLock="1"/>
      </w:r>
      <w:r>
        <w:instrText>ADDIN CSL_CITATION { "citationItems" : [ { "id" : "ITEM-1", "itemData" : { "ISSN" : "0033-5835", "PMID" : "8783394", "abstract" : "More than 60 years after the analyses by Linderstrom-Lang and Kirkwood of their hypothetical 'protein' structures, we have now a plethora of experimental evidence and computational estimates of the electrostatic forces in proteins, with very many protein 3D structures at atomic resolution. In the mean time, there were in the beginning, many arguments and suggestions about the roles of electrostatics, mainly from empirical findings and tendencies. A few experimental results indicated that the electrostatic contribution is of the order of several kcal/mol, which was theoretically difficult to reproduce correctly, because a large opposing reaction field should be subtracted from a large, direct Coulombic field. Although the importance of the reaction field was recognized even 70 years ago, appropriate applications to protein molecules were made only in this decade, with the development of numerical computation. Now, an electrostatic molecular surface is one of the most popular pictures in journals of structural biology, indicating that the electrostatic force is one of the important components contributing to molecular recognition, which is a major focus of current biology and biochemistry. The development of NMR techniques has made it possible to observe the individual ionizations of ionizable groups in a protein, in addition to the determination of the 3D structure. Since it does not require any additional probe, each charge state can report the very local and heterogeneous electrostatic potentials working in the protein, without disturbing the original field. From the pKa values, the contributions of electrostatic interactions, ion pairs, charge-dipole interactions, and hydrogen bonds to protein stability have been correctly evaluated. Protein engineering also provides much more information than that obtainable from the native proteins, as the residues concerned can now be easily substituted with other amino acid residues having electrostatically different characteristics. Those experimental results have revealed smaller contributions than previously expected, probably because we underestimated the reaction field effects. Especially, a single ion pair stabilizes a protein only slightly, although a cooperative salt-bridge network can contribute significantly to protein stability. Marginal stabilities of proteins arise from small difference between many factors with driving and opposing forces. In spite of the small contribution of each single electrostat\u2026", "author" : [ { "dropping-particle" : "", "family" : "Nakamura", "given" : "H", "non-dropping-particle" : "", "parse-names" : false, "suffix" : "" } ], "container-title" : "Quarterly Review of Biophysics", "id" : "ITEM-1", "issued" : { "date-parts" : [ [ "1996", "2" ] ] }, "page" : "1-90", "title" : "Roles of electrostatic interaction in proteins", "type" : "article-journal", "volume" : "29" }, "uris" : [ "http://www.mendeley.com/documents/?uuid=29427d9d-6dd6-419c-b028-5a2963ef7eb5" ] } ], "mendeley" : { "formattedCitation" : "(Nakamura 1996)", "plainTextFormattedCitation" : "(Nakamura 1996)", "previouslyFormattedCitation" : "(Nakamura 1996)" }, "properties" : { "noteIndex" : 0 }, "schema" : "https://github.com/citation-style-language/schema/raw/master/csl-citation.json" }</w:instrText>
      </w:r>
      <w:r>
        <w:fldChar w:fldCharType="separate"/>
      </w:r>
      <w:r w:rsidRPr="007922FD">
        <w:rPr>
          <w:noProof/>
        </w:rPr>
        <w:t>(Nakamura 1996)</w:t>
      </w:r>
      <w:r>
        <w:fldChar w:fldCharType="end"/>
      </w:r>
      <w:r>
        <w:t xml:space="preserve">, it is highly likely that in reality all cosolutes experience this fine balance between preferential interaction and preferential hydration. In fact more recent VPO experiments demonstrated that even the most preferentially excluded cosolute, </w:t>
      </w:r>
      <w:r w:rsidR="008A2DF5">
        <w:t>betaine</w:t>
      </w:r>
      <w:r>
        <w:t xml:space="preserve">, was excluded by less than a monolayer of water </w:t>
      </w:r>
      <w:r>
        <w:fldChar w:fldCharType="begin" w:fldLock="1"/>
      </w:r>
      <w:r>
        <w:instrText>ADDIN CSL_CITATION { "citationItems" : [ { "id" : "ITEM-1", "itemData" : { "ISSN" : "0006-2960", "PMID" : "10757995", "abstract" : "To interpret or to predict the responses of biopolymer processes in vivo and in vitro to changes in solute concentration and to coupled changes in water activity (osmotic stress), a quantitative understanding of the thermodynamic consequences of interactions of solutes and water with biopolymer surfaces is required. To this end, we report isoosmolal preferential interaction coefficients (Gamma(mu1) determined by vapor pressure osmometry (VPO) over a wide range of concentrations for interactions between native bovine serum albumin (BSA) and six small solutes. These include Escherichia coli cytoplasmic osmolytes [potassium glutamate (K(+)Glu(-)), trehalose], E. coli osmoprotectants (proline, glycine betaine), and also glycerol and trimethylamine N-oxide (TMAO). For all six solutes, Gamma(mu1) and the corresponding dialysis preferential interaction coefficient Gamma(mu1),(mu3) (both calculated from the VPO data) are negative; Gamma(mu1), (mu3) is proportional to bulk solute molality (m(bulk)3) at least up to 1 m (molal). Negative values of Gamma(mu1),(mu3) indicate preferential exclusion of these solutes from a BSA solution at dialysis equilibrium and correspond to local concentrations of these solutes in the vicinity of BSA which are lower than their bulk concentrations. Of the solutes investigated, betaine is the most excluded (Gamma(mu1),(mu3)/m(bulk)3 = -49 +/- 1 m(-1)); glycerol is the least excluded (Gamma(mu1),(mu3)/m(bulk)3 = -10 +/- 1 m(-1)). Between these extremes, the magnitude of Gamma(mu1),(mu3)/m(bulk)3 decreases in the order glycine betaine &gt; proline &gt;TMAO &gt; trehalose approximately K(+)Glu(-) &gt; glycerol. The order of exclusion of E. coli osmolytes from BSA surface correlates with their effectiveness as osmoprotectants, which increase the growth rate of E. coli at high external osmolality. For the most excluded solute (betaine), Gamma(mu1),(mu3) provides a minimum estimate of the hydration of native BSA of approximately 2.8 x 10(3) H(2)O/BSA, which corresponds to slightly less than a monolayer (estimated to be approximately 3.2 x 10(3) H(2)O). Consequently, of the solutes investigated here, only betaine might be suitable for use in osmotic stress experiments in vitro as a direct probe to quantify changes in hydration of protein surface in biopolymer processes. More generally, however, our results and analysis lead to the proposal that any of these solutes can be used to quantify changes in water-accessible surface area (ASA) in biopolymer pro\u2026", "author" : [ { "dropping-particle" : "", "family" : "Courtenay", "given" : "E S", "non-dropping-particle" : "", "parse-names" : false, "suffix" : "" }, { "dropping-particle" : "", "family" : "Capp", "given" : "M W", "non-dropping-particle" : "", "parse-names" : false, "suffix" : "" }, { "dropping-particle" : "", "family" : "Anderson", "given" : "C F", "non-dropping-particle" : "", "parse-names" : false, "suffix" : "" }, { "dropping-particle" : "", "family" : "Record", "given" : "M T", "non-dropping-particle" : "", "parse-names" : false, "suffix" : "" } ], "container-title" : "Biochemistry", "id" : "ITEM-1", "issued" : { "date-parts" : [ [ "2000", "4", "18" ] ] }, "page" : "4455-4471", "title" : "Vapor pressure osmometry studies of osmolyte-protein interactions: Implications for the action of osmoprotectants in vivo and for the interpretation of \"osmotic stress\" experiments in vitro", "type" : "article-journal", "volume" : "39" }, "uris" : [ "http://www.mendeley.com/documents/?uuid=6089abc7-371a-47e3-9bee-c5bbc756b769" ] } ], "mendeley" : { "formattedCitation" : "(Courtenay et al. 2000)", "plainTextFormattedCitation" : "(Courtenay et al. 2000)", "previouslyFormattedCitation" : "(Courtenay et al. 2000)" }, "properties" : { "noteIndex" : 0 }, "schema" : "https://github.com/citation-style-language/schema/raw/master/csl-citation.json" }</w:instrText>
      </w:r>
      <w:r>
        <w:fldChar w:fldCharType="separate"/>
      </w:r>
      <w:r w:rsidRPr="00CF025A">
        <w:rPr>
          <w:noProof/>
        </w:rPr>
        <w:t>(Courtenay et al. 2000)</w:t>
      </w:r>
      <w:r>
        <w:fldChar w:fldCharType="end"/>
      </w:r>
      <w:r>
        <w:t>.</w:t>
      </w:r>
    </w:p>
    <w:p w14:paraId="2652804A" w14:textId="77777777" w:rsidR="00EA74F0" w:rsidRDefault="00781D82" w:rsidP="00EA74F0">
      <w:pPr>
        <w:pStyle w:val="Heading4"/>
      </w:pPr>
      <w:r>
        <w:t>Effect of cosolutes on p</w:t>
      </w:r>
      <w:r w:rsidR="005F10D1">
        <w:t>rotein hydration</w:t>
      </w:r>
    </w:p>
    <w:p w14:paraId="46105B84" w14:textId="77777777" w:rsidR="005F10D1" w:rsidRDefault="00B624C5" w:rsidP="005F10D1">
      <w:r>
        <w:t xml:space="preserve">Preferential hydration data cannot by itself describe changes to protein hydration caused by small molecules but some research by a number of groups has described potential </w:t>
      </w:r>
      <w:r w:rsidR="00076F1A">
        <w:t>perturbations</w:t>
      </w:r>
      <w:r>
        <w:t xml:space="preserve"> of protein hydration caused by the presence of small molecules in solution that </w:t>
      </w:r>
      <w:r w:rsidR="00787036">
        <w:t>do</w:t>
      </w:r>
      <w:r w:rsidR="00641447">
        <w:t xml:space="preserve"> not directly interact</w:t>
      </w:r>
      <w:r>
        <w:t xml:space="preserve"> with the protein itself. </w:t>
      </w:r>
    </w:p>
    <w:p w14:paraId="7C93BF7A" w14:textId="77777777" w:rsidR="00DA312E" w:rsidRDefault="00DA312E" w:rsidP="005F10D1">
      <w:r>
        <w:t xml:space="preserve">A Gadolinium </w:t>
      </w:r>
      <w:r w:rsidR="005C0ACC">
        <w:t>(Gd</w:t>
      </w:r>
      <w:r w:rsidR="005C0ACC" w:rsidRPr="00DA312E">
        <w:rPr>
          <w:vertAlign w:val="superscript"/>
        </w:rPr>
        <w:t>3+</w:t>
      </w:r>
      <w:r w:rsidR="005C0ACC">
        <w:t xml:space="preserve">) </w:t>
      </w:r>
      <w:r>
        <w:t>vibronic sideband luminescence spectroscopy (GVSBLS) experiment  used the ability of this technique to give a vibrational spectrum derived purely from molecules surrounding Gd</w:t>
      </w:r>
      <w:r w:rsidRPr="00DA312E">
        <w:rPr>
          <w:vertAlign w:val="superscript"/>
        </w:rPr>
        <w:t>3+</w:t>
      </w:r>
      <w:r>
        <w:t xml:space="preserve"> to probe </w:t>
      </w:r>
      <w:r w:rsidR="00054313">
        <w:t>cosolute influence</w:t>
      </w:r>
      <w:r>
        <w:t xml:space="preserve"> on hydration waters of Gd</w:t>
      </w:r>
      <w:r w:rsidRPr="00DA312E">
        <w:rPr>
          <w:vertAlign w:val="superscript"/>
        </w:rPr>
        <w:t>3+</w:t>
      </w:r>
      <w:r>
        <w:t xml:space="preserve"> bound to calcium binding peptides</w:t>
      </w:r>
      <w:r w:rsidR="00054313">
        <w:t xml:space="preserve"> </w:t>
      </w:r>
      <w:r w:rsidR="00054313">
        <w:fldChar w:fldCharType="begin" w:fldLock="1"/>
      </w:r>
      <w:r w:rsidR="00924827">
        <w:instrText>ADDIN CSL_CITATION { "citationItems" : [ { "id" : "ITEM-1", "itemData" : { "DOI" : "10.1021/jp404780c", "ISSN" : "1520-5207", "PMID" : "23992436", "abstract" : "Results concerning the thermostability of hen egg white lysozyme in aqueous solutions with stabilizing osmolytes, trimethylamine-N-oxide (TMAO), glycine (Gly), and its N-methyl derivatives, N-methylglycine (NMG), N,N-dimethylglycine (DMG), and N,N,N-trimethylglycine (betaine, TMG), have been presented. The combination of spectroscopic (IR) and calorimetric (DSC) data allowed us to establish a link between osmolytes' influence on water structure and their ability to thermally stabilize protein molecule. Structural and energetic characteristics of stabilizing osmolytes' and lysozyme's hydration water appear to be very similar. The osmolytes increase lysozyme stabilization in the order bulk water &lt; TMAO &lt; TMG &lt; Gly &lt; DMG &lt; NMG, which is consistent with the order corresponding to the value of the most probable oxygen-oxygen distance of water molecules affected by osmolytes in their surrounding. Obtained results verified the hypothesis concerning the role of water molecules in protein stabilization, explained the osmophobic effect, and finally helped to bring us nearer to the exact mechanism of protein stabilization by osmolytes.", "author" : [ { "dropping-particle" : "", "family" : "Bru\u017adziak", "given" : "P", "non-dropping-particle" : "", "parse-names" : false, "suffix" : "" }, { "dropping-particle" : "", "family" : "Panuszko", "given" : "A", "non-dropping-particle" : "", "parse-names" : false, "suffix" : "" }, { "dropping-particle" : "", "family" : "Stangret", "given" : "J", "non-dropping-particle" : "", "parse-names" : false, "suffix" : "" } ], "container-title" : "Journal of Physical Chemistry B", "id" : "ITEM-1", "issued" : { "date-parts" : [ [ "2013", "9", "17" ] ] }, "page" : "11502-11508", "title" : "Influence of osmolytes on protein and water structure: A step to understanding the mechanism of protein stabilization", "type" : "article-journal", "volume" : "117" }, "uris" : [ "http://www.mendeley.com/documents/?uuid=a4df47ed-7242-4023-89b6-a1f28cc16a1d" ] } ], "mendeley" : { "formattedCitation" : "(Bru\u017adziak et al. 2013)", "plainTextFormattedCitation" : "(Bru\u017adziak et al. 2013)", "previouslyFormattedCitation" : "(Bru\u017adziak et al. 2013)" }, "properties" : { "noteIndex" : 0 }, "schema" : "https://github.com/citation-style-language/schema/raw/master/csl-citation.json" }</w:instrText>
      </w:r>
      <w:r w:rsidR="00054313">
        <w:fldChar w:fldCharType="separate"/>
      </w:r>
      <w:r w:rsidR="00054313" w:rsidRPr="00054313">
        <w:rPr>
          <w:noProof/>
        </w:rPr>
        <w:t>(Bruździak et al. 2013)</w:t>
      </w:r>
      <w:r w:rsidR="00054313">
        <w:fldChar w:fldCharType="end"/>
      </w:r>
      <w:r>
        <w:t xml:space="preserve">. </w:t>
      </w:r>
      <w:r w:rsidR="00054313">
        <w:t xml:space="preserve">It was found that non-denaturing concentrations of urea caused weakening of the hydrogen bonds in the peptide hydration water, but this effect was subsequently reversed at higher urea concentrations, probably due to the unfolding of secondary structure. The same study also found polyols to enhance hydrogen bonding in the hydration shell, which would result in a higher enthalpy of unfolding </w:t>
      </w:r>
      <w:r w:rsidR="00076F1A">
        <w:t>due to</w:t>
      </w:r>
      <w:r w:rsidR="00054313">
        <w:t xml:space="preserve"> hydration of the apolar core of the protein. However, the same experiment also demonstrated an effect of polyols on the structure of bulk water, which is not thought to be true</w:t>
      </w:r>
      <w:r w:rsidR="00076F1A">
        <w:t xml:space="preserve"> (see section </w:t>
      </w:r>
      <w:r w:rsidR="00076F1A">
        <w:fldChar w:fldCharType="begin"/>
      </w:r>
      <w:r w:rsidR="00076F1A">
        <w:instrText xml:space="preserve"> REF _Ref456083118 \r \h </w:instrText>
      </w:r>
      <w:r w:rsidR="00076F1A">
        <w:fldChar w:fldCharType="separate"/>
      </w:r>
      <w:r w:rsidR="00AA6926">
        <w:t>1.4.3.1</w:t>
      </w:r>
      <w:r w:rsidR="00076F1A">
        <w:fldChar w:fldCharType="end"/>
      </w:r>
      <w:r w:rsidR="00076F1A">
        <w:t>)</w:t>
      </w:r>
      <w:r w:rsidR="00054313">
        <w:t>.</w:t>
      </w:r>
    </w:p>
    <w:p w14:paraId="4B259412" w14:textId="77777777" w:rsidR="00054313" w:rsidRDefault="00054313" w:rsidP="005F10D1">
      <w:r>
        <w:t>More recently a</w:t>
      </w:r>
      <w:r w:rsidR="00AE68C1">
        <w:t>n experiment using</w:t>
      </w:r>
      <w:r>
        <w:t xml:space="preserve"> THz-TDS, which can be used to detect overlapping extended hydration layers (see introduction to section </w:t>
      </w:r>
      <w:r>
        <w:fldChar w:fldCharType="begin"/>
      </w:r>
      <w:r>
        <w:instrText xml:space="preserve"> REF _Ref458439266 \r \h </w:instrText>
      </w:r>
      <w:r>
        <w:fldChar w:fldCharType="separate"/>
      </w:r>
      <w:r w:rsidR="00AA6926">
        <w:t>1.4.3</w:t>
      </w:r>
      <w:r>
        <w:fldChar w:fldCharType="end"/>
      </w:r>
      <w:r>
        <w:t xml:space="preserve">), demonstrated the alteration of the hydration layers surrounding </w:t>
      </w:r>
      <w:r w:rsidR="00787036">
        <w:t xml:space="preserve">a </w:t>
      </w:r>
      <w:r w:rsidR="00AE68C1">
        <w:t xml:space="preserve">concentrated </w:t>
      </w:r>
      <w:r w:rsidR="00076F1A">
        <w:t xml:space="preserve">monoclonal antibody </w:t>
      </w:r>
      <w:r w:rsidR="00076F1A">
        <w:lastRenderedPageBreak/>
        <w:t>(</w:t>
      </w:r>
      <w:r>
        <w:t>mAb1</w:t>
      </w:r>
      <w:r w:rsidR="00076F1A">
        <w:t>)</w:t>
      </w:r>
      <w:r>
        <w:t xml:space="preserve"> by the presence of proline and sucrose </w:t>
      </w:r>
      <w:r w:rsidR="00AE68C1">
        <w:t xml:space="preserve">in solution, but not arginine. At lower concentrations of mAb1 proline and arginine altered the hydration layer but sucrose did not </w:t>
      </w:r>
      <w:r w:rsidR="00AE68C1">
        <w:fldChar w:fldCharType="begin" w:fldLock="1"/>
      </w:r>
      <w:r w:rsidR="000629E2">
        <w:instrText>ADDIN CSL_CITATION { "citationItems" : [ { "id" : "ITEM-1", "itemData" : { "DOI" : "10.1002/jps.24630", "ISSN" : "00223549", "author" : [ { "dropping-particle" : "", "family" : "Wallace", "given" : "V P", "non-dropping-particle" : "", "parse-names" : false, "suffix" : "" }, { "dropping-particle" : "", "family" : "Ferachou", "given" : "D", "non-dropping-particle" : "", "parse-names" : false, "suffix" : "" }, { "dropping-particle" : "", "family" : "Ke", "given" : "P", "non-dropping-particle" : "", "parse-names" : false, "suffix" : "" }, { "dropping-particle" : "", "family" : "Day", "given" : "K", "non-dropping-particle" : "", "parse-names" : false, "suffix" : "" }, { "dropping-particle" : "", "family" : "Uddin", "given" : "S", "non-dropping-particle" : "", "parse-names" : false, "suffix" : "" }, { "dropping-particle" : "", "family" : "Casas-Finet", "given" : "J", "non-dropping-particle" : "", "parse-names" : false, "suffix" : "" }, { "dropping-particle" : "", "family" : "Walle", "given" : "C F", "non-dropping-particle" : "Van Der", "parse-names" : false, "suffix" : "" }, { "dropping-particle" : "", "family" : "Falconer", "given" : "R J", "non-dropping-particle" : "", "parse-names" : false, "suffix" : "" }, { "dropping-particle" : "", "family" : "Zeitler", "given" : "J A", "non-dropping-particle" : "", "parse-names" : false, "suffix" : "" } ], "container-title" : "Journal of Pharmaceutical Sciences", "id" : "ITEM-1", "issued" : { "date-parts" : [ [ "2015" ] ] }, "page" : "4025-4033", "title" : "Modulation of the hydration water around monoclonal antibodies on addition of excipients detected by terahertz time-domain spectroscopy", "type" : "article-journal", "volume" : "104" }, "uris" : [ "http://www.mendeley.com/documents/?uuid=ac3f3a07-e87f-4a2e-98a1-079ba19717b6" ] } ], "mendeley" : { "formattedCitation" : "(Wallace et al. 2015)", "plainTextFormattedCitation" : "(Wallace et al. 2015)", "previouslyFormattedCitation" : "(Wallace et al. 2015)" }, "properties" : { "noteIndex" : 0 }, "schema" : "https://github.com/citation-style-language/schema/raw/master/csl-citation.json" }</w:instrText>
      </w:r>
      <w:r w:rsidR="00AE68C1">
        <w:fldChar w:fldCharType="separate"/>
      </w:r>
      <w:r w:rsidR="00AE68C1" w:rsidRPr="00AE68C1">
        <w:rPr>
          <w:noProof/>
        </w:rPr>
        <w:t>(Wallace et al. 2015)</w:t>
      </w:r>
      <w:r w:rsidR="00AE68C1">
        <w:fldChar w:fldCharType="end"/>
      </w:r>
      <w:r w:rsidR="00AE68C1">
        <w:t>. Although the experiment proved that ‘excluded’ cosolutes can perturb the protein hydration shell, this did not correspond to the cosolutes’ effects on protein stability, and as such cannot currently be accurately used as a potential mechanism for cosolutes. There are many more examples of the alteration of protein hydration shell structure and dynamics by cosolutes, but many of these are thought to be a result of how water interacts with the cosolute itself, or cosolute hydration, discussed in the next section.</w:t>
      </w:r>
    </w:p>
    <w:p w14:paraId="7BAE4DFA" w14:textId="77777777" w:rsidR="00EA74F0" w:rsidRDefault="00EA74F0" w:rsidP="00EA74F0">
      <w:pPr>
        <w:pStyle w:val="Heading4"/>
      </w:pPr>
      <w:bookmarkStart w:id="74" w:name="_Ref456105943"/>
      <w:bookmarkStart w:id="75" w:name="_Ref462648934"/>
      <w:r>
        <w:t>Cosolute hydration</w:t>
      </w:r>
      <w:bookmarkEnd w:id="74"/>
      <w:bookmarkEnd w:id="75"/>
    </w:p>
    <w:p w14:paraId="68F26F0C" w14:textId="77777777" w:rsidR="00663DFF" w:rsidRDefault="00663DFF" w:rsidP="00663DFF">
      <w:r>
        <w:t xml:space="preserve">It has long been known that the hydration of stabilising and destabilising Hofmeister salts differs. Collins demonstrated that high charge density ions, or kosmotropes (stabilisers), strongly bind the water molecules present in their hydration shell, whereas low charge density ions, or chaotropes (destabilisers), are weakly hydrated </w:t>
      </w:r>
      <w:r>
        <w:fldChar w:fldCharType="begin" w:fldLock="1"/>
      </w:r>
      <w:r>
        <w:instrText>ADDIN CSL_CITATION { "citationItems" : [ { "id" : "ITEM-1", "itemData" : { "DOI" : "10.1016/S0006-3495(97)78647-8", "ISBN" : "0006-3495", "ISSN" : "00063495", "PMID" : "8994593", "abstract" : "Small ions of high charge density (kosmotropes) bind water molecules strongly, whereas large monovalent ions of low charge density (chaotropes) bind water molecules weakly relative to the strength of water-water interactions in bulk solution. The standard heat of solution of a crystalline alkali halide is shown here to be negative (exothermic) only when one ion is a kosmotrope and the ion of opposite charge is a chaotrope; this standard heat of solution is known to become proportionally more positive as the difference between the absolute heats of hydration of the corresponding gaseous anion and cation decreases. This suggests that inner sphere ion pairs are preferentially formed between oppositely charged ions with matching absolute enthalpies of hydration, and that biological organization arises from the noncovalent association of moieties with matching absolute free energies of solution, except where free energy is expended to keep them apart. The major intracellular anions (phosphates and carboxylates) are kosmotropes, whereas the major intracellular monovalent cations (K+; arg, his, and lys side chains) are chaotropes; together they form highly soluble, solvent-separated ion pairs that keep the contents of the cell in solution.", "author" : [ { "dropping-particle" : "", "family" : "Collins", "given" : "K D", "non-dropping-particle" : "", "parse-names" : false, "suffix" : "" } ], "container-title" : "Biophysical Journal", "id" : "ITEM-1", "issued" : { "date-parts" : [ [ "1997" ] ] }, "page" : "65-76", "publisher" : "Elsevier", "title" : "Charge density-dependent strength of hydration and biological structure", "type" : "article-journal", "volume" : "72" }, "uris" : [ "http://www.mendeley.com/documents/?uuid=a10acee0-c2ea-49b4-a5cb-997c68b0a48f" ] } ], "mendeley" : { "formattedCitation" : "(Collins 1997)", "plainTextFormattedCitation" : "(Collins 1997)", "previouslyFormattedCitation" : "(Collins 1997)" }, "properties" : { "noteIndex" : 0 }, "schema" : "https://github.com/citation-style-language/schema/raw/master/csl-citation.json" }</w:instrText>
      </w:r>
      <w:r>
        <w:fldChar w:fldCharType="separate"/>
      </w:r>
      <w:r w:rsidRPr="00663DFF">
        <w:rPr>
          <w:noProof/>
        </w:rPr>
        <w:t>(Collins 1997)</w:t>
      </w:r>
      <w:r>
        <w:fldChar w:fldCharType="end"/>
      </w:r>
      <w:r>
        <w:t xml:space="preserve">. </w:t>
      </w:r>
      <w:r w:rsidR="00076F1A">
        <w:t>He</w:t>
      </w:r>
      <w:r>
        <w:t xml:space="preserve"> also proved that the transition between strong and weak hydration occurred at the point at which ion-water interactions were equal in strength to water-water interactions, and that the weakly hydrated ions could be ‘pushed’ onto apolar surfaces as a result of stronger water-water interactions </w:t>
      </w:r>
      <w:r>
        <w:fldChar w:fldCharType="begin" w:fldLock="1"/>
      </w:r>
      <w:r w:rsidR="00107A4A">
        <w:instrText>ADDIN CSL_CITATION { "citationItems" : [ { "id" : "ITEM-1", "itemData" : { "DOI" : "10.1073/pnas.92.12.5553", "ISSN" : "0027-8424", "PMID" : "7539920", "abstract" : "Aqueous gel sieving chromatography on Sephadex G-10 of the Group IA cations (Li+, Na+, K+, Rb+, Cs+) plus NH4+ as the Cl- salts, in combination with previous results for the halide anions (F-, Cl-, Br-, I-) as the Na+ salts [Washabaugh, M.W. &amp; Collins, K.D. (1986) J. Biol. Chem. 261, 12477-12485], leads to the following conclusions. (i) The small monovalent ions (Li+, Na+, F-) flow through the gel with water molecules attached, whereas the large monovalent ions (K+, Rb+, Cs+, Cl-, Br-, I-) adsorb to the nonpolar surface of the gel, a process requiring partial dehydration of the ion and implying that these ions bind the immediately adjacent water molecules weakly. (ii) The transition from strong to weak hydration occurs at a radius of about 1.78 A for the monovalent anions, compared with a radius of about 1.06 A for the monovalent cations (using ionic radii), indicating that the anions are more strongly hydrated than the cations for a given charge density. (iii) The anions show larger deviations from ideal behavior (an elution position corresponding to the anhydrous molecular weight) than do the cations and dominate the chromatographic behavior of the neutral salts. These results are interpreted to mean that weakly hydrated ions (chaotropes) are \"pushed\" onto weakly hydrated surfaces by strong water-water interactions and that the transition from strong ionic hydration to weak ionic hydration occurs where the strength of ion-water interactions approximately equals the strength of water-water interactions in bulk solution.", "author" : [ { "dropping-particle" : "", "family" : "Collins", "given" : "K D", "non-dropping-particle" : "", "parse-names" : false, "suffix" : "" } ], "container-title" : "Proceedings of the National Academy of Sciences of the United States of America", "id" : "ITEM-1", "issued" : { "date-parts" : [ [ "1995" ] ] }, "page" : "5553-5557", "title" : "Sticky ions in biological systems", "type" : "article-journal", "volume" : "92" }, "uris" : [ "http://www.mendeley.com/documents/?uuid=0946f1f7-9d90-41a6-bccc-8475b46985cb" ] } ], "mendeley" : { "formattedCitation" : "(Collins 1995)", "plainTextFormattedCitation" : "(Collins 1995)", "previouslyFormattedCitation" : "(Collins 1995)" }, "properties" : { "noteIndex" : 0 }, "schema" : "https://github.com/citation-style-language/schema/raw/master/csl-citation.json" }</w:instrText>
      </w:r>
      <w:r>
        <w:fldChar w:fldCharType="separate"/>
      </w:r>
      <w:r w:rsidRPr="00663DFF">
        <w:rPr>
          <w:noProof/>
        </w:rPr>
        <w:t>(Collins 1995)</w:t>
      </w:r>
      <w:r>
        <w:fldChar w:fldCharType="end"/>
      </w:r>
      <w:r>
        <w:t xml:space="preserve">. </w:t>
      </w:r>
      <w:r w:rsidR="00107A4A">
        <w:t xml:space="preserve">Based on these results it was suggested that ion pairs were preferentially formed between oppositely charged ions with similar enthalpies of hydration. Collins </w:t>
      </w:r>
      <w:r w:rsidR="00787036">
        <w:t>and</w:t>
      </w:r>
      <w:r w:rsidR="00107A4A">
        <w:t xml:space="preserve"> co</w:t>
      </w:r>
      <w:r w:rsidR="00D825E3">
        <w:t>-</w:t>
      </w:r>
      <w:r w:rsidR="00107A4A">
        <w:t>workers also found destabilis</w:t>
      </w:r>
      <w:r w:rsidR="00F70AD5">
        <w:t>ing small molecules</w:t>
      </w:r>
      <w:r w:rsidR="00107A4A">
        <w:t xml:space="preserve"> such as urea to be equally weakly hydrated, and that stronger stabilisers (referred to as stronger kosmotropes) were the most strongly hydrated </w:t>
      </w:r>
      <w:r w:rsidR="00107A4A">
        <w:fldChar w:fldCharType="begin" w:fldLock="1"/>
      </w:r>
      <w:r w:rsidR="00107A4A">
        <w:instrText>ADDIN CSL_CITATION { "citationItems" : [ { "id" : "ITEM-1", "itemData" : { "ISSN" : "00219258", "PMID" : "2875071", "abstract" : "We have systematically characterized, by aqueous column chromatography on a size exclusion cross-linked dextran gel (Sephadex G-10), 12 solutes, 11 of which are known to affect protein stability. Six are chaotropes (water structure breakers) and destabilize proteins, while five are polar kosmotropes (polar water structure makers) and stabilize proteins. Analysis of the chromatographic behavior of these neutral (ethylene glycol, urea), positively charged (Tris, guanidine, as the hydrochloride salts) and negatively charged (SO2-4, HPO2-4, F-, Cl-, Br-, Cl3CCO-2, I-, SCN-, as the sodium salts, in order of elution) solutes at pH 7 as a function of sample concentration (up to 0.6 M), supporting electrolyte, and temperature yields four conclusions, based largely on the behavior of the anions. Chaotropes adsorb to the gel according to their position in the Hofmeister series, with the most chaotropic species adsorbing most strongly. ++Chaotropes adsorb to the gel less strongly in the presence of chaotropes (a salting in effect) and more strongly in the presence of polar kosmotropes (a salting out effect). Polar kosmotropes do not adsorb to the gel, and are sieved through the gel according to their position in the Hofmeister series, with the most kosmotropic species having the largest relative hydrodynamic radii. The hydrodynamic radii of polar kosmotropes is increased by chaotropes and decreased by polar kosmotropes. These results suggest that a chaotrope interacts with the first layer of immediately adjacent water molecules somewhat less strongly than would bulk water in its place; a polar kosmotrope, more strongly.", "author" : [ { "dropping-particle" : "", "family" : "Washabaugh", "given" : "M W", "non-dropping-particle" : "", "parse-names" : false, "suffix" : "" }, { "dropping-particle" : "", "family" : "Collins", "given" : "K D", "non-dropping-particle" : "", "parse-names" : false, "suffix" : "" } ], "container-title" : "Journal of Biological Chemistry", "id" : "ITEM-1", "issued" : { "date-parts" : [ [ "1986" ] ] }, "page" : "12477-12485", "title" : "The systematic characterization by aqueous column chromatography of solutes which affect protein stability", "type" : "article-journal", "volume" : "261" }, "uris" : [ "http://www.mendeley.com/documents/?uuid=aad8d762-f2d4-4000-a3e5-5f0e29338c36" ] } ], "mendeley" : { "formattedCitation" : "(Washabaugh &amp; Collins 1986)", "plainTextFormattedCitation" : "(Washabaugh &amp; Collins 1986)", "previouslyFormattedCitation" : "(Washabaugh &amp; Collins 1986)" }, "properties" : { "noteIndex" : 0 }, "schema" : "https://github.com/citation-style-language/schema/raw/master/csl-citation.json" }</w:instrText>
      </w:r>
      <w:r w:rsidR="00107A4A">
        <w:fldChar w:fldCharType="separate"/>
      </w:r>
      <w:r w:rsidR="00107A4A" w:rsidRPr="00107A4A">
        <w:rPr>
          <w:noProof/>
        </w:rPr>
        <w:t>(Washabaugh &amp; Collins 1986)</w:t>
      </w:r>
      <w:r w:rsidR="00107A4A">
        <w:fldChar w:fldCharType="end"/>
      </w:r>
      <w:r w:rsidR="00107A4A">
        <w:t>.</w:t>
      </w:r>
    </w:p>
    <w:p w14:paraId="379B09AF" w14:textId="77777777" w:rsidR="00107A4A" w:rsidRPr="00663DFF" w:rsidRDefault="00107A4A" w:rsidP="00663DFF">
      <w:r>
        <w:t xml:space="preserve">This is a theory that still holds true, and appears to be one of the characteristics that is most clearly </w:t>
      </w:r>
      <w:r w:rsidR="00D825E3">
        <w:t xml:space="preserve">distinguished </w:t>
      </w:r>
      <w:r>
        <w:t xml:space="preserve">between stabilisers and destabilisers. A recent molecular dynamics simulation of a number of ‘extremolytes’, osmolytes accumulated in extremophiles, not only showed more pronounced ordering of hydrogen bonds in the extremolytes’ hydration shells, but also more water molecules in the hydration shell compared to that of urea </w:t>
      </w:r>
      <w:r>
        <w:fldChar w:fldCharType="begin" w:fldLock="1"/>
      </w:r>
      <w:r w:rsidR="00C71589">
        <w:instrText>ADDIN CSL_CITATION { "citationItems" : [ { "id" : "ITEM-1", "itemData" : { "DOI" : "10.1016/j.bpc.2011.09.007", "ISSN" : "1873-4200", "PMID" : "22014723", "abstract" : "We have performed Molecular Dynamics simulations of ectoine, hydroxyectoine and urea in explicit solvent. Special attention has been spent on the local surrounding structure of water molecules. Our results indicate that ectoine and hydroxyectoine are able to accumulate more water molecules than urea by a pronounced ordering due to hydrogen bonds. We have validated that the charging of the molecules is of main importance resulting in a well defined hydration sphere. The influence of a varying salt concentration is also investigated. Finally we present experimental results of a DPPC monolayer phase transition that validate our numerical findings.", "author" : [ { "dropping-particle" : "", "family" : "Smiatek", "given" : "J", "non-dropping-particle" : "", "parse-names" : false, "suffix" : "" }, { "dropping-particle" : "", "family" : "Harishchandra", "given" : "R K", "non-dropping-particle" : "", "parse-names" : false, "suffix" : "" }, { "dropping-particle" : "", "family" : "Rubner", "given" : "O", "non-dropping-particle" : "", "parse-names" : false, "suffix" : "" }, { "dropping-particle" : "", "family" : "Galla", "given" : "H J", "non-dropping-particle" : "", "parse-names" : false, "suffix" : "" }, { "dropping-particle" : "", "family" : "Heuer", "given" : "A", "non-dropping-particle" : "", "parse-names" : false, "suffix" : "" } ], "container-title" : "Biophysical Chemistry", "id" : "ITEM-1", "issued" : { "date-parts" : [ [ "2012", "1" ] ] }, "page" : "62-68", "publisher" : "Elsevier B.V.", "title" : "Properties of compatible solutes in aqueous solution", "type" : "article-journal", "volume" : "160" }, "uris" : [ "http://www.mendeley.com/documents/?uuid=6316450e-c1f5-4ea6-8941-5449337d3944" ] } ], "mendeley" : { "formattedCitation" : "(Smiatek et al. 2012)", "plainTextFormattedCitation" : "(Smiatek et al. 2012)", "previouslyFormattedCitation" : "(Smiatek et al. 2012)" }, "properties" : { "noteIndex" : 0 }, "schema" : "https://github.com/citation-style-language/schema/raw/master/csl-citation.json" }</w:instrText>
      </w:r>
      <w:r>
        <w:fldChar w:fldCharType="separate"/>
      </w:r>
      <w:r w:rsidRPr="00107A4A">
        <w:rPr>
          <w:noProof/>
        </w:rPr>
        <w:t>(Smiatek et al. 2012)</w:t>
      </w:r>
      <w:r>
        <w:fldChar w:fldCharType="end"/>
      </w:r>
      <w:r>
        <w:t xml:space="preserve">. </w:t>
      </w:r>
      <w:r w:rsidR="00C71589">
        <w:t xml:space="preserve">Experimental data from a study </w:t>
      </w:r>
      <w:r w:rsidR="00C71589">
        <w:lastRenderedPageBreak/>
        <w:t xml:space="preserve">involving Fourier Transform Infrared Spectroscopy (FTIR) </w:t>
      </w:r>
      <w:r w:rsidR="0070715A">
        <w:t xml:space="preserve">also </w:t>
      </w:r>
      <w:r w:rsidR="00C71589">
        <w:t>r</w:t>
      </w:r>
      <w:r w:rsidR="005C0ACC">
        <w:t>evealed that all</w:t>
      </w:r>
      <w:r w:rsidR="00787036">
        <w:t xml:space="preserve"> stabilising cosolutes</w:t>
      </w:r>
      <w:r w:rsidR="00C71589">
        <w:t xml:space="preserve"> studied had shortened interatomic oxygen-oxygen distances of water in the hydration shell, which meant that the cosolute hydration shells had an enhanced water structure </w:t>
      </w:r>
      <w:r w:rsidR="00C71589">
        <w:fldChar w:fldCharType="begin" w:fldLock="1"/>
      </w:r>
      <w:r w:rsidR="00924827">
        <w:instrText>ADDIN CSL_CITATION { "citationItems" : [ { "id" : "ITEM-1", "itemData" : { "DOI" : "10.1021/jp404780c", "ISSN" : "1520-5207", "PMID" : "23992436", "abstract" : "Results concerning the thermostability of hen egg white lysozyme in aqueous solutions with stabilizing osmolytes, trimethylamine-N-oxide (TMAO), glycine (Gly), and its N-methyl derivatives, N-methylglycine (NMG), N,N-dimethylglycine (DMG), and N,N,N-trimethylglycine (betaine, TMG), have been presented. The combination of spectroscopic (IR) and calorimetric (DSC) data allowed us to establish a link between osmolytes' influence on water structure and their ability to thermally stabilize protein molecule. Structural and energetic characteristics of stabilizing osmolytes' and lysozyme's hydration water appear to be very similar. The osmolytes increase lysozyme stabilization in the order bulk water &lt; TMAO &lt; TMG &lt; Gly &lt; DMG &lt; NMG, which is consistent with the order corresponding to the value of the most probable oxygen-oxygen distance of water molecules affected by osmolytes in their surrounding. Obtained results verified the hypothesis concerning the role of water molecules in protein stabilization, explained the osmophobic effect, and finally helped to bring us nearer to the exact mechanism of protein stabilization by osmolytes.", "author" : [ { "dropping-particle" : "", "family" : "Bru\u017adziak", "given" : "P", "non-dropping-particle" : "", "parse-names" : false, "suffix" : "" }, { "dropping-particle" : "", "family" : "Panuszko", "given" : "A", "non-dropping-particle" : "", "parse-names" : false, "suffix" : "" }, { "dropping-particle" : "", "family" : "Stangret", "given" : "J", "non-dropping-particle" : "", "parse-names" : false, "suffix" : "" } ], "container-title" : "Journal of Physical Chemistry B", "id" : "ITEM-1", "issued" : { "date-parts" : [ [ "2013", "9", "17" ] ] }, "page" : "11502-11508", "title" : "Influence of osmolytes on protein and water structure: A step to understanding the mechanism of protein stabilization", "type" : "article-journal", "volume" : "117" }, "uris" : [ "http://www.mendeley.com/documents/?uuid=a4df47ed-7242-4023-89b6-a1f28cc16a1d" ] } ], "mendeley" : { "formattedCitation" : "(Bru\u017adziak et al. 2013)", "plainTextFormattedCitation" : "(Bru\u017adziak et al. 2013)", "previouslyFormattedCitation" : "(Bru\u017adziak et al. 2013)" }, "properties" : { "noteIndex" : 0 }, "schema" : "https://github.com/citation-style-language/schema/raw/master/csl-citation.json" }</w:instrText>
      </w:r>
      <w:r w:rsidR="00C71589">
        <w:fldChar w:fldCharType="separate"/>
      </w:r>
      <w:r w:rsidR="00C71589" w:rsidRPr="00C71589">
        <w:rPr>
          <w:noProof/>
        </w:rPr>
        <w:t>(Bruździak et al. 2013)</w:t>
      </w:r>
      <w:r w:rsidR="00C71589">
        <w:fldChar w:fldCharType="end"/>
      </w:r>
      <w:r w:rsidR="00C71589">
        <w:t xml:space="preserve">. The degree of shortening followed the same order as the degree of lysozyme stabilisation by the cosolutes studied. The authors also noticed that the intermolecular distance distribution of water molecules was very similar for the cosolute and the lysozyme hydration shells, and so hypothesised that this was the cause of exclusion of the cosolute and therefore of protein stabilisation. </w:t>
      </w:r>
      <w:r w:rsidR="00A23856">
        <w:t xml:space="preserve">The existence of this strong hydration of stabilising small molecules </w:t>
      </w:r>
      <w:r w:rsidR="0070715A">
        <w:t xml:space="preserve">has since </w:t>
      </w:r>
      <w:r w:rsidR="00A23856">
        <w:t>led to the competition for water theory as an explanation</w:t>
      </w:r>
      <w:r w:rsidR="0070715A">
        <w:t xml:space="preserve"> for protein stabilisation</w:t>
      </w:r>
      <w:r w:rsidR="00A23856">
        <w:t xml:space="preserve">, which is described in section </w:t>
      </w:r>
      <w:r w:rsidR="00A23856">
        <w:fldChar w:fldCharType="begin"/>
      </w:r>
      <w:r w:rsidR="00A23856">
        <w:instrText xml:space="preserve"> REF _Ref458443031 \r \h </w:instrText>
      </w:r>
      <w:r w:rsidR="00A23856">
        <w:fldChar w:fldCharType="separate"/>
      </w:r>
      <w:r w:rsidR="00AA6926">
        <w:t>1.4.3.5</w:t>
      </w:r>
      <w:r w:rsidR="00A23856">
        <w:fldChar w:fldCharType="end"/>
      </w:r>
      <w:r w:rsidR="00A23856">
        <w:t>.</w:t>
      </w:r>
    </w:p>
    <w:p w14:paraId="51CF4EBF" w14:textId="77777777" w:rsidR="00EA74F0" w:rsidRDefault="00EA74F0" w:rsidP="00EA74F0">
      <w:pPr>
        <w:pStyle w:val="Heading4"/>
      </w:pPr>
      <w:bookmarkStart w:id="76" w:name="_Ref458443031"/>
      <w:r>
        <w:t>Competition for water theory</w:t>
      </w:r>
      <w:bookmarkEnd w:id="76"/>
    </w:p>
    <w:p w14:paraId="190CDCDE" w14:textId="77777777" w:rsidR="00303D9A" w:rsidRDefault="00303D9A" w:rsidP="00303D9A">
      <w:r>
        <w:t xml:space="preserve">Hofmeister described in his papers the ability of ‘water-absorbing’ ions to precipitate proteins </w:t>
      </w:r>
      <w:r>
        <w:fldChar w:fldCharType="begin" w:fldLock="1"/>
      </w:r>
      <w:r>
        <w:instrText>ADDIN CSL_CITATION { "citationItems" : [ { "id" : "ITEM-1", "itemData" : { "DOI" : "10.1016/j.cocis.2004.05.005", "ISSN" : "13590294", "author" : [ { "dropping-particle" : "", "family" : "Kunz", "given" : "W", "non-dropping-particle" : "", "parse-names" : false, "suffix" : "" }, { "dropping-particle" : "", "family" : "Henle", "given" : "J", "non-dropping-particle" : "", "parse-names" : false, "suffix" : "" }, { "dropping-particle" : "", "family" : "Ninham", "given" : "B W", "non-dropping-particle" : "", "parse-names" : false, "suffix" : "" } ], "container-title" : "Current Opinion in Colloid &amp; Interface Science", "id" : "ITEM-1", "issued" : { "date-parts" : [ [ "2004", "8" ] ] }, "page" : "19-37", "title" : "\u2018Zur Lehre von der Wirkung der Salze\u2019 (about the science of the effect of salts): Franz Hofmeister's historical papers", "type" : "article-journal", "volume" : "9" }, "uris" : [ "http://www.mendeley.com/documents/?uuid=2d397724-78c0-4d3e-9716-c98cbf1a1214" ] } ], "mendeley" : { "formattedCitation" : "(Kunz, Henle, et al. 2004)", "manualFormatting" : "(translated in Kunz, Henle, et al. 2004)", "plainTextFormattedCitation" : "(Kunz, Henle, et al. 2004)", "previouslyFormattedCitation" : "(Kunz, Henle, et al. 2004)" }, "properties" : { "noteIndex" : 0 }, "schema" : "https://github.com/citation-style-language/schema/raw/master/csl-citation.json" }</w:instrText>
      </w:r>
      <w:r>
        <w:fldChar w:fldCharType="separate"/>
      </w:r>
      <w:r w:rsidRPr="00303D9A">
        <w:rPr>
          <w:noProof/>
        </w:rPr>
        <w:t>(</w:t>
      </w:r>
      <w:r>
        <w:rPr>
          <w:noProof/>
        </w:rPr>
        <w:t xml:space="preserve">translated in </w:t>
      </w:r>
      <w:r w:rsidRPr="00303D9A">
        <w:rPr>
          <w:noProof/>
        </w:rPr>
        <w:t>Kunz, Henle, et al. 2004)</w:t>
      </w:r>
      <w:r>
        <w:fldChar w:fldCharType="end"/>
      </w:r>
      <w:r>
        <w:t xml:space="preserve">, which basically described how strongly hydrated ions locked up a large amount of the bulk water, meaning there was a lack of water available to hydrate the protein, causing precipitation. He also noticed that this precipitation phenomenon occurred for less soluble salts when more soluble salts were added to the same solution. This theory was subsequently thrown out in favour of the kosmotrope and chaotrope theory (section </w:t>
      </w:r>
      <w:r>
        <w:fldChar w:fldCharType="begin"/>
      </w:r>
      <w:r>
        <w:instrText xml:space="preserve"> REF _Ref456083118 \r \h </w:instrText>
      </w:r>
      <w:r>
        <w:fldChar w:fldCharType="separate"/>
      </w:r>
      <w:r w:rsidR="00AA6926">
        <w:t>1.4.3.1</w:t>
      </w:r>
      <w:r>
        <w:fldChar w:fldCharType="end"/>
      </w:r>
      <w:r>
        <w:t xml:space="preserve">), and the preferential interaction and exclusion theory (section </w:t>
      </w:r>
      <w:r>
        <w:fldChar w:fldCharType="begin"/>
      </w:r>
      <w:r>
        <w:instrText xml:space="preserve"> REF _Ref455651654 \r \h </w:instrText>
      </w:r>
      <w:r>
        <w:fldChar w:fldCharType="separate"/>
      </w:r>
      <w:r w:rsidR="00AA6926">
        <w:t>1.4.3.2</w:t>
      </w:r>
      <w:r>
        <w:fldChar w:fldCharType="end"/>
      </w:r>
      <w:r>
        <w:t>).</w:t>
      </w:r>
    </w:p>
    <w:p w14:paraId="1D81DE35" w14:textId="0D833B2E" w:rsidR="00F410EB" w:rsidRDefault="00303D9A" w:rsidP="00FE21B2">
      <w:r>
        <w:t>More recently this theory has come back into favour and has been named the ‘competition for water’ theory (</w:t>
      </w:r>
      <w:r>
        <w:fldChar w:fldCharType="begin"/>
      </w:r>
      <w:r>
        <w:instrText xml:space="preserve"> REF _Ref458611070 \h </w:instrText>
      </w:r>
      <w:r>
        <w:fldChar w:fldCharType="separate"/>
      </w:r>
      <w:r w:rsidR="00AA6926">
        <w:t xml:space="preserve">Figure </w:t>
      </w:r>
      <w:r w:rsidR="00AA6926">
        <w:rPr>
          <w:noProof/>
        </w:rPr>
        <w:t>1</w:t>
      </w:r>
      <w:r w:rsidR="00AA6926">
        <w:noBreakHyphen/>
      </w:r>
      <w:r w:rsidR="00AA6926">
        <w:rPr>
          <w:noProof/>
        </w:rPr>
        <w:t>7</w:t>
      </w:r>
      <w:r>
        <w:fldChar w:fldCharType="end"/>
      </w:r>
      <w:r>
        <w:t>)</w:t>
      </w:r>
      <w:r w:rsidR="007F1998">
        <w:t xml:space="preserve"> </w:t>
      </w:r>
      <w:r w:rsidR="007F1998">
        <w:fldChar w:fldCharType="begin" w:fldLock="1"/>
      </w:r>
      <w:r w:rsidR="004D58E8">
        <w:instrText>ADDIN CSL_CITATION { "citationItems" : [ { "id" : "ITEM-1", "itemData" : { "DOI" : "10.1021/jp412140v", "ISSN" : "1520-5207", "PMID" : "24684707", "abstract" : "Addition of high and medium charge density anions (phosphate, sulfate, and chloride) to lysozyme in pure water demonstrates three stages for stabilization of the protein structure. The first two stages have a minor impact on lysozyme stability and are probably associated with direct interaction of the ions with charged and partial charges on the protein's surface. There is a clear transition between the second and third stages; in the case of sodium chloride, disodium sulfate and disodium hydrogen phosphate this is at 550, 210, and 120 mM, respectively. Stabilization of lysozyme can be explained by the free energy required to hydrate the protein as it unfolds. At low ion concentrations, the protein's hydration layer is at equilibrium with the bulk water. After the transition, bulk water is depleted and the protein is competing for water with the ions. With competition for water between the protein and the ions at higher salt concentrations, the free energy required to hydrate the interior of the protein rises and it is this that stabilizes the protein structure.", "author" : [ { "dropping-particle" : "", "family" : "Bye", "given" : "J W", "non-dropping-particle" : "", "parse-names" : false, "suffix" : "" }, { "dropping-particle" : "", "family" : "Falconer", "given" : "R J", "non-dropping-particle" : "", "parse-names" : false, "suffix" : "" } ], "container-title" : "Journal of Physical Chemistry B", "id" : "ITEM-1", "issued" : { "date-parts" : [ [ "2014", "4", "24" ] ] }, "page" : "4282-4286", "title" : "Three stages of lysozyme thermal stabilization by high and medium charge density anions", "type" : "article-journal", "volume" : "118" }, "uris" : [ "http://www.mendeley.com/documents/?uuid=04df9c17-7b61-4cec-9b8c-296591f7406f" ] } ], "mendeley" : { "formattedCitation" : "(Bye &amp; Falconer 2014)", "plainTextFormattedCitation" : "(Bye &amp; Falconer 2014)", "previouslyFormattedCitation" : "(Bye &amp; Falconer 2014)" }, "properties" : { "noteIndex" : 0 }, "schema" : "https://github.com/citation-style-language/schema/raw/master/csl-citation.json" }</w:instrText>
      </w:r>
      <w:r w:rsidR="007F1998">
        <w:fldChar w:fldCharType="separate"/>
      </w:r>
      <w:r w:rsidR="007F1998" w:rsidRPr="007F1998">
        <w:rPr>
          <w:noProof/>
        </w:rPr>
        <w:t>(Bye &amp; Falconer 2014)</w:t>
      </w:r>
      <w:r w:rsidR="007F1998">
        <w:fldChar w:fldCharType="end"/>
      </w:r>
      <w:r>
        <w:t>. It describes the mechanism by which strongly hydrated cosolutes cause stabilisation of proteins when present at higher concentrations</w:t>
      </w:r>
      <w:r w:rsidR="007F1998">
        <w:t xml:space="preserve">, and was proven as </w:t>
      </w:r>
      <w:r w:rsidR="006D5696">
        <w:t xml:space="preserve">a </w:t>
      </w:r>
      <w:r w:rsidR="007F1998">
        <w:t>mechanism for protein stabilisation for high concentration Hofmeister salts</w:t>
      </w:r>
      <w:r>
        <w:t xml:space="preserve">. </w:t>
      </w:r>
      <w:r w:rsidR="007F1998">
        <w:t xml:space="preserve">The definition of higher concentrations here depends on the strength of the hydration. At these ‘higher concentrations’ of cosolute much of the bulk water has now been sequestered by the large number of cosolute molecules present in solution. This means that there is very little bulk water left to hydrate the apolar core of the unfolding protein, and so if the </w:t>
      </w:r>
      <w:r w:rsidR="007F1998">
        <w:lastRenderedPageBreak/>
        <w:t>protein were to unfold it would have to compete with the cosolute for hydration waters. This increases the Gibbs free energy of unfolding and so t</w:t>
      </w:r>
      <w:r w:rsidR="00FE21B2">
        <w:t>he protein becomes more stable</w:t>
      </w:r>
    </w:p>
    <w:p w14:paraId="7E8203F6" w14:textId="4C25746E" w:rsidR="00FA5727" w:rsidRDefault="00FA5727" w:rsidP="00FE21B2">
      <w:commentRangeStart w:id="77"/>
      <w:r>
        <w:rPr>
          <w:noProof/>
          <w:lang w:eastAsia="en-GB"/>
        </w:rPr>
        <w:drawing>
          <wp:inline distT="0" distB="0" distL="0" distR="0" wp14:anchorId="53F07441" wp14:editId="1535ECB7">
            <wp:extent cx="5553612" cy="29622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ition for water diagram.jpg"/>
                    <pic:cNvPicPr/>
                  </pic:nvPicPr>
                  <pic:blipFill>
                    <a:blip r:embed="rId22">
                      <a:extLst>
                        <a:ext uri="{28A0092B-C50C-407E-A947-70E740481C1C}">
                          <a14:useLocalDpi xmlns:a14="http://schemas.microsoft.com/office/drawing/2010/main" val="0"/>
                        </a:ext>
                      </a:extLst>
                    </a:blip>
                    <a:stretch>
                      <a:fillRect/>
                    </a:stretch>
                  </pic:blipFill>
                  <pic:spPr>
                    <a:xfrm>
                      <a:off x="0" y="0"/>
                      <a:ext cx="5560968" cy="2966199"/>
                    </a:xfrm>
                    <a:prstGeom prst="rect">
                      <a:avLst/>
                    </a:prstGeom>
                  </pic:spPr>
                </pic:pic>
              </a:graphicData>
            </a:graphic>
          </wp:inline>
        </w:drawing>
      </w:r>
      <w:commentRangeEnd w:id="77"/>
      <w:r w:rsidR="00587FB7">
        <w:rPr>
          <w:rStyle w:val="CommentReference"/>
        </w:rPr>
        <w:commentReference w:id="77"/>
      </w:r>
    </w:p>
    <w:p w14:paraId="1A365B84" w14:textId="77777777" w:rsidR="00E42BE8" w:rsidRDefault="00F410EB" w:rsidP="00F410EB">
      <w:pPr>
        <w:pStyle w:val="Caption"/>
        <w:jc w:val="left"/>
        <w:rPr>
          <w:color w:val="FF0000"/>
        </w:rPr>
      </w:pPr>
      <w:bookmarkStart w:id="78" w:name="_Ref458611070"/>
      <w:bookmarkStart w:id="79" w:name="_Ref458611052"/>
      <w:bookmarkStart w:id="80" w:name="_Toc482633165"/>
      <w:r>
        <w:t xml:space="preserve">Figure </w:t>
      </w:r>
      <w:fldSimple w:instr=" STYLEREF 1 \s ">
        <w:r w:rsidR="00AA6926">
          <w:rPr>
            <w:noProof/>
          </w:rPr>
          <w:t>1</w:t>
        </w:r>
      </w:fldSimple>
      <w:r w:rsidR="00BA082C">
        <w:noBreakHyphen/>
      </w:r>
      <w:fldSimple w:instr=" SEQ Figure \* ARABIC \s 1 ">
        <w:r w:rsidR="00AA6926">
          <w:rPr>
            <w:noProof/>
          </w:rPr>
          <w:t>7</w:t>
        </w:r>
      </w:fldSimple>
      <w:bookmarkEnd w:id="78"/>
      <w:r>
        <w:t xml:space="preserve">. </w:t>
      </w:r>
      <w:r w:rsidR="00211B2C">
        <w:t>Schematic drawing showing c</w:t>
      </w:r>
      <w:r>
        <w:t>ompetition for water theory</w:t>
      </w:r>
      <w:r w:rsidR="007F1998">
        <w:t xml:space="preserve"> adapted from </w:t>
      </w:r>
      <w:r w:rsidR="007F1998" w:rsidRPr="007F1998">
        <w:fldChar w:fldCharType="begin" w:fldLock="1"/>
      </w:r>
      <w:r w:rsidR="007F1998">
        <w:instrText>ADDIN CSL_CITATION { "citationItems" : [ { "id" : "ITEM-1", "itemData" : { "DOI" : "10.1021/jp412140v", "ISSN" : "1520-5207", "PMID" : "24684707", "abstract" : "Addition of high and medium charge density anions (phosphate, sulfate, and chloride) to lysozyme in pure water demonstrates three stages for stabilization of the protein structure. The first two stages have a minor impact on lysozyme stability and are probably associated with direct interaction of the ions with charged and partial charges on the protein's surface. There is a clear transition between the second and third stages; in the case of sodium chloride, disodium sulfate and disodium hydrogen phosphate this is at 550, 210, and 120 mM, respectively. Stabilization of lysozyme can be explained by the free energy required to hydrate the protein as it unfolds. At low ion concentrations, the protein's hydration layer is at equilibrium with the bulk water. After the transition, bulk water is depleted and the protein is competing for water with the ions. With competition for water between the protein and the ions at higher salt concentrations, the free energy required to hydrate the interior of the protein rises and it is this that stabilizes the protein structure.", "author" : [ { "dropping-particle" : "", "family" : "Bye", "given" : "J W", "non-dropping-particle" : "", "parse-names" : false, "suffix" : "" }, { "dropping-particle" : "", "family" : "Falconer", "given" : "R J", "non-dropping-particle" : "", "parse-names" : false, "suffix" : "" } ], "container-title" : "Journal of Physical Chemistry B", "id" : "ITEM-1", "issued" : { "date-parts" : [ [ "2014", "4", "24" ] ] }, "page" : "4282-4286", "title" : "Three stages of lysozyme thermal stabilization by high and medium charge density anions", "type" : "article-journal", "volume" : "118" }, "uris" : [ "http://www.mendeley.com/documents/?uuid=04df9c17-7b61-4cec-9b8c-296591f7406f" ] } ], "mendeley" : { "formattedCitation" : "(Bye &amp; Falconer 2014)", "plainTextFormattedCitation" : "(Bye &amp; Falconer 2014)", "previouslyFormattedCitation" : "(Bye &amp; Falconer 2014)" }, "properties" : { "noteIndex" : 0 }, "schema" : "https://github.com/citation-style-language/schema/raw/master/csl-citation.json" }</w:instrText>
      </w:r>
      <w:r w:rsidR="007F1998" w:rsidRPr="007F1998">
        <w:fldChar w:fldCharType="separate"/>
      </w:r>
      <w:r w:rsidR="007F1998" w:rsidRPr="007F1998">
        <w:rPr>
          <w:noProof/>
        </w:rPr>
        <w:t>(Bye &amp; Falconer 2014)</w:t>
      </w:r>
      <w:r w:rsidR="007F1998" w:rsidRPr="007F1998">
        <w:fldChar w:fldCharType="end"/>
      </w:r>
      <w:r w:rsidRPr="007F1998">
        <w:t>.</w:t>
      </w:r>
      <w:r>
        <w:t xml:space="preserve"> Right panel demonstrates that at high concentrations of cosolute there is very little bulk water left to hydrate the apolar core of an unfolding protein. This means it has to compete for water with the strongly bound hydration shells of stabilising cosolutes</w:t>
      </w:r>
      <w:bookmarkEnd w:id="79"/>
      <w:bookmarkEnd w:id="80"/>
    </w:p>
    <w:p w14:paraId="32619CA3" w14:textId="77777777" w:rsidR="00211B2C" w:rsidRPr="005507C8" w:rsidRDefault="004D58E8" w:rsidP="00211B2C">
      <w:r>
        <w:t xml:space="preserve">The competition for water theory also goes hand in hand with the theory that the weakly hydrated cosolutes destabilise proteins by being pushed onto the apolar parts of the protein </w:t>
      </w:r>
      <w:r>
        <w:fldChar w:fldCharType="begin" w:fldLock="1"/>
      </w:r>
      <w:r>
        <w:instrText>ADDIN CSL_CITATION { "citationItems" : [ { "id" : "ITEM-1", "itemData" : { "DOI" : "10.1016/S0006-3495(97)78647-8", "ISBN" : "0006-3495", "ISSN" : "00063495", "PMID" : "8994593", "abstract" : "Small ions of high charge density (kosmotropes) bind water molecules strongly, whereas large monovalent ions of low charge density (chaotropes) bind water molecules weakly relative to the strength of water-water interactions in bulk solution. The standard heat of solution of a crystalline alkali halide is shown here to be negative (exothermic) only when one ion is a kosmotrope and the ion of opposite charge is a chaotrope; this standard heat of solution is known to become proportionally more positive as the difference between the absolute heats of hydration of the corresponding gaseous anion and cation decreases. This suggests that inner sphere ion pairs are preferentially formed between oppositely charged ions with matching absolute enthalpies of hydration, and that biological organization arises from the noncovalent association of moieties with matching absolute free energies of solution, except where free energy is expended to keep them apart. The major intracellular anions (phosphates and carboxylates) are kosmotropes, whereas the major intracellular monovalent cations (K+; arg, his, and lys side chains) are chaotropes; together they form highly soluble, solvent-separated ion pairs that keep the contents of the cell in solution.", "author" : [ { "dropping-particle" : "", "family" : "Collins", "given" : "K D", "non-dropping-particle" : "", "parse-names" : false, "suffix" : "" } ], "container-title" : "Biophysical Journal", "id" : "ITEM-1", "issued" : { "date-parts" : [ [ "1997" ] ] }, "page" : "65-76", "publisher" : "Elsevier", "title" : "Charge density-dependent strength of hydration and biological structure", "type" : "article-journal", "volume" : "72" }, "uris" : [ "http://www.mendeley.com/documents/?uuid=a10acee0-c2ea-49b4-a5cb-997c68b0a48f" ] } ], "mendeley" : { "formattedCitation" : "(Collins 1997)", "plainTextFormattedCitation" : "(Collins 1997)", "previouslyFormattedCitation" : "(Collins 1997)" }, "properties" : { "noteIndex" : 0 }, "schema" : "https://github.com/citation-style-language/schema/raw/master/csl-citation.json" }</w:instrText>
      </w:r>
      <w:r>
        <w:fldChar w:fldCharType="separate"/>
      </w:r>
      <w:r w:rsidRPr="004D58E8">
        <w:rPr>
          <w:noProof/>
        </w:rPr>
        <w:t>(Collins 1997)</w:t>
      </w:r>
      <w:r>
        <w:fldChar w:fldCharType="end"/>
      </w:r>
      <w:r>
        <w:t xml:space="preserve">, with the two theories being opposite mechanisms for stabilisation and destabilisation. It has been explained as such in a neutron diffraction study on guanidinium and thiocyanate ions, both weakly hydrated ions </w:t>
      </w:r>
      <w:r>
        <w:fldChar w:fldCharType="begin" w:fldLock="1"/>
      </w:r>
      <w:r w:rsidR="00FF6FB8">
        <w:instrText>ADDIN CSL_CITATION { "citationItems" : [ { "id" : "ITEM-1", "itemData" : { "DOI" : "10.1073/pnas.0735920100", "ISBN" : "0027-8424", "ISSN" : "0027-8424", "PMID" : "12684536", "abstract" : "Neutron diffraction experiments were carried out on aqueous solutions containing either guanidinium or thiocyanate ions. The first-order difference method of neutron diffraction and isotopic substitution was applied, and the hydration structures of two of nature's strongest denaturant ions were determined. Each ion is shown to interact weakly with water: Guanidinium has no recognizable hydration shell and is one of the most weakly hydrated cations yet characterized. Hydration of thiocyanate is characterized by a low coordination number involving around one hydrogen-bonded water molecule and approximately two water molecules weakly interacting through \"hydration bonds.\" The weak hydration of these denaturant ions strongly supports suggestions that a major contribution to the denaturant effect is the preferential interaction of the denaturant with the protein surface. By contrast, solute species such as many sugars and related polyols that stabilize proteins are strongly hydrated and are thus preferentially retained in the bulk solvent and excluded from the protein surface.", "author" : [ { "dropping-particle" : "", "family" : "Mason", "given" : "P E", "non-dropping-particle" : "", "parse-names" : false, "suffix" : "" }, { "dropping-particle" : "", "family" : "Neilson", "given" : "G W", "non-dropping-particle" : "", "parse-names" : false, "suffix" : "" }, { "dropping-particle" : "", "family" : "Dempsey", "given" : "C E", "non-dropping-particle" : "", "parse-names" : false, "suffix" : "" }, { "dropping-particle" : "", "family" : "Barnes", "given" : "a C", "non-dropping-particle" : "", "parse-names" : false, "suffix" : "" }, { "dropping-particle" : "", "family" : "Cruickshank", "given" : "J M", "non-dropping-particle" : "", "parse-names" : false, "suffix" : "" } ], "container-title" : "Proceedings of the National Academy of Sciences of the United States of America", "id" : "ITEM-1", "issued" : { "date-parts" : [ [ "2003" ] ] }, "page" : "4557-4561", "title" : "The hydration structure of guanidinium and thiocyanate ions: implications for protein stability in aqueous solution", "type" : "article-journal", "volume" : "100" }, "uris" : [ "http://www.mendeley.com/documents/?uuid=fccb80eb-7117-4ad4-802b-afe82b067ce7" ] } ], "mendeley" : { "formattedCitation" : "(Mason et al. 2003)", "plainTextFormattedCitation" : "(Mason et al. 2003)", "previouslyFormattedCitation" : "(Mason et al. 2003)" }, "properties" : { "noteIndex" : 0 }, "schema" : "https://github.com/citation-style-language/schema/raw/master/csl-citation.json" }</w:instrText>
      </w:r>
      <w:r>
        <w:fldChar w:fldCharType="separate"/>
      </w:r>
      <w:r w:rsidRPr="004D58E8">
        <w:rPr>
          <w:noProof/>
        </w:rPr>
        <w:t>(Mason et al. 2003)</w:t>
      </w:r>
      <w:r>
        <w:fldChar w:fldCharType="end"/>
      </w:r>
      <w:r>
        <w:t xml:space="preserve">. If ‘preferential hydration’ is considered by its original definition of the exclusion of cosolutes from the hydration shell of the protein </w:t>
      </w:r>
      <w:r>
        <w:fldChar w:fldCharType="begin" w:fldLock="1"/>
      </w:r>
      <w:r w:rsidR="00AE3A49">
        <w:instrText>ADDIN CSL_CITATION { "citationItems" : [ { "id" : "ITEM-1", "itemData" : { "DOI" : "10.1073/pnas.122225399", "ISSN" : "0027-8424", "PMID" : "12097640", "abstract" : "Solvent additives (cosolvents, osmolytes) modulate biochemical reactions if, during the course of the reaction, there is a change in preferential interactions of solvent components with the reacting system. Preferential interactions can be expressed in terms of preferential binding of the cosolvent or its preferential exclusion (preferential hydration). The driving force is the perturbation by the protein of the chemical potential of the cosolvent. It is shown that the measured change of the amount of water in contact with protein during the course of the reaction modulated by an osmolyte is a change in preferential hydration that is strictly a measure of the cosolvent chemical potential perturbation by the protein in the ternary water-protein-cosolvent system. It is not equal to the change in water of hydration, because water of hydration is a reflection strictly of protein-water forces in a binary system. There is no direct relation between water of preferential hydration and water of hydration.", "author" : [ { "dropping-particle" : "", "family" : "Timasheff", "given" : "S N", "non-dropping-particle" : "", "parse-names" : false, "suffix" : "" } ], "container-title" : "Proceedings of the National Academy of Sciences of the United States of America", "id" : "ITEM-1", "issued" : { "date-parts" : [ [ "2002", "7", "23" ] ] }, "page" : "9721-9726", "title" : "Protein-solvent preferential interactions, protein hydration, and the modulation of biochemical reactions by solvent components", "type" : "article-journal", "volume" : "99" }, "uris" : [ "http://www.mendeley.com/documents/?uuid=cd3d88a3-8815-488c-b100-e47898c98c1c" ] } ], "mendeley" : { "formattedCitation" : "(Timasheff 2002b)", "plainTextFormattedCitation" : "(Timasheff 2002b)", "previouslyFormattedCitation" : "(Timasheff 2002b)" }, "properties" : { "noteIndex" : 0 }, "schema" : "https://github.com/citation-style-language/schema/raw/master/csl-citation.json" }</w:instrText>
      </w:r>
      <w:r>
        <w:fldChar w:fldCharType="separate"/>
      </w:r>
      <w:r w:rsidRPr="004D58E8">
        <w:rPr>
          <w:noProof/>
        </w:rPr>
        <w:t>(Timasheff 2002b)</w:t>
      </w:r>
      <w:r>
        <w:fldChar w:fldCharType="end"/>
      </w:r>
      <w:r>
        <w:t xml:space="preserve">, the competition for water theory presents a molecular-level mechanism for this exclusion and an explanation as to why this results in protein stabilisation. Moreover, </w:t>
      </w:r>
      <w:r w:rsidR="00AE3A49">
        <w:t xml:space="preserve">competition for water presents a clear potential mechanism for why cells accumulate these small organic molecules as osmolytes in response to osmotic stress </w:t>
      </w:r>
      <w:r w:rsidR="00AE3A49">
        <w:fldChar w:fldCharType="begin" w:fldLock="1"/>
      </w:r>
      <w:r w:rsidR="00C10D17">
        <w:instrText>ADDIN CSL_CITATION { "citationItems" : [ { "id" : "ITEM-1", "itemData" : { "author" : [ { "dropping-particle" : "", "family" : "Yancey", "given" : "P H", "non-dropping-particle" : "", "parse-names" : false, "suffix" : "" }, { "dropping-particle" : "", "family" : "Clark", "given" : "M E", "non-dropping-particle" : "", "parse-names" : false, "suffix" : "" }, { "dropping-particle" : "", "family" : "Hand", "given" : "S C", "non-dropping-particle" : "", "parse-names" : false, "suffix" : "" }, { "dropping-particle" : "", "family" : "Bowlus", "given" : "R D", "non-dropping-particle" : "", "parse-names" : false, "suffix" : "" }, { "dropping-particle" : "", "family" : "Somero", "given" : "G N", "non-dropping-particle" : "", "parse-names" : false, "suffix" : "" } ], "container-title" : "Science", "id" : "ITEM-1", "issued" : { "date-parts" : [ [ "1982" ] ] }, "page" : "1214-1222", "title" : "Living with water stress: Evolution of osmolyte systems", "type" : "article-journal", "volume" : "217" }, "uris" : [ "http://www.mendeley.com/documents/?uuid=5c0ecbac-0ed5-485c-b4bd-8986742136e1" ] }, { "id" : "ITEM-2", "itemData" : { "DOI" : "10.1002/iub.406", "ISSN" : "1521-6551", "PMID" : "21190292", "abstract" : "Osmolytes are naturally occurring organic compounds, which represent different chemical classes including amino acids, methylamines, and polyols. By accumulating high concentrations of osmolytes, organisms adapt to perturbations that can cause structural changes in their cellular proteins. Osmolytes shift equilibrium toward natively-folded conformations by raising the free energy of the unfolded state. As osmolytes predominantly affect the protein backbone, the balance between osmolyte-backbone interactions and amino acid side chain-solvent interactions determines protein folding. Abnormal cell volume regulation significantly contributes to the pathophysiology of several disorders, and cells respond to these changes by importing, exporting, or synthesizing osmolytes to maintain volume homeostasis. In recent years, it has become quite evident that cells regulate many biological processes such as protein folding, protein disaggregation, and protein-protein interactions via accumulation of specific osmolytes. Many genetic diseases are attributed to the problems associated with protein misfolding/aggregation, and it has been shown that certain osmolytes can protect these proteins from misfolding. Thus, osmolytes can be utilized as therapeutic targets for such diseases. In this review article, we discuss the role of naturally occurring osmolytes in protein stability, underlying mechanisms, and their potential use as therapeutic molecules.", "author" : [ { "dropping-particle" : "", "family" : "Khan", "given" : "S H", "non-dropping-particle" : "", "parse-names" : false, "suffix" : "" }, { "dropping-particle" : "", "family" : "Ahmad", "given" : "N", "non-dropping-particle" : "", "parse-names" : false, "suffix" : "" }, { "dropping-particle" : "", "family" : "Ahmad", "given" : "F", "non-dropping-particle" : "", "parse-names" : false, "suffix" : "" }, { "dropping-particle" : "", "family" : "Kumar", "given" : "R", "non-dropping-particle" : "", "parse-names" : false, "suffix" : "" } ], "container-title" : "IUBMB life", "id" : "ITEM-2", "issued" : { "date-parts" : [ [ "2010", "12" ] ] }, "page" : "891-895", "title" : "Naturally occurring organic osmolytes: From cell physiology to disease prevention", "type" : "article-journal", "volume" : "62" }, "uris" : [ "http://www.mendeley.com/documents/?uuid=d7b5d894-828c-4160-a68c-c18e30af2879" ] } ], "mendeley" : { "formattedCitation" : "(Yancey et al. 1982; Khan et al. 2010)", "plainTextFormattedCitation" : "(Yancey et al. 1982; Khan et al. 2010)", "previouslyFormattedCitation" : "(Yancey et al. 1982; Khan et al. 2010)" }, "properties" : { "noteIndex" : 0 }, "schema" : "https://github.com/citation-style-language/schema/raw/master/csl-citation.json" }</w:instrText>
      </w:r>
      <w:r w:rsidR="00AE3A49">
        <w:fldChar w:fldCharType="separate"/>
      </w:r>
      <w:r w:rsidR="00865C97" w:rsidRPr="00865C97">
        <w:rPr>
          <w:noProof/>
        </w:rPr>
        <w:t>(Yancey et al. 1982; Khan et al. 2010)</w:t>
      </w:r>
      <w:r w:rsidR="00AE3A49">
        <w:fldChar w:fldCharType="end"/>
      </w:r>
      <w:r w:rsidR="00AE3A49">
        <w:t>.</w:t>
      </w:r>
    </w:p>
    <w:p w14:paraId="65C2F034" w14:textId="77777777" w:rsidR="00231623" w:rsidRDefault="00C10D17" w:rsidP="00231623">
      <w:pPr>
        <w:pStyle w:val="Heading3"/>
        <w:rPr>
          <w:lang w:val="it-IT"/>
        </w:rPr>
      </w:pPr>
      <w:bookmarkStart w:id="81" w:name="_Toc485712752"/>
      <w:r>
        <w:rPr>
          <w:lang w:val="it-IT"/>
        </w:rPr>
        <w:lastRenderedPageBreak/>
        <w:t>Transfer model</w:t>
      </w:r>
      <w:bookmarkEnd w:id="81"/>
    </w:p>
    <w:p w14:paraId="0285F6AD" w14:textId="77777777" w:rsidR="00F66625" w:rsidRPr="00E3274E" w:rsidRDefault="00C10D17" w:rsidP="00C10D17">
      <w:r w:rsidRPr="00E3274E">
        <w:t xml:space="preserve">The Transfer model, designed by Tanford </w:t>
      </w:r>
      <w:r>
        <w:rPr>
          <w:lang w:val="it-IT"/>
        </w:rPr>
        <w:fldChar w:fldCharType="begin" w:fldLock="1"/>
      </w:r>
      <w:r w:rsidR="006A09FF" w:rsidRPr="00E3274E">
        <w:instrText>ADDIN CSL_CITATION { "citationItems" : [ { "id" : "ITEM-1", "itemData" : { "author" : [ { "dropping-particle" : "", "family" : "Tanford", "given" : "C", "non-dropping-particle" : "", "parse-names" : false, "suffix" : "" } ], "container-title" : "Journal of the American Chemical Society", "id" : "ITEM-1", "issued" : { "date-parts" : [ [ "1964" ] ] }, "page" : "2050-2059", "title" : "Isothermal unfolding of globular proteins in aqueous urea solutions", "type" : "article-journal", "volume" : "86" }, "uris" : [ "http://www.mendeley.com/documents/?uuid=2236770a-1da3-4037-b4b6-613329db7ff7" ] } ], "mendeley" : { "formattedCitation" : "(Tanford 1964)", "plainTextFormattedCitation" : "(Tanford 1964)", "previouslyFormattedCitation" : "(Tanford 1964)" }, "properties" : { "noteIndex" : 0 }, "schema" : "https://github.com/citation-style-language/schema/raw/master/csl-citation.json" }</w:instrText>
      </w:r>
      <w:r>
        <w:rPr>
          <w:lang w:val="it-IT"/>
        </w:rPr>
        <w:fldChar w:fldCharType="separate"/>
      </w:r>
      <w:r w:rsidRPr="00E3274E">
        <w:rPr>
          <w:noProof/>
        </w:rPr>
        <w:t>(Tanford 1964)</w:t>
      </w:r>
      <w:r>
        <w:rPr>
          <w:lang w:val="it-IT"/>
        </w:rPr>
        <w:fldChar w:fldCharType="end"/>
      </w:r>
      <w:r w:rsidRPr="00E3274E">
        <w:t xml:space="preserve"> for the denaturation of proteins in urea, was originally created to relate the transfer free energy of both the native and denatured state of the protein from water into aqueous cosolute solution (</w:t>
      </w:r>
      <w:r>
        <w:rPr>
          <w:lang w:val="it-IT"/>
        </w:rPr>
        <w:fldChar w:fldCharType="begin"/>
      </w:r>
      <w:r w:rsidRPr="00E3274E">
        <w:instrText xml:space="preserve"> REF _Ref459022977 \h </w:instrText>
      </w:r>
      <w:r>
        <w:rPr>
          <w:lang w:val="it-IT"/>
        </w:rPr>
      </w:r>
      <w:r>
        <w:rPr>
          <w:lang w:val="it-IT"/>
        </w:rPr>
        <w:fldChar w:fldCharType="separate"/>
      </w:r>
      <w:r w:rsidR="00AA6926">
        <w:t xml:space="preserve">Figure </w:t>
      </w:r>
      <w:r w:rsidR="00AA6926">
        <w:rPr>
          <w:noProof/>
        </w:rPr>
        <w:t>1</w:t>
      </w:r>
      <w:r w:rsidR="00AA6926">
        <w:noBreakHyphen/>
      </w:r>
      <w:r w:rsidR="00AA6926">
        <w:rPr>
          <w:noProof/>
        </w:rPr>
        <w:t>8</w:t>
      </w:r>
      <w:r>
        <w:rPr>
          <w:lang w:val="it-IT"/>
        </w:rPr>
        <w:fldChar w:fldCharType="end"/>
      </w:r>
      <w:r w:rsidR="006A09FF" w:rsidRPr="00E3274E">
        <w:t>A</w:t>
      </w:r>
      <w:r w:rsidRPr="00E3274E">
        <w:t>), in order to understand the contributions of various functional groups on the protein to this transfer free energy.</w:t>
      </w:r>
      <w:r w:rsidR="006A09FF" w:rsidRPr="00E3274E">
        <w:t xml:space="preserve"> This transfer model has since been applied to the stabilisation of proteins by stabilising small molecules </w:t>
      </w:r>
      <w:r w:rsidR="006A09FF">
        <w:rPr>
          <w:lang w:val="it-IT"/>
        </w:rPr>
        <w:fldChar w:fldCharType="begin" w:fldLock="1"/>
      </w:r>
      <w:r w:rsidR="00F66625" w:rsidRPr="00E3274E">
        <w:instrText>ADDIN CSL_CITATION { "citationItems" : [ { "id" : "ITEM-1", "itemData" : { "DOI" : "10.1006/jmbi.2001.4819", "ISSN" : "0022-2836", "PMID" : "11502004", "abstract" : "Intracellular organic osmolytes are present in certain organisms adapted to harsh environments and these osmolytes protect intracellular macromolecules against the denaturing environmental stress. In natural selection of organic osmolytes as protein stabilizers, it appears that the osmolyte property selected for is the unfavorable interaction between the osmolyte and the peptide backbone, a solvophobic thermodynamic force that we call the osmophobic effect. Because the peptide backbone is highly exposed to osmolyte in the denatured state, the osmophobic effect preferentially raises the free energy of the denatured state, shifting the equilibrium in favor of the native state. By focusing the solvophobic force on the denatured state, the native state is left free to function relatively unfettered by the presence of osmolyte. The osmophobic effect is a newly uncovered thermodynamic force in nature that complements the well-recognized hydrophobic interactions, hydrogen bonding, electrostatic and dispersion forces that drive protein folding. In organisms whose survival depends on the intracellular presence of osmolytes that can counteract denaturing stresses, the osmophobic effect is as fundamental to protein folding as these well-recognized forces.", "author" : [ { "dropping-particle" : "", "family" : "Bolen", "given" : "D W", "non-dropping-particle" : "", "parse-names" : false, "suffix" : "" }, { "dropping-parti</w:instrText>
      </w:r>
      <w:r w:rsidR="00F66625" w:rsidRPr="007F0FF0">
        <w:instrText>cle" : "V", "family" : "Baskakov", "given" : "I", "non-dropping-particle" : "", "parse-names" : false, "suffix" : "" } ], "container-title" : "Journal of Molecular Biology", "id" : "ITEM-1", "issued" : { "date-parts" : [ [ "2001", "7", "27" ] ] }, "page" : "955-963", "title" : "The osmophobic effect: Natural selection of a thermodynamic force in protein folding", "type" : "article-journal", "volume" : "310" }, "uris" : [ "http://www.mendeley.com/documents/?uuid=3c78e1da-09f3-4763-88ea-d97117649a97" ] } ], "mendeley" : { "formattedCitation" : "(Bolen &amp; Baskakov 2001)", "plainTextFormattedCitation" : "(Bolen &amp; Baskakov 2001)", "previouslyFormattedCitation" : "(Bolen &amp; Baskakov 2001)" }, "properties" : { "noteIndex" : 0 }, "schema" : "https://github.com/citation-style-language/schema/raw/master/csl-citation.json" }</w:instrText>
      </w:r>
      <w:r w:rsidR="006A09FF">
        <w:rPr>
          <w:lang w:val="it-IT"/>
        </w:rPr>
        <w:fldChar w:fldCharType="separate"/>
      </w:r>
      <w:r w:rsidR="006A09FF" w:rsidRPr="007F0FF0">
        <w:rPr>
          <w:noProof/>
        </w:rPr>
        <w:t>(Bolen &amp; Baskakov 2001)</w:t>
      </w:r>
      <w:r w:rsidR="006A09FF">
        <w:rPr>
          <w:lang w:val="it-IT"/>
        </w:rPr>
        <w:fldChar w:fldCharType="end"/>
      </w:r>
      <w:r w:rsidR="006A09FF" w:rsidRPr="007F0FF0">
        <w:t xml:space="preserve"> (</w:t>
      </w:r>
      <w:r w:rsidR="006A09FF">
        <w:rPr>
          <w:lang w:val="it-IT"/>
        </w:rPr>
        <w:fldChar w:fldCharType="begin"/>
      </w:r>
      <w:r w:rsidR="006A09FF" w:rsidRPr="007F0FF0">
        <w:instrText xml:space="preserve"> REF _Ref459022977 \h </w:instrText>
      </w:r>
      <w:r w:rsidR="006A09FF">
        <w:rPr>
          <w:lang w:val="it-IT"/>
        </w:rPr>
      </w:r>
      <w:r w:rsidR="006A09FF">
        <w:rPr>
          <w:lang w:val="it-IT"/>
        </w:rPr>
        <w:fldChar w:fldCharType="separate"/>
      </w:r>
      <w:r w:rsidR="00AA6926">
        <w:t xml:space="preserve">Figure </w:t>
      </w:r>
      <w:r w:rsidR="00AA6926">
        <w:rPr>
          <w:noProof/>
        </w:rPr>
        <w:t>1</w:t>
      </w:r>
      <w:r w:rsidR="00AA6926">
        <w:noBreakHyphen/>
      </w:r>
      <w:r w:rsidR="00AA6926">
        <w:rPr>
          <w:noProof/>
        </w:rPr>
        <w:t>8</w:t>
      </w:r>
      <w:r w:rsidR="006A09FF">
        <w:rPr>
          <w:lang w:val="it-IT"/>
        </w:rPr>
        <w:fldChar w:fldCharType="end"/>
      </w:r>
      <w:r w:rsidR="006A09FF" w:rsidRPr="007F0FF0">
        <w:t xml:space="preserve">B). </w:t>
      </w:r>
      <w:r w:rsidR="006A09FF" w:rsidRPr="00E3274E">
        <w:t xml:space="preserve">The major difference between the two transfer models being that in denaturant the </w:t>
      </w:r>
      <w:r w:rsidR="006A09FF">
        <w:rPr>
          <w:lang w:val="it-IT"/>
        </w:rPr>
        <w:t>Δ</w:t>
      </w:r>
      <w:r w:rsidR="006A09FF" w:rsidRPr="00E3274E">
        <w:rPr>
          <w:i/>
        </w:rPr>
        <w:t>G</w:t>
      </w:r>
      <w:r w:rsidR="006A09FF" w:rsidRPr="00E3274E">
        <w:rPr>
          <w:i/>
          <w:vertAlign w:val="superscript"/>
        </w:rPr>
        <w:t>1 M</w:t>
      </w:r>
      <w:r w:rsidR="006A09FF" w:rsidRPr="00E3274E">
        <w:rPr>
          <w:i/>
          <w:vertAlign w:val="subscript"/>
        </w:rPr>
        <w:t xml:space="preserve">N-D </w:t>
      </w:r>
      <w:r w:rsidR="006A09FF" w:rsidRPr="00E3274E">
        <w:t xml:space="preserve">will be smaller than </w:t>
      </w:r>
      <w:r w:rsidR="006A09FF">
        <w:rPr>
          <w:lang w:val="it-IT"/>
        </w:rPr>
        <w:t>Δ</w:t>
      </w:r>
      <w:r w:rsidR="006A09FF" w:rsidRPr="00E3274E">
        <w:rPr>
          <w:i/>
        </w:rPr>
        <w:t>G</w:t>
      </w:r>
      <w:r w:rsidR="006A09FF" w:rsidRPr="00787036">
        <w:rPr>
          <w:i/>
          <w:vertAlign w:val="superscript"/>
          <w:lang w:val="it-IT"/>
        </w:rPr>
        <w:t>Ο</w:t>
      </w:r>
      <w:r w:rsidR="006A09FF" w:rsidRPr="00E3274E">
        <w:rPr>
          <w:i/>
          <w:vertAlign w:val="subscript"/>
        </w:rPr>
        <w:t xml:space="preserve">N-D </w:t>
      </w:r>
      <w:r w:rsidR="006A09FF" w:rsidRPr="00E3274E">
        <w:t xml:space="preserve">, whereas for stabilising cosolutes it will be larger, hence why destabilisation and stabilisation occur respectively. When </w:t>
      </w:r>
      <w:r w:rsidR="00C52966" w:rsidRPr="00E3274E">
        <w:t xml:space="preserve">looking at the thermodynamic cycles drawn out it is </w:t>
      </w:r>
      <w:r w:rsidR="00852ACB" w:rsidRPr="00E3274E">
        <w:t>clearly visible that this is related</w:t>
      </w:r>
      <w:r w:rsidR="00C52966" w:rsidRPr="00E3274E">
        <w:t xml:space="preserve"> to differences in the transfer free energy of the native and denatured states (</w:t>
      </w:r>
      <w:r w:rsidR="00C52966">
        <w:rPr>
          <w:lang w:val="it-IT"/>
        </w:rPr>
        <w:fldChar w:fldCharType="begin"/>
      </w:r>
      <w:r w:rsidR="00C52966" w:rsidRPr="00E3274E">
        <w:instrText xml:space="preserve"> REF _Ref459022977 \h </w:instrText>
      </w:r>
      <w:r w:rsidR="00C52966">
        <w:rPr>
          <w:lang w:val="it-IT"/>
        </w:rPr>
      </w:r>
      <w:r w:rsidR="00C52966">
        <w:rPr>
          <w:lang w:val="it-IT"/>
        </w:rPr>
        <w:fldChar w:fldCharType="separate"/>
      </w:r>
      <w:r w:rsidR="00AA6926">
        <w:t xml:space="preserve">Figure </w:t>
      </w:r>
      <w:r w:rsidR="00AA6926">
        <w:rPr>
          <w:noProof/>
        </w:rPr>
        <w:t>1</w:t>
      </w:r>
      <w:r w:rsidR="00AA6926">
        <w:noBreakHyphen/>
      </w:r>
      <w:r w:rsidR="00AA6926">
        <w:rPr>
          <w:noProof/>
        </w:rPr>
        <w:t>8</w:t>
      </w:r>
      <w:r w:rsidR="00C52966">
        <w:rPr>
          <w:lang w:val="it-IT"/>
        </w:rPr>
        <w:fldChar w:fldCharType="end"/>
      </w:r>
      <w:r w:rsidR="00C52966" w:rsidRPr="00E3274E">
        <w:t xml:space="preserve">: </w:t>
      </w:r>
      <w:r w:rsidR="00C52966" w:rsidRPr="00787036">
        <w:rPr>
          <w:lang w:val="it-IT"/>
        </w:rPr>
        <w:t>Δ</w:t>
      </w:r>
      <w:r w:rsidR="00C52966" w:rsidRPr="00E3274E">
        <w:rPr>
          <w:i/>
        </w:rPr>
        <w:t>G</w:t>
      </w:r>
      <w:r w:rsidR="00C52966" w:rsidRPr="00E3274E">
        <w:rPr>
          <w:i/>
          <w:vertAlign w:val="subscript"/>
        </w:rPr>
        <w:t>tr N</w:t>
      </w:r>
      <w:r w:rsidR="00C52966" w:rsidRPr="00E3274E">
        <w:t xml:space="preserve">; </w:t>
      </w:r>
      <w:r w:rsidR="00C52966">
        <w:rPr>
          <w:lang w:val="it-IT"/>
        </w:rPr>
        <w:t>Δ</w:t>
      </w:r>
      <w:r w:rsidR="00C52966" w:rsidRPr="00E3274E">
        <w:rPr>
          <w:i/>
        </w:rPr>
        <w:t>G</w:t>
      </w:r>
      <w:r w:rsidR="00C52966" w:rsidRPr="00E3274E">
        <w:rPr>
          <w:i/>
          <w:vertAlign w:val="subscript"/>
        </w:rPr>
        <w:t>tr D</w:t>
      </w:r>
      <w:r w:rsidR="00C52966" w:rsidRPr="00E3274E">
        <w:rPr>
          <w:i/>
        </w:rPr>
        <w:t xml:space="preserve"> </w:t>
      </w:r>
      <w:r w:rsidR="00C52966" w:rsidRPr="00E3274E">
        <w:t xml:space="preserve">respectively). In the case of denaturant </w:t>
      </w:r>
      <w:r w:rsidR="00C52966">
        <w:rPr>
          <w:lang w:val="it-IT"/>
        </w:rPr>
        <w:t>Δ</w:t>
      </w:r>
      <w:r w:rsidR="00C52966" w:rsidRPr="00E3274E">
        <w:rPr>
          <w:i/>
        </w:rPr>
        <w:t>G</w:t>
      </w:r>
      <w:r w:rsidR="00C52966" w:rsidRPr="00E3274E">
        <w:rPr>
          <w:i/>
          <w:vertAlign w:val="subscript"/>
        </w:rPr>
        <w:t>tr N</w:t>
      </w:r>
      <w:r w:rsidR="00C52966" w:rsidRPr="00E3274E">
        <w:rPr>
          <w:i/>
        </w:rPr>
        <w:t xml:space="preserve"> </w:t>
      </w:r>
      <w:r w:rsidR="00C52966" w:rsidRPr="00E3274E">
        <w:t xml:space="preserve">and </w:t>
      </w:r>
      <w:r w:rsidR="00C52966">
        <w:rPr>
          <w:lang w:val="it-IT"/>
        </w:rPr>
        <w:t>Δ</w:t>
      </w:r>
      <w:r w:rsidR="00C52966" w:rsidRPr="00E3274E">
        <w:rPr>
          <w:i/>
        </w:rPr>
        <w:t>G</w:t>
      </w:r>
      <w:r w:rsidR="00C52966" w:rsidRPr="00E3274E">
        <w:rPr>
          <w:i/>
          <w:vertAlign w:val="subscript"/>
        </w:rPr>
        <w:t>tr D</w:t>
      </w:r>
      <w:r w:rsidR="00C52966" w:rsidRPr="00E3274E">
        <w:rPr>
          <w:i/>
        </w:rPr>
        <w:t xml:space="preserve"> </w:t>
      </w:r>
      <w:r w:rsidR="00C52966" w:rsidRPr="00E3274E">
        <w:t>are both favourable</w:t>
      </w:r>
      <w:r w:rsidR="005D53FD" w:rsidRPr="00E3274E">
        <w:t xml:space="preserve"> (negative values)</w:t>
      </w:r>
      <w:r w:rsidR="00C52966" w:rsidRPr="00E3274E">
        <w:t xml:space="preserve">, but </w:t>
      </w:r>
      <w:r w:rsidR="00C52966">
        <w:rPr>
          <w:lang w:val="it-IT"/>
        </w:rPr>
        <w:t>Δ</w:t>
      </w:r>
      <w:r w:rsidR="00C52966" w:rsidRPr="00E3274E">
        <w:rPr>
          <w:i/>
        </w:rPr>
        <w:t>G</w:t>
      </w:r>
      <w:r w:rsidR="00C52966" w:rsidRPr="00E3274E">
        <w:rPr>
          <w:i/>
          <w:vertAlign w:val="subscript"/>
        </w:rPr>
        <w:t xml:space="preserve">tr D </w:t>
      </w:r>
      <w:r w:rsidR="00C52966" w:rsidRPr="00E3274E">
        <w:t xml:space="preserve">is </w:t>
      </w:r>
      <w:r w:rsidR="008E0B28" w:rsidRPr="00E3274E">
        <w:t>larger</w:t>
      </w:r>
      <w:r w:rsidR="00C52966" w:rsidRPr="00E3274E">
        <w:t xml:space="preserve"> due to net favourable interactions of urea with protein; more of the protein is exposed in the denatured state</w:t>
      </w:r>
      <w:r w:rsidR="00852ACB" w:rsidRPr="00E3274E">
        <w:t xml:space="preserve"> so the protein is destabilised</w:t>
      </w:r>
      <w:r w:rsidR="00C52966" w:rsidRPr="00E3274E">
        <w:t>.</w:t>
      </w:r>
      <w:r w:rsidR="00F66625" w:rsidRPr="00E3274E">
        <w:t xml:space="preserve"> The opposite occurs for stabilising cosolutes due to net repulsion from the protein</w:t>
      </w:r>
      <w:r w:rsidR="008E0B28" w:rsidRPr="00E3274E">
        <w:t xml:space="preserve">; both </w:t>
      </w:r>
      <w:r w:rsidR="008E0B28">
        <w:rPr>
          <w:lang w:val="it-IT"/>
        </w:rPr>
        <w:t>Δ</w:t>
      </w:r>
      <w:r w:rsidR="008E0B28" w:rsidRPr="00E3274E">
        <w:rPr>
          <w:i/>
        </w:rPr>
        <w:t>G</w:t>
      </w:r>
      <w:r w:rsidR="008E0B28" w:rsidRPr="00E3274E">
        <w:rPr>
          <w:i/>
          <w:vertAlign w:val="subscript"/>
        </w:rPr>
        <w:t>tr</w:t>
      </w:r>
      <w:r w:rsidR="008E0B28" w:rsidRPr="00E3274E">
        <w:t xml:space="preserve"> values are positive (unfavourable) but </w:t>
      </w:r>
      <w:r w:rsidR="008E0B28">
        <w:rPr>
          <w:lang w:val="it-IT"/>
        </w:rPr>
        <w:t>Δ</w:t>
      </w:r>
      <w:r w:rsidR="008E0B28" w:rsidRPr="00E3274E">
        <w:rPr>
          <w:i/>
        </w:rPr>
        <w:t>G</w:t>
      </w:r>
      <w:r w:rsidR="008E0B28" w:rsidRPr="00E3274E">
        <w:rPr>
          <w:i/>
          <w:vertAlign w:val="subscript"/>
        </w:rPr>
        <w:t>tr D</w:t>
      </w:r>
      <w:r w:rsidR="008E0B28" w:rsidRPr="00E3274E">
        <w:rPr>
          <w:vertAlign w:val="subscript"/>
        </w:rPr>
        <w:t xml:space="preserve"> </w:t>
      </w:r>
      <w:r w:rsidR="008E0B28" w:rsidRPr="00E3274E">
        <w:t>is more positive and so more unfavourable</w:t>
      </w:r>
      <w:r w:rsidR="00852ACB" w:rsidRPr="00E3274E">
        <w:t>, leading to stabilisation</w:t>
      </w:r>
      <w:r w:rsidR="00F66625" w:rsidRPr="00E3274E">
        <w:t>.</w:t>
      </w:r>
    </w:p>
    <w:p w14:paraId="68550105" w14:textId="77777777" w:rsidR="00125398" w:rsidRDefault="00125398" w:rsidP="00125398">
      <w:pPr>
        <w:keepNext/>
      </w:pPr>
      <w:r>
        <w:rPr>
          <w:lang w:val="it-IT"/>
        </w:rPr>
        <w:object w:dxaOrig="7180" w:dyaOrig="5390" w14:anchorId="01B4A64D">
          <v:shape id="_x0000_i1029" type="#_x0000_t75" style="width:473.25pt;height:355.5pt" o:ole="">
            <v:imagedata r:id="rId23" o:title=""/>
          </v:shape>
          <o:OLEObject Type="Embed" ProgID="PowerPoint.Show.12" ShapeID="_x0000_i1029" DrawAspect="Content" ObjectID="_1559454683" r:id="rId24"/>
        </w:object>
      </w:r>
    </w:p>
    <w:p w14:paraId="2015032C" w14:textId="77777777" w:rsidR="00125398" w:rsidRDefault="00125398" w:rsidP="00125398">
      <w:pPr>
        <w:pStyle w:val="Caption"/>
        <w:jc w:val="left"/>
      </w:pPr>
      <w:bookmarkStart w:id="82" w:name="_Ref459022977"/>
      <w:bookmarkStart w:id="83" w:name="_Ref459022962"/>
      <w:bookmarkStart w:id="84" w:name="_Toc482633166"/>
      <w:r>
        <w:t xml:space="preserve">Figure </w:t>
      </w:r>
      <w:fldSimple w:instr=" STYLEREF 1 \s ">
        <w:r w:rsidR="00AA6926">
          <w:rPr>
            <w:noProof/>
          </w:rPr>
          <w:t>1</w:t>
        </w:r>
      </w:fldSimple>
      <w:r w:rsidR="00BA082C">
        <w:noBreakHyphen/>
      </w:r>
      <w:fldSimple w:instr=" SEQ Figure \* ARABIC \s 1 ">
        <w:r w:rsidR="00AA6926">
          <w:rPr>
            <w:noProof/>
          </w:rPr>
          <w:t>8</w:t>
        </w:r>
      </w:fldSimple>
      <w:bookmarkEnd w:id="82"/>
      <w:r>
        <w:t>. Schematic diagram of the transfer model originally suggested by Tanford for the transfer of a protein from water into urea</w:t>
      </w:r>
      <w:r w:rsidR="00C10D17">
        <w:t xml:space="preserve"> (A</w:t>
      </w:r>
      <w:r>
        <w:t xml:space="preserve">) </w:t>
      </w:r>
      <w:r w:rsidR="00C10D17">
        <w:t xml:space="preserve">in its native (N) and denatured state (D). This has </w:t>
      </w:r>
      <w:r>
        <w:t>subsequently applied to stabilising cosolutes (b). It shows the linking between the Gibbs free energy of unfolding in cosolute and water and the Gibbs free energy of transfer of the protein from water to cosolute (ΔG</w:t>
      </w:r>
      <w:r w:rsidRPr="00C10D17">
        <w:rPr>
          <w:vertAlign w:val="superscript"/>
        </w:rPr>
        <w:t>1 M</w:t>
      </w:r>
      <w:r w:rsidRPr="00C10D17">
        <w:rPr>
          <w:vertAlign w:val="subscript"/>
        </w:rPr>
        <w:t xml:space="preserve">N-D </w:t>
      </w:r>
      <w:r>
        <w:t>– ΔG</w:t>
      </w:r>
      <w:r w:rsidRPr="00C10D17">
        <w:rPr>
          <w:vertAlign w:val="superscript"/>
        </w:rPr>
        <w:t>Ο</w:t>
      </w:r>
      <w:r w:rsidRPr="00C10D17">
        <w:rPr>
          <w:vertAlign w:val="subscript"/>
        </w:rPr>
        <w:t xml:space="preserve">N-D </w:t>
      </w:r>
      <w:r>
        <w:t>= ΔG</w:t>
      </w:r>
      <w:r w:rsidR="00C10D17" w:rsidRPr="00C10D17">
        <w:rPr>
          <w:vertAlign w:val="subscript"/>
        </w:rPr>
        <w:t xml:space="preserve">tr D </w:t>
      </w:r>
      <w:r w:rsidR="00C10D17">
        <w:t>– ΔG</w:t>
      </w:r>
      <w:r w:rsidR="00C10D17" w:rsidRPr="00C10D17">
        <w:rPr>
          <w:vertAlign w:val="subscript"/>
        </w:rPr>
        <w:t>tr N</w:t>
      </w:r>
      <w:r w:rsidR="00C10D17">
        <w:t xml:space="preserve">). </w:t>
      </w:r>
      <w:r w:rsidR="00D52B71">
        <w:t>In A ΔG</w:t>
      </w:r>
      <w:r w:rsidR="00D52B71" w:rsidRPr="00D52B71">
        <w:rPr>
          <w:vertAlign w:val="subscript"/>
        </w:rPr>
        <w:t>tr</w:t>
      </w:r>
      <w:r w:rsidR="00D52B71">
        <w:t xml:space="preserve"> &lt; 0, in B ΔG</w:t>
      </w:r>
      <w:r w:rsidR="00D52B71" w:rsidRPr="00D52B71">
        <w:rPr>
          <w:vertAlign w:val="subscript"/>
        </w:rPr>
        <w:t>tr</w:t>
      </w:r>
      <w:r w:rsidR="00D52B71">
        <w:rPr>
          <w:vertAlign w:val="subscript"/>
        </w:rPr>
        <w:t xml:space="preserve"> </w:t>
      </w:r>
      <w:r w:rsidR="00D52B71">
        <w:t xml:space="preserve">&gt; 0. </w:t>
      </w:r>
      <w:r w:rsidR="00C10D17">
        <w:t>Figure adapted fro</w:t>
      </w:r>
      <w:r w:rsidR="00C10D17" w:rsidRPr="00C10D17">
        <w:t xml:space="preserve">m </w:t>
      </w:r>
      <w:r w:rsidR="00C10D17" w:rsidRPr="00C10D17">
        <w:fldChar w:fldCharType="begin" w:fldLock="1"/>
      </w:r>
      <w:r w:rsidR="00C10D17">
        <w:instrText>ADDIN CSL_CITATION { "citationItems" : [ { "id" : "ITEM-1", "itemData" : { "DOI" : "10.1016/S0076-6879(07)28023-1", "ISBN" : "9780123739216", "ISSN" : "00766879", "PMID" : "17875431", "abstract" : "A primary thermodynamic goal in protein biochemistry is to attain a predictive understanding of the energetic changes responsible for solvent-induced folding and unfolding. This chapter demonstrates the use of Tanford's transfer model to predict solvent-dependent cooperative protein folding/unfolding free energy changes (m values). This approach provides a thermodynamic description of these free energy changes in terms of individual contributions from the peptide backbone and residue side chains. The quantitative success of the transfer model has been hindered for many years because of unresolved issues involving proper measurement of the group transfer-free energies of amino acid side chains and the peptide backbone unit. This chapter demonstrates what is necessary to design experiments properly so that reliable values of group transfer-free energies are obtainable. It then demonstrates how to derive a prediction of the m value for the description of protein folding/unfolding cooperativity and that the calculated values using the transfer model agree quite well with experimentally measured values. ?? 2007 Elsevier Inc. All rights reserved.", "author" : [ { "dropping-particle" : "", "family" : "Auton", "given" : "M", "non-dropping-particle" : "", "parse-names" : false, "suffix" : "" }, { "dropping-particle" : "", "family" : "Bolen", "given" : "D W", "non-dropping-particle" : "", "parse-names" : false, "suffix" : "" } ], "container-title" : "Methods in Enzymology", "id" : "ITEM-1", "issued" : { "date-parts" : [ [ "2007" ] ] }, "page" : "397-418", "title" : "Application of the transfer model to understand how naturally occurring osmolytes affect protein stability", "type" : "article-journal", "volume" : "428" }, "uris" : [ "http://www.mendeley.com/documents/?uuid=4be65e08-8795-4ef6-a3a4-c24a78e31a2c" ] } ], "mendeley" : { "formattedCitation" : "(Auton &amp; Bolen 2007)", "plainTextFormattedCitation" : "(Auton &amp; Bolen 2007)", "previouslyFormattedCitation" : "(Auton &amp; Bolen 2007)" }, "properties" : { "noteIndex" : 0 }, "schema" : "https://github.com/citation-style-language/schema/raw/master/csl-citation.json" }</w:instrText>
      </w:r>
      <w:r w:rsidR="00C10D17" w:rsidRPr="00C10D17">
        <w:fldChar w:fldCharType="separate"/>
      </w:r>
      <w:r w:rsidR="00C10D17" w:rsidRPr="00C10D17">
        <w:rPr>
          <w:noProof/>
        </w:rPr>
        <w:t>(Auton &amp; Bolen 2007)</w:t>
      </w:r>
      <w:r w:rsidR="00C10D17" w:rsidRPr="00C10D17">
        <w:fldChar w:fldCharType="end"/>
      </w:r>
      <w:r w:rsidR="00C10D17">
        <w:t>.</w:t>
      </w:r>
      <w:bookmarkEnd w:id="83"/>
      <w:bookmarkEnd w:id="84"/>
    </w:p>
    <w:p w14:paraId="61277E1B" w14:textId="77777777" w:rsidR="00F66625" w:rsidRPr="00E3274E" w:rsidRDefault="00F66625" w:rsidP="00F66625">
      <w:r w:rsidRPr="00E3274E">
        <w:t xml:space="preserve">This model provides a simple thermodynamic explanation for the preferential interaction and exclusion theory. However, as discussed in section </w:t>
      </w:r>
      <w:r>
        <w:rPr>
          <w:lang w:val="it-IT"/>
        </w:rPr>
        <w:fldChar w:fldCharType="begin"/>
      </w:r>
      <w:r w:rsidRPr="00E3274E">
        <w:instrText xml:space="preserve"> REF _Ref455651654 \r \h </w:instrText>
      </w:r>
      <w:r>
        <w:rPr>
          <w:lang w:val="it-IT"/>
        </w:rPr>
      </w:r>
      <w:r>
        <w:rPr>
          <w:lang w:val="it-IT"/>
        </w:rPr>
        <w:fldChar w:fldCharType="separate"/>
      </w:r>
      <w:r w:rsidR="00AA6926">
        <w:t>1.4.3.2</w:t>
      </w:r>
      <w:r>
        <w:rPr>
          <w:lang w:val="it-IT"/>
        </w:rPr>
        <w:fldChar w:fldCharType="end"/>
      </w:r>
      <w:r w:rsidRPr="00E3274E">
        <w:t>, these models are overly simplistic. One of the major reasons that the Transfer model does not provide much insight into the mechanisms governing cosolute effects on protein stability is that it is based on 1 M cosolute, and the relationship between Gibbs free energy and cosolute conce</w:t>
      </w:r>
      <w:r w:rsidR="00D67A02" w:rsidRPr="00E3274E">
        <w:t>ntration is assumed to be linea</w:t>
      </w:r>
      <w:r w:rsidR="002566EF" w:rsidRPr="00E3274E">
        <w:t>r</w:t>
      </w:r>
      <w:r w:rsidRPr="00E3274E">
        <w:t xml:space="preserve">. This is discussed earlier in this literature review with reference to the </w:t>
      </w:r>
      <w:r w:rsidRPr="00E3274E">
        <w:rPr>
          <w:i/>
        </w:rPr>
        <w:t>m</w:t>
      </w:r>
      <w:r w:rsidRPr="00E3274E">
        <w:t xml:space="preserve">-value and has been disproven (section </w:t>
      </w:r>
      <w:r>
        <w:rPr>
          <w:lang w:val="it-IT"/>
        </w:rPr>
        <w:fldChar w:fldCharType="begin"/>
      </w:r>
      <w:r w:rsidRPr="00E3274E">
        <w:instrText xml:space="preserve"> REF _Ref453342046 \r \h </w:instrText>
      </w:r>
      <w:r>
        <w:rPr>
          <w:lang w:val="it-IT"/>
        </w:rPr>
      </w:r>
      <w:r>
        <w:rPr>
          <w:lang w:val="it-IT"/>
        </w:rPr>
        <w:fldChar w:fldCharType="separate"/>
      </w:r>
      <w:r w:rsidR="00AA6926">
        <w:t>1.4</w:t>
      </w:r>
      <w:r>
        <w:rPr>
          <w:lang w:val="it-IT"/>
        </w:rPr>
        <w:fldChar w:fldCharType="end"/>
      </w:r>
      <w:r w:rsidRPr="00E3274E">
        <w:t>).</w:t>
      </w:r>
    </w:p>
    <w:p w14:paraId="431DCAD1" w14:textId="77777777" w:rsidR="006A09FF" w:rsidRPr="00E3274E" w:rsidRDefault="00C52966" w:rsidP="004E4C38">
      <w:r w:rsidRPr="00E3274E">
        <w:lastRenderedPageBreak/>
        <w:t xml:space="preserve">The usefulness of this model stems from the fact that </w:t>
      </w:r>
      <w:r w:rsidR="006A09FF" w:rsidRPr="00E3274E">
        <w:t xml:space="preserve">Tanford separated out the </w:t>
      </w:r>
      <w:r w:rsidRPr="00E3274E">
        <w:t>transfer free energies</w:t>
      </w:r>
      <w:r w:rsidR="006A09FF" w:rsidRPr="00E3274E">
        <w:t xml:space="preserve"> into contributions from charged groups, hydrophobic side chains, uncharged polar side chains and peptide groups.</w:t>
      </w:r>
      <w:r w:rsidR="00F66625" w:rsidRPr="00E3274E">
        <w:t xml:space="preserve"> This is important when</w:t>
      </w:r>
      <w:r w:rsidR="00852ACB" w:rsidRPr="00E3274E">
        <w:t xml:space="preserve"> comparing the Gibbs free energy</w:t>
      </w:r>
      <w:r w:rsidR="00F66625" w:rsidRPr="00E3274E">
        <w:t xml:space="preserve"> of the denatured and native states, as the fractions of the various groups differ between the two states. The contributions of these various groups to the transfer free energies have been </w:t>
      </w:r>
      <w:r w:rsidR="00852ACB" w:rsidRPr="00E3274E">
        <w:t>shown</w:t>
      </w:r>
      <w:r w:rsidR="00F66625" w:rsidRPr="00E3274E">
        <w:t xml:space="preserve"> to be additive </w:t>
      </w:r>
      <w:r w:rsidR="00F66625">
        <w:rPr>
          <w:lang w:val="it-IT"/>
        </w:rPr>
        <w:fldChar w:fldCharType="begin" w:fldLock="1"/>
      </w:r>
      <w:r w:rsidR="00824696" w:rsidRPr="00E3274E">
        <w:instrText>ADDIN CSL_CITATION { "citationItems" : [ { "id" : "ITEM-1", "itemData" : { "DOI" : "10.1021/bi035908r", "ISSN" : "0006-2960", "PMID" : "14756570", "abstract" : "With knowledge of individual transfer free energies of chemical groups that become newly exposed on protein denaturation and assuming the group transfer free energy contributions are additive, it should be possible to predict the stability of a protein in the presence of denaturant. Unfortunately, several unresolved issues have seriously hampered quantitative development of this transfer model for protein folding/unfolding. These issues include the lack of adequate demonstration that group transfer free energies (DeltaG(tr)) are additive and independent of the choice of model compound, the problem arising from dependence of DeltaG(tr) on concentration scales, the lack of knowledge of activity coefficients, and the validity of the mathematical constructs used in obtaining DeltaG(tr) values. Regarding transfer from water to 1 M concentrations of the naturally occurring osmolytes, trimethylamine-N-oxide (TMAO), sarcosine, betaine, proline, glycerol, sorbitol, sucrose, trehalose, and urea, using cyclic glycylglycine, zwitterionic glycine peptides, and N-acetylglycine amide peptides as models for the peptide backbone of proteins, we set out to address these issues and obtain DeltaG(tr) values for the peptide backbone unit. We demonstrate experimental approaches that obviate the choice of concentration scale and demonstrate additivity in DeltaG(tr) of the peptide backbone unit for all solvent systems studied. Evidence is presented to show that the DeltaG(tr) values are independent of the chemical model studied, and experimental conditions are given to illustrate when the mathematical constructs are valid and when activity coefficients can be ignored. Resolution of the long-standing issues that have stymied development of the transfer model now make it possible to design transfer experiments that yield reliable and quantitative values for the interactions between osmolyte-containing solvents and native and unfolded protein.", "author" : [ { "dropping-particle" : "", "family" : "Auton", "given" : "M", "non-dropping-particle" : "", "parse-names" : false, "suffix" : "" }, { "dropping-particle" : "", "family" : "Bolen", "given" : "D W", "non-dropping-particle" : "", "parse-names" : false, "suffix" : "" } ], "container-title" : "Biochemistry", "id" : "ITEM-1", "issued" : { "date-parts" : [ [ "2004", "2", "10" ] ] }, "page" : "13</w:instrText>
      </w:r>
      <w:r w:rsidR="00824696" w:rsidRPr="007F0FF0">
        <w:instrText>29-1342", "title" : "Additive transfer free energies of the peptide backbone unit that are independent of the model compound and the choice of concentration scale", "type" : "article-journal", "volume" : "43" }, "uris" : [ "http://www.mendeley.com/documents/?uuid=7b0dfa3a-4f92-4920-96c6-b040ddcd27d6" ] } ], "mendeley" : { "formattedCitation" : "(Auton &amp; Bolen 2004)", "plainTextFormattedCitation" : "(Auton &amp; Bolen 2004)", "previouslyFormattedCitation" : "(Auton &amp; Bolen 2004)" }, "properties" : { "noteIndex" : 0 }, "schema" : "https://github.com/citation-style-language/schema/raw/master/csl-citation.json" }</w:instrText>
      </w:r>
      <w:r w:rsidR="00F66625">
        <w:rPr>
          <w:lang w:val="it-IT"/>
        </w:rPr>
        <w:fldChar w:fldCharType="separate"/>
      </w:r>
      <w:r w:rsidR="00F66625" w:rsidRPr="007F0FF0">
        <w:rPr>
          <w:noProof/>
        </w:rPr>
        <w:t>(Auton &amp; Bolen 2004)</w:t>
      </w:r>
      <w:r w:rsidR="00F66625">
        <w:rPr>
          <w:lang w:val="it-IT"/>
        </w:rPr>
        <w:fldChar w:fldCharType="end"/>
      </w:r>
      <w:r w:rsidR="00F66625" w:rsidRPr="007F0FF0">
        <w:t xml:space="preserve">. </w:t>
      </w:r>
      <w:r w:rsidR="00F66625" w:rsidRPr="00E3274E">
        <w:t>This separation of the various functional groups laid way for the development of the well supported hypothesis that the peptide backbone plays a major role in determining whether a protein is stabilised or destabilised</w:t>
      </w:r>
      <w:r w:rsidR="00787036" w:rsidRPr="00E3274E">
        <w:t xml:space="preserve"> in the presence of a cosolute.</w:t>
      </w:r>
    </w:p>
    <w:p w14:paraId="68FA9B2D" w14:textId="77777777" w:rsidR="005507C8" w:rsidRDefault="005507C8" w:rsidP="00C431E8">
      <w:pPr>
        <w:pStyle w:val="Heading3"/>
      </w:pPr>
      <w:bookmarkStart w:id="85" w:name="_Ref460079516"/>
      <w:bookmarkStart w:id="86" w:name="_Toc485712753"/>
      <w:r w:rsidRPr="00E568C9">
        <w:t>Interactions with peptide backbone</w:t>
      </w:r>
      <w:bookmarkEnd w:id="85"/>
      <w:bookmarkEnd w:id="86"/>
    </w:p>
    <w:p w14:paraId="711FF2B9" w14:textId="291D9AFD" w:rsidR="00824696" w:rsidRDefault="00824696" w:rsidP="00824696">
      <w:r>
        <w:t xml:space="preserve">Stabilising small organic molecules tend to stabilise all proteins regardless of size, charge, shape etc., and as such were evolutionarily selected for as osmolytes in cells to stabilise proteins against various denaturing stresses (see </w:t>
      </w:r>
      <w:commentRangeStart w:id="87"/>
      <w:r>
        <w:t>section</w:t>
      </w:r>
      <w:r w:rsidR="006B7D90">
        <w:t xml:space="preserve"> 1.3.3</w:t>
      </w:r>
      <w:commentRangeEnd w:id="87"/>
      <w:r w:rsidR="006B7D90">
        <w:rPr>
          <w:rStyle w:val="CommentReference"/>
        </w:rPr>
        <w:commentReference w:id="87"/>
      </w:r>
      <w:r>
        <w:t xml:space="preserve">). Due to this ubiquitous action it has long been thought that they must act in mechanistically similar ways on all proteins, despite the variety in protein structure. This pointed to either ‘solvophobic’ interactions with apolar groups, which is a known major mechanism for protein folding in non-cosolute conditions </w:t>
      </w:r>
      <w:r>
        <w:fldChar w:fldCharType="begin" w:fldLock="1"/>
      </w:r>
      <w:r w:rsidR="00F3090F">
        <w:instrText>ADDIN CSL_CITATION { "citationItems" : [ { "id" : "ITEM-1", "itemData" : { "author" : [ { "dropping-particle" : "", "family" : "Dill", "given" : "K A", "non-dropping-particle" : "", "parse-names" : false, "suffix" : "" } ], "container-title" : "Biochemistry", "id" : "ITEM-1", "issued" : { "date-parts" : [ [ "1990" ] ] }, "page" : "7133-7155", "title" : "Dominant forces in protein folding", "type" : "article-journal", "volume" : "29" }, "uris" : [ "http://www.mendeley.com/documents/?uuid=d368854b-c75c-4390-8a6e-75e5be12aec7" ] } ], "mendeley" : { "formattedCitation" : "(Dill 1990)", "plainTextFormattedCitation" : "(Dill 1990)", "previouslyFormattedCitation" : "(Dill 1990)" }, "properties" : { "noteIndex" : 0 }, "schema" : "https://github.com/citation-style-language/schema/raw/master/csl-citation.json" }</w:instrText>
      </w:r>
      <w:r>
        <w:fldChar w:fldCharType="separate"/>
      </w:r>
      <w:r w:rsidRPr="00824696">
        <w:rPr>
          <w:noProof/>
        </w:rPr>
        <w:t>(Dill 1990)</w:t>
      </w:r>
      <w:r>
        <w:fldChar w:fldCharType="end"/>
      </w:r>
      <w:r>
        <w:t xml:space="preserve">, or interactions mediated by water (see section </w:t>
      </w:r>
      <w:r>
        <w:fldChar w:fldCharType="begin"/>
      </w:r>
      <w:r>
        <w:instrText xml:space="preserve"> REF _Ref458439266 \r \h </w:instrText>
      </w:r>
      <w:r>
        <w:fldChar w:fldCharType="separate"/>
      </w:r>
      <w:r w:rsidR="00AA6926">
        <w:t>1.4.3</w:t>
      </w:r>
      <w:r>
        <w:fldChar w:fldCharType="end"/>
      </w:r>
      <w:r>
        <w:t>).</w:t>
      </w:r>
    </w:p>
    <w:p w14:paraId="71AF9A31" w14:textId="77777777" w:rsidR="00F3090F" w:rsidRDefault="00F3090F" w:rsidP="00824696">
      <w:r>
        <w:t>Around 20 years ago it was first proposed, by using the Transfer model described above, that un</w:t>
      </w:r>
      <w:r w:rsidR="008C3841">
        <w:t>favourable interaction</w:t>
      </w:r>
      <w:r w:rsidR="00861DA7">
        <w:t xml:space="preserve"> between </w:t>
      </w:r>
      <w:r>
        <w:t>stabilising cosolutes and the peptide backbon</w:t>
      </w:r>
      <w:r w:rsidR="00787036">
        <w:t>e unit were the driving force for</w:t>
      </w:r>
      <w:r>
        <w:t xml:space="preserve"> preferential exclusion </w:t>
      </w:r>
      <w:r>
        <w:fldChar w:fldCharType="begin" w:fldLock="1"/>
      </w:r>
      <w:r w:rsidR="00861DA7">
        <w:instrText>ADDIN CSL_CITATION { "citationItems" : [ { "id" : "ITEM-1", "itemData" : { "ISSN" : "0006-2960", "PMID" : "7548045", "abstract" : "Transfer free energy measurements of amino acids from water to the osmolytes, sucrose and sarcosine, were made as a function of osmolyte concentration. From these data, transfer free energies of the amino acid side chains were obtained, and the transfer free energy of the peptide backbone was determined from solubility measurements of diketopiperazine (DKP). Using static accessible surface evaluations of the native and unfolded states of ribonuclease A, solvent exposed side chain and peptide backbone areas were multiplied by their transfer free energies and summed in order to evaluate the transfer free energy of the native and unfolded states of the protein from water to the osmolyte solutions. The results reproduced the main features of the free energy profile determined for denaturation of proteins in the presence of osmolytes. The side chains were found collectively to favor exposure to the osmolyte in comparison to exposure in water, and in this sense the side chains favor protein unfolding. The major factor which opposes and overrides the side chain preference for denaturation and results in the stabilization of proteins observed in osmolytes is the highly unfavorable exposure of polypeptide backbone on unfolding. Except for urea and guanidine hydrochloride solutions, it is shown that all organic solvents (e.g., dioxane, ethanol, ethylene glycol) and solutes (osmolytes) for which transfer free energy measurements have been determined exhibit unfavorable transfer free energy of the peptide backbone.(ABSTRACT TRUNCATED AT 250 WORDS)", "author" : [ { "dropping-particle" : "", "family" : "Liu", "given" : "Y", "non-dropping-particle" : "", "parse-names" : false, "suffix" : "" }, { "dropping-particle" : "", "family" : "Bolen", "given" : "D W", "non-dropping-particle" : "", "parse-names" : false, "suffix" : "" } ], "container-title" : "Biochemistry", "id" : "ITEM-1", "issued" : { "date-parts" : [ [ "1995", "10", "3" ] ] }, "page" : "12884-12891", "title" : "The peptide backbone plays a dominant role in protein stabilization by naturally occurring osmolytes", "type" : "article-journal", "volume" : "34" }, "uris" : [ "http://www.mendeley.com/documents/?uuid=f2438128-c452-4f69-b9ca-6bf30b770a74" ] } ], "mendeley" : { "formattedCitation" : "(Liu &amp; Bolen 1995)", "plainTextFormattedCitation" : "(Liu &amp; Bolen 1995)", "previouslyFormattedCitation" : "(Liu &amp; Bolen 1995)" }, "properties" : { "noteIndex" : 0 }, "schema" : "https://github.com/citation-style-language/schema/raw/master/csl-citation.json" }</w:instrText>
      </w:r>
      <w:r>
        <w:fldChar w:fldCharType="separate"/>
      </w:r>
      <w:r w:rsidRPr="00F3090F">
        <w:rPr>
          <w:noProof/>
        </w:rPr>
        <w:t>(Liu &amp; Bolen 1995)</w:t>
      </w:r>
      <w:r>
        <w:fldChar w:fldCharType="end"/>
      </w:r>
      <w:r w:rsidR="008C3841">
        <w:t>, and was named the ‘osmophobic effect’</w:t>
      </w:r>
      <w:r>
        <w:t>.</w:t>
      </w:r>
      <w:r w:rsidR="002566EF">
        <w:t xml:space="preserve"> The osmophobic effect</w:t>
      </w:r>
      <w:r w:rsidR="00861DA7">
        <w:t xml:space="preserve"> causes protein stabilisation as the peptide backbone is highly buried in the native state of the protein</w:t>
      </w:r>
      <w:r w:rsidR="00852ACB">
        <w:t>. This makes</w:t>
      </w:r>
      <w:r w:rsidR="00D31E36">
        <w:t xml:space="preserve"> denaturation</w:t>
      </w:r>
      <w:r w:rsidR="00275071">
        <w:t xml:space="preserve"> more</w:t>
      </w:r>
      <w:r w:rsidR="00D31E36">
        <w:t xml:space="preserve"> unfavourable</w:t>
      </w:r>
      <w:r w:rsidR="00861DA7">
        <w:t xml:space="preserve"> </w:t>
      </w:r>
      <w:r w:rsidR="00852ACB">
        <w:t xml:space="preserve">as more of the backbone would be exposed to the solvent and cosolute </w:t>
      </w:r>
      <w:r w:rsidR="008C3841">
        <w:fldChar w:fldCharType="begin" w:fldLock="1"/>
      </w:r>
      <w:r w:rsidR="00FD7FE0">
        <w:instrText>ADDIN CSL_CITATION { "citationItems" : [ { "id" : "ITEM-1", "itemData" : { "DOI" : "10.1006/jmbi.2001.4819", "ISSN" : "0022-2836", "PMID" : "11502004", "abstract" : "Intracellular organic osmolytes are present in certain organisms adapted to harsh environments and these osmolytes protect intracellular macromolecules against the denaturing environmental stress. In natural selection of organic osmolytes as protein stabilizers, it appears that the osmolyte property selected for is the unfavorable interaction between the osmolyte and the peptide backbone, a solvophobic thermodynamic force that we call the osmophobic effect. Because the peptide backbone is highly exposed to osmolyte in the denatured state, the osmophobic effect preferentially raises the free energy of the denatured state, shifting the equilibrium in favor of the native state. By focusing the solvophobic force on the denatured state, the native state is left free to function relatively unfettered by the presence of osmolyte. The osmophobic effect is a newly uncovered thermodynamic force in nature that complements the well-recognized hydrophobic interactions, hydrogen bonding, electrostatic and dispersion forces that drive protein folding. In organisms whose survival depends on the intracellular presence of osmolytes that can counteract denaturing stresses, the osmophobic effect is as fundamental to protein folding as these well-recognized forces.", "author" : [ { "dropping-particle" : "", "family" : "Bolen", "given" : "D W", "non-dropping-particle" : "", "parse-names" : false, "suffix" : "" }, { "dropping-particle" : "V", "family" : "Baskakov", "given" : "I", "non-dropping-particle" : "", "parse-names" : false, "suffix" : "" } ], "container-title" : "Journal of Molecular Biology", "id" : "ITEM-1", "issued" : { "date-parts" : [ [ "2001", "7", "27" ] ] }, "page" : "955-963", "title" : "The osmophobic effect: Natural selection of a thermodynamic force in protein folding", "type" : "article-journal", "volume" : "310" }, "uris" : [ "http://www.mendeley.com/documents/?uuid=3c78e1da-09f3-4763-88ea-d97117649a97" ] } ], "mendeley" : { "formattedCitation" : "(Bolen &amp; Baskakov 2001)", "plainTextFormattedCitation" : "(Bolen &amp; Baskakov 2001)", "previouslyFormattedCitation" : "(Bolen &amp; Baskakov 2001)" }, "properties" : { "noteIndex" : 0 }, "schema" : "https://github.com/citation-style-language/schema/raw/master/csl-citation.json" }</w:instrText>
      </w:r>
      <w:r w:rsidR="008C3841">
        <w:fldChar w:fldCharType="separate"/>
      </w:r>
      <w:r w:rsidR="008C3841" w:rsidRPr="008C3841">
        <w:rPr>
          <w:noProof/>
        </w:rPr>
        <w:t>(Bolen &amp; Baskakov 2001)</w:t>
      </w:r>
      <w:r w:rsidR="008C3841">
        <w:fldChar w:fldCharType="end"/>
      </w:r>
      <w:r w:rsidR="008C3841">
        <w:t>.</w:t>
      </w:r>
      <w:r>
        <w:t xml:space="preserve"> </w:t>
      </w:r>
      <w:r w:rsidR="00861DA7">
        <w:t xml:space="preserve">Although amino acid side chains as a collective were found to have weak favourable interactions with sucrose and sarcosine, this was hugely counteracting by unfavourable interactions with peptide backbone units. This stabilising force is multiplied when the large number of </w:t>
      </w:r>
      <w:r w:rsidR="00861DA7">
        <w:lastRenderedPageBreak/>
        <w:t xml:space="preserve">peptide backbone units present in a protein is considered. </w:t>
      </w:r>
      <w:r w:rsidR="00852ACB">
        <w:t>The</w:t>
      </w:r>
      <w:r w:rsidR="00861DA7">
        <w:t xml:space="preserve"> same research group </w:t>
      </w:r>
      <w:r w:rsidR="00852ACB">
        <w:t xml:space="preserve">also </w:t>
      </w:r>
      <w:r w:rsidR="00861DA7">
        <w:t xml:space="preserve">proved that urea, a denaturant, showed favourable interactions with the peptide backbone </w:t>
      </w:r>
      <w:r w:rsidR="00861DA7">
        <w:fldChar w:fldCharType="begin" w:fldLock="1"/>
      </w:r>
      <w:r w:rsidR="00E11F61">
        <w:instrText>ADDIN CSL_CITATION { "citationItems" : [ { "id" : "ITEM-1", "itemData" : { "ISSN" : "0027-8424", "PMID" : "9689069", "abstract" : "The Stokes radius characteristics of reduced and carboxamidated ribonuclease A (RCAM RNase) were determined for transfer of this \"random coil\" protein from water to 1 M concentrations of the naturally occurring protecting osmolytes trimethylamine N-oxide, sarcosine, sucrose, and proline and the nonprotecting osmolyte urea. The denatured ensemble of RCAM RNase expands in urea and contracts in protecting osmolytes to extents proportional to the transfer Gibbs energy of the protein from water to osmolyte. This proportionality suggests that the sum of the transfer Gibbs energies of individual parts of the protein is responsible for the dimensional changes in the denatured ensemble. The dominant term in the transfer Gibbs energy of RCAM RNase from water to protecting osmolytes is the unfavorable interaction of the osmolyte with the peptide backbone, whereas the favorable interaction of urea with the backbone dominates in RCAM RNase transfer to urea. The side chains collectively favor transfer to the osmolytes, with some protecting osmolytes solubilizing hydrophobic side chains as well as urea does, a result suggesting there is nothing special about the ability of urea to solubilize hydrophobic groups. Protecting osmolytes stabilize proteins by raising the chemical potential of the denatured ensemble, and the uniform thermodynamic force acting on the peptide backbone causes the collateral effect of contracting the denatured ensemble. The contraction decreases the conformational entropy of the denatured state while increasing the density of hydrophobic groups, two effects that also contribute to the ability of protecting osmolytes to force proteins to fold.", "author" : [ { "dropping-particle" : "", "family" : "Qu", "given" : "Y", "non-dropping-particle" : "", "parse-names" : false, "suffix" : "" }, { "dropping-particle" : "", "family" : "Bolen", "given" : "C L", "non-dropping-particle" : "", "parse-names" : false, "suffix" : "" }, { "dropping-particle" : "", "family" : "Bolen", "given" : "D W", "non-dropping-particle" : "", "parse-names" : false, "suffix" : "" } ], "container-title" : "Proceedings of the National Academy of Sciences of the United States of America", "id" : "ITEM-1", "issued" : { "date-parts" : [ [ "1998", "8", "4" ] ] }, "page" : "9268-9273", "title" : "Osmolyte-driven contraction of a random coil protein", "type" : "article-journal", "volume" : "95" }, "uris" : [ "http://www.mendeley.com/documents/?uuid=adc6db7a-27e2-40ac-810d-a87ed045f79b" ] } ], "mendeley" : { "formattedCitation" : "(Qu et al. 1998)", "plainTextFormattedCitation" : "(Qu et al. 1998)", "previouslyFormattedCitation" : "(Qu et al. 1998)" }, "properties" : { "noteIndex" : 0 }, "schema" : "https://github.com/citation-style-language/schema/raw/master/csl-citation.json" }</w:instrText>
      </w:r>
      <w:r w:rsidR="00861DA7">
        <w:fldChar w:fldCharType="separate"/>
      </w:r>
      <w:r w:rsidR="00861DA7" w:rsidRPr="00861DA7">
        <w:rPr>
          <w:noProof/>
        </w:rPr>
        <w:t>(Qu et al. 1998)</w:t>
      </w:r>
      <w:r w:rsidR="00861DA7">
        <w:fldChar w:fldCharType="end"/>
      </w:r>
      <w:r w:rsidR="00861DA7">
        <w:t>. It was also shown that certain stabilising cosolutes had favourable interactions with hydrophobic side chains of a similar strength to urea, suggesting that this interaction is not the cause of protein stabilisation o</w:t>
      </w:r>
      <w:r w:rsidR="00FD7FE0">
        <w:t xml:space="preserve">r destabilisation by cosolutes, but that the nature of the interaction with the peptide backbone could be. It was also </w:t>
      </w:r>
      <w:r w:rsidR="00787036">
        <w:t>demonstrated</w:t>
      </w:r>
      <w:r w:rsidR="00FD7FE0">
        <w:t xml:space="preserve"> that, if </w:t>
      </w:r>
      <w:r w:rsidR="00852ACB">
        <w:t xml:space="preserve">the interactions with the peptide backbone are </w:t>
      </w:r>
      <w:r w:rsidR="00FD7FE0">
        <w:t xml:space="preserve">considered to be additive, the osmophobic effect could be responsible for the counteraction of urea by TMAO </w:t>
      </w:r>
      <w:r w:rsidR="00FD7FE0">
        <w:fldChar w:fldCharType="begin" w:fldLock="1"/>
      </w:r>
      <w:r w:rsidR="00E11F61">
        <w:instrText>ADDIN CSL_CITATION { "citationItems" : [ { "id" : "ITEM-1", "itemData" : { "DOI" : "10.1021/bi970247h", "ISSN" : "0006-2960", "PMID" : "9230042", "abstract" : "Trimethylamine N-oxide (TMAO) is a solute concentrated in the urea-rich cells of elasmobranchs and coelacanth to offset the damaging effects of urea on intracellular protein structure and function. On the basis of transfer free energy measurements, favorable interaction of TMAO with amino acid side chains promote protein denaturation. This effect is more than offset by highly unfavorable TMAO-peptide backbone interactions that not only oppose denaturation but also provide stabilization against denaturation by urea. By combining transfer free energies of side chains and backbone with surface area exposure in the native and unfolded states of ribonuclease T1, the transfer free energies of native and unfolded protein from water to 1 M TMAO are estimated as 1.7 and 5.9 kcal/mol, respectively. These estimates agree favorably with the respective values of 1.2 and 5.4 kcal/mol determined experimentally by Lin and Timasheff [(1994) Biochemistry 33, 12695-12701]. The unfavorable transfer free energies of native and unfolded protein from water to TMAO provides a molecular level rationale for preferential hydration of proteins by osmolytes. Promotion of denaturation by urea is found to be offset by TMAO in a manner that is roughly additive of the combined effects of both solutes. The favorable interaction of urea with the backbone provides the dominant driving force for protein unfolding by this denaturant, and the unfavorable interaction of TMAO with backbone is the dominant force opposing urea denaturation. In solutions that contain significant organic solute concentration, the ascendance of the role of the peptide backbone over that of side chains can explain many observed effects in protein denaturation and stability induced by a variety of stabilizing and destabilizing organic solutes.", "author" : [ { "dropping-particle" : "", "family" : "Wang", "given" : "A", "non-dropping-particle" : "", "parse-names" : false, "suffix" : "" }, { "dropping-particle" : "", "family" : "Bolen", "given" : "D W", "non-dropping-particle" : "", "parse-names" : false, "suffix" : "" } ], "container-title" : "Biochemistry", "id" : "ITEM-1", "issued" : { "date-parts" : [ [ "1997", "7", "29" ] ] }, "page" : "9101-9108", "title" : "A naturally occurring protective system in urea-rich cells: Mechanism of osmolyte protection of proteins against urea denaturation", "type" : "article-journal", "volume" : "36" }, "uris" : [ "http://www.mendeley.com/documents/?uuid=54f240e9-a97b-41be-b322-ac99e427637c" ] } ], "mendeley" : { "formattedCitation" : "(Wang &amp; Bolen 1997)", "plainTextFormattedCitation" : "(Wang &amp; Bolen 1997)", "previouslyFormattedCitation" : "(Wang &amp; Bolen 1997)" }, "properties" : { "noteIndex" : 0 }, "schema" : "https://github.com/citation-style-language/schema/raw/master/csl-citation.json" }</w:instrText>
      </w:r>
      <w:r w:rsidR="00FD7FE0">
        <w:fldChar w:fldCharType="separate"/>
      </w:r>
      <w:r w:rsidR="00FD7FE0" w:rsidRPr="00FD7FE0">
        <w:rPr>
          <w:noProof/>
        </w:rPr>
        <w:t>(Wang &amp; Bolen 1997)</w:t>
      </w:r>
      <w:r w:rsidR="00FD7FE0">
        <w:fldChar w:fldCharType="end"/>
      </w:r>
      <w:r w:rsidR="00D31E36">
        <w:t>.</w:t>
      </w:r>
    </w:p>
    <w:p w14:paraId="78BB34B8" w14:textId="77777777" w:rsidR="00A9241E" w:rsidRDefault="00A9241E" w:rsidP="00824696">
      <w:r>
        <w:t xml:space="preserve">This theory still stands as a plausible explanation for cosolute effects on protein stability; the measurements of transfer free energy of the peptide backbone have been found to be independent of model compound and concentration scale, giving the theory more support </w:t>
      </w:r>
      <w:r>
        <w:fldChar w:fldCharType="begin" w:fldLock="1"/>
      </w:r>
      <w:r w:rsidR="005247D3">
        <w:instrText>ADDIN CSL_CITATION { "citationItems" : [ { "id" : "ITEM-1", "itemData" : { "DOI" : "10.1021/bi035908r", "ISSN" : "0006-2960", "PMID" : "14756570", "abstract" : "With knowledge of individual transfer free energies of chemical groups that become newly exposed on protein denaturation and assuming the group transfer free energy contributions are additive, it should be possible to predict the stability of a protein in the presence of denaturant. Unfortunately, several unresolved issues have seriously hampered quantitative development of this transfer model for protein folding/unfolding. These issues include the lack of adequate demonstration that group transfer free energies (DeltaG(tr)) are additive and independent of the choice of model compound, the problem arising from dependence of DeltaG(tr) on concentration scales, the lack of knowledge of activity coefficients, and the validity of the mathematical constructs used in obtaining DeltaG(tr) values. Regarding transfer from water to 1 M concentrations of the naturally occurring osmolytes, trimethylamine-N-oxide (TMAO), sarcosine, betaine, proline, glycerol, sorbitol, sucrose, trehalose, and urea, using cyclic glycylglycine, zwitterionic glycine peptides, and N-acetylglycine amide peptides as models for the peptide backbone of proteins, we set out to address these issues and obtain DeltaG(tr) values for the peptide backbone unit. We demonstrate experimental approaches that obviate the choice of concentration scale and demonstrate additivity in DeltaG(tr) of the peptide backbone unit for all solvent systems studied. Evidence is presented to show that the DeltaG(tr) values are independent of the chemical model studied, and experimental conditions are given to illustrate when the mathematical constructs are valid and when activity coefficients can be ignored. Resolution of the long-standing issues that have stymied development of the transfer model now make it possible to design transfer experiments that yield reliable and quantitative values for the interactions between osmolyte-containing solvents and native and unfolded protein.", "author" : [ { "dropping-particle" : "", "family" : "Auton", "given" : "M", "non-dropping-particle" : "", "parse-names" : false, "suffix" : "" }, { "dropping-particle" : "", "family" : "Bolen", "given" : "D W", "non-dropping-particle" : "", "parse-names" : false, "suffix" : "" } ], "container-title" : "Biochemistry", "id" : "ITEM-1", "issued" : { "date-parts" : [ [ "2004", "2", "10" ] ] }, "page" : "1329-1342", "title" : "Additive transfer free energies of the peptide backbone unit that are independent of the model compound and the choice of concentration scale", "type" : "article-journal", "volume" : "43" }, "uris" : [ "http://www.mendeley.com/documents/?uuid=7b0dfa3a-4f92-4920-96c6-b040ddcd27d6" ] } ], "mendeley" : { "formattedCitation" : "(Auton &amp; Bolen 2004)", "plainTextFormattedCitation" : "(Auton &amp; Bolen 2004)", "previouslyFormattedCitation" : "(Auton &amp; Bolen 2004)" }, "properties" : { "noteIndex" : 0 }, "schema" : "https://github.com/citation-style-language/schema/raw/master/csl-citation.json" }</w:instrText>
      </w:r>
      <w:r>
        <w:fldChar w:fldCharType="separate"/>
      </w:r>
      <w:r w:rsidRPr="00A9241E">
        <w:rPr>
          <w:noProof/>
        </w:rPr>
        <w:t>(Auton &amp; Bolen 2004)</w:t>
      </w:r>
      <w:r>
        <w:fldChar w:fldCharType="end"/>
      </w:r>
      <w:r>
        <w:t xml:space="preserve">. A molecular mechanism to explain the osmophobic effect was recently proposed. The degree of unfavourability of the transfer free energy of peptide backbone from water to osmolyte solution was shown to be negatively correlated with the fractional polar surface area of the osmolyte </w:t>
      </w:r>
      <w:r>
        <w:fldChar w:fldCharType="begin" w:fldLock="1"/>
      </w:r>
      <w:r>
        <w:instrText>ADDIN CSL_CITATION { "citationItems" : [ { "id" : "ITEM-1", "itemData" : { "DOI" : "10.1073/pnas.0606236103", "ISSN" : "0027-8424", "PMID" : "16968772", "abstract" : "Osmolytes are small organic compounds that affect protein stability and are ubiquitous in living systems. In the equilibrium protein folding reaction, unfolded (U) native (N), protecting osmolytes push the equilibrium toward N, whereas denaturing osmolytes push the equilibrium toward U. As yet, there is no universal molecular theory that can explain the mechanism by which osmolytes interact with the protein to affect protein stability. Here, we lay the groundwork for such a theory, starting with a key observation: the transfer free energy of protein backbone from water to a water/osmolyte solution, Deltagtr, is negatively correlated with an osmolyte's fractional polar surface area. Deltagtr measures the degree to which an osmolyte stabilizes a protein. Consequently, a straightforward interpretation of this correlation implies that the interaction between the protein backbone and osmolyte polar groups is more favorable than the corresponding interaction with nonpolar groups. Such an interpretation immediately suggests the existence of a universal mechanism involving osmolyte, backbone, and water. We test this idea by using it to construct a quantitative solvation model in which backbone/solvent interaction energy is a function of interactant polarity, and the number of energetically equivalent ways of realizing a given interaction is a function of interactant surface area. Using this model, calculated Deltagtr values show a strong correlation with measured values (R = 0.99). In addition, the model correctly predicts that protecting/denaturing osmolytes will be preferentially excluded/accumulated around the protein backbone. Taken together, these model-based results rationalize the dominant interactions observed in experimental studies of osmolyte-induced protein stabilization and denaturation.", "author" : [ { "dropping-particle" : "", "family" : "Street", "given" : "T O", "non-dropping-particle" : "", "parse-names" : false, "suffix" : "" }, { "dropping-particle" : "", "family" : "Bolen", "given" : "D W", "non-dropping-particle" : "", "parse-names" : false, "suffix" : "" }, { "dropping-particle" : "", "family" : "Rose", "given" : "G D", "non-dropping-particle" : "", "parse-names" : false, "suffix" : "" } ], "container-title" : "Proceedings of the National Academy of Sciences of the United States of America", "id" : "ITEM-1", "issued" : { "date-parts" : [ [ "2006", "9", "19" ] ] }, "page" : "13997-14002", "title" : "A molecular mechanism for osmolyte-induced protein stability", "type" : "article-journal", "volume" : "103" }, "uris" : [ "http://www.mendeley.com/documents/?uuid=6762294e-65c7-4895-b11f-2348365549f2" ] } ], "mendeley" : { "formattedCitation" : "(Street et al. 2006)", "plainTextFormattedCitation" : "(Street et al. 2006)", "previouslyFormattedCitation" : "(Street et al. 2006)" }, "properties" : { "noteIndex" : 0 }, "schema" : "https://github.com/citation-style-language/schema/raw/master/csl-citation.json" }</w:instrText>
      </w:r>
      <w:r>
        <w:fldChar w:fldCharType="separate"/>
      </w:r>
      <w:r w:rsidRPr="00A9241E">
        <w:rPr>
          <w:noProof/>
        </w:rPr>
        <w:t>(Street et al. 2006)</w:t>
      </w:r>
      <w:r>
        <w:fldChar w:fldCharType="end"/>
      </w:r>
      <w:r w:rsidR="00852ACB">
        <w:t>, suggesting</w:t>
      </w:r>
      <w:r>
        <w:t xml:space="preserve"> the interaction was more favourable than with nonpolar surface of the osmolyte. However, there was no correlation with total polar surface area of the osmolyte, meaning there is a still a level of complexity that is not currently understood </w:t>
      </w:r>
      <w:r w:rsidR="00852ACB">
        <w:t>about</w:t>
      </w:r>
      <w:r>
        <w:t xml:space="preserve"> why osmolytes are excluded from the peptide backbone.</w:t>
      </w:r>
    </w:p>
    <w:p w14:paraId="40E27ED7" w14:textId="77777777" w:rsidR="005247D3" w:rsidRPr="00824696" w:rsidRDefault="005247D3" w:rsidP="00824696">
      <w:r>
        <w:t xml:space="preserve">Interestingly, the osmophobic effect has also been suggested as an extra mechanism for protein folding that is as important as those first suggested by Kauzmann </w:t>
      </w:r>
      <w:r>
        <w:fldChar w:fldCharType="begin" w:fldLock="1"/>
      </w:r>
      <w:r>
        <w:instrText>ADDIN CSL_CITATION { "citationItems" : [ { "id" : "ITEM-1", "itemData" : { "author" : [ { "dropping-particle" : "", "family" : "Kauzmann", "given" : "W", "non-dropping-particle" : "", "parse-names" : false, "suffix" : "" } ], "container-title" : "Advances in Protein Chemistry", "id" : "ITEM-1", "issued" : { "date-parts" : [ [ "1959" ] ] }, "page" : "1-63", "title" : "Some factors in the interpretation of protein denaturation", "type" : "article-journal", "volume" : "14" }, "uris" : [ "http://www.mendeley.com/documents/?uuid=f296ebd7-45c6-4943-b68e-4a50f699c034" ] } ], "mendeley" : { "formattedCitation" : "(Kauzmann 1959)", "plainTextFormattedCitation" : "(Kauzmann 1959)", "previouslyFormattedCitation" : "(Kauzmann 1959)" }, "properties" : { "noteIndex" : 0 }, "schema" : "https://github.com/citation-style-language/schema/raw/master/csl-citation.json" }</w:instrText>
      </w:r>
      <w:r>
        <w:fldChar w:fldCharType="separate"/>
      </w:r>
      <w:r w:rsidRPr="005247D3">
        <w:rPr>
          <w:noProof/>
        </w:rPr>
        <w:t>(Kauzmann 1959)</w:t>
      </w:r>
      <w:r>
        <w:fldChar w:fldCharType="end"/>
      </w:r>
      <w:r>
        <w:t xml:space="preserve"> (see section </w:t>
      </w:r>
      <w:r>
        <w:fldChar w:fldCharType="begin"/>
      </w:r>
      <w:r>
        <w:instrText xml:space="preserve"> REF _Ref459044272 \r \h </w:instrText>
      </w:r>
      <w:r>
        <w:fldChar w:fldCharType="separate"/>
      </w:r>
      <w:r w:rsidR="00AA6926">
        <w:t>1.1</w:t>
      </w:r>
      <w:r>
        <w:fldChar w:fldCharType="end"/>
      </w:r>
      <w:r>
        <w:t xml:space="preserve">) even in the absence of cosolutes </w:t>
      </w:r>
      <w:r>
        <w:fldChar w:fldCharType="begin" w:fldLock="1"/>
      </w:r>
      <w:r>
        <w:instrText>ADDIN CSL_CITATION { "citationItems" : [ { "id" : "ITEM-1", "itemData" : { "author" : [ { "dropping-particle" : "", "family" : "Rose", "given" : "G D", "non-dropping-particle" : "", "parse-names" : false, "suffix" : "" }, { "dropping-particle" : "", "family" : "Fleming", "given" : "P J", "non-dropping-particle" : "", "parse-names" : false, "suffix" : "" }, { "dropping-particle" : "", "family" : "Banavar", "given" : "J R", "non-dropping-particle" : "", "parse-names" : false, "suffix" : "" }, { "dropping-particle" : "", "family" : "Maritan", "given" : "A", "non-dropping-particle" : "", "parse-names" : false, "suffix" : "" } ], "container-title" : "Proceedings of the National Academy of Sciences of the United States of America", "id" : "ITEM-1", "issued" : { "date-parts" : [ [ "2006" ] ] }, "page" : "16623-16633", "title" : "A backbone-based theory of protein folding", "type" : "article-journal", "volume" : "103" }, "uris" : [ "http://www.mendeley.com/documents/?uuid=a926c3a1-b961-4a10-b133-61ff62a30aff" ] } ], "mendeley" : { "formattedCitation" : "(Rose et al. 2006)", "plainTextFormattedCitation" : "(Rose et al. 2006)", "previouslyFormattedCitation" : "(Rose et al. 2006)" }, "properties" : { "noteIndex" : 0 }, "schema" : "https://github.com/citation-style-language/schema/raw/master/csl-citation.json" }</w:instrText>
      </w:r>
      <w:r>
        <w:fldChar w:fldCharType="separate"/>
      </w:r>
      <w:r w:rsidRPr="005247D3">
        <w:rPr>
          <w:noProof/>
        </w:rPr>
        <w:t>(Rose et al. 2006)</w:t>
      </w:r>
      <w:r>
        <w:fldChar w:fldCharType="end"/>
      </w:r>
      <w:r>
        <w:t xml:space="preserve">. When also considering that proteins naturally exist in the complex intracellular environment that likely contains numerous cosolutes that have favourable or unfavourable interactions with </w:t>
      </w:r>
      <w:r w:rsidR="00D825E3">
        <w:t xml:space="preserve">the </w:t>
      </w:r>
      <w:r>
        <w:t xml:space="preserve">peptide backbone, it becomes </w:t>
      </w:r>
      <w:r w:rsidR="00C24BAD">
        <w:t>clear</w:t>
      </w:r>
      <w:r>
        <w:t xml:space="preserve"> that it has an important role to play in protein stability </w:t>
      </w:r>
      <w:r>
        <w:fldChar w:fldCharType="begin" w:fldLock="1"/>
      </w:r>
      <w:r w:rsidR="00960BF3">
        <w:instrText>ADDIN CSL_CITATION { "citationItems" : [ { "id" : "ITEM-1", "itemData" : { "DOI" : "10.1006/jmbi.2001.4819", "ISSN" : "0022-2836", "PMID" : "11502004", "abstract" : "Intracellular organic osmolytes are present in certain organisms adapted to harsh environments and these osmolytes protect intracellular macromolecules against the denaturing environmental stress. In natural selection of organic osmolytes as protein stabilizers, it appears that the osmolyte property selected for is the unfavorable interaction between the osmolyte and the peptide backbone, a solvophobic thermodynamic force that we call the osmophobic effect. Because the peptide backbone is highly exposed to osmolyte in the denatured state, the osmophobic effect preferentially raises the free energy of the denatured state, shifting the equilibrium in favor of the native state. By focusing the solvophobic force on the denatured state, the native state is left free to function relatively unfettered by the presence of osmolyte. The osmophobic effect is a newly uncovered thermodynamic force in nature that complements the well-recognized hydrophobic interactions, hydrogen bonding, electrostatic and dispersion forces that drive protein folding. In organisms whose survival depends on the intracellular presence of osmolytes that can counteract denaturing stresses, the osmophobic effect is as fundamental to protein folding as these well-recognized forces.", "author" : [ { "dropping-particle" : "", "family" : "Bolen", "given" : "D W", "non-dropping-particle" : "", "parse-names" : false, "suffix" : "" }, { "dropping-particle" : "V", "family" : "Baskakov", "given" : "I", "non-dropping-particle" : "", "parse-names" : false, "suffix" : "" } ], "container-title" : "Journal of Molecular Biology", "id" : "ITEM-1", "issued" : { "date-parts" : [ [ "2001", "7", "27" ] ] }, "page" : "955-963", "title" : "The osmophobic effect: Natural selection of a thermodynamic force in protein folding", "type" : "article-journal", "volume" : "310" }, "uris" : [ "http://www.mendeley.com/documents/?uuid=3c78e1da-09f3-4763-88ea-d97117649a97" ] } ], "mendeley" : { "formattedCitation" : "(Bolen &amp; Baskakov 2001)", "plainTextFormattedCitation" : "(Bolen &amp; Baskakov 2001)", "previouslyFormattedCitation" : "(Bolen &amp; Baskakov 2001)" }, "properties" : { "noteIndex" : 0 }, "schema" : "https://github.com/citation-style-language/schema/raw/master/csl-citation.json" }</w:instrText>
      </w:r>
      <w:r>
        <w:fldChar w:fldCharType="separate"/>
      </w:r>
      <w:r w:rsidRPr="005247D3">
        <w:rPr>
          <w:noProof/>
        </w:rPr>
        <w:t>(Bolen &amp; Baskakov 2001)</w:t>
      </w:r>
      <w:r>
        <w:fldChar w:fldCharType="end"/>
      </w:r>
      <w:r>
        <w:t>.</w:t>
      </w:r>
    </w:p>
    <w:p w14:paraId="4C28CBA8" w14:textId="77777777" w:rsidR="00FE37EB" w:rsidRDefault="00FE37EB" w:rsidP="00FE37EB">
      <w:pPr>
        <w:pStyle w:val="Heading3"/>
      </w:pPr>
      <w:bookmarkStart w:id="88" w:name="_Toc485712754"/>
      <w:r>
        <w:lastRenderedPageBreak/>
        <w:t>Structural similarities to Hofmeister salts</w:t>
      </w:r>
      <w:bookmarkEnd w:id="88"/>
    </w:p>
    <w:p w14:paraId="5419C5CB" w14:textId="77777777" w:rsidR="000608E2" w:rsidRDefault="00960BF3" w:rsidP="00FE37EB">
      <w:r w:rsidRPr="00960BF3">
        <w:t>A major d</w:t>
      </w:r>
      <w:r w:rsidR="000608E2" w:rsidRPr="00960BF3">
        <w:t xml:space="preserve">ifficulty with determining how complex cosolutes interact with proteins is that they have multiple functional groups and as such are capable of interacting with proteins in a number of ways. It </w:t>
      </w:r>
      <w:r w:rsidRPr="00960BF3">
        <w:t>would therefore make</w:t>
      </w:r>
      <w:r w:rsidR="000608E2" w:rsidRPr="00960BF3">
        <w:t xml:space="preserve"> sense </w:t>
      </w:r>
      <w:r w:rsidRPr="00960BF3">
        <w:t>in</w:t>
      </w:r>
      <w:r w:rsidR="000608E2" w:rsidRPr="00960BF3">
        <w:t xml:space="preserve"> determining the mechanisms of small organic molecules’</w:t>
      </w:r>
      <w:r w:rsidRPr="00960BF3">
        <w:t xml:space="preserve"> effects on protein stability</w:t>
      </w:r>
      <w:r w:rsidR="000608E2" w:rsidRPr="00960BF3">
        <w:t xml:space="preserve"> to compare them to structurally similar salts and smaller function</w:t>
      </w:r>
      <w:r w:rsidRPr="00960BF3">
        <w:t xml:space="preserve">al groups. </w:t>
      </w:r>
      <w:r>
        <w:t xml:space="preserve">This is especially true when considering the plethora of research that exists on Hofmeister salts (section </w:t>
      </w:r>
      <w:r>
        <w:fldChar w:fldCharType="begin"/>
      </w:r>
      <w:r>
        <w:instrText xml:space="preserve"> REF _Ref459106206 \r \h </w:instrText>
      </w:r>
      <w:r>
        <w:fldChar w:fldCharType="separate"/>
      </w:r>
      <w:r w:rsidR="00AA6926">
        <w:t>1.3.1</w:t>
      </w:r>
      <w:r>
        <w:fldChar w:fldCharType="end"/>
      </w:r>
      <w:r>
        <w:t>).</w:t>
      </w:r>
    </w:p>
    <w:p w14:paraId="7BC5EDCF" w14:textId="77777777" w:rsidR="00960BF3" w:rsidRDefault="00960BF3" w:rsidP="00FE37EB">
      <w:r>
        <w:t>Some of the early cell biology papers approach the study of osmolytes in this way. Clark &amp; Zounes when studying the various salts and osmolytes – termed ‘nitrogenous solutes’ – of a euryhaline polychaete, discussed the link between the structure of various stabilising salts and the structure of various functional groups present in the stabilising osmolytes (</w:t>
      </w:r>
      <w:r w:rsidR="002338F9">
        <w:rPr>
          <w:color w:val="FF0000"/>
        </w:rPr>
        <w:fldChar w:fldCharType="begin"/>
      </w:r>
      <w:r w:rsidR="002338F9">
        <w:instrText xml:space="preserve"> REF _Ref460081116 \h </w:instrText>
      </w:r>
      <w:r w:rsidR="002338F9">
        <w:rPr>
          <w:color w:val="FF0000"/>
        </w:rPr>
      </w:r>
      <w:r w:rsidR="002338F9">
        <w:rPr>
          <w:color w:val="FF0000"/>
        </w:rPr>
        <w:fldChar w:fldCharType="separate"/>
      </w:r>
      <w:r w:rsidR="00AA6926">
        <w:t xml:space="preserve">Figure </w:t>
      </w:r>
      <w:r w:rsidR="00AA6926">
        <w:rPr>
          <w:noProof/>
        </w:rPr>
        <w:t>1</w:t>
      </w:r>
      <w:r w:rsidR="00AA6926">
        <w:noBreakHyphen/>
      </w:r>
      <w:r w:rsidR="00AA6926">
        <w:rPr>
          <w:noProof/>
        </w:rPr>
        <w:t>9</w:t>
      </w:r>
      <w:r w:rsidR="002338F9">
        <w:rPr>
          <w:color w:val="FF0000"/>
        </w:rPr>
        <w:fldChar w:fldCharType="end"/>
      </w:r>
      <w:r>
        <w:t xml:space="preserve">) </w:t>
      </w:r>
      <w:r>
        <w:fldChar w:fldCharType="begin" w:fldLock="1"/>
      </w:r>
      <w:r w:rsidR="000B3968">
        <w:instrText>ADDIN CSL_CITATION { "citationItems" : [ { "id" : "ITEM-1", "itemData" : { "author" : [ { "dropping-particle" : "", "family" : "Clark", "given" : "M E", "non-dropping-particle" : "", "parse-names" : false, "suffix" : "" }, { "dropping-particle" : "", "family" : "Zounes", "given" : "M", "non-dropping-particle" : "", "parse-names" : false, "suffix" : "" } ], "container-title" : "Biological Bulletin", "id" : "ITEM-1", "issued" : { "date-parts" : [ [ "1977" ] ] }, "page" : "468-484", "title" : "The effects of selected cell osmolytes on the activity of lactate dehydrogenase from the Euryhaline Polychaete, Nereis succinea", "type" : "article-journal", "volume" : "153" }, "uris" : [ "http://www.mendeley.com/documents/?uuid=bad7a84b-31cd-4704-b3fd-7953e4cb7e77" ] } ], "mendeley" : { "formattedCitation" : "(Clark &amp; Zounes 1977)", "plainTextFormattedCitation" : "(Clark &amp; Zounes 1977)", "previouslyFormattedCitation" : "(Clark &amp; Zounes 1977)" }, "properties" : { "noteIndex" : 0 }, "schema" : "https://github.com/citation-style-language/schema/raw/master/csl-citation.json" }</w:instrText>
      </w:r>
      <w:r>
        <w:fldChar w:fldCharType="separate"/>
      </w:r>
      <w:r w:rsidRPr="00960BF3">
        <w:rPr>
          <w:noProof/>
        </w:rPr>
        <w:t>(Clark &amp; Zounes 1977)</w:t>
      </w:r>
      <w:r>
        <w:fldChar w:fldCharType="end"/>
      </w:r>
      <w:r>
        <w:t>.</w:t>
      </w:r>
    </w:p>
    <w:p w14:paraId="73412212" w14:textId="77777777" w:rsidR="0056161D" w:rsidRDefault="0056161D" w:rsidP="0056161D">
      <w:pPr>
        <w:keepNext/>
      </w:pPr>
      <w:r>
        <w:object w:dxaOrig="10800" w:dyaOrig="8100" w14:anchorId="0A5C88D4">
          <v:shape id="_x0000_i1030" type="#_x0000_t75" style="width:474pt;height:355.5pt" o:ole="">
            <v:imagedata r:id="rId25" o:title=""/>
          </v:shape>
          <o:OLEObject Type="Embed" ProgID="Acrobat.Document.DC" ShapeID="_x0000_i1030" DrawAspect="Content" ObjectID="_1559454684" r:id="rId26"/>
        </w:object>
      </w:r>
    </w:p>
    <w:p w14:paraId="24C500C1" w14:textId="77777777" w:rsidR="0056161D" w:rsidRDefault="0056161D" w:rsidP="0056161D">
      <w:pPr>
        <w:pStyle w:val="Caption"/>
        <w:jc w:val="left"/>
      </w:pPr>
      <w:bookmarkStart w:id="89" w:name="_Ref460081116"/>
      <w:bookmarkStart w:id="90" w:name="_Toc482633167"/>
      <w:r>
        <w:t xml:space="preserve">Figure </w:t>
      </w:r>
      <w:fldSimple w:instr=" STYLEREF 1 \s ">
        <w:r w:rsidR="00AA6926">
          <w:rPr>
            <w:noProof/>
          </w:rPr>
          <w:t>1</w:t>
        </w:r>
      </w:fldSimple>
      <w:r w:rsidR="00BA082C">
        <w:noBreakHyphen/>
      </w:r>
      <w:fldSimple w:instr=" SEQ Figure \* ARABIC \s 1 ">
        <w:r w:rsidR="00AA6926">
          <w:rPr>
            <w:noProof/>
          </w:rPr>
          <w:t>9</w:t>
        </w:r>
      </w:fldSimple>
      <w:bookmarkEnd w:id="89"/>
      <w:r>
        <w:t xml:space="preserve">. Some stabilising small molecules and their structurally similar stabilising salts according to </w:t>
      </w:r>
      <w:r w:rsidRPr="0056161D">
        <w:fldChar w:fldCharType="begin" w:fldLock="1"/>
      </w:r>
      <w:r w:rsidR="00342B2B">
        <w:instrText>ADDIN CSL_CITATION { "citationItems" : [ { "id" : "ITEM-1", "itemData" : { "author" : [ { "dropping-particle" : "", "family" : "Clark", "given" : "M E", "non-dropping-particle" : "", "parse-names" : false, "suffix" : "" }, { "dropping-particle" : "", "family" : "Zounes", "given" : "M", "non-dropping-particle" : "", "parse-names" : false, "suffix" : "" } ], "container-title" : "Biological Bulletin", "id" : "ITEM-1", "issued" : { "date-parts" : [ [ "1977" ] ] }, "page" : "468-484", "title" : "The effects of selected cell osmolytes on the activity of lactate dehydrogenase from the Euryhaline Polychaete, Nereis succinea", "type" : "article-journal", "volume" : "153" }, "uris" : [ "http://www.mendeley.com/documents/?uuid=bad7a84b-31cd-4704-b3fd-7953e4cb7e77" ] } ], "mendeley" : { "formattedCitation" : "(Clark &amp; Zounes 1977)", "plainTextFormattedCitation" : "(Clark &amp; Zounes 1977)", "previouslyFormattedCitation" : "(Clark &amp; Zounes 1977)" }, "properties" : { "noteIndex" : 0 }, "schema" : "https://github.com/citation-style-language/schema/raw/master/csl-citation.json" }</w:instrText>
      </w:r>
      <w:r w:rsidRPr="0056161D">
        <w:fldChar w:fldCharType="separate"/>
      </w:r>
      <w:r w:rsidRPr="0056161D">
        <w:rPr>
          <w:noProof/>
        </w:rPr>
        <w:t>(Clark &amp; Zounes 1977)</w:t>
      </w:r>
      <w:bookmarkEnd w:id="90"/>
      <w:r w:rsidRPr="0056161D">
        <w:fldChar w:fldCharType="end"/>
      </w:r>
    </w:p>
    <w:p w14:paraId="34BABB77" w14:textId="77777777" w:rsidR="00960BF3" w:rsidRPr="000B3968" w:rsidRDefault="00960BF3" w:rsidP="00FE37EB">
      <w:r>
        <w:t xml:space="preserve">Interestingly, Bowlus and Somero suggested that the reason arginine was not accumulated in cells, but rapidly converted into octopine, was due to the combination of their </w:t>
      </w:r>
      <w:r w:rsidR="002338F9">
        <w:t xml:space="preserve">respective </w:t>
      </w:r>
      <w:r>
        <w:t>functional groups</w:t>
      </w:r>
      <w:r w:rsidR="002338F9">
        <w:t>’</w:t>
      </w:r>
      <w:r>
        <w:t xml:space="preserve"> effects on protein stability. Both molecules contain a destabilising guanidinium group, but in the case of octopine its glutaric acid group offsets the effects, whereas in arginine the glycine group does not. </w:t>
      </w:r>
      <w:r w:rsidR="000B3968">
        <w:t xml:space="preserve">Equimolar concentrations of 0.2 M of the two functional groups were found to have very similar effects on protein stability (measured by </w:t>
      </w:r>
      <w:r w:rsidR="000B3968">
        <w:rPr>
          <w:i/>
        </w:rPr>
        <w:t>T</w:t>
      </w:r>
      <w:r w:rsidR="000B3968" w:rsidRPr="000B3968">
        <w:rPr>
          <w:vertAlign w:val="subscript"/>
        </w:rPr>
        <w:t>m</w:t>
      </w:r>
      <w:r w:rsidR="000B3968">
        <w:t xml:space="preserve">) to 0.2 M of the corresponding osmolyte </w:t>
      </w:r>
      <w:r w:rsidR="000B3968">
        <w:fldChar w:fldCharType="begin" w:fldLock="1"/>
      </w:r>
      <w:r w:rsidR="000B3968">
        <w:instrText>ADDIN CSL_CITATION { "citationItems" : [ { "id" : "ITEM-1", "itemData" : { "DOI" : "10.1002/jez.1402080202", "ISSN" : "0022-104X", "PMID" : "469480", "abstract" : "The major nitrogenous osmolytes present in the cells of marine invertebrates, notably the free amino acids glycine, alanine and proline, and trimethylamine oxide and betaine, are highly compatible with proper enzyme function and structure. These nitrogenous osmolytes display either non-perturbing or, in some cases, favorable effects on enzyme-substrate and enzyme-cofactor complex formation, catalytic velocity and protein structural stability. In contrast, inorganic salts (KCl and NaCl) and certain of the free amino acids which play only a minor osmotic role, e.g., arginine and lysine, have strongly perturbing effects on one or more of these enzymic parameters. The compatible nitrogenous solutes therefore are suitable for use at high (several tenths molar) concentrations and at widely varying concentrations in osmo-conforming species. Certain nitrogenous solutes, especially trimethylamine oxide, betaine and glutamate, offset some of the perturbing effects of inorganic ions on enzyme function. The selective accumulation of osmolytes thus involves not only the concentration of non-perturbing solutes, but also a balanced accumulation of solutes with opposing effects on enzymes. The selection of end-products of anaerobic metabolism also appears to be based, in part, on considerations of solute compatibility with enzyme function. Octopine is a non-perturbing solute, whereas arginine, which is condensed with pyruvate to form octopine, is very strongly perturbing. Succinate has marked stabilizing effects on protein structure. We conclude that the composition of the intracellular fluids of marine invertebrates reflects selection for osmolytes and end-products whose net effects create a cellular microenvironment which is conducive to optimal enzyme function and structure. The accumulation of compatible solutes may preclude the necessity for widespread changes in protein structure in adapting to concentrated or highly variable osmotic environments.", "author" : [ { "dropping-particle" : "", "family" : "Bowlus", "given" : "R D", "non-dropping-particle" : "", "parse-names" : false, "suffix" : "" }, { "dropping-particle" : "", "family" : "Somero", "given" : "G N", "non-dropping-particle" : "", "parse-names" : false, "suffix" : "" } ], "container-title" : "Journal of Experimental Zoology", "id" : "ITEM-1", "issued" : { "date-parts" : [ [ "1979" ] ] }, "page" : "137-151", "title" : "Solute compatibility with enzyme function and structure: rationales for the selection of osmotic agents and end-products of anaerobic metabolism in marine invertebrates", "type" : "article-journal", "volume" : "208" }, "uris" : [ "http://www.mendeley.com/documents/?uuid=7dde3bd3-612c-4dc0-b5b3-9e57c8eb9a26" ] } ], "mendeley" : { "formattedCitation" : "(Bowlus &amp; Somero 1979)", "plainTextFormattedCitation" : "(Bowlus &amp; Somero 1979)", "previouslyFormattedCitation" : "(Bowlus &amp; Somero 1979)" }, "properties" : { "noteIndex" : 0 }, "schema" : "https://github.com/citation-style-language/schema/raw/master/csl-citation.json" }</w:instrText>
      </w:r>
      <w:r w:rsidR="000B3968">
        <w:fldChar w:fldCharType="separate"/>
      </w:r>
      <w:r w:rsidR="000B3968" w:rsidRPr="000B3968">
        <w:rPr>
          <w:noProof/>
        </w:rPr>
        <w:t>(Bowlus &amp; Somero 1979)</w:t>
      </w:r>
      <w:r w:rsidR="000B3968">
        <w:fldChar w:fldCharType="end"/>
      </w:r>
      <w:r w:rsidR="000B3968">
        <w:t xml:space="preserve">. Despite this being a potential way of discovering the molecular mechanisms governing stabilising cosolutes, there has not since been any more major research done to support or disprove it. Occasionally arginine is </w:t>
      </w:r>
      <w:r w:rsidR="000B3968">
        <w:lastRenderedPageBreak/>
        <w:t xml:space="preserve">considered to show characteristics similar to guanidinium, but this is rarely explored further </w:t>
      </w:r>
      <w:r w:rsidR="000B3968">
        <w:fldChar w:fldCharType="begin" w:fldLock="1"/>
      </w:r>
      <w:r w:rsidR="00E11F61">
        <w:instrText>ADDIN CSL_CITATION { "citationItems" : [ { "id" : "ITEM-1", "itemData" : { "DOI" : "10.1016/j.pep.2005.03.028", "ISSN" : "1046-5928", "PMID" : "15893471", "abstract" : "Arginine is a useful solvent additive for many applications, including refolding and solubilization of proteins from insoluble pellets, and suppression of protein aggregation and non-specific adsorption during formulation and purification. However, there is a concern that arginine may be a protein-denaturant, which may limit the expansion of its applications. Such concern arises from the facts that arginine decreases melting temperature and perturbs the spectroscopic properties of certain proteins and contains a guanidinium group, which is a critical chemical structure for denaturing activity of guanidine hydrochloride. Here, we show that although arginine does lower the melting temperatures of certain proteins, the extent is insufficient to cause denaturation of proteins at or below room temperature. The proteins described here show enzymatic activity and folded structure in the presence of arginine, although the local structure around aromatic amino acids is perturbed by arginine. Arginine differs from guandinine hydrochloride in the mode of interactions with proteins, which may be a primary reason why arginine is not a protein-denaturant.", "author" : [ { "dropping-particle" : "", "family" : "Ishibashi", "given" : "M", "non-dropping-particle" : "", "parse-names" : false, "suffix" : "" }, { "dropping-particle" : "", "family" : "Tsumoto", "given" : "K", "non-dropping-particle" : "", "parse-names" : false, "suffix" : "" }, { "dropping-particle" : "", "family" : "Tokunaga", "given" : "M", "non-dropping-particle" : "", "parse-names" : false, "suffix" : "" }, { "dropping-particle" : "", "family" : "Ejima", "given" : "D", "non-dropping-particle" : "", "parse-names" : false, "suffix" : "" }, { "dropping-particle" : "", "family" : "Kita", "given" : "Y", "non-dropping-particle" : "", "parse-names" : false, "suffix" : "" }, { "dropping-particle" : "", "family" : "Arakawa", "given" : "T", "non-dropping-particle" : "", "parse-names" : false, "suffix" : "" } ], "container-title" : "Protein Expression &amp; Purification", "id" : "ITEM-1", "issued" : { "date-parts" : [ [ "2005", "7" ] ] }, "page" : "1-6", "title" : "Is arginine a protein-denaturant?", "type" : "article-journal", "volume" : "42" }, "uris" : [ "http://www.mendeley.com/documents/?uuid=4f7780e5-385c-4f63-97dc-cb62626ee94e" ] }, { "id" : "ITEM-2", "itemData" : { "DOI" : "10.1080/07391102.2015.1013158", "ISSN" : "1538-0254", "PMID" : "25730443", "abstract" : "Additives are widely used to suppress aggregation of therapeutic proteins. However, the molecular mechanisms of effect of additives to stabilize proteins are still unclear. To understand this, we herein perform molecular dynamics simulations of lysozyme in the presence of three commonly used additives: arginine, lysine, and guanidine. These additives have different effects on stability of proteins and have different structures with some similarities; arginine and lysine have aliphatic side chain, while arginine has a guanidinium group. We analyze atomic contact frequencies to study the interactions of the additives with individual residues of lysozyme. Contact coefficient, quantified from contact frequencies, is helpful in analyzing the interactions with the guanidine groups as well as aliphatic side chains of arginine and lysine. Strong preference for contacts to the additives (over water) is seen for the acidic followed by polar and the aromatic residues. Further analysis suggests that the hydration layer around the protein surface is depleted more in the presence of arginine, followed by lysine and guanidine. Molecular dynamics simulations also reveal that the internal dynamics of protein, as indicated by the lifetimes of the hydrogen bonds within the protein, changes depending on the additives. Particularly, we note that the side-chain hydrogen-bonding patterns within the protein differ with the additives, with several side-chain hydrogen bonds missing in the presence of guanidine. These results collectively indicate that the aliphatic chain of arginine and lysine plays a critical role in the stabilization of the protein.", "author" : [ { "dropping-particle" : "", "family" : "Shah", "given" : "D", "non-dropping-particle" : "", "parse-names" : false, "suffix" : "" }, { "dropping-particle" : "", "family" : "Shaikh", "given" : "A R", "non-dropping-particle" : "", "parse-names" : false, "suffix" : "" } ], "container-title" : "Journal of Biomolecular Structure &amp; Dynamics", "id" : "ITEM-2", "issued" : { "date-parts" : [ [ "2015" ] ] }, "page" : "1-11", "title" : "Interaction of arginine, lysine, and guanidine with surface residues of lysozyme: Implication to protein stability", "type" : "article-journal", "volume" : "1102" }, "uris" : [ "http://www.mendeley.com/documents/?uuid=18886b5b-34f4-44e6-9865-8cd4dac1f253" ] }, { "id" : "ITEM-3", "itemData" : { "DOI" : "10.1016/S1357-2725(03)00252-8", "ISSN" : "13572725", "author" : [ { "dropping-particle" : "", "family" : "Xie", "given" : "Q", "non-dropping-particle" : "", "parse-names" : false, "suffix" : "" }, { "dropping-particle" : "", "family" : "Guo", "given" : "T", "non-dropping-particle" : "", "parse-names" : false, "suffix" : "" }, { "dropping-particle" : "", "family" : "Lu", "given" : "J", "non-dropping-particle" : "", "parse-names" : false, "suffix" : "" }, { "dropping-particle" : "", "family" : "Zhou", "given" : "H M", "non-dropping-particle" : "", "parse-names" : false, "suffix" : "" } ], "container-title" : "International Journal of Biochemistry &amp; Cell Biology", "id" : "ITEM-3", "issued" : { "date-parts" : [ [ "2004", "2" ] ] }, "page" : "296-306", "title" : "The guanidine like effects of arginine on aminoacylase and salt-induced molten globule state", "type" : "article-journal", "volume" : "36" }, "uris" : [ "http://www.mendeley.com/documents/?uuid=c4774180-6b83-4ff3-b5e5-58766eff3a26" ] } ], "mendeley" : { "formattedCitation" : "(Ishibashi et al. 2005; Shah &amp; Shaikh 2015; Xie et al. 2004)", "plainTextFormattedCitation" : "(Ishibashi et al. 2005; Shah &amp; Shaikh 2015; Xie et al. 2004)", "previouslyFormattedCitation" : "(Ishibashi et al. 2005; Shah &amp; Shaikh 2015; Xie et al. 2004)" }, "properties" : { "noteIndex" : 0 }, "schema" : "https://github.com/citation-style-language/schema/raw/master/csl-citation.json" }</w:instrText>
      </w:r>
      <w:r w:rsidR="000B3968">
        <w:fldChar w:fldCharType="separate"/>
      </w:r>
      <w:r w:rsidR="000B3968" w:rsidRPr="000B3968">
        <w:rPr>
          <w:noProof/>
        </w:rPr>
        <w:t>(Ishibashi et al. 2005; Shah &amp; Shaikh 2015; Xie et al. 2004)</w:t>
      </w:r>
      <w:r w:rsidR="000B3968">
        <w:fldChar w:fldCharType="end"/>
      </w:r>
      <w:r w:rsidR="000B3968">
        <w:t>.</w:t>
      </w:r>
    </w:p>
    <w:p w14:paraId="7AB6856A" w14:textId="77777777" w:rsidR="00FE7370" w:rsidRDefault="00C74F3E" w:rsidP="00FE7370">
      <w:pPr>
        <w:pStyle w:val="Heading3"/>
      </w:pPr>
      <w:r>
        <w:t xml:space="preserve"> </w:t>
      </w:r>
      <w:bookmarkStart w:id="91" w:name="_Ref458522735"/>
      <w:bookmarkStart w:id="92" w:name="_Toc485712755"/>
      <w:r w:rsidR="00FE7370">
        <w:t>Additive-additive interactions</w:t>
      </w:r>
      <w:bookmarkEnd w:id="91"/>
      <w:bookmarkEnd w:id="92"/>
    </w:p>
    <w:p w14:paraId="472934C2" w14:textId="77777777" w:rsidR="00C24BAD" w:rsidRDefault="001B07C7" w:rsidP="001B07C7">
      <w:r>
        <w:t xml:space="preserve">One particular aspect of cosolute behaviour in solution that has the potential to contribute to protein stability and solubility, but is often ignored, is that of interactions between cosolutes in the solution. This is obviously a mechanism that contributes to solutions that contain numerous cosolutes, which is discussed in section </w:t>
      </w:r>
      <w:r>
        <w:fldChar w:fldCharType="begin"/>
      </w:r>
      <w:r>
        <w:instrText xml:space="preserve"> REF _Ref453859258 \r \h </w:instrText>
      </w:r>
      <w:r>
        <w:fldChar w:fldCharType="separate"/>
      </w:r>
      <w:r w:rsidR="00AA6926">
        <w:t>1.6</w:t>
      </w:r>
      <w:r>
        <w:fldChar w:fldCharType="end"/>
      </w:r>
      <w:r>
        <w:t xml:space="preserve">. Less obvious </w:t>
      </w:r>
      <w:r w:rsidR="00C00AEE">
        <w:t xml:space="preserve">but equally as likely </w:t>
      </w:r>
      <w:r>
        <w:t xml:space="preserve">is the potential for </w:t>
      </w:r>
      <w:r w:rsidR="00C24BAD">
        <w:t xml:space="preserve">cosolute </w:t>
      </w:r>
      <w:r>
        <w:t xml:space="preserve">molecules of the same </w:t>
      </w:r>
      <w:r w:rsidR="00071A29">
        <w:t>type</w:t>
      </w:r>
      <w:r>
        <w:t xml:space="preserve"> to self-associate in solution. </w:t>
      </w:r>
      <w:r w:rsidR="003309D3">
        <w:t xml:space="preserve">The ability of cosolutes to self-associate has been known for a long time, particularly with respect to ion pairing between anions and cations in salt solution </w:t>
      </w:r>
      <w:r w:rsidR="00E13DB2" w:rsidRPr="00E13DB2">
        <w:fldChar w:fldCharType="begin" w:fldLock="1"/>
      </w:r>
      <w:r w:rsidR="00E11F61">
        <w:instrText>ADDIN CSL_CITATION { "citationItems" : [ { "id" : "ITEM-1", "itemData" : { "DOI" : "10.1016/j.ymeth.2004.03.021", "ISBN" : "1046-2023", "ISSN" : "10462023", "PMID" : "15325648", "abstract" : "Sephadex G-10 gel sieving chromatography, Jones-Dole viscosity B coefficients, and solution neutron and X-ray diffraction are used to show that small ions of high charge density (e.g., sulfate, phosphate, the carboxylate, sodium, and fluoride) are strongly hydrated (kosmotropes) whereas large monovalent ions of low charge density (e.g., ammonium, chloride, potassium, and the positively charged amino acid side chains) are weakly hydrated (chaotropes). The heats of solution of the crystalline alkali halides are then used to show that only oppositely charged ions of equal water affinity spontaneously form inner sphere ion pairs, and that this controls ion binding to proteins. The net charge on a protein is a major determinant of its solubility. Finally, the surface potential difference and surface tension at an air-salt solution interface are used to generate a simple model for how ions affect protein stability and solubility through indirect interactions at the protein-solution interface. A few comments about small neutral osmolytes are also included. \u00a9 2004 Published by Elsevier Inc.", "author" : [ { "dropping-particle" : "", "family" : "Collins", "given" : "K D", "non-dropping-particle" : "", "parse-names" : false, "suffix" : "" } ], "container-title" : "Methods", "id" : "ITEM-1", "issued" : { "date-parts" : [ [ "2004" ] ] }, "page" : "300-311", "title" : "Ions from the Hofmeister series and osmolytes: Effects on proteins in solution and in the crystallization process", "type" : "article-journal", "volume" : "34" }, "uris" : [ "http://www.mendeley.com/documents/?uuid=be235469-ce04-42af-814f-5e23ff646ccb" ] }, { "id" : "ITEM-2", "itemData" : { "DOI" : "10.1021/jp111920y", "ISSN" : "15206106", "PMID" : "21568311", "abstract" : "L-Arginine hydrochloride is a very important aggregation suppressor for which there has been much attention given regarding elucidating its mechanism of action. Little consideration, however, has been given toward other salt forms besides chloride, even though the counterion likely imparts a large influence per the Hofmeister Series. Here, we report an in depth analysis of the role the counterion plays in the aggregation suppression behavior of arginine. Consistent with the empirical Hofmeister series, we found that the aggregation suppression ability of other arginine salt forms on a model protein (\u03b1-chymotrypsinogen) follows the order: H(2)PO(4)(-) &gt; SO(4)(2-) &gt; citrate(2-) &gt; acetate(-) \u2248 F(-) \u2248 Cl(-) &gt; Br(-) &gt; I(-) \u2248 SCN(-). Mechanistically, preferential interaction and osmotic virial coefficient measurements, in addition to molecular dynamics simulations, indicate that attractive ion-ion interactions, particularly attractive interactions between arginine molecules, play a dominate role in the observed behavior. Furthermore, it appears that dihydrogen phosphate, sulfate, and citrate have strong attractive interactions with the guanidinium group of arginine, which seems to contribute to the superior aggregation suppression ability of those salt forms by bridging together multiple arginine molecules into clusters. These results not only further our understanding of how arginine influences protein stability, they also help to elucidate the mechanism behind the Hofmeister Series. This should help to improve biopharmaceutical stabilization through the use of other arginine salts and possibly, the development of novel excipients.", "author" : [ { "dropping-particle" : "", "family" : "Schneider", "given" : "C P", "non-dropping-particle" : "", "parse-names" : false, "suffix" : "" }, { "dropping-particle" : "", "family" : "Shukla", "given" : "D", "non-dropping-particle" : "", "parse-names" : false, "suffix" : "" }, { "dropping-particle" : "", "family" : "Trout", "given" : "B L", "non-dropping-particle" : "", "parse-names" : false, "suffix" : "" } ], "container-title" : "Journal of Physical Chemistry B", "id" : "ITEM-2", "issued" : { "date-parts" : [ [ "2011" ] ] }, "page" : "7447-7458", "title" : "Arginine and the hofmeister series: The role of ion-ion interactions in protein aggregation suppression", "type" : "article-journal", "volume" : "115" }, "uris" : [ "http://www.mendeley.com/documents/?uuid=add3a612-a355-4fbb-a5e9-6ed61df00344" ] }, { "id" : "ITEM-3", "itemData" : { "DOI" : "10.1021/ja205215t", "ISSN" : "1520-5126", "PMID" : "21973239", "abstract" : "Protein stability in ionic solutions depends on the delicate balance between protein-ion and ion-ion interactions. For molecular ions containing multiple charged groups, the role of ion-ion interactions is particularly important. In this study, we show how the interplay between homo- and heteroion pairing influences protein stability using polyarginine salts as a model system. For the chloride salts, protein thermostability decreases as the size of the peptide increases, indicating enhanced binding to the protein. Moreover, it indicates reduced homoion pairing between Gdm(+) and carboxylate groups that is largely responsible for aggregation suppression, rather than denaturation, in monomeric arginine solutions. However, for the sulfate salts, strong heteroion pairing between the Gdm(+) groups and the sulfate counterions compensates for the loss of homoion pairing and, in return, leads to enhanced thermostability and a dramatically reduced (up to 10-30 times) rate of protein aggregation. Molecular dynamics simulations reveal how this ion pairing enhances conformational stability and, at the same time, reduces protein association. This study provides insight into complex ion effects on protein stability and serves as an example of how these intrasolvent interactions can be leveraged to enhance protein stability.", "author" : [ { "dropping-particle" : "", "family" : "Shukla", "given" : "D", "non-dropping-particle" : "", "parse-names" : false, "suffix" : "" }, { "dropping-particle" : "", "family" : "Schneider", "given" : "C P", "non-dropping-particle" : "", "parse-names" : false, "suffix" : "" }, { "dropping-particle" : "", "family" : "Trout", "given" : "B L", "non-dropping-particle" : "", "parse-names" : false, "suffix" : "" } ], "container-title" : "Journal of the American Chemical Society", "id" : "ITEM-3", "issued" : { "date-parts" : [ [ "2011", "11", "23" ] ] }, "page" : "18713-18718", "title" : "Complex interactions between molecular ions in solution and their effect on protein stability", "type" : "article-journal", "volume" : "133" }, "uris" : [ "http://www.mendeley.com/documents/?uuid=bf3d8b7f-7511-4e27-8154-a4660873b30e" ] } ], "mendeley" : { "formattedCitation" : "(Collins 2004; Schneider et al. 2011; Shukla et al. 2011a)", "plainTextFormattedCitation" : "(Collins 2004; Schneider et al. 2011; Shukla et al. 2011a)", "previouslyFormattedCitation" : "(Collins 2004; Schneider et al. 2011; Shukla et al. 2011a)" }, "properties" : { "noteIndex" : 0 }, "schema" : "https://github.com/citation-style-language/schema/raw/master/csl-citation.json" }</w:instrText>
      </w:r>
      <w:r w:rsidR="00E13DB2" w:rsidRPr="00E13DB2">
        <w:fldChar w:fldCharType="separate"/>
      </w:r>
      <w:r w:rsidR="00E13DB2" w:rsidRPr="00E13DB2">
        <w:rPr>
          <w:noProof/>
        </w:rPr>
        <w:t>(Collins 2004; Schneider et al. 2011; Shukla et al. 2011a)</w:t>
      </w:r>
      <w:r w:rsidR="00E13DB2" w:rsidRPr="00E13DB2">
        <w:fldChar w:fldCharType="end"/>
      </w:r>
      <w:r w:rsidR="003309D3" w:rsidRPr="00E13DB2">
        <w:t xml:space="preserve">. </w:t>
      </w:r>
      <w:r w:rsidR="003309D3">
        <w:t xml:space="preserve">However, an extensive review of additive-additive interactions and relation of this to effects on protein stability and solubility has only been completed as recently as 2011 </w:t>
      </w:r>
      <w:r w:rsidR="003309D3">
        <w:fldChar w:fldCharType="begin" w:fldLock="1"/>
      </w:r>
      <w:r w:rsidR="00E11F61">
        <w:instrText>ADDIN CSL_CITATION { "citationItems" : [ { "id" : "ITEM-1", "itemData" : { "DOI" : "10.1016/j.addr.2011.06.014", "ISSN" : "1872-8294", "PMID" : "21762737", "abstract" : "Protein based therapeutics hold great promise in the treatment of human diseases and disorders and subsequently, they have become the fastest growing sector of new drugs being developed. Proteins are, however, inherently unstable and the degraded form can be quite harmful if administered to a patient. Of the various degradation pathways, aggregation is one of the most common and a cause for great concern. Aggregation suppressing additives have long been used to stabilize proteins, and they still remain the most viable option for combating this problem. Much work has been devoted toward investigating the behavior of commonly used additives and the resulting models give valuable insight toward explaining aggregation suppression. In a few cases, an explanation for unique behavior is lacking or new insight provides an alternate explanation. Additive selection and the development of better performing additives may benefit from a more refined understanding of how commonly used additives inhibit or enhance aggregation. In this review, we focus on recent molecular-level studies into how a select group of commonly used additives interact with proteins and subsequently influence aggregation. The intent of the review is not meant to be comprehensive for each additive but rather to provide new insights into additive-additive interactions, which may be contributing to protein-additive interactions. This is something that is often overlooked but yet essential to understanding the effect of additives on aggregation. The importance of understanding such interactions is clear when one considers that most formulations contain a mixture of cosolutes and that ideal stability might be better achieved through tuning intra-solvent interactions. We give an example of this when we describe how novel aggregation suppressing additives were developed from the knowledge gained from the reviewed studies.", "author" : [ { "dropping-particle" : "", "family" : "Shukla", "given" : "D", "non-dropping-particle" : "", "parse-names" : false, "suffix" : "" }, { "dropping-particle" : "", "family" : "Schneider", "given" : "C P", "non-dropping-particle" : "", "parse-names" : false, "suffix" : "" }, { "dropping-particle" : "", "family" : "Trout", "given" : "B L", "non-dropping-particle" : "", "parse-names" : false, "suffix" : "" } ], "container-title" : "Advanced Drug Delivery Reviews", "id" : "ITEM-1", "issued" : { "date-parts" : [ [ "2011", "10" ] ] }, "page" : "1074-1085", "publisher" : "Elsevier B.V.", "title" : "Molecular level insight into intra-solvent interaction effects on protein stability and aggregation", "type" : "article-journal", "volume" : "63" }, "uris" : [ "http://www.mendeley.com/documents/?uuid=38920b63-36e7-4c46-9cc8-2344f8ff3a14" ] } ], "mendeley" : { "formattedCitation" : "(Shukla et al. 2011b)", "plainTextFormattedCitation" : "(Shukla et al. 2011b)", "previouslyFormattedCitation" : "(Shukla et al. 2011b)" }, "properties" : { "noteIndex" : 0 }, "schema" : "https://github.com/citation-style-language/schema/raw/master/csl-citation.json" }</w:instrText>
      </w:r>
      <w:r w:rsidR="003309D3">
        <w:fldChar w:fldCharType="separate"/>
      </w:r>
      <w:r w:rsidR="00790B0C" w:rsidRPr="00790B0C">
        <w:rPr>
          <w:noProof/>
        </w:rPr>
        <w:t>(Shukla et al. 2011b)</w:t>
      </w:r>
      <w:r w:rsidR="003309D3">
        <w:fldChar w:fldCharType="end"/>
      </w:r>
      <w:r w:rsidR="003309D3">
        <w:t>.</w:t>
      </w:r>
      <w:r w:rsidR="00071A29">
        <w:t xml:space="preserve"> </w:t>
      </w:r>
    </w:p>
    <w:p w14:paraId="12D9DD0E" w14:textId="77777777" w:rsidR="001B07C7" w:rsidRPr="003309D3" w:rsidRDefault="00071A29" w:rsidP="001B07C7">
      <w:r>
        <w:t>One of the principal issues with widespread acceptance of cosolute self-association effects is that the majority of studies done in this area are based on molecular dynamics simulation, and experimental data is lacking, as molecular dynamics simulations give the advantage of being able to monitor specific interactions in the solution.</w:t>
      </w:r>
      <w:r w:rsidR="00B7549D">
        <w:t xml:space="preserve"> Despite this, it is important to not underestimate the ability of cosolute-cosolute interactions to affect how the cosolute is able to interact with water and the protein. In a three component system of water, protein and cosolute, cosolute-cosolute interactions constitute one of six types of interaction</w:t>
      </w:r>
      <w:r w:rsidR="00C00AEE">
        <w:t>s that are able to take place (</w:t>
      </w:r>
      <w:r w:rsidR="00B7549D">
        <w:fldChar w:fldCharType="begin"/>
      </w:r>
      <w:r w:rsidR="00B7549D">
        <w:instrText xml:space="preserve"> REF _Ref453860916 \h </w:instrText>
      </w:r>
      <w:r w:rsidR="00B7549D">
        <w:fldChar w:fldCharType="separate"/>
      </w:r>
      <w:r w:rsidR="00AA6926">
        <w:t xml:space="preserve">Figure </w:t>
      </w:r>
      <w:r w:rsidR="00AA6926">
        <w:rPr>
          <w:noProof/>
        </w:rPr>
        <w:t>1</w:t>
      </w:r>
      <w:r w:rsidR="00AA6926">
        <w:noBreakHyphen/>
      </w:r>
      <w:r w:rsidR="00AA6926">
        <w:rPr>
          <w:noProof/>
        </w:rPr>
        <w:t>10</w:t>
      </w:r>
      <w:r w:rsidR="00B7549D">
        <w:fldChar w:fldCharType="end"/>
      </w:r>
      <w:r w:rsidR="00B7549D">
        <w:t xml:space="preserve">). </w:t>
      </w:r>
    </w:p>
    <w:p w14:paraId="4B022F1D" w14:textId="77777777" w:rsidR="0033738B" w:rsidRDefault="001F657B" w:rsidP="0033738B">
      <w:pPr>
        <w:keepNext/>
      </w:pPr>
      <w:r>
        <w:object w:dxaOrig="7180" w:dyaOrig="5390" w14:anchorId="1AF9F0FB">
          <v:shape id="_x0000_i1031" type="#_x0000_t75" style="width:540pt;height:404.25pt" o:ole="">
            <v:imagedata r:id="rId27" o:title=""/>
          </v:shape>
          <o:OLEObject Type="Embed" ProgID="PowerPoint.Show.12" ShapeID="_x0000_i1031" DrawAspect="Content" ObjectID="_1559454685" r:id="rId28"/>
        </w:object>
      </w:r>
    </w:p>
    <w:p w14:paraId="2DD63AE3" w14:textId="77777777" w:rsidR="0033738B" w:rsidRDefault="0033738B" w:rsidP="0033738B">
      <w:pPr>
        <w:pStyle w:val="Caption"/>
        <w:jc w:val="left"/>
      </w:pPr>
      <w:bookmarkStart w:id="93" w:name="_Ref453860916"/>
      <w:bookmarkStart w:id="94" w:name="_Ref459970705"/>
      <w:bookmarkStart w:id="95" w:name="_Toc482633168"/>
      <w:r>
        <w:t xml:space="preserve">Figure </w:t>
      </w:r>
      <w:fldSimple w:instr=" STYLEREF 1 \s ">
        <w:r w:rsidR="00AA6926">
          <w:rPr>
            <w:noProof/>
          </w:rPr>
          <w:t>1</w:t>
        </w:r>
      </w:fldSimple>
      <w:r w:rsidR="00BA082C">
        <w:noBreakHyphen/>
      </w:r>
      <w:fldSimple w:instr=" SEQ Figure \* ARABIC \s 1 ">
        <w:r w:rsidR="00AA6926">
          <w:rPr>
            <w:noProof/>
          </w:rPr>
          <w:t>10</w:t>
        </w:r>
      </w:fldSimple>
      <w:bookmarkEnd w:id="93"/>
      <w:r>
        <w:t xml:space="preserve">. The various interactions that </w:t>
      </w:r>
      <w:r w:rsidR="00791067">
        <w:t xml:space="preserve">can </w:t>
      </w:r>
      <w:r>
        <w:t>occur in a three-component system of protein and cosolute dissolved in water. Adapted from</w:t>
      </w:r>
      <w:r w:rsidRPr="0033738B">
        <w:t xml:space="preserve"> </w:t>
      </w:r>
      <w:commentRangeStart w:id="96"/>
      <w:r w:rsidRPr="0033738B">
        <w:fldChar w:fldCharType="begin" w:fldLock="1"/>
      </w:r>
      <w:r w:rsidR="003309D3">
        <w:instrText>ADDIN CSL_CITATION { "citationItems" : [ { "id" : "ITEM-1", "itemData" : { "DOI" : "10.1016/j.bpc.2013.10.004", "ISBN" : "1873-4200 (Electronic)\\r0301-4622 (Linking)", "ISSN" : "03014622", "PMID" : "24292629", "abstract" : "Thermal unfolding of ribonuclease A (RNase) was analyzed in various osmolyte solutions of glycine, proline, sarcosine, N,N-dimethylglycine, betaine, myo-inositol, taurine, and trimethylamine-N-oxide (TMAO). All the osmolytes tested stabilized the protein. The thermal unfolding curve was described well by the van't Hoff equation and the melting temperature and the enthalpy of protein unfolding were obtained. The Wyman-Tanford equation, which describes the unfolded-to-folded protein ratio as a function of water activity, was successfully applied to obtain a linear plot. In consideration of this experimentally obtained linearity, the Wyman-Tanford plot could be integrated to calculate the stabilization free energy of the protein (??????? ???????G) in the solution. The ??????????? ???G was proved to be described by the property of the microstructure around the protein surface, which is composed of the protein hydration, the cosolute-binding, and the preferential exclusion, and the property of the bulk solution; water activity. The m-values of osmolytes for protein unfolding were obtained from ??????????????G calculated. Among the osmolytes tested, myo-inositol showed the highest m-value. ?? 2013 Elsevier Ltd. All rights reserved.", "author" : [ { "dropping-particle" : "", "family" : "Miyawaki", "given" : "O", "non-dropping-particle" : "", "parse-names" : false, "suffix" : "" }, { "dropping-particle" : "", "family" : "Dozen", "given" : "M", "non-dropping-particle" : "", "parse-names" : false, "suffix" : "" }, { "dropping-particle" : "", "family" : "Nomura", "given" : "K", "non-dropping-particle" : "", "parse-names" : false, "suffix" : "" } ], "container-title" : "Biophysical Chemistry", "id" : "ITEM-1", "issued" : { "date-parts" : [ [ "2014" ] ] }, "page" : "19-24", "publisher" : "Elsevier B.V.", "title" : "Thermodynamic analysis of osmolyte effect on thermal stability of ribonuclease A in terms of water activity", "type" : "article-journal", "volume" : "185" }, "uris" : [ "http://www.mendeley.com/documents/?uuid=7914a675-1b34-43aa-92ca-51687220293e" ] } ], "mendeley" : { "formattedCitation" : "(Miyawaki et al. 2014)", "plainTextFormattedCitation" : "(Miyawaki et al. 2014)", "previouslyFormattedCitation" : "(Miyawaki et al. 2014)" }, "properties" : { "noteIndex" : 0 }, "schema" : "https://github.com/citation-style-language/schema/raw/master/csl-citation.json" }</w:instrText>
      </w:r>
      <w:r w:rsidRPr="0033738B">
        <w:fldChar w:fldCharType="separate"/>
      </w:r>
      <w:r w:rsidR="00FB05AC">
        <w:rPr>
          <w:noProof/>
        </w:rPr>
        <w:t>Miyawaki et al (</w:t>
      </w:r>
      <w:r w:rsidRPr="0033738B">
        <w:rPr>
          <w:noProof/>
        </w:rPr>
        <w:t>2014)</w:t>
      </w:r>
      <w:r w:rsidRPr="0033738B">
        <w:fldChar w:fldCharType="end"/>
      </w:r>
      <w:bookmarkEnd w:id="94"/>
      <w:commentRangeEnd w:id="96"/>
      <w:r w:rsidR="006B7D90">
        <w:rPr>
          <w:rStyle w:val="CommentReference"/>
          <w:b w:val="0"/>
          <w:bCs w:val="0"/>
        </w:rPr>
        <w:commentReference w:id="96"/>
      </w:r>
      <w:bookmarkEnd w:id="95"/>
    </w:p>
    <w:p w14:paraId="0E9DD7A8" w14:textId="77777777" w:rsidR="00CA530A" w:rsidRPr="00F96E1A" w:rsidRDefault="009762F1" w:rsidP="00B7549D">
      <w:pPr>
        <w:rPr>
          <w:color w:val="FF0000"/>
        </w:rPr>
      </w:pPr>
      <w:r>
        <w:t xml:space="preserve">Based on </w:t>
      </w:r>
      <w:r w:rsidR="00C00AEE">
        <w:fldChar w:fldCharType="begin"/>
      </w:r>
      <w:r w:rsidR="00C00AEE">
        <w:instrText xml:space="preserve"> REF _Ref453860916 \h </w:instrText>
      </w:r>
      <w:r w:rsidR="00C00AEE">
        <w:fldChar w:fldCharType="separate"/>
      </w:r>
      <w:r w:rsidR="00AA6926">
        <w:t xml:space="preserve">Figure </w:t>
      </w:r>
      <w:r w:rsidR="00AA6926">
        <w:rPr>
          <w:noProof/>
        </w:rPr>
        <w:t>1</w:t>
      </w:r>
      <w:r w:rsidR="00AA6926">
        <w:noBreakHyphen/>
      </w:r>
      <w:r w:rsidR="00AA6926">
        <w:rPr>
          <w:noProof/>
        </w:rPr>
        <w:t>10</w:t>
      </w:r>
      <w:r w:rsidR="00C00AEE">
        <w:fldChar w:fldCharType="end"/>
      </w:r>
      <w:r w:rsidR="00C00AEE">
        <w:t xml:space="preserve"> </w:t>
      </w:r>
      <w:r>
        <w:t>it can be seen that cosolute-cosolute interactions are likely to happen if the interaction is more energetically favourable than the cosolute interacting with water or the protein. This can occur simply when water-water hydrogen bonding is stronger than water-cosolute interactions</w:t>
      </w:r>
      <w:r w:rsidR="00790B0C">
        <w:t xml:space="preserve"> </w:t>
      </w:r>
      <w:r w:rsidR="00790B0C">
        <w:fldChar w:fldCharType="begin" w:fldLock="1"/>
      </w:r>
      <w:r w:rsidR="00790B0C">
        <w:instrText>ADDIN CSL_CITATION { "citationItems" : [ { "id" : "ITEM-1", "itemData" : { "DOI" : "10.1021/jp066474n", "ISBN" : "1520-6106", "ISSN" : "15206106", "PMID" : "17497766", "abstract" : "Urea is ubiquitously used as a protein denaturant. To study the structure and energetics of aqueous urea solutions, we have carried out molecular dynamics simulations for a wide range of urea concentrations and temperatures. The hydrogen bonds between urea and water were found to be significantly weaker than those between water molecules, which drives urea self-aggregation due to the hydrophobic effect. From the reduction of the water exposed urea surface area, urea was found to exhibit an aggregation degree of ca. 20% at concentrations commonly used for protein denaturation. Structurally, three distinct urea pair conformations were identified and their populations were analyzed by translational and orientational pair distribution functions. Furthermore, urea was found to strengthen water structure in terms of hydrogen bond energies and population of solvation shells. Our findings are consistent with a direct interaction between urea and the protein as the main driving force for protein denaturation. As an additional, more indirect effect, urea was found to enhance water structure, which would suggest a weakening of the hydrophobic effect.", "author" : [ { "dropping-particle" : "", "family" : "Stumpe", "given" : "M C", "non-dropping-particle" : "", "parse-names" : false, "suffix" : "" }, { "dropping-particle" : "", "family" : "Grubm\u00fcller", "given" : "H", "non-dropping-particle" : "", "parse-names" : false, "suffix" : "" } ], "container-title" : "Journal of Physical Chemistry B", "id" : "ITEM-1", "issued" : { "date-parts" : [ [ "2007" ] ] }, "page" : "6220-6228", "title" : "Aqueous urea solutions: Structure, energetics, and urea aggregation", "type" : "article-journal", "volume" : "111" }, "uris" : [ "http://www.mendeley.com/documents/?uuid=a1286928-4351-434b-a2e9-1749dd0e1167" ] } ], "mendeley" : { "formattedCitation" : "(Stumpe &amp; Grubm\u00fcller 2007a)", "plainTextFormattedCitation" : "(Stumpe &amp; Grubm\u00fcller 2007a)", "previouslyFormattedCitation" : "(Stumpe &amp; Grubm\u00fcller 2007a)" }, "properties" : { "noteIndex" : 0 }, "schema" : "https://github.com/citation-style-language/schema/raw/master/csl-citation.json" }</w:instrText>
      </w:r>
      <w:r w:rsidR="00790B0C">
        <w:fldChar w:fldCharType="separate"/>
      </w:r>
      <w:r w:rsidR="00790B0C" w:rsidRPr="00790B0C">
        <w:rPr>
          <w:noProof/>
        </w:rPr>
        <w:t>(Stumpe &amp; Grubmüller 2007a)</w:t>
      </w:r>
      <w:r w:rsidR="00790B0C">
        <w:fldChar w:fldCharType="end"/>
      </w:r>
      <w:r w:rsidR="00790B0C">
        <w:t>. I</w:t>
      </w:r>
      <w:r>
        <w:t>n other words direct attractive interactions</w:t>
      </w:r>
      <w:r w:rsidR="00790B0C">
        <w:t xml:space="preserve"> are not necessarily essential for cosolute-cosolute interactions to occur and so this phenomenon may be more widespread than generally thought</w:t>
      </w:r>
      <w:r>
        <w:t>. Nearly all groups of stabilisers</w:t>
      </w:r>
      <w:r w:rsidR="00790B0C">
        <w:t>, including sugars and amino acids</w:t>
      </w:r>
      <w:r>
        <w:t xml:space="preserve"> </w:t>
      </w:r>
      <w:r w:rsidR="00790B0C">
        <w:fldChar w:fldCharType="begin" w:fldLock="1"/>
      </w:r>
      <w:r w:rsidR="00FF6FB8">
        <w:instrText>ADDIN CSL_CITATION { "citationItems" : [ { "id" : "ITEM-1", "itemData" : { "DOI" : "10.1110/ps.9.2.344", "ISBN" : "0961-8368 (Print)\\r0961-8368 (Linking)", "ISSN" : "09618368", "PMID" : "10716186", "abstract" : "The in vitro refolding of hen egg-white lysozyme is studied in the presence of various osmolytes. Proline is found to prevent aggregation during protein refolding. However, other osmolytes used in this study fail to exhibit a similar property. Experimental evidence suggests that proline inhibits protein aggregation by binding to folding intermediate(s) and trapping the folding intermediate(s) into enzymatically inactive, \"aggregation-insensitive\" state(s). However, elimination of proline from the refolded protein mixture results in significant recovery of the bacteriolytic activity. At higher concentrations (&gt;1.5 M), proline is shown to form loose, higher-order molecular aggregate(s). The supramolecular assembly of proline is found to possess an amphipathic character. Formation of higher-order aggregates is believed to be crucial for proline to function as a protein folding aid. In addition to its role in osmoregulation under water stress conditions, the results of this study hint at the possibility of proline behaving as a protein folding chaperone.", "author" : [ { "dropping-particle" : "", "family" : "Samuel", "given" : "D", "non-dropping-particle" : "", "parse-names" : false, "suffix" : "" }, { "dropping-particle" : "", "family" : "Kumar", "given" : "T K S", "non-dropping-particle" : "", "parse-names" : false, "suffix" : "" }, { "dropping-particle" : "", "family" : "Ganesh", "given" : "G", "non-dropping-particle" : "", "parse-names" : false, "suffix" : "" }, { "dropping-particle" : "", "family" : "Jayaraman", "given" : "G", "non-dropping-particle" : "", "parse-names" : false, "suffix" : "" }, { "dropping-particle" : "", "family" : "Yang", "given" : "P W", "non-dropping-particle" : "", "parse-names" : false, "suffix" : "" }, { "dropping-particle" : "", "family" : "Chang", "given" : "M M", "non-dropping-particle" : "", "parse-names" : false, "suffix" : "" }, { "dropping-particle" : "", "family" : "Trivedi", "given" : "V W", "non-dropping-particle" : "", "parse-names" : false, "suffix" : "" }, { "dropping-particle" : "", "family" : "Wang", "given" : "S L", "non-dropping-particle" : "", "parse-names" : false, "suffix" : "" }, { "dropping-particle" : "", "family" : "Hwang", "given" : "K C", "non-dropping-particle" : "", "parse-names" : false, "suffix" : "" }, { "dropping-particle" : "", "family" : "Chang", "given" : "D K", "non-dropping-particle" : "", "parse-names" : false, "suffix" : "" }, { "dropping-particle" : "", "family" : "Yu", "given" : "C", "non-dropping-particle" : "", "parse-names" : false, "suffix" : "" } ], "container-title" : "Protein Science", "id" : "ITEM-1", "issued" : { "date-parts" : [ [ "2008" ] ] }, "page" : "344-352", "title" : "Proline inhibits aggregation during protein refolding", "type" : "article-journal", "volume" : "9" }, "uris" : [ "http://www.mendeley.com/documents/?uuid=2e3e71cb-47b3-448d-aee5-f9a8ac42631e" ] }, { "id" : "ITEM-2", "itemData" : { "DOI" : "10.1073/pnas.0735920100", "ISBN" : "0027-8424", "ISSN" : "0027-8424", "PMID" : "12684536", "abstract" : "Neutron diffraction experiments were carried out on aqueous solutions containing either guanidinium or thiocyanate ions. The first-order difference method of neutron diffraction and isotopic substitution was applied, and the hydration structures of two of nature's strongest denaturant ions were determined. Each ion is shown to interact weakly with water: Guanidinium has no recognizable hydration shell and is one of the most weakly hydrated cations yet characterized. Hydration of thiocyanate is characterized by a low coordination number involving around one hydrogen-bonded water molecule and approximately two water molecules weakly interacting through \"hydration bonds.\" The weak hydration of these denaturant ions strongly supports suggestions that a major contribution to the denaturant effect is the preferential interaction of the denaturant with the protein surface. By contrast, solute species such as many sugars and related polyols that stabilize proteins are strongly hydrated and are thus preferentially retained in the bulk solvent and excluded from the protein surface.", "author" : [ { "dropping-particle" : "", "family" : "Mason", "given" : "P E", "non-dropping-particle" : "", "parse-names" : false, "suffix" : "" }, { "dropping-particle" : "", "family" : "Neilson", "given" : "G W", "non-dropping-particle" : "", "parse-names" : false, "suffix" : "" }, { "dropping-particle" : "", "family" : "Dempsey", "given" : "C E", "non-dropping-particle" : "", "parse-names" : false, "suffix" : "" }, { "dropping-particle" : "", "family" : "Barnes", "given" : "a C", "non-dropping-particle" : "", "parse-names" : false, "suffix" : "" }, { "dropping-particle" : "", "family" : "Cruickshank", "given" : "J M", "non-dropping-particle" : "", "parse-names" : false, "suffix" : "" } ], "container-title" : "Proceedings of the National Academy of Sciences of the United States of America", "id" : "ITEM-2", "issued" : { "date-parts" : [ [ "2003" ] ] }, "page" : "4557-4561", "title" : "The hydration structure of guanidinium and thiocyanate ions: implications for protein stability in aqueous solution", "type" : "article-journal", "volume" : "100" }, "uris" : [ "http://www.mendeley.com/documents/?uuid=fccb80eb-7117-4ad4-802b-afe82b067ce7" ] }, { "id" : "ITEM-3", "itemData" : { "DOI" : "10.1021/ja205215t", "ISSN" : "1520-5126", "PMID" : "21973239", "abstract" : "Protein stability in ionic solutions depends on the delicate balance between protein-ion and ion-ion interactions. For molecular ions containing multiple charged groups, the role of ion-ion interactions is particularly important. In this study, we show how the interplay between homo- and heteroion pairing influences protein stability using polyarginine salts as a model system. For the chloride salts, protein thermostability decreases as the size of the peptide increases, indicating enhanced binding to the protein. Moreover, it indicates reduced homoion pairing between Gdm(+) and carboxylate groups that is largely responsible for aggregation suppression, rather than denaturation, in monomeric arginine solutions. However, for the sulfate salts, strong heteroion pairing between the Gdm(+) groups and the sulfate counterions compensates for the loss of homoion pairing and, in return, leads to enhanced thermostability and a dramatically reduced (up to 10-30 times) rate of protein aggregation. Molecular dynamics simulations reveal how this ion pairing enhances conformational stability and, at the same time, reduces protein association. This study provides insight into complex ion effects on protein stability and serves as an example of how these intrasolvent interactions can be leveraged to enhance protein stability.", "author" : [ { "dropping-particle" : "", "family" : "Shukla", "given" : "D", "non-dropping-particle" : "", "parse-names" : false, "suffix" : "" }, { "dropping-particle" : "", "family" : "Schneider", "given" : "C P", "non-dropping-particle" : "", "parse-names" : false, "suffix" : "" }, { "dropping-particle" : "", "family" : "Trout", "given" : "B L", "non-dropping-particle" : "", "parse-names" : false, "suffix" : "" } ], "container-title" : "Journal of the American Chemical Society", "id" : "ITEM-3", "issued" : { "date-parts" : [ [ "2011", "11", "23" ] ] }, "page" : "18713-18718", "title" : "Complex interactions between molecular ions in solution and their effect on protein stability", "type" : "article-journal", "volume" : "133" }, "uris" : [ "http://www.mendeley.com/documents/?uuid=bf3d8b7f-7511-4e27-8154-a4660873b30e" ] }, { "id" : "ITEM-4", "itemData" : { "DOI" : "10.1021/jp108586b", "ISSN" : "1520-5207", "PMID" : "21186800", "abstract" : "Preferential interaction coefficients provide a thermodynamic measure to quantify the interactions between cosolutes and a protein. Preferential interactions of cosolutes can be measured experimentally using dialysis/densimetry and vapor pressure osmometry (VPO) techniques. The cosolute arginine is a widely used aggregation suppressor with a seemingly unique behavior. Its role in protein aggregation has been studied extensively, although a complete mechanistic understanding of its behavior is lacking. Moreover, due to experimental limitations, experimental preferential interaction data for arginine has only been reported at low concentrations. Schneider and Trout ( J. Phys. Chem. B 2009 , 113 , 7 ) have reported experimental preferential interaction data for argHCl (up to 0.7 m), and their study raised several interesting questions about the preferential interaction of arginine with proteins. Arginine is attracted to proteins at low concentrations but it was highly excluded at high concentrations. Furthermore, the preferential interaction coefficient values were found to vary as a square of the concentration, which is different from commonly observed linear relationship for other cosolutes like urea, glycerol, guanidinium hydrochloride, etc. In this study, preferential interaction coefficients of argHCl have been estimated computationally for two proteins (lysozyme and \u03b1-chymotripsinogen A) for a large concentration range (up to 2.8 m). On the basis of these results, the molecular level interactions responsible for the nonlinear exclusion of arginine from the protein surface are identified.", "author" : [ { "dropping-particle" : "", "family" : "Shukla", "given" : "D", "non-dropping-particle" : "", "parse-names" : false, "suffix" : "" }, { "dropping-particle" : "", "family" : "Trout", "given" : "B L", "non-dropping-particle" : "", "parse-names" : false, "suffix" : "" } ], "container-title" : "Journal of Physical Chemistry B", "id" : "ITEM-4", "issued" : { "date-parts" : [ [ "2011", "2", "10" ] ] }, "page" : "1243-1253", "publisher" : "American Chemical Society", "title" : "Preferential interaction coefficients of proteins in aqueous arginine solutions and their molecular origins", "type" : "article-journal", "volume" : "115" }, "uris" : [ "http://www.mendeley.com/documents/?uuid=a81e5778-ff76-4fd8-a37b-129997e8d378" ] }, { "id" : "ITEM-5", "itemData" : { "DOI" : "10.1021/jp071946z", "ISBN" : "1520-6106", "ISSN" : "1520-6106", "PMID" : "17629322", "abstract" : "The influence of three well-known disaccharides, namely, trehalose, maltose, and sucrose, on some structural and dynamical properties of lysozyme has been investigated by means of molecular dynamics computer simulations in the 37-60 wt % concentration range. The effects of sugars on the protein conformation are found to be relatively weak, in agreement with the preferential hydration of lysozyme. Conversely, sugars seem to increase significantly the relaxation times of the protein. These effects are shown to be correlated to the fractional solvent accessibilities of lysozyme residues and further support the slaving of protein dynamics. Moreover, a significant increase in the relaxation times of lysozyme, sugars, and water molecules is observed within the studied concentration range and may result from the percolation of the hydrogen-bond network of sugar molecules. This percolation appears to be of primary importance to explain the influence of sugars on the dynamical properties of lysozyme and water.", "author" : [ { "dropping-particle" : "", "family" : "Lerbret", "given" : "A", "non-dropping-particle" : "", "parse-names" : false, "suffix" : "" }, { "dropping-particle" : "", "family" : "Bordat", "given" : "P", "non-dropping-particle" : "", "parse-names" : false, "suffix" : "" }, { "dropping-particle" : "", "family" : "Affouard", "given" : "F", "non-dropping-particle" : "", "parse-names" : false, "suffix" : "" }, { "dropping-particle" : "", "family" : "H\u00e9doux", "given" : "A", "non-dropping-particle" : "", "parse-names" : false, "suffix" : "" }, { "dropping-particle" : "", "family" : "Guinet", "given" : "Y", "non-dropping-particle" : "", "parse-names" : false, "suffix" : "" }, { "dropping-particle" : "", "family" : "Descamps", "given" : "M", "non-dropping-particle" : "", "parse-names" : false, "suffix" : "" } ], "container-title" : "Journal of Physical Chemistry B", "id" : "ITEM-5", "issued" : { "date-parts" : [ [ "2007" ] ] }, "page" : "9410-9420", "title" : "How do trehalose, maltose, and sucrose influence some structural and dynamical properties of lysozyme? Insight from molecular dynamics simulations", "type" : "article-journal", "volume" : "111" }, "uris" : [ "http://www.mendeley.com/documents/?uuid=280e9c1c-6bf5-4e6c-b85c-743f17dfb3b9" ] } ], "mendeley" : { "formattedCitation" : "(Samuel et al. 2008; Mason et al. 2003; Shukla et al. 2011a; Shukla &amp; Trout 2011a; Lerbret et al. 2007)", "plainTextFormattedCitation" : "(Samuel et al. 2008; Mason et al. 2003; Shukla et al. 2011a; Shukla &amp; Trout 2011a; Lerbret et al. 2007)", "previouslyFormattedCitation" : "(Samuel et al. 2008; Mason et al. 2003; Shukla et al. 2011a; Shukla &amp; Trout 2011a; Lerbret et al. 2007)" }, "properties" : { "noteIndex" : 0 }, "schema" : "https://github.com/citation-style-language/schema/raw/master/csl-citation.json" }</w:instrText>
      </w:r>
      <w:r w:rsidR="00790B0C">
        <w:fldChar w:fldCharType="separate"/>
      </w:r>
      <w:r w:rsidR="00C42D6A" w:rsidRPr="00C42D6A">
        <w:rPr>
          <w:noProof/>
        </w:rPr>
        <w:t>(Samuel et al. 2008; Mason et al. 2003; Shukla et al. 2011a; Shukla &amp; Trout 2011a; Lerbret et al. 2007)</w:t>
      </w:r>
      <w:r w:rsidR="00790B0C">
        <w:fldChar w:fldCharType="end"/>
      </w:r>
      <w:r w:rsidR="00790B0C">
        <w:t xml:space="preserve">, </w:t>
      </w:r>
      <w:r>
        <w:t xml:space="preserve">and even some denaturants </w:t>
      </w:r>
      <w:r w:rsidR="00790B0C">
        <w:fldChar w:fldCharType="begin" w:fldLock="1"/>
      </w:r>
      <w:r w:rsidR="00790B0C">
        <w:instrText>ADDIN CSL_CITATION { "citationItems" : [ { "id" : "ITEM-1", "itemData" : { "DOI" : "10.1021/ja040034x", "author" : [ { "dropping-particle" : "", "family" : "Mason", "given" : "P E", "non-dropping-particle" : "", "parse-names" : false, "suffix" : "" }, { "dropping-particle" : "", "family" : "Neilson", "given" : "G W", "non-dropping-particle" : "", "parse-names" : false, "suffix" : "" }, { "dropping-particle" : "", "family" : "Enderby", "given" : "J E", "non-dropping-particle" : "", "parse-names" : false, "suffix" : "" }, { "dropping-particle" : "", "family" : "Saboungi", "given" : "M L", "non-dropping-particle" : "", "parse-names" : false, "suffix" : "" }, { "dropping-particle" : "", "family" : "Dempsey", "given" : "C E", "non-dropping-particle" : "", "parse-names" : false, "suffix" : "" }, { "dropping-particle" : "", "family" : "Mackerell", "given" : "A D", "non-dropping-particle" : "", "parse-names" : false, "suffix" : "" }, { "dropping-particle" : "", "family" : "Brady", "given" : "J W", "non-dropping-particle" : "", "parse-names" : false, "suffix" : "" } ], "container-title" : "Journal of the American Chemical Society", "id" : "ITEM-1", "issued" : { "date-parts" : [ [ "2004" ] ] }, "page" : "11462-11470", "title" : "The structure of aqueous guanidinium chloride solutions", "type" : "article-journal", "volume" : "126" }, "uris" : [ "http://www.mendeley.com/documents/?uuid=dcd77331-9619-41cd-a08e-15ca0f9e5576" ] }, { "id" : "ITEM-2", "itemData" : { "DOI" : "10.1021/jp066474n", "ISBN" : "1520-6106", "ISSN" : "15206106", "PMID" : "17497766", "abstract" : "Urea is ubiquitously used as a protein denaturant. To study the structure and energetics of aqueous urea solutions, we have carried out molecular dynamics simulations for a wide range of urea concentrations and temperatures. The hydrogen bonds between urea and water were found to be significantly weaker than those between water molecules, which drives urea self-aggregation due to the hydrophobic effect. From the reduction of the water exposed urea surface area, urea was found to exhibit an aggregation degree of ca. 20% at concentrations commonly used for protein denaturation. Structurally, three distinct urea pair conformations were identified and their populations were analyzed by translational and orientational pair distribution functions. Furthermore, urea was found to strengthen water structure in terms of hydrogen bond energies and population of solvation shells. Our findings are consistent with a direct interaction between urea and the protein as the main driving force for protein denaturation. As an additional, more indirect effect, urea was found to enhance water structure, which would suggest a weakening of the hydrophobic effect.", "author" : [ { "dropping-particle" : "", "family" : "Stumpe", "given" : "M C", "non-dropping-particle" : "", "parse-names" : false, "suffix" : "" }, { "dropping-particle" : "", "family" : "Grubm\u00fcller", "given" : "H", "non-dropping-particle" : "", "parse-names" : false, "suffix" : "" } ], "container-title" : "Journal of Physical Chemistry B", "id" : "ITEM-2", "issued" : { "date-parts" : [ [ "2007" ] ] }, "page" : "6220-6228", "title" : "Aqueous urea solutions: Structure, energetics, and urea aggregation", "type" : "article-journal", "volume" : "111" }, "uris" : [ "http://www.mendeley.com/documents/?uuid=a1286928-4351-434b-a2e9-1749dd0e1167" ] } ], "mendeley" : { "formattedCitation" : "(Mason et al. 2004; Stumpe &amp; Grubm\u00fcller 2007a)", "plainTextFormattedCitation" : "(Mason et al. 2004; Stumpe &amp; Grubm\u00fcller 2007a)", "previouslyFormattedCitation" : "(Mason et al. 2004; Stumpe &amp; Grubm\u00fcller 2007a)" }, "properties" : { "noteIndex" : 0 }, "schema" : "https://github.com/citation-style-language/schema/raw/master/csl-citation.json" }</w:instrText>
      </w:r>
      <w:r w:rsidR="00790B0C">
        <w:fldChar w:fldCharType="separate"/>
      </w:r>
      <w:r w:rsidR="00790B0C" w:rsidRPr="00790B0C">
        <w:rPr>
          <w:noProof/>
        </w:rPr>
        <w:t>(Mason et al. 2004; Stumpe &amp; Grubmüller 2007a)</w:t>
      </w:r>
      <w:r w:rsidR="00790B0C">
        <w:fldChar w:fldCharType="end"/>
      </w:r>
      <w:r w:rsidR="00790B0C">
        <w:t xml:space="preserve"> </w:t>
      </w:r>
      <w:r w:rsidR="00C24BAD">
        <w:lastRenderedPageBreak/>
        <w:t>have all been</w:t>
      </w:r>
      <w:r>
        <w:t xml:space="preserve"> shown to have th</w:t>
      </w:r>
      <w:r w:rsidR="00790B0C">
        <w:t>e capability to self-associate.</w:t>
      </w:r>
      <w:r w:rsidR="00CA530A">
        <w:t xml:space="preserve"> In the case of stabilising cosolutes it </w:t>
      </w:r>
      <w:r w:rsidR="004F305D">
        <w:t>is</w:t>
      </w:r>
      <w:r w:rsidR="00CA530A">
        <w:t xml:space="preserve"> generally suggested that cluster formation leads to increased stabilisation due to increased preferential exclusion of the cosolute from the protein surface. This was established th</w:t>
      </w:r>
      <w:r w:rsidR="00A40F83">
        <w:t>rough alteration of the counter</w:t>
      </w:r>
      <w:r w:rsidR="00CA530A">
        <w:t xml:space="preserve">ion of arginine and comparison of clustering extent and preferential interaction parameters </w:t>
      </w:r>
      <w:r w:rsidR="00CA530A">
        <w:fldChar w:fldCharType="begin" w:fldLock="1"/>
      </w:r>
      <w:r w:rsidR="00DD6047">
        <w:instrText>ADDIN CSL_CITATION { "citationItems" : [ { "id" : "ITEM-1", "itemData" : { "DOI" : "10.1021/jp111920y", "ISSN" : "15206106", "PMID" : "21568311", "abstract" : "L-Arginine hydrochloride is a very important aggregation suppressor for which there has been much attention given regarding elucidating its mechanism of action. Little consideration, however, has been given toward other salt forms besides chloride, even though the counterion likely imparts a large influence per the Hofmeister Series. Here, we report an in depth analysis of the role the counterion plays in the aggregation suppression behavior of arginine. Consistent with the empirical Hofmeister series, we found that the aggregation suppression ability of other arginine salt forms on a model protein (\u03b1-chymotrypsinogen) follows the order: H(2)PO(4)(-) &gt; SO(4)(2-) &gt; citrate(2-) &gt; acetate(-) \u2248 F(-) \u2248 Cl(-) &gt; Br(-) &gt; I(-) \u2248 SCN(-). Mechanistically, preferential interaction and osmotic virial coefficient measurements, in addition to molecular dynamics simulations, indicate that attractive ion-ion interactions, particularly attractive interactions between arginine molecules, play a dominate role in the observed behavior. Furthermore, it appears that dihydrogen phosphate, sulfate, and citrate have strong attractive interactions with the guanidinium group of arginine, which seems to contribute to the superior aggregation suppression ability of those salt forms by bridging together multiple arginine molecules into clusters. These results not only further our understanding of how arginine influences protein stability, they also help to elucidate the mechanism behind the Hofmeister Series. This should help to improve biopharmaceutical stabilization through the use of other arginine salts and possibly, the development of novel excipients.", "author" : [ { "dropping-particle" : "", "family" : "Schneider", "given" : "C P", "non-dropping-particle" : "", "parse-names" : false, "suffix" : "" }, { "dropping-particle" : "", "family" : "Shukla", "given" : "D", "non-dropping-particle" : "", "parse-names" : false, "suffix" : "" }, { "dropping-particle" : "", "family" : "Trout", "given" : "B L", "non-dropping-particle" : "", "parse-names" : false, "suffix" : "" } ], "container-title" : "Journal of Physical Chemistry B", "id" : "ITEM-1", "issued" : { "date-parts" : [ [ "2011" ] ] }, "page" : "7447-7458", "title" : "Arginine and the hofmeister series: The role of ion-ion interactions in protein aggregation suppression", "type" : "article-journal", "volume" : "115" }, "uris" : [ "http://www.mendeley.com/documents/?uuid=add3a612-a355-4fbb-a5e9-6ed61df00344" ] } ], "mendeley" : { "formattedCitation" : "(Schneider et al. 2011)", "plainTextFormattedCitation" : "(Schneider et al. 2011)", "previouslyFormattedCitation" : "(Schneider et al. 2011)" }, "properties" : { "noteIndex" : 0 }, "schema" : "https://github.com/citation-style-language/schema/raw/master/csl-citation.json" }</w:instrText>
      </w:r>
      <w:r w:rsidR="00CA530A">
        <w:fldChar w:fldCharType="separate"/>
      </w:r>
      <w:r w:rsidR="00CA530A" w:rsidRPr="00CA530A">
        <w:rPr>
          <w:noProof/>
        </w:rPr>
        <w:t>(Schneider et al. 2011)</w:t>
      </w:r>
      <w:r w:rsidR="00CA530A">
        <w:fldChar w:fldCharType="end"/>
      </w:r>
      <w:r w:rsidR="00CA530A">
        <w:t>. Increased cluster formation is also thought to increase aggregation suppression through a similar mechanism.</w:t>
      </w:r>
      <w:r w:rsidR="00F96E1A">
        <w:t xml:space="preserve"> More experimental data backing up these suggested mechanisms is required in order to fully understand how and when cosolute-cosolute interactions occur and how they affect the cosolute’s ability to modulate protein stability.</w:t>
      </w:r>
    </w:p>
    <w:p w14:paraId="5866FC8E" w14:textId="77777777" w:rsidR="00392AE2" w:rsidRPr="00B7549D" w:rsidRDefault="00392AE2" w:rsidP="00B7549D">
      <w:r>
        <w:t xml:space="preserve">Cluster formation is often used to explain the unique behaviour of arginine, which is apparently able to decrease aggregation without any negative effect on protein stability </w:t>
      </w:r>
      <w:r>
        <w:fldChar w:fldCharType="begin" w:fldLock="1"/>
      </w:r>
      <w:r w:rsidR="00924827">
        <w:instrText>ADDIN CSL_CITATION { "citationItems" : [ { "id" : "ITEM-1", "itemData" : { "DOI" : "10.1016/j.pep.2005.03.028", "ISSN" : "1046-5928", "PMID" : "15893471", "abstract" : "Arginine is a useful solvent additive for many applications, including refolding and solubilization of proteins from insoluble pellets, and suppression of protein aggregation and non-specific adsorption during formulation and purification. However, there is a concern that arginine may be a protein-denaturant, which may limit the expansion of its applications. Such concern arises from the facts that arginine decreases melting temperature and perturbs the spectroscopic properties of certain proteins and contains a guanidinium group, which is a critical chemical structure for denaturing activity of guanidine hydrochloride. Here, we show that although arginine does lower the melting temperatures of certain proteins, the extent is insufficient to cause denaturation of proteins at or below room temperature. The proteins described here show enzymatic activity and folded structure in the presence of arginine, although the local structure around aromatic amino acids is perturbed by arginine. Arginine differs from guandinine hydrochloride in the mode of interactions with proteins, which may be a primary reason why arginine is not a protein-denaturant.", "author" : [ { "dropping-particle" : "", "family" : "Ishibashi", "given" : "M", "non-dropping-particle" : "", "parse-names" : false, "suffix" : "" }, { "dropping-particle" : "", "family" : "Tsumoto", "given" : "K", "non-dropping-particle" : "", "parse-names" : false, "suffix" : "" }, { "dropping-particle" : "", "family" : "Tokunaga", "given" : "M", "non-dropping-particle" : "", "parse-names" : false, "suffix" : "" }, { "dropping-particle" : "", "family" : "Ejima", "given" : "D", "non-dropping-particle" : "", "parse-names" : false, "suffix" : "" }, { "dropping-particle" : "", "family" : "Kita", "given" : "Y", "non-dropping-particle" : "", "parse-names" : false, "suffix" : "" }, { "dropping-particle" : "", "family" : "Arakawa", "given" : "T", "non-dropping-particle" : "", "parse-names" : false, "suffix" : "" } ], "container-title" : "Protein Expression &amp; Purification", "id" : "ITEM-1", "issued" : { "date-parts" : [ [ "2005", "7" ] ] }, "page" : "1-6", "title" : "Is arginine a protein-denaturant?", "type" : "article-journal", "volume" : "42" }, "uris" : [ "http://www.mendeley.com/documents/?uuid=4f7780e5-385c-4f63-97dc-cb62626ee94e" ] } ], "mendeley" : { "formattedCitation" : "(Ishibashi et al. 2005)", "plainTextFormattedCitation" : "(Ishibashi et al. 2005)", "previouslyFormattedCitation" : "(Ishibashi et al. 2005)" }, "properties" : { "noteIndex" : 0 }, "schema" : "https://github.com/citation-style-language/schema/raw/master/csl-citation.json" }</w:instrText>
      </w:r>
      <w:r>
        <w:fldChar w:fldCharType="separate"/>
      </w:r>
      <w:r w:rsidRPr="00392AE2">
        <w:rPr>
          <w:noProof/>
        </w:rPr>
        <w:t>(Ishibashi et al. 2005)</w:t>
      </w:r>
      <w:r>
        <w:fldChar w:fldCharType="end"/>
      </w:r>
      <w:r>
        <w:t xml:space="preserve">. However, the interactions by which these clusters form is still heavily debated </w:t>
      </w:r>
      <w:r>
        <w:fldChar w:fldCharType="begin" w:fldLock="1"/>
      </w:r>
      <w:r w:rsidR="00E11F61">
        <w:instrText>ADDIN CSL_CITATION { "citationItems" : [ { "id" : "ITEM-1", "itemData" : { "DOI" : "10.1021/jp108586b", "ISSN" : "1520-5207", "PMID" : "21186800", "abstract" : "Preferential interaction coefficients provide a thermodynamic measure to quantify the interactions between cosolutes and a protein. Preferential interactions of cosolutes can be measured experimentally using dialysis/densimetry and vapor pressure osmometry (VPO) techniques. The cosolute arginine is a widely used aggregation suppressor with a seemingly unique behavior. Its role in protein aggregation has been studied extensively, although a complete mechanistic understanding of its behavior is lacking. Moreover, due to experimental limitations, experimental preferential interaction data for arginine has only been reported at low concentrations. Schneider and Trout ( J. Phys. Chem. B 2009 , 113 , 7 ) have reported experimental preferential interaction data for argHCl (up to 0.7 m), and their study raised several interesting questions about the preferential interaction of arginine with proteins. Arginine is attracted to proteins at low concentrations but it was highly excluded at high concentrations. Furthermore, the preferential interaction coefficient values were found to vary as a square of the concentration, which is different from commonly observed linear relationship for other cosolutes like urea, glycerol, guanidinium hydrochloride, etc. In this study, preferential interaction coefficients of argHCl have been estimated computationally for two proteins (lysozyme and \u03b1-chymotripsinogen A) for a large concentration range (up to 2.8 m). On the basis of these results, the molecular level interactions responsible for the nonlinear exclusion of arginine from the protein surface are identified.", "author" : [ { "dropping-particle" : "", "family" : "Shukla", "given" : "D", "non-dropping-particle" : "", "parse-names" : false, "suffix" : "" }, { "dropping-particle" : "", "family" : "Trout", "given" : "B L", "non-dropping-particle" : "", "parse-names" : false, "suffix" : "" } ], "container-title" : "Journal of Physical Chemistry B", "id" : "ITEM-1", "issued" : { "date-parts" : [ [ "2011", "2", "10" ] ] }, "page" : "1243-1253", "publisher" : "American Chemical Society", "title" : "Preferential interaction coefficients of proteins in aqueous arginine solutions and their molecular origins", "type" : "article-journal", "volume" : "115" }, "uris" : [ "http://www.mendeley.com/documents/?uuid=a81e5778-ff76-4fd8-a37b-129997e8d378" ] }, { "id" : "ITEM-2", "itemData" : { "DOI" : "10.1021/jp808042w", "ISSN" : "1520-6106", "PMID" : "19199688", "abstract" : "The relatively new technique of vapor pressure osmometry was utilized to determine the preferential interaction of five common solution additives (arginine HCl, guanidine HCl, glycerol, glucose, and urea) using three different model proteins (BSA, lysozyme, and alpha-chymotrypsinogen). Results for guanidine, glycerol, glucose, and urea are comparable to literature values, which utilized the dialysis/densimetry technique. However, values for arginine differ greatly from literature values, making it unclear what is the nature of arginine-protein interactions. A repeat of the dialysis/densimetry measurements reported in the literature supports the vapor pressure osmometry measurements and reveals a never before seen trend in the interaction of arginine with proteins as a function of concentration. This trend is dependent on the protein size and shows arginine to be unique among solution additives. For concentrations below 0.5 M, arginine has a preferential interaction coefficient near zero (slightly greater than zero for small proteins but decreases as the size of the protein increases), which indicates that arginine is neither strongly bound nor excluded from the protein surface. This trend differs greatly from cosolutes that influence the protein folding equilibrium. However, as the concentration of arginine increases beyond 0.5 M, arginine becomes increasingly excluded. Such behavior might be indicative of the protein surface becoming saturated with arginine, thus causing any additional arginine added to the solution to be excluded from interacting with the surface. All of this behavior is most likely the result of a balance between the affinity arginine has for the peptide backbone and certain amino acids and the repulsion generated by surface tension increment and volume exclusion effects [Arakawa et al. Biophysical Chemistry 2007, 127, 1]. In addition, such behavior may explain why arginine has little effect on protein folding equilibrium but is an effective aggregation suppressor.", "author" : [ { "dropping-particle" : "", "family" : "Schneider", "given" : "C P", "non-dropping-particle" : "", "parse-names" : false, "suffix" : "" }, { "dropping-particle" : "", "family" : "Trout", "given" : "B L", "non-dropping-particle" : "", "parse-names" : false, "suffix" : "" } ], "container-title" : "Journal of Physical Chemistry B", "id" : "ITEM-2", "issued" : { "date-parts" : [ [ "2009", "2", "19" ] ] }, "page" : "2050-2058", "title" : "Investigation of cosolute-protein preferential interaction coefficients: New insight into the mechanism by which arginine inhibits aggregation", "type" : "article-journal", "volume" : "113" }, "uris" : [ "http://www.mendeley.com/documents/?uuid=9eed0480-0f78-439e-accc-1dcb3b07e260" ] } ], "mendeley" : { "formattedCitation" : "(Shukla &amp; Trout 2011a; Schneider &amp; Trout 2009)", "plainTextFormattedCitation" : "(Shukla &amp; Trout 2011a; Schneider &amp; Trout 2009)", "previouslyFormattedCitation" : "(Shukla &amp; Trout 2011a; Schneider &amp; Trout 2009)" }, "properties" : { "noteIndex" : 0 }, "schema" : "https://github.com/citation-style-language/schema/raw/master/csl-citation.json" }</w:instrText>
      </w:r>
      <w:r>
        <w:fldChar w:fldCharType="separate"/>
      </w:r>
      <w:r w:rsidR="00C42D6A" w:rsidRPr="00C42D6A">
        <w:rPr>
          <w:noProof/>
        </w:rPr>
        <w:t>(Shukla &amp; Trout 2011a; Schneider &amp; Trout 2009)</w:t>
      </w:r>
      <w:r>
        <w:fldChar w:fldCharType="end"/>
      </w:r>
      <w:r w:rsidR="006F41CC">
        <w:t>. Arginine self-association is discussed in more detail in section</w:t>
      </w:r>
      <w:r w:rsidR="00C00AEE">
        <w:t xml:space="preserve"> </w:t>
      </w:r>
      <w:r w:rsidR="00C00AEE">
        <w:fldChar w:fldCharType="begin"/>
      </w:r>
      <w:r w:rsidR="00C00AEE">
        <w:instrText xml:space="preserve"> REF _Ref459970839 \r \h </w:instrText>
      </w:r>
      <w:r w:rsidR="00C00AEE">
        <w:fldChar w:fldCharType="separate"/>
      </w:r>
      <w:r w:rsidR="00AA6926">
        <w:t>1.7.1.1</w:t>
      </w:r>
      <w:r w:rsidR="00C00AEE">
        <w:fldChar w:fldCharType="end"/>
      </w:r>
      <w:r w:rsidR="006F41CC">
        <w:t>.</w:t>
      </w:r>
    </w:p>
    <w:p w14:paraId="01F3BA18" w14:textId="77777777" w:rsidR="00196C13" w:rsidRDefault="007F7D6F" w:rsidP="000A3469">
      <w:pPr>
        <w:pStyle w:val="Heading2"/>
      </w:pPr>
      <w:bookmarkStart w:id="97" w:name="_Toc485712756"/>
      <w:r>
        <w:t>Unpredicted effects of cosolutes on protein stability</w:t>
      </w:r>
      <w:bookmarkEnd w:id="97"/>
    </w:p>
    <w:p w14:paraId="7E36CA69" w14:textId="77777777" w:rsidR="007F7D6F" w:rsidRDefault="007F7D6F" w:rsidP="007F7D6F">
      <w:pPr>
        <w:pStyle w:val="Heading3"/>
      </w:pPr>
      <w:bookmarkStart w:id="98" w:name="_Ref460078303"/>
      <w:bookmarkStart w:id="99" w:name="_Toc485712757"/>
      <w:r>
        <w:t xml:space="preserve">Protein destabilisation by stabilising </w:t>
      </w:r>
      <w:r w:rsidR="007863C2">
        <w:t>cosolutes</w:t>
      </w:r>
      <w:bookmarkEnd w:id="98"/>
      <w:bookmarkEnd w:id="99"/>
    </w:p>
    <w:p w14:paraId="170017FC" w14:textId="77777777" w:rsidR="007863C2" w:rsidRDefault="007863C2" w:rsidP="007863C2">
      <w:r>
        <w:t xml:space="preserve">‘Osmolytes’ are mostly discussed in the literature as stabilising cosolutes, and are often stated to stabilise proteins universally. It is clear from </w:t>
      </w:r>
      <w:r>
        <w:fldChar w:fldCharType="begin"/>
      </w:r>
      <w:r>
        <w:instrText xml:space="preserve"> REF _Ref453339849 \h </w:instrText>
      </w:r>
      <w:r>
        <w:fldChar w:fldCharType="separate"/>
      </w:r>
      <w:r w:rsidR="00AA6926">
        <w:t xml:space="preserve">Table </w:t>
      </w:r>
      <w:r w:rsidR="00AA6926">
        <w:rPr>
          <w:noProof/>
        </w:rPr>
        <w:t>1</w:t>
      </w:r>
      <w:r w:rsidR="00AA6926">
        <w:noBreakHyphen/>
      </w:r>
      <w:r w:rsidR="00AA6926">
        <w:rPr>
          <w:noProof/>
        </w:rPr>
        <w:t>4</w:t>
      </w:r>
      <w:r>
        <w:fldChar w:fldCharType="end"/>
      </w:r>
      <w:r>
        <w:t xml:space="preserve"> that the degree of stabilisation varies significantly between proteins and also between conditions including pH, cosolute concentration, and buffer conditions. Interestingly there are also a variety of conditions under which certain stabilising cosolutes have been shown to destabilise proteins </w:t>
      </w:r>
      <w:commentRangeStart w:id="100"/>
      <w:r>
        <w:fldChar w:fldCharType="begin" w:fldLock="1"/>
      </w:r>
      <w:r w:rsidR="00777DBE">
        <w:instrText>ADDIN CSL_CITATION { "citationItems" : [ { "id" : "ITEM-1", "itemData" : { "DOI" : "10.1016/j.lfs.2010.10.020", "ISSN" : "1879-0631", "PMID" : "21047521", "abstract" : "Osmolytes are naturally occurring small molecules accumulated intracellularly to protect organisms from various denaturing stresses. Similar to the two faces of a coin, several of these osmolytes are stabilizing and destabilizing proteins depending on the concentrations and/or solvent conditions. For example, the well known stabilizing osmolyte, trehalose destabilizes some proteins at high concentration and/or high pH. In spite of the fact that destabilizing aspects of osmolytes can modulate many cellular processes including regulation of protein homeostasis (proteostasis), protein-protein interaction, and protein-DNA interaction, researchers have mostly focused on the stabilizing aspects of osmolytes. Thus, it is important to look into both aspects of osmolytes to determine their precise role under physiological conditions. In this article, we have discussed both stabilizing and destabilizing/denaturant aspects of osmolytes to uncover both sides of the coin.", "author" : [ { "dropping-particle" : "", "family" : "Singh", "given" : "L R", "non-dropping-particle" : "", "parse-names" : false, "suffix" : "" }, { "dropping-particle" : "", "family" : "Poddar", "given" : "N K", "non-dropping-particle" : "", "parse-names" : false, "suffix" : "" }, { "dropping-particle" : "", "family" : "Dar", "given" : "T A", "non-dropping-particle" : "", "parse-names" : false, "suffix" : "" }, { "dropping-particle" : "", "family" : "Kumar", "given" : "R", "non-dropping-particle" : "", "parse-names" : false, "suffix" : "" }, { "dropping-particle" : "", "family" : "Ahmad", "given" : "F", "non-dropping-particle" : "", "parse-names" : false, "suffix" : "" } ], "container-title" : "Life Sciences", "id" : "ITEM-1", "issued" : { "date-parts" : [ [ "2011", "1", "17" ] ] }, "page" : "117-125", "publisher" : "Elsevier Inc.", "title" : "Protein and DNA destabilization by osmolytes: The other side of the coin", "type" : "article-journal", "volume" : "88" }, "uris" : [ "http://www.mendeley.com/documents/?uuid=a93927d1-65f0-454d-8f61-5187bb7ae361" ] } ], "mendeley" : { "formattedCitation" : "(Singh, Poddar, Dar, Kumar, et al. 2011)", "plainTextFormattedCitation" : "(Singh, Poddar, Dar, Kumar, et al. 2011)", "previouslyFormattedCitation" : "(Singh, Poddar, Dar, Kumar, et al. 2011)" }, "properties" : { "noteIndex" : 0 }, "schema" : "https://github.com/citation-style-language/schema/raw/master/csl-citation.json" }</w:instrText>
      </w:r>
      <w:r>
        <w:fldChar w:fldCharType="separate"/>
      </w:r>
      <w:r w:rsidR="008778E9" w:rsidRPr="008778E9">
        <w:rPr>
          <w:noProof/>
        </w:rPr>
        <w:t>(Singh, Poddar, Dar, Kumar, et al. 2011)</w:t>
      </w:r>
      <w:r>
        <w:fldChar w:fldCharType="end"/>
      </w:r>
      <w:r>
        <w:t>.</w:t>
      </w:r>
      <w:commentRangeEnd w:id="100"/>
      <w:r w:rsidR="006B7D90">
        <w:rPr>
          <w:rStyle w:val="CommentReference"/>
        </w:rPr>
        <w:commentReference w:id="100"/>
      </w:r>
    </w:p>
    <w:p w14:paraId="79A4D012" w14:textId="77777777" w:rsidR="007863C2" w:rsidRDefault="007863C2" w:rsidP="007863C2">
      <w:r>
        <w:t xml:space="preserve">Quite commonly </w:t>
      </w:r>
      <w:r w:rsidR="006C64CD">
        <w:t xml:space="preserve">stabilising cosolutes are shown to have very little effect on melting temperature of the protein (see Table 1-4 taurine) </w:t>
      </w:r>
      <w:r w:rsidR="006C64CD">
        <w:fldChar w:fldCharType="begin" w:fldLock="1"/>
      </w:r>
      <w:r w:rsidR="008778E9">
        <w:instrText>ADDIN CSL_CITATION { "citationItems" : [ { "id" : "ITEM-1", "itemData" : { "DOI" : "10.1016/j.febslet.2005.06.005", "ISSN" : "0014-5793", "PMID" : "15990095", "abstract" : "It is generally believed that compatible osmolytes stabilize proteins by shifting the denaturation equilibrium, native state &lt;--&gt; denatured state toward the left. We show here that if osmolytes are compatible with the functional activity of the protein at a given pH and temperature, they should not significantly perturb this denaturation equilibrium under the same experimental conditions. This conclusion was reached from the measurements of the activity parameters (K(m) and k(cat)) and guanidinium chloride-induced denaturations of lysozyme and ribonuclease-A in the presence of five polyols (sorbitol, glycerol, mannitol, xylitol and adonitol) at pH 7.0 and 25 degrees C.", "author" : [ { "dropping-particle" : "", "family" : "Haque", "given" : "I", "non-dropping-particle" : "", "parse-names" : false, "suffix" : "" }, { "dropping-particle" : "", "family" : "Singh", "given" : "R", "non-dropping-particle" : "", "parse-names" : false, "suffix" : "" }, { "dropping-particle" : "", "family" : "Ahmad", "given" : "F", "non-dropping-particle" : "", "parse-names" : false, "suffix" : "" }, { "dropping-particle" : "", "family" : "Moosavi-Movahedi", "given" : "A A", "non-dropping-particle" : "", "parse-names" : false, "suffix" : "" } ], "container-title" : "FEBS Letters", "id" : "ITEM-1", "issued" : { "date-parts" : [ [ "2005", "7", "18" ] ] }, "page" : "3891-3898", "title" : "Testing polyols' compatibility with Gibbs energy of stabilization of proteins under conditions in which they behave as compatible osmolytes", "type" : "article-journal", "volume" : "579" }, "uris" : [ "http://www.mendeley.com/documents/?uuid=8c72fb4f-f72c-4a75-bec0-b12874f0220d" ] } ], "mendeley" : { "formattedCitation" : "(Haque, Singh, Ahmad, et al. 2005)", "plainTextFormattedCitation" : "(Haque, Singh, Ahmad, et al. 2005)", "previouslyFormattedCitation" : "(Haque, Singh, Ahmad, et al. 2005)" }, "properties" : { "noteIndex" : 0 }, "schema" : "https://github.com/citation-style-language/schema/raw/master/csl-citation.json" }</w:instrText>
      </w:r>
      <w:r w:rsidR="006C64CD">
        <w:fldChar w:fldCharType="separate"/>
      </w:r>
      <w:r w:rsidR="008D5309" w:rsidRPr="008D5309">
        <w:rPr>
          <w:noProof/>
        </w:rPr>
        <w:t>(Haque, Singh, Ahmad, et al. 2005)</w:t>
      </w:r>
      <w:r w:rsidR="006C64CD">
        <w:fldChar w:fldCharType="end"/>
      </w:r>
      <w:r w:rsidR="006C64CD">
        <w:t xml:space="preserve">, but may be stabilising the protein in another way that has not been measured e.g. against environmental stresses other than temperature. Equally there are many </w:t>
      </w:r>
      <w:r w:rsidR="006C64CD">
        <w:lastRenderedPageBreak/>
        <w:t xml:space="preserve">examples of the existence of an optimum cosolute concentration for stabilisation, </w:t>
      </w:r>
      <w:r w:rsidR="008D5309">
        <w:t>above which</w:t>
      </w:r>
      <w:r w:rsidR="006C64CD">
        <w:t xml:space="preserve"> destabilisation of the protein</w:t>
      </w:r>
      <w:r w:rsidR="008D5309">
        <w:t xml:space="preserve"> begins to occur, especially with the methylamines </w:t>
      </w:r>
      <w:r w:rsidR="008D5309">
        <w:fldChar w:fldCharType="begin" w:fldLock="1"/>
      </w:r>
      <w:r w:rsidR="00FF6FB8">
        <w:instrText>ADDIN CSL_CITATION { "citationItems" : [ { "id" : "ITEM-1", "itemData" : { "ISSN" : "0006-2960", "PMID" : "1376620", "abstract" : "Organisms and cellular systems which have adapted to stresses such as high temperature, desiccation, and urea-concentrating environments have responded by concentrating particular organic solutes known as osmolytes. These osmolytes are believed to confer protection to enzyme and other macromolecular systems against such denaturing stresses. Differential scanning calorimetric (DSC) experiments were performed on ribonuclease A and hen egg white lysozyme in the presence of varying concentrations of the osmolytes glycine, sarcosine, N,N-dimethylglycine, and betaine. Solutions containing up to several molar concentrations of these solutes were found to result in considerable increases in the thermal unfolding transition temperature (Tm) for these proteins. DSC scans of ribonuclease A in the presence of up to 8.2 M sarcosine resulted in reversible two-state unfolding transitions with Tm increases of up to 22 degrees C and unfolding enthalpy changes which were independent of Tm. On the basis of the thermodynamic parameters observed, 8.2 M sarcosine results in a stabilization free energy increase of 7.2 kcal/mol for ribonuclease A at 65 degrees C. This translates into more than a 45,000-fold increase in stability of the native form of ribonuclease A over that in the absence of sarcosine at this temperature. Catalytic activity measurements in the presence of 4 M sarcosine give kcat and Km values that are largely unchanged from those in the absence of sarcosine. DSC of lysozyme unfolding in the presence of these osmolytes also results in Tm increases of up to 23 degrees C; however, significant irreversibly occurs with this protein.(ABSTRACT TRUNCATED AT 250 WORDS)", "author" : [ { "dropping-particle" : "", "family" : "Santoro", "given" : "M M", "non-dropping-particle" : "", "parse-names" : false, "suffix" : "" }, { "dropping-particle" : "", "family" : "Liu", "given" : "Y", "non-dropping-particle" : "", "parse-names" : false, "suffix" : "" }, { "dropping-particle" : "", "family" : "Khan", "given" : "S M A", "non-dropping-particle" : "", "parse-names" : false, "suffix" : "" }, { "dropping-particle" : "", "family" : "Hou", "given" : "L X", "non-dropping-particle" : "", "parse-names" : false, "suffix" : "" }, { "dropping-particle" : "", "family" : "Bolen", "given" : "D W", "non-dropping-particle" : "", "parse-names" : false, "suffix" : "" } ], "container-title" : "Biochemistry", "id" : "ITEM-1", "issued" : { "date-parts" : [ [ "1992", "6", "16" ] ] }, "page" : "5278-5283", "title" : "Increased thermal stability of proteins in the presence of naturally occurring osmolytes", "type" : "article-journal", "volume" : "31" }, "uris" : [ "http://www.mendeley.com/documents/?uuid=43f8c6ce-f911-44c3-88ac-ffd899b1fb4f" ] }, { "id" : "ITEM-2", "itemData" : { "ISSN" : "1431-0651", "PMID" : "10484175", "abstract" : "Thermodynamic aspects of protein stabilization by two widespread naturally occurring osmolytes, beta-hydroxyectoine and betaine, were studied using differential scanning calorimetry (DSC) and bovine ribonuclease A (RNase A) as a model protein. The osmolyte beta-hydroxyectoine purified from Marinococcus was found to be a very efficient stabilizer. At a concentration of 3M it increased the melting temperature of RNase A (Tm) by more than 12K and gave rise to a stability increase of 10.6kJ/mol at room temperature. The heat capacity difference between the folded and unfolded state (deltaC(p)) was found to be significantly increased. Betaine stabilized RNase A only at concentrations less than 3M. Also, here deltaCp was found to be increased. Calculation of the number of water molecules that additionally bind to unfolded RNase A resulted in surprisingly low numbers for both osmolytes. The significant stabilization of RNase A by beta-hydroxyectoine makes this osmolyte an interesting stabilizer in biotechnological processes in which enzymes are applied in the presence of denaturants or at high temperature.", "author" : [ { "dropping-particle" : "", "family" : "Knapp", "given" : "S", "non-dropping-particle" : "", "parse-names" : false, "suffix" : "" }, { "dropping-particle" : "", "family" : "Ladenstein", "given" : "R", "non-dropping-particle" : "", "parse-names" : false, "suffix" : "" }, { "dropping-particle" : "", "family" : "Galinski", "given" : "E a", "non-dropping-particle" : "", "parse-names" : false, "suffix" : "" } ], "container-title" : "Extremophiles", "id" : "ITEM-2", "issued" : { "date-parts" : [ [ "1999", "8" ] ] }, "page" : "191-198", "title" : "Extrinsic protein stabilization by the naturally occurring osmolytes beta-hydroxyectoine and betaine", "type" : "article-journal", "volume" : "3" }, "uris" : [ "http://www.mendeley.com/documents/?uuid=77f36eb8-1975-44c4-b99c-5e2b144468ef" ] } ], "mendeley" : { "formattedCitation" : "(Santoro et al. 1992; Knapp et al. 1999)", "plainTextFormattedCitation" : "(Santoro et al. 1992; Knapp et al. 1999)", "previouslyFormattedCitation" : "(Santoro et al. 1992; Knapp et al. 1999)" }, "properties" : { "noteIndex" : 0 }, "schema" : "https://github.com/citation-style-language/schema/raw/master/csl-citation.json" }</w:instrText>
      </w:r>
      <w:r w:rsidR="008D5309">
        <w:fldChar w:fldCharType="separate"/>
      </w:r>
      <w:r w:rsidR="008D5309" w:rsidRPr="008D5309">
        <w:rPr>
          <w:noProof/>
        </w:rPr>
        <w:t>(Santoro et al. 1992; Knapp et al. 1999)</w:t>
      </w:r>
      <w:r w:rsidR="008D5309">
        <w:fldChar w:fldCharType="end"/>
      </w:r>
      <w:r w:rsidR="006C64CD">
        <w:t>.</w:t>
      </w:r>
      <w:r w:rsidR="008D5309">
        <w:t xml:space="preserve"> However, this still tends to result in protein stabilisation in comparison to the absence of cosolute and so cannot strictly be termed destabilisation.</w:t>
      </w:r>
    </w:p>
    <w:p w14:paraId="42CF4537" w14:textId="77777777" w:rsidR="008778E9" w:rsidRDefault="002338F9" w:rsidP="007863C2">
      <w:r>
        <w:t>In the case of methylamines</w:t>
      </w:r>
      <w:r w:rsidR="008D5309">
        <w:t>, there is substantial evidence to suggest that they are likely to destabilise proteins under pH conditions that are lower than their pKa (</w:t>
      </w:r>
      <w:r w:rsidR="008D5309">
        <w:fldChar w:fldCharType="begin"/>
      </w:r>
      <w:r w:rsidR="008D5309">
        <w:instrText xml:space="preserve"> REF _Ref459217026 \h </w:instrText>
      </w:r>
      <w:r w:rsidR="008D5309">
        <w:fldChar w:fldCharType="separate"/>
      </w:r>
      <w:r w:rsidR="00AA6926">
        <w:t xml:space="preserve">Table </w:t>
      </w:r>
      <w:r w:rsidR="00AA6926">
        <w:rPr>
          <w:noProof/>
        </w:rPr>
        <w:t>1</w:t>
      </w:r>
      <w:r w:rsidR="00AA6926">
        <w:noBreakHyphen/>
      </w:r>
      <w:r w:rsidR="00AA6926">
        <w:rPr>
          <w:noProof/>
        </w:rPr>
        <w:t>8</w:t>
      </w:r>
      <w:r w:rsidR="008D5309">
        <w:fldChar w:fldCharType="end"/>
      </w:r>
      <w:r w:rsidR="008D5309">
        <w:t xml:space="preserve">). Depending on the protein this can be a fairly large destabilisation, as can be seen for the 7 °C destabilisation of prion protein at pH 4 by 0.1 M TMAO </w:t>
      </w:r>
      <w:r w:rsidR="008D5309">
        <w:fldChar w:fldCharType="begin" w:fldLock="1"/>
      </w:r>
      <w:r w:rsidR="008D5309">
        <w:instrText>ADDIN CSL_CITATION { "citationItems" : [ { "id" : "ITEM-1", "itemData" : { "DOI" : "10.1002/bip", "ISBN" : "1918-7033", "ISSN" : "07078552", "PMID" : "16807901", "author" : [ { "dropping-particle" : "", "family" : "Granata", "given" : "V", "non-dropping-particle" : "", "parse-names" : false, "suffix" : "" }, { "dropping-particle" : "", "family" : "Palladine", "given" : "P", "non-dropping-particle" : "", "parse-names" : false, "suffix" : "" }, { "dropping-particle" : "", "family" : "Tizzano", "given" : "B", "non-dropping-particle" : "", "parse-names" : false, "suffix" : "" }, { "dropping-particle" : "", "family" : "Negro", "given" : "A", "non-dropping-particle" : "", "parse-names" : false, "suffix" : "" }, { "dropping-particle" : "", "family" : "Berisio", "given" : "R", "non-dropping-particle" : "", "parse-names" : false, "suffix" : "" }, { "dropping-particle" : "", "family" : "Zagari", "given" : "A", "non-dropping-particle" : "", "parse-names" : false, "suffix" : "" } ], "container-title" : "Biopolymers", "id" : "ITEM-1", "issued" : { "date-parts" : [ [ "2006" ] ] }, "page" : "234-240", "title" : "The effect of the osmolyte trimethylamine N-oxide on the stability of the prion protein at low pH", "type" : "article-journal", "volume" : "82" }, "uris" : [ "http://www.mendeley.com/documents/?uuid=ab50bc89-7ee5-4ccf-983c-b4a7bdfd5a74" ] } ], "mendeley" : { "formattedCitation" : "(Granata et al. 2006)", "plainTextFormattedCitation" : "(Granata et al. 2006)", "previouslyFormattedCitation" : "(Granata et al. 2006)" }, "properties" : { "noteIndex" : 0 }, "schema" : "https://github.com/citation-style-language/schema/raw/master/csl-citation.json" }</w:instrText>
      </w:r>
      <w:r w:rsidR="008D5309">
        <w:fldChar w:fldCharType="separate"/>
      </w:r>
      <w:r w:rsidR="008D5309" w:rsidRPr="008D5309">
        <w:rPr>
          <w:noProof/>
        </w:rPr>
        <w:t>(Granata et al. 2006)</w:t>
      </w:r>
      <w:r w:rsidR="008D5309">
        <w:fldChar w:fldCharType="end"/>
      </w:r>
      <w:r w:rsidR="008D5309">
        <w:t xml:space="preserve">. These occurrences of destabilisation have been mostly attributed to a switch in the balance between unfavourable interaction with peptide backbone and favourable interaction with side chains, with more favourable interactions causing the destabilisation to occur </w:t>
      </w:r>
      <w:r w:rsidR="008D5309">
        <w:fldChar w:fldCharType="begin" w:fldLock="1"/>
      </w:r>
      <w:r w:rsidR="00924827">
        <w:instrText>ADDIN CSL_CITATION { "citationItems" : [ { "id" : "ITEM-1", "itemData" : { "DOI" : "10.1016/j.lfs.2010.10.020", "ISSN" : "1879-0631", "PMID" : "21047521", "abstract" : "Osmolytes are naturally occurring small molecules accumulated intracellularly to protect organisms from various denaturing stresses. Similar to the two faces of a coin, several of these osmolytes are stabilizing and destabilizing proteins depending on the concentrations and/or solvent conditions. For example, the well known stabilizing osmolyte, trehalose destabilizes some proteins at high concentration and/or high pH. In spite of the fact that destabilizing aspects of osmolytes can modulate many cellular processes including regulation of protein homeostasis (proteostasis), protein-protein interaction, and protein-DNA interaction, researchers have mostly focused on the stabilizing aspects of osmolytes. Thus, it is important to look into both aspects of osmolytes to determine their precise role under physiological conditions. In this article, we have discussed both stabilizing and destabilizing/denaturant aspects of osmolytes to uncover both sides of the coin.", "author" : [ { "dropping-particle" : "", "family" : "Singh", "given" : "L R", "non-dropping-particle" : "", "parse-names" : false, "suffix" : "" }, { "dropping-particle" : "", "family" : "Poddar", "given" : "N K", "non-dropping-particle" : "", "parse-names" : false, "suffix" : "" }, { "dropping-particle" : "", "family" : "Dar", "given" : "T A", "non-dropping-particle" : "", "parse-names" : false, "suffix" : "" }, { "dropping-particle" : "", "family" : "Kumar", "given" : "R", "non-dropping-particle" : "", "parse-names" : false, "suffix" : "" }, { "dropping-particle" : "", "family" : "Ahmad", "given" : "F", "non-dropping-particle" : "", "parse-names" : false, "suffix" : "" } ], "container-title" : "Life Sciences", "id" : "ITEM-1", "issued" : { "date-parts" : [ [ "2011", "1", "17" ] ] }, "page" : "117-125", "publisher" : "Elsevier Inc.", "title" : "Protein and DNA destabilization by osmolytes: The other side of the coin", "type" : "article-journal", "volume" : "88" }, "uris" : [ "http://www.mendeley.com/documents/?uuid=a93927d1-65f0-454d-8f61-5187bb7ae361" ] }, { "id" : "ITEM-2", "itemData" : { "DOI" : "10.1074/jbc.M410716200", "ISSN" : "0021-9258", "PMID" : "15653673", "abstract" : "Earlier studies have reported that trimethylamine N-oxide (TMAO), a naturally occurring osmolyte, is a universal stabilizer of proteins because it folds unstructured proteins and counteracts the deleterious effects of urea and salts on the structure and function of proteins. This conclusion has been reached from the studies of the effect of TMAO on proteins in the pH range 6.0-8.0. In this pH range TMAO is almost neutral (zwitterionic form), for it has a pK(a) of 4.66 +/- 0.10. We have asked the question of whether the effect of TMAO on protein stability is pH-dependent. To answer this question we have carried out thermal denaturation studies of lysozyme, ribonuclease-A, and apo-alpha-lactalbumin in the presence of various TMAO concentrations at different pH values above and below the pK(a) of TMAO. The main conclusion of this study is that near room temperature TMAO destabilizes proteins at pH values below its pK(a), whereas it stabilizes proteins at pH values above its pK(a). This conclusion was reached by determining the T(m) (midpoint of denaturation), delta H(m) (denaturational enthalpy change at T(m)), delta C(p) (constant pressure heat capacity change), and delta G(D) degrees (denaturational Gibbs energy change at 25 degrees C) of proteins in the presence of different TMAO concentrations. Other conclusions of this study are that T(m) and delta G(D) degrees depend on TMAO concentration at each pH value and that delta H(m) and the delta C(p) are not significantly changed in presence of TMAO.", "author" : [ { "dropping-particle" : "", "family" : "Singh", "given" : "R", "non-dropping-particle" : "", "parse-names" : false, "suffix" : "" }, { "dropping-particle" : "", "family" : "Haque", "given" : "I", "non-dropping-particle" : "", "parse-names" : false, "suffix" : "" }, { "dropping-particle" : "", "family" : "Ahmad", "given" : "F", "non-dropping-particle" : "", "parse-names" : false, "suffix" : "" } ], "container-title" : "Journal of Biological Chemistry", "id" : "ITEM-2", "issued" : { "date-parts" : [ [ "2005", "3", "25" ] ] }, "page" : "11035-11042", "title" : "Counteracting osmolyte trimethylamine N-oxide destabilizes proteins at pH below its pKa. Measurements of thermodynamic parameters of proteins in the presence and absence of trimethylamine N-oxide", "type" : "article-journal", "volume" : "280" }, "uris" : [ "http://www.mendeley.com/documents/?uuid=b89f8b32-bf3c-4027-8c76-46c059ba9fef" ] }, { "id" : "ITEM-3", "itemData" : { "DOI" : "10.1073/pnas.0603772103", "ISBN" : "0027842400278424", "ISSN" : "0027-8424", "PMID" : "16899544", "abstract" : "Small organic molecules termed osmolytes are harnessed by a variety of cell types in a wide range of organisms to counter unfavorable physiological conditions that challenge protein stability and function. Using a well characterized reporter system that we developed to allow in vivo observations, we have explored how the osmolyte proline influences the stability and aggregation of a model aggregation-prone protein, P39A cellular retinoic acid-binding protein. Strikingly, we find that the natural osmolyte proline abrogates aggregation both in vitro and in vivo (in an Escherichia coli expression system). Importantly, proline also prevented aggregation of constructs containing exon 1 of huntingtin with extended polyglutamine tracts. Although compatible osmolytes are known to stabilize the native state, our results point to a destabilizing effect of proline on partially folded states and early aggregates and a solubilizing effect on the native state. Because proline is believed to act through a combination of solvophobic backbone interactions and favorable side-chain interactions that are not specific to a particular sequence or structure, the observed effect is likely to be general. Thus, the osmolyte proline may be protective against biomedically important protein aggregates that are hallmarks of several late-onset neurodegenerative diseases including Huntington's, Alzheimer's, and Parkinson's. In addition, these results should be of practical importance because they may enable protein expression at higher efficiency under conditions where aggregation competes with proper folding.", "author" : [ { "dropping-particle" : "", "family" : "Ignatova", "given" : "Z", "non-dropping-particle" : "", "parse-names" : false, "suffix" : "" }, { "dropping-particle" : "", "family" : "Gierasch", "given" : "L M", "non-dropping-particle" : "", "parse-names" : false, "suffix" : "" } ], "container-title" : "Proceedings of the National Academy of Sciences of the United States of America", "id" : "ITEM-3", "issued" : { "date-parts" : [ [ "2006" ] ] }, "page" : "13357-13361", "title" : "Inhibition of protein aggregation in vitro and in vivo by a natural osmoprotectant", "type" : "article-journal", "volume" : "103" }, "uris" : [ "http://www.mendeley.com/documents/?uuid=018c4f89-c58a-40fd-8b45-85e42cfe3d98" ] }, { "id" : "ITEM-4", "itemData" : { "DOI" : "10.1016/j.bpc.2005.04.004", "ISSN" : "0301-4622", "PMID" : "15905020", "abstract" : "Thermal denaturation curves of lysozyme and ribonuclease-A were determined by measuring their far-UV circular dichroism (CD) spectra in the presence of different concentrations of five polyols (sorbitol, glycerol, mannitol, xylitol and adonitol) at various pH values in the range 7.0--1.9. The denaturation curve at each polyol concentration and pH was analysed to obtain values of T(m) (midpoint of denaturation) and DeltaH(m) (enthalpy change at T(m)), and these DeltaH(m) and T(m) values obtained at different pH values were used to obtain DeltaC(p) (constant-pressure heat capacity change) at each polyol concentration. Using values of DeltaH(m), T(m) and DeltaC(p) in the Gibbs-Helmholtz equation, DeltaG(D) degrees (Gibbs energy change at 25 degrees C) was determined at a given pH and polyol concentration. Main conclusions of this study are that polyols have no significant effect on DeltaG(D) degrees at pH 7.0, and they stabilise proteins in terms of DeltaG(D) degrees against heat denaturation at lower pH values. Other conclusions of this study are: (i) T(m) at each pH increases with increasing polyol concentration, (ii) DeltaH(m) remains, within experimental error, unperturbed in the presence of polyols, and (iii) DeltaC(p) depends on polyol concentration. Furthermore, measurements of the far- and near-UV CD spectra suggested that secondary and tertiary structures of both proteins in their native and denatured states are not perturbed on the addition of polyols.", "author" : [ { "dropping-particle" : "", "family" : "Haque", "given" : "I", "non-dropping-particle" : "", "parse-names" : false, "suffix" : "" }, { "dropping-particle" : "", "family" : "Singh", "given" : "R", "non-dropping-particle" : "", "parse-names" : false, "suffix" : "" }, { "dropping-particle" : "", "family" : "Moosavi-Movahedi", "given" : "A A", "non-dropping-particle" : "", "parse-names" : false, "suffix" : "" }, { "dropping-particle" : "", "family" : "Ahmad", "given" : "F", "non-dropping-particle" : "", "parse-names" : false, "suffix" : "" } ], "container-title" : "Biophysical Chemistry", "id" : "ITEM-4", "issued" : { "date-parts" : [ [ "2005", "8", "22" ] ] }, "page" : "1-12", "title" : "Effect of polyol osmolytes on DeltaG(D), the Gibbs energy of stabilisation of proteins at different pH values", "type" : "article-journal", "volume" : "117" }, "uris" : [ "http://www.mendeley.com/documents/?uuid=414aa675-6dfe-4b2c-ab48-4cc6100a3a9b" ] }, { "id" : "ITEM-5", "itemData" : { "DOI" : "10.1016/j.bpc.2008.09.013", "ISBN" : "1873-4200 (Electronic) 0301-4622 (Linking)", "ISSN" : "03014622", "PMID" : "18835508", "abstract" : "Thermal denaturation curves of ribonuclease-A were measured by monitoring changes in the far-UV circular dichroism (CD) spectra in the presence of different concentrations of six sugars (glucose, fructose, galactose, sucrose, raffinose and stachyose) and mixture of monosaccharide constituents of each oligosaccharide at various pH values in the range of 6.0-2.0. These measurements gave values of Tm (midpoint of denaturation), ??Hm (enthalpy change at Tm), ??Cp (constant-pressure heat capacity change) under a given solvent condition. Using these values of ??Hm, Tm and ??Cp in appropriate thermodynamic relations, thermodynamic parameters at 25????C, namely, ??GD o (Gibbs energy change), ??HD o (enthalpy change), and ??SD o (entropy change) were determined at a given pH and concentration of each sugar (including its mixture of monosaccharide constituents). Our main conclusions are: (i) each sugar stabilizes the protein in terms of Tm and ??GD o, and this stabilization is under enthalpic control, (ii) the protein stabilization by the oligosaccharide is significantly less than that by the equimolar concentration of the constituent monosaccharides, and (iii) the stabilization by monosaccharides in a mixture is fully additive. Furthermore, measurements of the far- and near-UV CD spectra suggested that secondary and tertiary structures of protein in their native and denatured states are not perturbed on the addition of sugars. ?? 2008 Elsevier B.V. All rights reserved.", "author" : [ { "dropping-particle" : "", "family" : "Poddar", "given" : "N K", "non-dropping-particle" : "", "parse-names" : false, "suffix" : "" }, { "dropping-particle" : "", "family" : "Ansari", "given" : "Z A", "non-dropping-particle" : "", "parse-names" : false, "suffix" : "" }, { "dropping-particle" : "", "family" : "Brojen Singh", "given" : "R K", "non-dropping-particle" : "", "parse-names" : false, "suffix" : "" }, { "dropping-particle" : "", "family" : "Moosavi-Movahedi", "given" : "A A", "non-dropping-particle" : "", "parse-names" : false, "suffix" : "" }, { "dropping-particle" : "", "family" : "Ahmad", "given" : "F", "non-dropping-particle" : "", "parse-names" : false, "suffix" : "" } ], "container-title" : "Biophysical Chemistry", "id" : "ITEM-5", "issued" : { "date-parts" : [ [ "2008" ] ] }, "page" : "120-129", "publisher" : "Elsevier B.V.", "title" : "Effect of monomeric and oligomeric sugar osmolytes on deltaGD, the Gibbs energy of stabilization of the protein at different pH values: Is the sum effect of monosaccharide individually additive in a mixture?", "type" : "article-journal", "volume" : "138" }, "uris" : [ "http://www.mendeley.com/documents/?uuid=569eff96-0841-4709-83b9-a2fdcc3f9203" ] } ], "mendeley" : { "formattedCitation" : "(Singh, Poddar, Dar, Kumar, et al. 2011; Singh et al. 2005; Ignatova &amp; Gierasch 2006; Haque, Singh, Moosavi-Movahedi, et al. 2005; Poddar et al. 2008)", "plainTextFormattedCitation" : "(Singh, Poddar, Dar, Kumar, et al. 2011; Singh et al. 2005; Ignatova &amp; Gierasch 2006; Haque, Singh, Moosavi-Movahedi, et al. 2005; Poddar et al. 2008)", "previouslyFormattedCitation" : "(Singh, Poddar, Dar, Kumar, et al. 2011; Singh et al. 2005; Ignatova &amp; Gierasch 2006; Haque, Singh, Moosavi-Movahedi, et al. 2005; Poddar et al. 2008)" }, "properties" : { "noteIndex" : 0 }, "schema" : "https://github.com/citation-style-language/schema/raw/master/csl-citation.json" }</w:instrText>
      </w:r>
      <w:r w:rsidR="008D5309">
        <w:fldChar w:fldCharType="separate"/>
      </w:r>
      <w:r w:rsidR="008778E9" w:rsidRPr="008778E9">
        <w:rPr>
          <w:noProof/>
        </w:rPr>
        <w:t>(Singh, Poddar, Dar, Kumar, et al. 2011; Singh et al. 2005; Ignatova &amp; Gierasch 2006; Haque, Singh, Moosavi-Movahedi, et al. 2005; Poddar et al. 2008)</w:t>
      </w:r>
      <w:r w:rsidR="008D5309">
        <w:fldChar w:fldCharType="end"/>
      </w:r>
      <w:r w:rsidR="008778E9">
        <w:t>. If the interactions with side chains are electrostatic, it makes sense that altering the pH of solution past the pKa of the cosolute could alter this balance.</w:t>
      </w:r>
    </w:p>
    <w:p w14:paraId="249F206E" w14:textId="77777777" w:rsidR="008778E9" w:rsidRDefault="008778E9" w:rsidP="008778E9">
      <w:r>
        <w:br w:type="page"/>
      </w:r>
    </w:p>
    <w:p w14:paraId="07ABE073" w14:textId="77777777" w:rsidR="007863C2" w:rsidRDefault="007863C2" w:rsidP="006B257F">
      <w:pPr>
        <w:pStyle w:val="Caption"/>
        <w:keepNext/>
        <w:jc w:val="left"/>
      </w:pPr>
      <w:bookmarkStart w:id="101" w:name="_Ref459217026"/>
      <w:r>
        <w:lastRenderedPageBreak/>
        <w:t xml:space="preserve">Table </w:t>
      </w:r>
      <w:fldSimple w:instr=" STYLEREF 1 \s ">
        <w:r w:rsidR="00AA6926">
          <w:rPr>
            <w:noProof/>
          </w:rPr>
          <w:t>1</w:t>
        </w:r>
      </w:fldSimple>
      <w:r w:rsidR="00D6574D">
        <w:noBreakHyphen/>
      </w:r>
      <w:fldSimple w:instr=" SEQ Table \* ARABIC \s 1 ">
        <w:r w:rsidR="00AA6926">
          <w:rPr>
            <w:noProof/>
          </w:rPr>
          <w:t>8</w:t>
        </w:r>
      </w:fldSimple>
      <w:bookmarkEnd w:id="101"/>
      <w:r>
        <w:t>. Incide</w:t>
      </w:r>
      <w:r w:rsidR="008D5309">
        <w:t xml:space="preserve">nces of protein destabilisation </w:t>
      </w:r>
      <w:r>
        <w:t>by stabilising cosolutes. If more than one condition of destabilisation is discussed in reference 'degree of destabilisation' states the most destabilising condition</w:t>
      </w:r>
    </w:p>
    <w:tbl>
      <w:tblPr>
        <w:tblStyle w:val="LightShading"/>
        <w:tblW w:w="0" w:type="auto"/>
        <w:tblLayout w:type="fixed"/>
        <w:tblLook w:val="04A0" w:firstRow="1" w:lastRow="0" w:firstColumn="1" w:lastColumn="0" w:noHBand="0" w:noVBand="1"/>
      </w:tblPr>
      <w:tblGrid>
        <w:gridCol w:w="1242"/>
        <w:gridCol w:w="1418"/>
        <w:gridCol w:w="1134"/>
        <w:gridCol w:w="1701"/>
        <w:gridCol w:w="1804"/>
        <w:gridCol w:w="1421"/>
      </w:tblGrid>
      <w:tr w:rsidR="00CD5BBB" w14:paraId="3A3E6757" w14:textId="77777777" w:rsidTr="007A4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67CE5000" w14:textId="77777777" w:rsidR="00FD13D2" w:rsidRPr="00FD13D2" w:rsidRDefault="00FD13D2" w:rsidP="00C81DE2">
            <w:r>
              <w:t>Osmolyte</w:t>
            </w:r>
          </w:p>
        </w:tc>
        <w:tc>
          <w:tcPr>
            <w:tcW w:w="1418" w:type="dxa"/>
            <w:shd w:val="clear" w:color="auto" w:fill="auto"/>
          </w:tcPr>
          <w:p w14:paraId="70E000FD" w14:textId="77777777" w:rsidR="00FD13D2" w:rsidRPr="00FD13D2" w:rsidRDefault="00FD13D2" w:rsidP="00C81DE2">
            <w:pPr>
              <w:cnfStyle w:val="100000000000" w:firstRow="1" w:lastRow="0" w:firstColumn="0" w:lastColumn="0" w:oddVBand="0" w:evenVBand="0" w:oddHBand="0" w:evenHBand="0" w:firstRowFirstColumn="0" w:firstRowLastColumn="0" w:lastRowFirstColumn="0" w:lastRowLastColumn="0"/>
            </w:pPr>
            <w:r>
              <w:t>Protein</w:t>
            </w:r>
          </w:p>
        </w:tc>
        <w:tc>
          <w:tcPr>
            <w:tcW w:w="1134" w:type="dxa"/>
            <w:shd w:val="clear" w:color="auto" w:fill="auto"/>
          </w:tcPr>
          <w:p w14:paraId="5C92E6D0" w14:textId="77777777" w:rsidR="00FD13D2" w:rsidRPr="00FD13D2" w:rsidRDefault="00FD13D2" w:rsidP="00C81DE2">
            <w:pPr>
              <w:cnfStyle w:val="100000000000" w:firstRow="1" w:lastRow="0" w:firstColumn="0" w:lastColumn="0" w:oddVBand="0" w:evenVBand="0" w:oddHBand="0" w:evenHBand="0" w:firstRowFirstColumn="0" w:firstRowLastColumn="0" w:lastRowFirstColumn="0" w:lastRowLastColumn="0"/>
            </w:pPr>
            <w:r>
              <w:t>Measure of stability</w:t>
            </w:r>
          </w:p>
        </w:tc>
        <w:tc>
          <w:tcPr>
            <w:tcW w:w="1701" w:type="dxa"/>
            <w:shd w:val="clear" w:color="auto" w:fill="auto"/>
          </w:tcPr>
          <w:p w14:paraId="0AADB1FA" w14:textId="77777777" w:rsidR="00FD13D2" w:rsidRPr="00FD13D2" w:rsidRDefault="00FD13D2" w:rsidP="00C81DE2">
            <w:pPr>
              <w:cnfStyle w:val="100000000000" w:firstRow="1" w:lastRow="0" w:firstColumn="0" w:lastColumn="0" w:oddVBand="0" w:evenVBand="0" w:oddHBand="0" w:evenHBand="0" w:firstRowFirstColumn="0" w:firstRowLastColumn="0" w:lastRowFirstColumn="0" w:lastRowLastColumn="0"/>
            </w:pPr>
            <w:r w:rsidRPr="00FD13D2">
              <w:t>Destabilising conditions</w:t>
            </w:r>
          </w:p>
        </w:tc>
        <w:tc>
          <w:tcPr>
            <w:tcW w:w="1804" w:type="dxa"/>
            <w:shd w:val="clear" w:color="auto" w:fill="auto"/>
          </w:tcPr>
          <w:p w14:paraId="44917353" w14:textId="77777777" w:rsidR="00FD13D2" w:rsidRPr="00FD13D2" w:rsidRDefault="00FD13D2" w:rsidP="00C81DE2">
            <w:pPr>
              <w:cnfStyle w:val="100000000000" w:firstRow="1" w:lastRow="0" w:firstColumn="0" w:lastColumn="0" w:oddVBand="0" w:evenVBand="0" w:oddHBand="0" w:evenHBand="0" w:firstRowFirstColumn="0" w:firstRowLastColumn="0" w:lastRowFirstColumn="0" w:lastRowLastColumn="0"/>
            </w:pPr>
            <w:r w:rsidRPr="00FD13D2">
              <w:t>Degree of destabilisation</w:t>
            </w:r>
          </w:p>
        </w:tc>
        <w:tc>
          <w:tcPr>
            <w:tcW w:w="1421" w:type="dxa"/>
            <w:shd w:val="clear" w:color="auto" w:fill="auto"/>
          </w:tcPr>
          <w:p w14:paraId="1B021723" w14:textId="77777777" w:rsidR="00FD13D2" w:rsidRPr="00FD13D2" w:rsidRDefault="00FD13D2" w:rsidP="00C81DE2">
            <w:pPr>
              <w:cnfStyle w:val="100000000000" w:firstRow="1" w:lastRow="0" w:firstColumn="0" w:lastColumn="0" w:oddVBand="0" w:evenVBand="0" w:oddHBand="0" w:evenHBand="0" w:firstRowFirstColumn="0" w:firstRowLastColumn="0" w:lastRowFirstColumn="0" w:lastRowLastColumn="0"/>
            </w:pPr>
            <w:r w:rsidRPr="00FD13D2">
              <w:t>Reference</w:t>
            </w:r>
          </w:p>
        </w:tc>
      </w:tr>
      <w:tr w:rsidR="00CD5BBB" w14:paraId="2409AFCB" w14:textId="77777777" w:rsidTr="007A4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070F5557" w14:textId="77777777" w:rsidR="00FD13D2" w:rsidRPr="009D78ED" w:rsidRDefault="00FD13D2" w:rsidP="009D78ED">
            <w:pPr>
              <w:spacing w:before="0"/>
              <w:rPr>
                <w:sz w:val="20"/>
                <w:szCs w:val="20"/>
              </w:rPr>
            </w:pPr>
            <w:r w:rsidRPr="009D78ED">
              <w:rPr>
                <w:sz w:val="20"/>
                <w:szCs w:val="20"/>
              </w:rPr>
              <w:t>Betaine</w:t>
            </w:r>
          </w:p>
        </w:tc>
        <w:tc>
          <w:tcPr>
            <w:tcW w:w="1418" w:type="dxa"/>
            <w:shd w:val="clear" w:color="auto" w:fill="auto"/>
          </w:tcPr>
          <w:p w14:paraId="7249B12F" w14:textId="77777777" w:rsidR="00FD13D2" w:rsidRPr="009D78ED" w:rsidRDefault="00CD5BBB" w:rsidP="009D78ED">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Lysozyme</w:t>
            </w:r>
          </w:p>
        </w:tc>
        <w:tc>
          <w:tcPr>
            <w:tcW w:w="1134" w:type="dxa"/>
            <w:shd w:val="clear" w:color="auto" w:fill="auto"/>
          </w:tcPr>
          <w:p w14:paraId="101F5C53" w14:textId="77777777" w:rsidR="00FD13D2" w:rsidRPr="009D78ED" w:rsidRDefault="00CD5BBB" w:rsidP="009D78ED">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9D78ED">
              <w:rPr>
                <w:i/>
                <w:sz w:val="20"/>
                <w:szCs w:val="20"/>
              </w:rPr>
              <w:t>T</w:t>
            </w:r>
            <w:r w:rsidRPr="009D78ED">
              <w:rPr>
                <w:sz w:val="20"/>
                <w:szCs w:val="20"/>
                <w:vertAlign w:val="subscript"/>
              </w:rPr>
              <w:t>m</w:t>
            </w:r>
          </w:p>
        </w:tc>
        <w:tc>
          <w:tcPr>
            <w:tcW w:w="1701" w:type="dxa"/>
            <w:shd w:val="clear" w:color="auto" w:fill="auto"/>
          </w:tcPr>
          <w:p w14:paraId="1E25A68F" w14:textId="77777777" w:rsidR="00FD13D2" w:rsidRPr="009D78ED" w:rsidRDefault="00CD5BBB" w:rsidP="009D78ED">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Low pH</w:t>
            </w:r>
          </w:p>
        </w:tc>
        <w:tc>
          <w:tcPr>
            <w:tcW w:w="1804" w:type="dxa"/>
            <w:shd w:val="clear" w:color="auto" w:fill="auto"/>
          </w:tcPr>
          <w:p w14:paraId="25737D97" w14:textId="77777777" w:rsidR="00FD13D2" w:rsidRPr="009D78ED" w:rsidRDefault="00CD5BBB" w:rsidP="009D78ED">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Δ</w:t>
            </w:r>
            <w:r w:rsidRPr="009D78ED">
              <w:rPr>
                <w:i/>
                <w:sz w:val="20"/>
                <w:szCs w:val="20"/>
              </w:rPr>
              <w:t>T</w:t>
            </w:r>
            <w:r w:rsidRPr="009D78ED">
              <w:rPr>
                <w:sz w:val="20"/>
                <w:szCs w:val="20"/>
                <w:vertAlign w:val="subscript"/>
              </w:rPr>
              <w:t xml:space="preserve">m </w:t>
            </w:r>
            <w:r w:rsidRPr="009D78ED">
              <w:rPr>
                <w:sz w:val="20"/>
                <w:szCs w:val="20"/>
              </w:rPr>
              <w:t>of -0.5 °C at 1 M pH 3.5 &amp; 0.5 M pH 3</w:t>
            </w:r>
          </w:p>
        </w:tc>
        <w:tc>
          <w:tcPr>
            <w:tcW w:w="1421" w:type="dxa"/>
            <w:shd w:val="clear" w:color="auto" w:fill="auto"/>
          </w:tcPr>
          <w:p w14:paraId="5AA5C1D3" w14:textId="77777777" w:rsidR="00FD13D2" w:rsidRPr="009D78ED" w:rsidRDefault="00CD5BBB" w:rsidP="009D78ED">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fldChar w:fldCharType="begin" w:fldLock="1"/>
            </w:r>
            <w:r w:rsidRPr="009D78ED">
              <w:rPr>
                <w:sz w:val="20"/>
                <w:szCs w:val="20"/>
              </w:rPr>
              <w:instrText>ADDIN CSL_CITATION { "citationItems" : [ { "id" : "ITEM-1", "itemData" : { "DOI" : "10.1016/j.bbapap.2009.02.005", "ISSN" : "0006-3002", "PMID" : "19254782", "abstract" : "The compatible osmolyte glycine betaine (GB) is the most efficient osmoprotectant and best excluder from the protein surface. It can reverse protein aggregation and correct mutant protein defects and counter the harmful effects of urea and salts in vivo and in vitro. In this study we have investigated the pH dependence of the stabilizing effect of GB on three different proteins, namely, alpha-lactalbumin (alpha-LA), lysozyme and ribonuclease-A (RNase-A). We show here that (a) GB stabilizes RNase-A at all pH values, and (b) GB has opposite effects on two proteins at high pH and low pH values, namely, alpha-LA and lysozyme. This conclusion was reached by determining T(m) (midpoint of denaturation), DeltaH(m) (denaturational enthalpy change at T(m)), DeltaC(p) (constant-pressure heat capacity change) and DeltaG(D)(o) (denaturational Gibbs energy change at 25 degrees C) of proteins in the presence of different GB concentrations. Another conclusion of this study is that DeltaH(m) and DeltaC(p) are not significantly changed in the presence of GB. This study suggests that other methylated glycine osmolytes may also behave in the same manner.", "author" : [ { "dropping-particle" : "", "family" : "Singh", "given" : "L R", "non-dropping-particle" : "", "parse-names" : false, "suffix" : "" }, { "dropping-particle" : "", "family" : "Dar", "given" : "T A", "non-dropping-particle" : "", "parse-names" : false, "suffix" : "" }, { "dropping-particle" : "", "family" : "Rahman", "given" : "S", "non-dropping-particle" : "", "parse-names" : false, "suffix" : "" }, { "dropping-particle" : "", "family" : "Jamal", "given" : "S", "non-dropping-particle" : "", "parse-names" : false, "suffix" : "" }, { "dropping-particle" : "", "family" : "Ahmad", "given" : "F", "non-dropping-particle" : "", "parse-names" : false, "suffix" : "" } ], "container-title" : "Biochimica et Biophysica Acta", "id" : "ITEM-1", "issued" : { "date-parts" : [ [ "2009", "6" ] ] }, "page" : "929-935", "title" : "Glycine betaine may have opposite effects on protein stability at high and low pH values", "type" : "article-journal", "volume" : "1794" }, "uris" : [ "http://www.mendeley.com/documents/?uuid=48b4d17a-3dc0-4580-a4e2-cae05c5feb35" ] } ], "mendeley" : { "formattedCitation" : "(Singh et al. 2009)", "plainTextFormattedCitation" : "(Singh et al. 2009)", "previouslyFormattedCitation" : "(Singh et al. 2009)" }, "properties" : { "noteIndex" : 0 }, "schema" : "https://github.com/citation-style-language/schema/raw/master/csl-citation.json" }</w:instrText>
            </w:r>
            <w:r w:rsidRPr="009D78ED">
              <w:rPr>
                <w:sz w:val="20"/>
                <w:szCs w:val="20"/>
              </w:rPr>
              <w:fldChar w:fldCharType="separate"/>
            </w:r>
            <w:r w:rsidRPr="009D78ED">
              <w:rPr>
                <w:noProof/>
                <w:sz w:val="20"/>
                <w:szCs w:val="20"/>
              </w:rPr>
              <w:t>(Singh et al. 2009)</w:t>
            </w:r>
            <w:r w:rsidRPr="009D78ED">
              <w:rPr>
                <w:sz w:val="20"/>
                <w:szCs w:val="20"/>
              </w:rPr>
              <w:fldChar w:fldCharType="end"/>
            </w:r>
          </w:p>
        </w:tc>
      </w:tr>
      <w:tr w:rsidR="00CD5BBB" w14:paraId="1B596AC1" w14:textId="77777777" w:rsidTr="007A46CA">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22A9C70E" w14:textId="77777777" w:rsidR="00FD13D2" w:rsidRPr="009D78ED" w:rsidRDefault="00CD5BBB" w:rsidP="009D78ED">
            <w:pPr>
              <w:spacing w:before="0"/>
              <w:rPr>
                <w:sz w:val="20"/>
                <w:szCs w:val="20"/>
              </w:rPr>
            </w:pPr>
            <w:r w:rsidRPr="009D78ED">
              <w:rPr>
                <w:sz w:val="20"/>
                <w:szCs w:val="20"/>
              </w:rPr>
              <w:t>Betaine</w:t>
            </w:r>
          </w:p>
        </w:tc>
        <w:tc>
          <w:tcPr>
            <w:tcW w:w="1418" w:type="dxa"/>
            <w:shd w:val="clear" w:color="auto" w:fill="auto"/>
          </w:tcPr>
          <w:p w14:paraId="6646226D" w14:textId="77777777" w:rsidR="00FD13D2" w:rsidRPr="009D78ED" w:rsidRDefault="00394DBB" w:rsidP="009D78ED">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α</w:t>
            </w:r>
            <w:r w:rsidR="00CD5BBB" w:rsidRPr="009D78ED">
              <w:rPr>
                <w:sz w:val="20"/>
                <w:szCs w:val="20"/>
              </w:rPr>
              <w:t>-lactalbumin</w:t>
            </w:r>
          </w:p>
        </w:tc>
        <w:tc>
          <w:tcPr>
            <w:tcW w:w="1134" w:type="dxa"/>
            <w:shd w:val="clear" w:color="auto" w:fill="auto"/>
          </w:tcPr>
          <w:p w14:paraId="2BA38E3C" w14:textId="77777777" w:rsidR="00FD13D2" w:rsidRPr="009D78ED" w:rsidRDefault="00CD5BBB" w:rsidP="009D78ED">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9D78ED">
              <w:rPr>
                <w:i/>
                <w:sz w:val="20"/>
                <w:szCs w:val="20"/>
              </w:rPr>
              <w:t>T</w:t>
            </w:r>
            <w:r w:rsidRPr="009D78ED">
              <w:rPr>
                <w:sz w:val="20"/>
                <w:szCs w:val="20"/>
                <w:vertAlign w:val="subscript"/>
              </w:rPr>
              <w:t>m</w:t>
            </w:r>
          </w:p>
        </w:tc>
        <w:tc>
          <w:tcPr>
            <w:tcW w:w="1701" w:type="dxa"/>
            <w:shd w:val="clear" w:color="auto" w:fill="auto"/>
          </w:tcPr>
          <w:p w14:paraId="3C945715" w14:textId="77777777" w:rsidR="00FD13D2" w:rsidRPr="009D78ED" w:rsidRDefault="00CD5BBB" w:rsidP="009D78ED">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Low pH</w:t>
            </w:r>
          </w:p>
        </w:tc>
        <w:tc>
          <w:tcPr>
            <w:tcW w:w="1804" w:type="dxa"/>
            <w:shd w:val="clear" w:color="auto" w:fill="auto"/>
          </w:tcPr>
          <w:p w14:paraId="21DD9ED1" w14:textId="77777777" w:rsidR="00FD13D2" w:rsidRPr="009D78ED" w:rsidRDefault="00CD5BBB" w:rsidP="009D78ED">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Δ</w:t>
            </w:r>
            <w:r w:rsidRPr="009D78ED">
              <w:rPr>
                <w:i/>
                <w:sz w:val="20"/>
                <w:szCs w:val="20"/>
              </w:rPr>
              <w:t>T</w:t>
            </w:r>
            <w:r w:rsidRPr="009D78ED">
              <w:rPr>
                <w:sz w:val="20"/>
                <w:szCs w:val="20"/>
                <w:vertAlign w:val="subscript"/>
              </w:rPr>
              <w:t xml:space="preserve">m </w:t>
            </w:r>
            <w:r w:rsidRPr="009D78ED">
              <w:rPr>
                <w:sz w:val="20"/>
                <w:szCs w:val="20"/>
              </w:rPr>
              <w:t>of -6.6</w:t>
            </w:r>
            <w:r w:rsidR="00394DBB" w:rsidRPr="009D78ED">
              <w:rPr>
                <w:sz w:val="20"/>
                <w:szCs w:val="20"/>
              </w:rPr>
              <w:t xml:space="preserve"> °C</w:t>
            </w:r>
            <w:r w:rsidRPr="009D78ED">
              <w:rPr>
                <w:sz w:val="20"/>
                <w:szCs w:val="20"/>
              </w:rPr>
              <w:t xml:space="preserve"> at 1 M pH 4</w:t>
            </w:r>
          </w:p>
        </w:tc>
        <w:tc>
          <w:tcPr>
            <w:tcW w:w="1421" w:type="dxa"/>
            <w:shd w:val="clear" w:color="auto" w:fill="auto"/>
          </w:tcPr>
          <w:p w14:paraId="4E2277C4" w14:textId="77777777" w:rsidR="00FD13D2" w:rsidRPr="009D78ED" w:rsidRDefault="00CD5BBB" w:rsidP="009D78ED">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fldChar w:fldCharType="begin" w:fldLock="1"/>
            </w:r>
            <w:r w:rsidR="00743D9B" w:rsidRPr="009D78ED">
              <w:rPr>
                <w:sz w:val="20"/>
                <w:szCs w:val="20"/>
              </w:rPr>
              <w:instrText>ADDIN CSL_CITATION { "citationItems" : [ { "id" : "ITEM-1", "itemData" : { "DOI" : "10.1016/j.bbapap.2009.02.005", "ISSN" : "0006-3002", "PMID" : "19254782", "abstract" : "The compatible osmolyte glycine betaine (GB) is the most efficient osmoprotectant and best excluder from the protein surface. It can reverse protein aggregation and correct mutant protein defects and counter the harmful effects of urea and salts in vivo and in vitro. In this study we have investigated the pH dependence of the stabilizing effect of GB on three different proteins, namely, alpha-lactalbumin (alpha-LA), lysozyme and ribonuclease-A (RNase-A). We show here that (a) GB stabilizes RNase-A at all pH values, and (b) GB has opposite effects on two proteins at high pH and low pH values, namely, alpha-LA and lysozyme. This conclusion was reached by determining T(m) (midpoint of denaturation), DeltaH(m) (denaturational enthalpy change at T(m)), DeltaC(p) (constant-pressure heat capacity change) and DeltaG(D)(o) (denaturational Gibbs energy change at 25 degrees C) of proteins in the presence of different GB concentrations. Another conclusion of this study is that DeltaH(m) and DeltaC(p) are not significantly changed in the presence of GB. This study suggests that other methylated glycine osmolytes may also behave in the same manner.", "author" : [ { "dropping-particle" : "", "family" : "Singh", "given" : "L R", "non-dropping-particle" : "", "parse-names" : false, "suffix" : "" }, { "dropping-particle" : "", "family" : "Dar", "given" : "T A", "non-dropping-particle" : "", "parse-names" : false, "suffix" : "" }, { "dropping-particle" : "", "family" : "Rahman", "given" : "S", "non-dropping-particle" : "", "parse-names" : false, "suffix" : "" }, { "dropping-particle" : "", "family" : "Jamal", "given" : "S", "non-dropping-particle" : "", "parse-names" : false, "suffix" : "" }, { "dropping-particle" : "", "family" : "Ahmad", "given" : "F", "non-dropping-particle" : "", "parse-names" : false, "suffix" : "" } ], "container-title" : "Biochimica et Biophysica Acta", "id" : "ITEM-1", "issued" : { "date-parts" : [ [ "2009", "6" ] ] }, "page" : "929-935", "title" : "Glycine betaine may have opposite effects on protein stability at high and low pH values", "type" : "article-journal", "volume" : "1794" }, "uris" : [ "http://www.mendeley.com/documents/?uuid=48b4d17a-3dc0-4580-a4e2-cae05c5feb35" ] } ], "mendeley" : { "formattedCitation" : "(Singh et al. 2009)", "plainTextFormattedCitation" : "(Singh et al. 2009)", "previouslyFormattedCitation" : "(Singh et al. 2009)" }, "properties" : { "noteIndex" : 0 }, "schema" : "https://github.com/citation-style-language/schema/raw/master/csl-citation.json" }</w:instrText>
            </w:r>
            <w:r w:rsidRPr="009D78ED">
              <w:rPr>
                <w:sz w:val="20"/>
                <w:szCs w:val="20"/>
              </w:rPr>
              <w:fldChar w:fldCharType="separate"/>
            </w:r>
            <w:r w:rsidRPr="009D78ED">
              <w:rPr>
                <w:noProof/>
                <w:sz w:val="20"/>
                <w:szCs w:val="20"/>
              </w:rPr>
              <w:t>(Singh et al. 2009)</w:t>
            </w:r>
            <w:r w:rsidRPr="009D78ED">
              <w:rPr>
                <w:sz w:val="20"/>
                <w:szCs w:val="20"/>
              </w:rPr>
              <w:fldChar w:fldCharType="end"/>
            </w:r>
          </w:p>
        </w:tc>
      </w:tr>
      <w:tr w:rsidR="00CD5BBB" w:rsidRPr="00C643FE" w14:paraId="1FFE54EC" w14:textId="77777777" w:rsidTr="007A4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50612BB4" w14:textId="77777777" w:rsidR="00FD13D2" w:rsidRPr="009D78ED" w:rsidRDefault="00743D9B" w:rsidP="009D78ED">
            <w:pPr>
              <w:spacing w:before="0"/>
              <w:rPr>
                <w:sz w:val="20"/>
                <w:szCs w:val="20"/>
              </w:rPr>
            </w:pPr>
            <w:r w:rsidRPr="009D78ED">
              <w:rPr>
                <w:sz w:val="20"/>
                <w:szCs w:val="20"/>
              </w:rPr>
              <w:t>Betaine</w:t>
            </w:r>
          </w:p>
        </w:tc>
        <w:tc>
          <w:tcPr>
            <w:tcW w:w="1418" w:type="dxa"/>
            <w:shd w:val="clear" w:color="auto" w:fill="auto"/>
          </w:tcPr>
          <w:p w14:paraId="3AD67E12" w14:textId="77777777" w:rsidR="00FD13D2" w:rsidRPr="009D78ED" w:rsidRDefault="00743D9B" w:rsidP="009D78ED">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GFP</w:t>
            </w:r>
          </w:p>
        </w:tc>
        <w:tc>
          <w:tcPr>
            <w:tcW w:w="1134" w:type="dxa"/>
            <w:shd w:val="clear" w:color="auto" w:fill="auto"/>
          </w:tcPr>
          <w:p w14:paraId="51AF3EAC" w14:textId="77777777" w:rsidR="00FD13D2" w:rsidRPr="009D78ED" w:rsidRDefault="00743D9B" w:rsidP="009D78ED">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 xml:space="preserve">CD to monitor </w:t>
            </w:r>
            <w:r w:rsidR="00B80E18" w:rsidRPr="009D78ED">
              <w:rPr>
                <w:sz w:val="20"/>
                <w:szCs w:val="20"/>
              </w:rPr>
              <w:t>protein structure</w:t>
            </w:r>
          </w:p>
        </w:tc>
        <w:tc>
          <w:tcPr>
            <w:tcW w:w="1701" w:type="dxa"/>
            <w:shd w:val="clear" w:color="auto" w:fill="auto"/>
          </w:tcPr>
          <w:p w14:paraId="4B0426EC" w14:textId="77777777" w:rsidR="00FD13D2" w:rsidRPr="009D78ED" w:rsidRDefault="00743D9B" w:rsidP="009D78ED">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“High” concentration 10 mM</w:t>
            </w:r>
          </w:p>
        </w:tc>
        <w:tc>
          <w:tcPr>
            <w:tcW w:w="1804" w:type="dxa"/>
            <w:shd w:val="clear" w:color="auto" w:fill="auto"/>
          </w:tcPr>
          <w:p w14:paraId="79560EC9" w14:textId="77777777" w:rsidR="00FD13D2" w:rsidRPr="009D78ED" w:rsidRDefault="00743D9B" w:rsidP="009D78ED">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Partial unfolding of secondary structure and loss of tertiary structure</w:t>
            </w:r>
          </w:p>
        </w:tc>
        <w:tc>
          <w:tcPr>
            <w:tcW w:w="1421" w:type="dxa"/>
            <w:shd w:val="clear" w:color="auto" w:fill="auto"/>
          </w:tcPr>
          <w:p w14:paraId="75823A2A" w14:textId="77777777" w:rsidR="00FD13D2" w:rsidRPr="007F0FF0" w:rsidRDefault="00743D9B" w:rsidP="009D78ED">
            <w:pPr>
              <w:spacing w:before="0"/>
              <w:cnfStyle w:val="000000100000" w:firstRow="0" w:lastRow="0" w:firstColumn="0" w:lastColumn="0" w:oddVBand="0" w:evenVBand="0" w:oddHBand="1" w:evenHBand="0" w:firstRowFirstColumn="0" w:firstRowLastColumn="0" w:lastRowFirstColumn="0" w:lastRowLastColumn="0"/>
              <w:rPr>
                <w:sz w:val="20"/>
                <w:szCs w:val="20"/>
                <w:lang w:val="it-IT"/>
              </w:rPr>
            </w:pPr>
            <w:r w:rsidRPr="009D78ED">
              <w:rPr>
                <w:sz w:val="20"/>
                <w:szCs w:val="20"/>
              </w:rPr>
              <w:fldChar w:fldCharType="begin" w:fldLock="1"/>
            </w:r>
            <w:r w:rsidR="00394DBB" w:rsidRPr="009D78ED">
              <w:rPr>
                <w:sz w:val="20"/>
                <w:szCs w:val="20"/>
              </w:rPr>
              <w:instrText>ADDIN CSL_CITATION { "citationItems" : [ { "id" : "ITEM-1", "itemData" : { "DOI" : "10.1002/prot.22266", "ISBN" : "1097-0134 (Electronic)\\r0887-3585 (Linking)", "ISSN" : "08873585", "PMID" : "18951407", "abstract" : "In this work the effect of betaine on the structure and aggregation of the GST-GFP fluorescent fusion protein was studied by different complementary techniques, including electron microscopy, dynamic light scattering, circular dichroism, and FTIR spectroscopy. Although osmolytes are known to be protein stabilizers in vivo, the effect of betaine on the structure and aggregation of our model protein was found to be strictly concentration dependent. We demonstrated that, by changing betaine concentration, it was possible to tune the formation of protein soluble assemblies and insoluble aggregates, as well as to disaggregate preformed aggregates. In particular, at a critical concentration of betaine between 5 and 7.5 mM, the protein precipitated into macroscopic prefibrillar structures, rich in intermolecular beta-sheets, which were found to bind thioflavine T and to be inaccessible to protease. Instead, at higher betaine concentration (10-20 mM) the misfolded protein lost its fluorescence, but formed soluble assemblies with hydrodynamic radius of about 16 nm. These structures displayed a reduced propensity to further aggregate under thermal treatment. In addition, betaine at this high concentration was also found to disrupt large preformed aggregates, obtained under different conditions, into protein soluble assemblies. It is the first time that a disaggregation process has been described for a chemical chaperone. A mechanism for the betaine concentration-d</w:instrText>
            </w:r>
            <w:r w:rsidR="00394DBB" w:rsidRPr="007F0FF0">
              <w:rPr>
                <w:sz w:val="20"/>
                <w:szCs w:val="20"/>
                <w:lang w:val="it-IT"/>
              </w:rPr>
              <w:instrText>ependent effect on protein misfolding, aggregation, and disaggregation is proposed and its possible physiological implications are discussed.", "author" : [ { "dropping-particle" : "", "family" : "Natalello", "given" : "A", "non-dropping-particle" : "", "parse-names" : false, "suffix" : "" }, { "dropping-particle" : "", "family" : "Liu", "given" : "J", "non-dropping-particle" : "", "parse-names" : false, "suffix" : "" }, { "dropping-particle" : "", "family" : "Ami", "given" : "D", "non-dropping-particle" : "", "parse-names" : false, "suffix" : "" }, { "dropping-particle" : "", "family" : "Doglia", "given" : "S M", "non-dropping-particle" : "", "parse-names" : false, "suffix" : "" }, { "dropping-particle" : "", "family" : "Marco", "given" : "A", "non-dropping-particle" : "De", "parse-names" : false, "suffix" : "" } ], "container-title" : "Proteins", "id" : "ITEM-1", "issued" : { "date-parts" : [ [ "2009" ] ] }, "page" : "509-517", "title" : "The osmolyte betaine promotes protein misfolding and disruption of protein aggregates", "type" : "article-journal", "volume" : "75" }, "uris" : [ "http://www.mendeley.com/documents/?uuid=a7c46afe-dadc-4d58-ba20-b48926686c82" ] } ], "mendeley" : { "formattedCitation" : "(Natalello et al. 2009)", "plainTextFormattedCitation" : "(Natalello et al. 2009)", "previouslyFormattedCitation" : "(Natalello et al. 2009)" }, "properties" : { "noteIndex" : 0 }, "schema" : "https://github.com/citation-style-language/schema/raw/master/csl-citation.json" }</w:instrText>
            </w:r>
            <w:r w:rsidRPr="009D78ED">
              <w:rPr>
                <w:sz w:val="20"/>
                <w:szCs w:val="20"/>
              </w:rPr>
              <w:fldChar w:fldCharType="separate"/>
            </w:r>
            <w:r w:rsidRPr="007F0FF0">
              <w:rPr>
                <w:noProof/>
                <w:sz w:val="20"/>
                <w:szCs w:val="20"/>
                <w:lang w:val="it-IT"/>
              </w:rPr>
              <w:t>(Natalello et al. 2009)</w:t>
            </w:r>
            <w:r w:rsidRPr="009D78ED">
              <w:rPr>
                <w:sz w:val="20"/>
                <w:szCs w:val="20"/>
              </w:rPr>
              <w:fldChar w:fldCharType="end"/>
            </w:r>
          </w:p>
        </w:tc>
      </w:tr>
      <w:tr w:rsidR="00CD5BBB" w14:paraId="27BF0102" w14:textId="77777777" w:rsidTr="007A46CA">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7B0C985B" w14:textId="77777777" w:rsidR="00FD13D2" w:rsidRPr="007F0FF0" w:rsidRDefault="00394DBB" w:rsidP="009D78ED">
            <w:pPr>
              <w:spacing w:before="0"/>
              <w:rPr>
                <w:sz w:val="20"/>
                <w:szCs w:val="20"/>
                <w:lang w:val="it-IT"/>
              </w:rPr>
            </w:pPr>
            <w:r w:rsidRPr="007F0FF0">
              <w:rPr>
                <w:sz w:val="20"/>
                <w:szCs w:val="20"/>
                <w:lang w:val="it-IT"/>
              </w:rPr>
              <w:t>TMAO</w:t>
            </w:r>
          </w:p>
        </w:tc>
        <w:tc>
          <w:tcPr>
            <w:tcW w:w="1418" w:type="dxa"/>
            <w:shd w:val="clear" w:color="auto" w:fill="auto"/>
          </w:tcPr>
          <w:p w14:paraId="2D3DC4DC" w14:textId="77777777" w:rsidR="00FD13D2" w:rsidRPr="007F0FF0" w:rsidRDefault="00394DBB" w:rsidP="009D78ED">
            <w:pPr>
              <w:spacing w:before="0"/>
              <w:cnfStyle w:val="000000000000" w:firstRow="0" w:lastRow="0" w:firstColumn="0" w:lastColumn="0" w:oddVBand="0" w:evenVBand="0" w:oddHBand="0" w:evenHBand="0" w:firstRowFirstColumn="0" w:firstRowLastColumn="0" w:lastRowFirstColumn="0" w:lastRowLastColumn="0"/>
              <w:rPr>
                <w:sz w:val="20"/>
                <w:szCs w:val="20"/>
                <w:lang w:val="it-IT"/>
              </w:rPr>
            </w:pPr>
            <w:r w:rsidRPr="007F0FF0">
              <w:rPr>
                <w:sz w:val="20"/>
                <w:szCs w:val="20"/>
                <w:lang w:val="it-IT"/>
              </w:rPr>
              <w:t>Lysozyme</w:t>
            </w:r>
          </w:p>
        </w:tc>
        <w:tc>
          <w:tcPr>
            <w:tcW w:w="1134" w:type="dxa"/>
            <w:shd w:val="clear" w:color="auto" w:fill="auto"/>
          </w:tcPr>
          <w:p w14:paraId="35B5F1AE" w14:textId="77777777" w:rsidR="00FD13D2" w:rsidRPr="007F0FF0" w:rsidRDefault="00394DBB" w:rsidP="009D78ED">
            <w:pPr>
              <w:spacing w:before="0"/>
              <w:cnfStyle w:val="000000000000" w:firstRow="0" w:lastRow="0" w:firstColumn="0" w:lastColumn="0" w:oddVBand="0" w:evenVBand="0" w:oddHBand="0" w:evenHBand="0" w:firstRowFirstColumn="0" w:firstRowLastColumn="0" w:lastRowFirstColumn="0" w:lastRowLastColumn="0"/>
              <w:rPr>
                <w:sz w:val="20"/>
                <w:szCs w:val="20"/>
                <w:lang w:val="it-IT"/>
              </w:rPr>
            </w:pPr>
            <w:r w:rsidRPr="007F0FF0">
              <w:rPr>
                <w:i/>
                <w:sz w:val="20"/>
                <w:szCs w:val="20"/>
                <w:lang w:val="it-IT"/>
              </w:rPr>
              <w:t>T</w:t>
            </w:r>
            <w:r w:rsidRPr="007F0FF0">
              <w:rPr>
                <w:sz w:val="20"/>
                <w:szCs w:val="20"/>
                <w:vertAlign w:val="subscript"/>
                <w:lang w:val="it-IT"/>
              </w:rPr>
              <w:t>m</w:t>
            </w:r>
          </w:p>
        </w:tc>
        <w:tc>
          <w:tcPr>
            <w:tcW w:w="1701" w:type="dxa"/>
            <w:shd w:val="clear" w:color="auto" w:fill="auto"/>
          </w:tcPr>
          <w:p w14:paraId="20057E2C" w14:textId="77777777" w:rsidR="00FD13D2" w:rsidRPr="007F0FF0" w:rsidRDefault="00394DBB" w:rsidP="009D78ED">
            <w:pPr>
              <w:spacing w:before="0"/>
              <w:cnfStyle w:val="000000000000" w:firstRow="0" w:lastRow="0" w:firstColumn="0" w:lastColumn="0" w:oddVBand="0" w:evenVBand="0" w:oddHBand="0" w:evenHBand="0" w:firstRowFirstColumn="0" w:firstRowLastColumn="0" w:lastRowFirstColumn="0" w:lastRowLastColumn="0"/>
              <w:rPr>
                <w:sz w:val="20"/>
                <w:szCs w:val="20"/>
                <w:lang w:val="it-IT"/>
              </w:rPr>
            </w:pPr>
            <w:r w:rsidRPr="007F0FF0">
              <w:rPr>
                <w:sz w:val="20"/>
                <w:szCs w:val="20"/>
                <w:lang w:val="it-IT"/>
              </w:rPr>
              <w:t>Low pH (below pKa</w:t>
            </w:r>
            <w:r w:rsidR="00B80E18" w:rsidRPr="007F0FF0">
              <w:rPr>
                <w:sz w:val="20"/>
                <w:szCs w:val="20"/>
                <w:lang w:val="it-IT"/>
              </w:rPr>
              <w:t xml:space="preserve"> of 4.7</w:t>
            </w:r>
            <w:r w:rsidRPr="007F0FF0">
              <w:rPr>
                <w:sz w:val="20"/>
                <w:szCs w:val="20"/>
                <w:lang w:val="it-IT"/>
              </w:rPr>
              <w:t>)</w:t>
            </w:r>
          </w:p>
        </w:tc>
        <w:tc>
          <w:tcPr>
            <w:tcW w:w="1804" w:type="dxa"/>
            <w:shd w:val="clear" w:color="auto" w:fill="auto"/>
          </w:tcPr>
          <w:p w14:paraId="0DC62F49" w14:textId="77777777" w:rsidR="00FD13D2" w:rsidRPr="007F0FF0" w:rsidRDefault="00394DBB" w:rsidP="009D78ED">
            <w:pPr>
              <w:spacing w:before="0"/>
              <w:cnfStyle w:val="000000000000" w:firstRow="0" w:lastRow="0" w:firstColumn="0" w:lastColumn="0" w:oddVBand="0" w:evenVBand="0" w:oddHBand="0" w:evenHBand="0" w:firstRowFirstColumn="0" w:firstRowLastColumn="0" w:lastRowFirstColumn="0" w:lastRowLastColumn="0"/>
              <w:rPr>
                <w:sz w:val="20"/>
                <w:szCs w:val="20"/>
                <w:lang w:val="it-IT"/>
              </w:rPr>
            </w:pPr>
            <w:r w:rsidRPr="009D78ED">
              <w:rPr>
                <w:sz w:val="20"/>
                <w:szCs w:val="20"/>
              </w:rPr>
              <w:t>Δ</w:t>
            </w:r>
            <w:r w:rsidRPr="007F0FF0">
              <w:rPr>
                <w:i/>
                <w:sz w:val="20"/>
                <w:szCs w:val="20"/>
                <w:lang w:val="it-IT"/>
              </w:rPr>
              <w:t>T</w:t>
            </w:r>
            <w:r w:rsidRPr="007F0FF0">
              <w:rPr>
                <w:sz w:val="20"/>
                <w:szCs w:val="20"/>
                <w:vertAlign w:val="subscript"/>
                <w:lang w:val="it-IT"/>
              </w:rPr>
              <w:t xml:space="preserve">m </w:t>
            </w:r>
            <w:r w:rsidRPr="007F0FF0">
              <w:rPr>
                <w:sz w:val="20"/>
                <w:szCs w:val="20"/>
                <w:lang w:val="it-IT"/>
              </w:rPr>
              <w:t>of -5.4 °C at 1 M pH 2.5</w:t>
            </w:r>
          </w:p>
        </w:tc>
        <w:tc>
          <w:tcPr>
            <w:tcW w:w="1421" w:type="dxa"/>
            <w:shd w:val="clear" w:color="auto" w:fill="auto"/>
          </w:tcPr>
          <w:p w14:paraId="0710BA12" w14:textId="77777777" w:rsidR="00FD13D2" w:rsidRPr="009D78ED" w:rsidRDefault="00394DBB" w:rsidP="009D78ED">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fldChar w:fldCharType="begin" w:fldLock="1"/>
            </w:r>
            <w:r w:rsidRPr="007F0FF0">
              <w:rPr>
                <w:sz w:val="20"/>
                <w:szCs w:val="20"/>
                <w:lang w:val="it-IT"/>
              </w:rPr>
              <w:instrText>ADDIN CSL_CITATION { "citationItems" : [ { "id" : "ITE</w:instrText>
            </w:r>
            <w:r w:rsidRPr="009D78ED">
              <w:rPr>
                <w:sz w:val="20"/>
                <w:szCs w:val="20"/>
              </w:rPr>
              <w:instrText>M-1", "itemData" : { "DOI" : "10.1074/jbc.M410716200", "ISSN" : "0021-9258", "PMID" : "15653673", "abstract" : "Earlier studies have reported that trimethylamine N-oxide (TMAO), a naturally occurring osmolyte, is a universal stabilizer of proteins because it folds unstructured proteins and counteracts the deleterious effects of urea and salts on the structure and function of proteins. This conclusion has been reached from the studies of the effect of TMAO on proteins in the pH range 6.0-8.0. In this pH range TMAO is almost neutral (zwitterionic form), for it has a pK(a) of 4.66 +/- 0.10. We have asked the question of whether the effect of TMAO on protein stability is pH-dependent. To answer this question we have carried out thermal denaturation studies of lysozyme, ribonuclease-A, and apo-alpha-lactalbumin in the presence of various TMAO concentrations at different pH values above and below the pK(a) of TMAO. The main conclusion of this study is that near room temperature TMAO destabilizes proteins at pH values below its pK(a), whereas it stabilizes proteins at pH values above its pK(a). This conclusion was reached by determining the T(m) (midpoint of denaturation), delta H(m) (denaturational enthalpy change at T(m)), delta C(p) (constant pressure heat capacity change), and delta G(D) degrees (denaturational Gibbs energy change at 25 degrees C) of proteins in the presence of different TMAO concentrations. Other conclusions of this study are that T(m) and delta G(D) degrees depend on TMAO concentration at each pH value and that delta H(m) and the delta C(p) are not significantly changed in presence of TMAO.", "author" : [ { "dropping-particle" : "", "family" : "Singh", "given" : "R", "non-dropping-particle" : "", "parse-names" : false, "suffix" : "" }, { "dropping-particle" : "", "family" : "Haque", "given" : "I", "non-dropping-particle" : "", "parse-names" : false, "suffix" : "" }, { "dropping-particle" : "", "family" : "Ahmad", "given" : "F", "non-dropping-particle" : "", "parse-names" : false, "suffix" : "" } ], "container-title" : "Journal of Biological Chemistry", "id" : "ITEM-1", "issued" : { "date-parts" : [ [ "2005", "3", "25" ] ] }, "page" : "11035-11042", "title" : "Counteracting osmolyte trimethylamine N-oxide destabilizes proteins at pH below its pKa. Measurements of thermodynamic parameters of proteins in the presence and absence of trimethylamine N-oxide", "type" : "article-journal", "volume" : "280" }, "uris" : [ "http://www.mendeley.com/documents/?uuid=b89f8b32-bf3c-4027-8c76-46c059ba9fef" ] } ], "mendeley" : { "formattedCitation" : "(Singh et al. 2005)", "plainTextFormattedCitation" : "(Singh et al. 2005)", "previouslyFormattedCitation" : "(Singh et al. 2005)" }, "properties" : { "noteIndex" : 0 }, "schema" : "https://github.com/citation-style-language/schema/raw/master/csl-citation.json" }</w:instrText>
            </w:r>
            <w:r w:rsidRPr="009D78ED">
              <w:rPr>
                <w:sz w:val="20"/>
                <w:szCs w:val="20"/>
              </w:rPr>
              <w:fldChar w:fldCharType="separate"/>
            </w:r>
            <w:r w:rsidRPr="009D78ED">
              <w:rPr>
                <w:noProof/>
                <w:sz w:val="20"/>
                <w:szCs w:val="20"/>
              </w:rPr>
              <w:t>(Singh et al. 2005)</w:t>
            </w:r>
            <w:r w:rsidRPr="009D78ED">
              <w:rPr>
                <w:sz w:val="20"/>
                <w:szCs w:val="20"/>
              </w:rPr>
              <w:fldChar w:fldCharType="end"/>
            </w:r>
          </w:p>
        </w:tc>
      </w:tr>
      <w:tr w:rsidR="00CD5BBB" w14:paraId="4EC33A8C" w14:textId="77777777" w:rsidTr="007A4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6596739B" w14:textId="77777777" w:rsidR="00FD13D2" w:rsidRPr="009D78ED" w:rsidRDefault="00394DBB" w:rsidP="009D78ED">
            <w:pPr>
              <w:spacing w:before="0"/>
              <w:rPr>
                <w:sz w:val="20"/>
                <w:szCs w:val="20"/>
              </w:rPr>
            </w:pPr>
            <w:r w:rsidRPr="009D78ED">
              <w:rPr>
                <w:sz w:val="20"/>
                <w:szCs w:val="20"/>
              </w:rPr>
              <w:t>TMAO</w:t>
            </w:r>
          </w:p>
        </w:tc>
        <w:tc>
          <w:tcPr>
            <w:tcW w:w="1418" w:type="dxa"/>
            <w:shd w:val="clear" w:color="auto" w:fill="auto"/>
          </w:tcPr>
          <w:p w14:paraId="57DDDEE5" w14:textId="77777777" w:rsidR="00FD13D2" w:rsidRPr="009D78ED" w:rsidRDefault="00394DBB" w:rsidP="009D78ED">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RNase A</w:t>
            </w:r>
          </w:p>
        </w:tc>
        <w:tc>
          <w:tcPr>
            <w:tcW w:w="1134" w:type="dxa"/>
            <w:shd w:val="clear" w:color="auto" w:fill="auto"/>
          </w:tcPr>
          <w:p w14:paraId="75BCCC02" w14:textId="77777777" w:rsidR="00FD13D2" w:rsidRPr="009D78ED" w:rsidRDefault="00394DBB" w:rsidP="009D78ED">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9D78ED">
              <w:rPr>
                <w:i/>
                <w:sz w:val="20"/>
                <w:szCs w:val="20"/>
              </w:rPr>
              <w:t>T</w:t>
            </w:r>
            <w:r w:rsidRPr="009D78ED">
              <w:rPr>
                <w:sz w:val="20"/>
                <w:szCs w:val="20"/>
                <w:vertAlign w:val="subscript"/>
              </w:rPr>
              <w:t>m</w:t>
            </w:r>
          </w:p>
        </w:tc>
        <w:tc>
          <w:tcPr>
            <w:tcW w:w="1701" w:type="dxa"/>
            <w:shd w:val="clear" w:color="auto" w:fill="auto"/>
          </w:tcPr>
          <w:p w14:paraId="66EB5A3E" w14:textId="77777777" w:rsidR="00FD13D2" w:rsidRPr="009D78ED" w:rsidRDefault="00394DBB" w:rsidP="009D78ED">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Low pH (below pKa</w:t>
            </w:r>
            <w:r w:rsidR="00B80E18" w:rsidRPr="009D78ED">
              <w:rPr>
                <w:sz w:val="20"/>
                <w:szCs w:val="20"/>
              </w:rPr>
              <w:t xml:space="preserve"> of 4.7</w:t>
            </w:r>
            <w:r w:rsidRPr="009D78ED">
              <w:rPr>
                <w:sz w:val="20"/>
                <w:szCs w:val="20"/>
              </w:rPr>
              <w:t>)</w:t>
            </w:r>
          </w:p>
        </w:tc>
        <w:tc>
          <w:tcPr>
            <w:tcW w:w="1804" w:type="dxa"/>
            <w:shd w:val="clear" w:color="auto" w:fill="auto"/>
          </w:tcPr>
          <w:p w14:paraId="6DF1DD8E" w14:textId="77777777" w:rsidR="00FD13D2" w:rsidRPr="009D78ED" w:rsidRDefault="00394DBB" w:rsidP="009D78ED">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Δ</w:t>
            </w:r>
            <w:r w:rsidRPr="009D78ED">
              <w:rPr>
                <w:i/>
                <w:sz w:val="20"/>
                <w:szCs w:val="20"/>
              </w:rPr>
              <w:t>T</w:t>
            </w:r>
            <w:r w:rsidRPr="009D78ED">
              <w:rPr>
                <w:sz w:val="20"/>
                <w:szCs w:val="20"/>
                <w:vertAlign w:val="subscript"/>
              </w:rPr>
              <w:t xml:space="preserve">m </w:t>
            </w:r>
            <w:r w:rsidRPr="009D78ED">
              <w:rPr>
                <w:sz w:val="20"/>
                <w:szCs w:val="20"/>
              </w:rPr>
              <w:t>of -4 °C at 1 M pH 2</w:t>
            </w:r>
          </w:p>
        </w:tc>
        <w:tc>
          <w:tcPr>
            <w:tcW w:w="1421" w:type="dxa"/>
            <w:shd w:val="clear" w:color="auto" w:fill="auto"/>
          </w:tcPr>
          <w:p w14:paraId="72CD730A" w14:textId="77777777" w:rsidR="00FD13D2" w:rsidRPr="009D78ED" w:rsidRDefault="00394DBB" w:rsidP="009D78ED">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fldChar w:fldCharType="begin" w:fldLock="1"/>
            </w:r>
            <w:r w:rsidRPr="009D78ED">
              <w:rPr>
                <w:sz w:val="20"/>
                <w:szCs w:val="20"/>
              </w:rPr>
              <w:instrText>ADDIN CSL_CITATION { "citationItems" : [ { "id" : "ITEM-1", "itemData" : { "DOI" : "10.1074/jbc.M410716200", "ISSN" : "0021-9258", "PMID" : "15653673", "abstract" : "Earlier studies have reported that trimethylamine N-oxide (TMAO), a naturally occurring osmolyte, is a universal stabilizer of proteins because it folds unstructured proteins and counteracts the deleterious effects of urea and salts on the structure and function of proteins. This conclusion has been reached from the studies of the effect of TMAO on proteins in the pH range 6.0-8.0. In this pH range TMAO is almost neutral (zwitterionic form), for it has a pK(a) of 4.66 +/- 0.10. We have asked the question of whether the effect of TMAO on protein stability is pH-dependent. To answer this question we have carried out thermal denaturation studies of lysozyme, ribonuclease-A, and apo-alpha-lactalbumin in the presence of various TMAO concentrations at different pH values above and below the pK(a) of TMAO. The main conclusion of this study is that near room temperature TMAO destabilizes proteins at pH values below its pK(a), whereas it stabilizes proteins at pH values above its pK(a). This conclusion was reached by determining the T(m) (midpoint of denaturation), delta H(m) (denaturational enthalpy change at T(m)), delta C(p) (constant pressure heat capacity change), and delta G(D) degrees (denaturational Gibbs energy change at 25 degrees C) of proteins in the presence of different TMAO concentrations. Other conclusions of this study are that T(m) and delta G(D) degrees depend on TMAO concentration at each pH value and that delta H(m) and the delta C(p) are not significantly changed in presence of TMAO.", "author" : [ { "dropping-particle" : "", "family" : "Singh", "given" : "R", "non-dropping-particle" : "", "parse-names" : false, "suffix" : "" }, { "dropping-particle" : "", "family" : "Haque", "given" : "I", "non-dropping-particle" : "", "parse-names" : false, "suffix" : "" }, { "dropping-particle" : "", "family" : "Ahmad", "given" : "F", "non-dropping-particle" : "", "parse-names" : false, "suffix" : "" } ], "container-title" : "Journal of Biological Chemistry", "id" : "ITEM-1", "issued" : { "date-parts" : [ [ "2005", "3", "25" ] ] }, "page" : "11035-11042", "title" : "Counteracting osmolyte trimethylamine N-oxide destabilizes proteins at pH below its pKa. Measurements of thermodynamic parameters of proteins in the presence and absence of trimethylamine N-oxide", "type" : "article-journal", "volume" : "280" }, "uris" : [ "http://www.mendeley.com/documents/?uuid=b89f8b32-bf3c-4027-8c76-46c059ba9fef" ] } ], "mendeley" : { "formattedCitation" : "(Singh et al. 2005)", "plainTextFormattedCitation" : "(Singh et al. 2005)", "previouslyFormattedCitation" : "(Singh et al. 2005)" }, "properties" : { "noteIndex" : 0 }, "schema" : "https://github.com/citation-style-language/schema/raw/master/csl-citation.json" }</w:instrText>
            </w:r>
            <w:r w:rsidRPr="009D78ED">
              <w:rPr>
                <w:sz w:val="20"/>
                <w:szCs w:val="20"/>
              </w:rPr>
              <w:fldChar w:fldCharType="separate"/>
            </w:r>
            <w:r w:rsidRPr="009D78ED">
              <w:rPr>
                <w:noProof/>
                <w:sz w:val="20"/>
                <w:szCs w:val="20"/>
              </w:rPr>
              <w:t>(Singh et al. 2005)</w:t>
            </w:r>
            <w:r w:rsidRPr="009D78ED">
              <w:rPr>
                <w:sz w:val="20"/>
                <w:szCs w:val="20"/>
              </w:rPr>
              <w:fldChar w:fldCharType="end"/>
            </w:r>
          </w:p>
        </w:tc>
      </w:tr>
      <w:tr w:rsidR="00394DBB" w14:paraId="28DAFFBA" w14:textId="77777777" w:rsidTr="007A46CA">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32A9E6B3" w14:textId="77777777" w:rsidR="00394DBB" w:rsidRPr="009D78ED" w:rsidRDefault="00394DBB" w:rsidP="009D78ED">
            <w:pPr>
              <w:spacing w:before="0"/>
              <w:rPr>
                <w:sz w:val="20"/>
                <w:szCs w:val="20"/>
              </w:rPr>
            </w:pPr>
            <w:r w:rsidRPr="009D78ED">
              <w:rPr>
                <w:sz w:val="20"/>
                <w:szCs w:val="20"/>
              </w:rPr>
              <w:t>TMAO</w:t>
            </w:r>
          </w:p>
        </w:tc>
        <w:tc>
          <w:tcPr>
            <w:tcW w:w="1418" w:type="dxa"/>
            <w:shd w:val="clear" w:color="auto" w:fill="auto"/>
          </w:tcPr>
          <w:p w14:paraId="3B0432B3" w14:textId="77777777" w:rsidR="00394DBB" w:rsidRPr="009D78ED" w:rsidRDefault="00394DBB" w:rsidP="009D78ED">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α-lactalbumin</w:t>
            </w:r>
          </w:p>
        </w:tc>
        <w:tc>
          <w:tcPr>
            <w:tcW w:w="1134" w:type="dxa"/>
            <w:shd w:val="clear" w:color="auto" w:fill="auto"/>
          </w:tcPr>
          <w:p w14:paraId="2B19D66B" w14:textId="77777777" w:rsidR="00394DBB" w:rsidRPr="009D78ED" w:rsidRDefault="00394DBB" w:rsidP="009D78ED">
            <w:pPr>
              <w:spacing w:before="0"/>
              <w:cnfStyle w:val="000000000000" w:firstRow="0" w:lastRow="0" w:firstColumn="0" w:lastColumn="0" w:oddVBand="0" w:evenVBand="0" w:oddHBand="0" w:evenHBand="0" w:firstRowFirstColumn="0" w:firstRowLastColumn="0" w:lastRowFirstColumn="0" w:lastRowLastColumn="0"/>
              <w:rPr>
                <w:i/>
                <w:sz w:val="20"/>
                <w:szCs w:val="20"/>
              </w:rPr>
            </w:pPr>
            <w:r w:rsidRPr="009D78ED">
              <w:rPr>
                <w:i/>
                <w:sz w:val="20"/>
                <w:szCs w:val="20"/>
              </w:rPr>
              <w:t>T</w:t>
            </w:r>
            <w:r w:rsidRPr="009D78ED">
              <w:rPr>
                <w:sz w:val="20"/>
                <w:szCs w:val="20"/>
                <w:vertAlign w:val="subscript"/>
              </w:rPr>
              <w:t>m</w:t>
            </w:r>
          </w:p>
        </w:tc>
        <w:tc>
          <w:tcPr>
            <w:tcW w:w="1701" w:type="dxa"/>
            <w:shd w:val="clear" w:color="auto" w:fill="auto"/>
          </w:tcPr>
          <w:p w14:paraId="19439519" w14:textId="77777777" w:rsidR="00394DBB" w:rsidRPr="009D78ED" w:rsidRDefault="00394DBB" w:rsidP="009D78ED">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Low pH (below pKa</w:t>
            </w:r>
            <w:r w:rsidR="00B80E18" w:rsidRPr="009D78ED">
              <w:rPr>
                <w:sz w:val="20"/>
                <w:szCs w:val="20"/>
              </w:rPr>
              <w:t xml:space="preserve"> of 4.7</w:t>
            </w:r>
            <w:r w:rsidRPr="009D78ED">
              <w:rPr>
                <w:sz w:val="20"/>
                <w:szCs w:val="20"/>
              </w:rPr>
              <w:t>)</w:t>
            </w:r>
          </w:p>
        </w:tc>
        <w:tc>
          <w:tcPr>
            <w:tcW w:w="1804" w:type="dxa"/>
            <w:shd w:val="clear" w:color="auto" w:fill="auto"/>
          </w:tcPr>
          <w:p w14:paraId="50BBABD5" w14:textId="77777777" w:rsidR="00394DBB" w:rsidRPr="009D78ED" w:rsidRDefault="00394DBB" w:rsidP="009D78ED">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Δ</w:t>
            </w:r>
            <w:r w:rsidRPr="009D78ED">
              <w:rPr>
                <w:i/>
                <w:sz w:val="20"/>
                <w:szCs w:val="20"/>
              </w:rPr>
              <w:t>T</w:t>
            </w:r>
            <w:r w:rsidRPr="009D78ED">
              <w:rPr>
                <w:sz w:val="20"/>
                <w:szCs w:val="20"/>
                <w:vertAlign w:val="subscript"/>
              </w:rPr>
              <w:t xml:space="preserve">m </w:t>
            </w:r>
            <w:r w:rsidRPr="009D78ED">
              <w:rPr>
                <w:sz w:val="20"/>
                <w:szCs w:val="20"/>
              </w:rPr>
              <w:t>of -5 °C at 1 M pH 4</w:t>
            </w:r>
          </w:p>
        </w:tc>
        <w:tc>
          <w:tcPr>
            <w:tcW w:w="1421" w:type="dxa"/>
            <w:shd w:val="clear" w:color="auto" w:fill="auto"/>
          </w:tcPr>
          <w:p w14:paraId="4ABBFCB8" w14:textId="77777777" w:rsidR="00394DBB" w:rsidRPr="009D78ED" w:rsidRDefault="00394DBB" w:rsidP="009D78ED">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fldChar w:fldCharType="begin" w:fldLock="1"/>
            </w:r>
            <w:r w:rsidR="00631395" w:rsidRPr="009D78ED">
              <w:rPr>
                <w:sz w:val="20"/>
                <w:szCs w:val="20"/>
              </w:rPr>
              <w:instrText>ADDIN CSL_CITATION { "citationItems" : [ { "id" : "ITEM-1", "itemData" : { "DOI" : "10.1074/jbc.M410716200", "ISSN" : "0021-9258", "PMID" : "15653673", "abstract" : "Earlier studies have reported that trimethylamine N-oxide (TMAO), a naturally occurring osmolyte, is a universal stabilizer of proteins because it folds unstructured proteins and counteracts the deleterious effects of urea and salts on the structure and function of proteins. This conclusion has been reached from the studies of the effect of TMAO on proteins in the pH range 6.0-8.0. In this pH range TMAO is almost neutral (zwitterionic form), for it has a pK(a) of 4.66 +/- 0.10. We have asked the question of whether the effect of TMAO on protein stability is pH-dependent. To answer this question we have carried out thermal denaturation studies of lysozyme, ribonuclease-A, and apo-alpha-lactalbumin in the presence of various TMAO concentrations at different pH values above and below the pK(a) of TMAO. The main conclusion of this study is that near room temperature TMAO destabilizes proteins at pH values below its pK(a), whereas it stabilizes proteins at pH values above its pK(a). This conclusion was reached by determining the T(m) (midpoint of denaturation), delta H(m) (denaturational enthalpy change at T(m)), delta C(p) (constant pressure heat capacity change), and delta G(D) degrees (denaturational Gibbs energy change at 25 degrees C) of proteins in the presence of different TMAO concentrations. Other conclusions of this study are that T(m) and delta G(D) degrees depend on TMAO concentration at each pH value and that delta H(m) and the delta C(p) are not significantly changed in presence of TMAO.", "author" : [ { "dropping-particle" : "", "family" : "Singh", "given" : "R", "non-dropping-particle" : "", "parse-names" : false, "suffix" : "" }, { "dropping-particle" : "", "family" : "Haque", "given" : "I", "non-dropping-particle" : "", "parse-names" : false, "suffix" : "" }, { "dropping-particle" : "", "family" : "Ahmad", "given" : "F", "non-dropping-particle" : "", "parse-names" : false, "suffix" : "" } ], "container-title" : "Journal of Biological Chemistry", "id" : "ITEM-1", "issued" : { "date-parts" : [ [ "2005", "3", "25" ] ] }, "page" : "11035-11042", "title" : "Counteracting osmolyte trimethylamine N-oxide destabilizes proteins at pH below its pKa. Measurements of thermodynamic parameters of proteins in the presence and absence of trimethylamine N-oxide", "type" : "article-journal", "volume" : "280" }, "uris" : [ "http://www.mendeley.com/documents/?uuid=b89f8b32-bf3c-4027-8c76-46c059ba9fef" ] } ], "mendeley" : { "formattedCitation" : "(Singh et al. 2005)", "plainTextFormattedCitation" : "(Singh et al. 2005)", "previouslyFormattedCitation" : "(Singh et al. 2005)" }, "properties" : { "noteIndex" : 0 }, "schema" : "https://github.com/citation-style-language/schema/raw/master/csl-citation.json" }</w:instrText>
            </w:r>
            <w:r w:rsidRPr="009D78ED">
              <w:rPr>
                <w:sz w:val="20"/>
                <w:szCs w:val="20"/>
              </w:rPr>
              <w:fldChar w:fldCharType="separate"/>
            </w:r>
            <w:r w:rsidRPr="009D78ED">
              <w:rPr>
                <w:noProof/>
                <w:sz w:val="20"/>
                <w:szCs w:val="20"/>
              </w:rPr>
              <w:t>(Singh et al. 2005)</w:t>
            </w:r>
            <w:r w:rsidRPr="009D78ED">
              <w:rPr>
                <w:sz w:val="20"/>
                <w:szCs w:val="20"/>
              </w:rPr>
              <w:fldChar w:fldCharType="end"/>
            </w:r>
          </w:p>
        </w:tc>
      </w:tr>
      <w:tr w:rsidR="00B80E18" w14:paraId="3B86EAE7" w14:textId="77777777" w:rsidTr="007A4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74915716" w14:textId="77777777" w:rsidR="00B80E18" w:rsidRPr="009D78ED" w:rsidRDefault="00B80E18" w:rsidP="009D78ED">
            <w:pPr>
              <w:spacing w:before="0"/>
              <w:rPr>
                <w:sz w:val="20"/>
                <w:szCs w:val="20"/>
              </w:rPr>
            </w:pPr>
            <w:r w:rsidRPr="009D78ED">
              <w:rPr>
                <w:sz w:val="20"/>
                <w:szCs w:val="20"/>
              </w:rPr>
              <w:t>TMAO</w:t>
            </w:r>
          </w:p>
        </w:tc>
        <w:tc>
          <w:tcPr>
            <w:tcW w:w="1418" w:type="dxa"/>
            <w:shd w:val="clear" w:color="auto" w:fill="auto"/>
          </w:tcPr>
          <w:p w14:paraId="06C6E301" w14:textId="77777777" w:rsidR="00B80E18" w:rsidRPr="009D78ED" w:rsidRDefault="00B80E18" w:rsidP="009D78ED">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Prion protein</w:t>
            </w:r>
          </w:p>
        </w:tc>
        <w:tc>
          <w:tcPr>
            <w:tcW w:w="1134" w:type="dxa"/>
            <w:shd w:val="clear" w:color="auto" w:fill="auto"/>
          </w:tcPr>
          <w:p w14:paraId="16FF4228" w14:textId="77777777" w:rsidR="00B80E18" w:rsidRPr="009D78ED" w:rsidRDefault="00B80E18" w:rsidP="009D78ED">
            <w:pPr>
              <w:spacing w:before="0"/>
              <w:cnfStyle w:val="000000100000" w:firstRow="0" w:lastRow="0" w:firstColumn="0" w:lastColumn="0" w:oddVBand="0" w:evenVBand="0" w:oddHBand="1" w:evenHBand="0" w:firstRowFirstColumn="0" w:firstRowLastColumn="0" w:lastRowFirstColumn="0" w:lastRowLastColumn="0"/>
              <w:rPr>
                <w:i/>
                <w:sz w:val="20"/>
                <w:szCs w:val="20"/>
              </w:rPr>
            </w:pPr>
            <w:r w:rsidRPr="009D78ED">
              <w:rPr>
                <w:i/>
                <w:sz w:val="20"/>
                <w:szCs w:val="20"/>
              </w:rPr>
              <w:t>T</w:t>
            </w:r>
            <w:r w:rsidRPr="009D78ED">
              <w:rPr>
                <w:sz w:val="20"/>
                <w:szCs w:val="20"/>
                <w:vertAlign w:val="subscript"/>
              </w:rPr>
              <w:t>m</w:t>
            </w:r>
          </w:p>
        </w:tc>
        <w:tc>
          <w:tcPr>
            <w:tcW w:w="1701" w:type="dxa"/>
            <w:shd w:val="clear" w:color="auto" w:fill="auto"/>
          </w:tcPr>
          <w:p w14:paraId="5999B320" w14:textId="77777777" w:rsidR="00B80E18" w:rsidRPr="009D78ED" w:rsidRDefault="00B80E18" w:rsidP="009D78ED">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Low pH (below pKa of 4.7)</w:t>
            </w:r>
          </w:p>
        </w:tc>
        <w:tc>
          <w:tcPr>
            <w:tcW w:w="1804" w:type="dxa"/>
            <w:shd w:val="clear" w:color="auto" w:fill="auto"/>
          </w:tcPr>
          <w:p w14:paraId="7879AE1C" w14:textId="77777777" w:rsidR="00B80E18" w:rsidRPr="009D78ED" w:rsidRDefault="00B80E18" w:rsidP="009D78ED">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Δ</w:t>
            </w:r>
            <w:r w:rsidRPr="009D78ED">
              <w:rPr>
                <w:i/>
                <w:sz w:val="20"/>
                <w:szCs w:val="20"/>
              </w:rPr>
              <w:t>T</w:t>
            </w:r>
            <w:r w:rsidRPr="009D78ED">
              <w:rPr>
                <w:sz w:val="20"/>
                <w:szCs w:val="20"/>
                <w:vertAlign w:val="subscript"/>
              </w:rPr>
              <w:t xml:space="preserve">m </w:t>
            </w:r>
            <w:r w:rsidRPr="009D78ED">
              <w:rPr>
                <w:sz w:val="20"/>
                <w:szCs w:val="20"/>
              </w:rPr>
              <w:t>of -7 °C at 0.1 M pH 4</w:t>
            </w:r>
          </w:p>
        </w:tc>
        <w:tc>
          <w:tcPr>
            <w:tcW w:w="1421" w:type="dxa"/>
            <w:shd w:val="clear" w:color="auto" w:fill="auto"/>
          </w:tcPr>
          <w:p w14:paraId="6F19600E" w14:textId="77777777" w:rsidR="00B80E18" w:rsidRPr="009D78ED" w:rsidRDefault="00B80E18" w:rsidP="009D78ED">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fldChar w:fldCharType="begin" w:fldLock="1"/>
            </w:r>
            <w:r w:rsidR="007863C2" w:rsidRPr="009D78ED">
              <w:rPr>
                <w:sz w:val="20"/>
                <w:szCs w:val="20"/>
              </w:rPr>
              <w:instrText>ADDIN CSL_CITATION { "citationItems" : [ { "id" : "ITEM-1", "itemData" : { "DOI" : "10.1002/bip", "ISBN" : "1918-7033", "ISSN" : "07078552", "PMID" : "16807901", "author" : [ { "dropping-particle" : "", "family" : "Granata", "given" : "V", "non-dropping-particle" : "", "parse-names" : false, "suffix" : "" }, { "dropping-particle" : "", "family" : "Palladine", "given" : "P", "non-dropping-particle" : "", "parse-names" : false, "suffix" : "" }, { "dropping-particle" : "", "family" : "Tizzano", "given" : "B", "non-dropping-particle" : "", "parse-names" : false, "suffix" : "" }, { "dropping-particle" : "", "family" : "Negro", "given" : "A", "non-dropping-particle" : "", "parse-names" : false, "suffix" : "" }, { "dropping-particle" : "", "family" : "Berisio", "given" : "R", "non-dropping-particle" : "", "parse-names" : false, "suffix" : "" }, { "dropping-particle" : "", "family" : "Zagari", "given" : "A", "non-dropping-particle" : "", "parse-names" : false, "suffix" : "" } ], "container-title" : "Biopolymers", "id" : "ITEM-1", "issued" : { "date-parts" : [ [ "2006" ] ] }, "page" : "234-240", "title" : "The effect of the osmolyte trimethylamine N-oxide on the stability of the prion protein at low pH", "type" : "article-journal", "volume" : "82" }, "uris" : [ "http://www.mendeley.com/documents/?uuid=ab50bc89-7ee5-4ccf-983c-b4a7bdfd5a74" ] } ], "mendeley" : { "formattedCitation" : "(Granata et al. 2006)", "plainTextFormattedCitation" : "(Granata et al. 2006)", "previouslyFormattedCitation" : "(Granata et al. 2006)" }, "properties" : { "noteIndex" : 0 }, "schema" : "https://github.com/citation-style-language/schema/raw/master/csl-citation.json" }</w:instrText>
            </w:r>
            <w:r w:rsidRPr="009D78ED">
              <w:rPr>
                <w:sz w:val="20"/>
                <w:szCs w:val="20"/>
              </w:rPr>
              <w:fldChar w:fldCharType="separate"/>
            </w:r>
            <w:r w:rsidRPr="009D78ED">
              <w:rPr>
                <w:noProof/>
                <w:sz w:val="20"/>
                <w:szCs w:val="20"/>
              </w:rPr>
              <w:t>(Granata et al. 2006)</w:t>
            </w:r>
            <w:r w:rsidRPr="009D78ED">
              <w:rPr>
                <w:sz w:val="20"/>
                <w:szCs w:val="20"/>
              </w:rPr>
              <w:fldChar w:fldCharType="end"/>
            </w:r>
          </w:p>
        </w:tc>
      </w:tr>
    </w:tbl>
    <w:p w14:paraId="41EE7676" w14:textId="77777777" w:rsidR="00FD13D2" w:rsidRDefault="008778E9" w:rsidP="00C81DE2">
      <w:r>
        <w:t>All of the charged amino acids have been shown to destabilise proteins at least under certain conditions (</w:t>
      </w:r>
      <w:r>
        <w:fldChar w:fldCharType="begin"/>
      </w:r>
      <w:r>
        <w:instrText xml:space="preserve"> REF _Ref453339849 \h </w:instrText>
      </w:r>
      <w:r>
        <w:fldChar w:fldCharType="separate"/>
      </w:r>
      <w:r w:rsidR="00AA6926">
        <w:t xml:space="preserve">Table </w:t>
      </w:r>
      <w:r w:rsidR="00AA6926">
        <w:rPr>
          <w:noProof/>
        </w:rPr>
        <w:t>1</w:t>
      </w:r>
      <w:r w:rsidR="00AA6926">
        <w:noBreakHyphen/>
      </w:r>
      <w:r w:rsidR="00AA6926">
        <w:rPr>
          <w:noProof/>
        </w:rPr>
        <w:t>4</w:t>
      </w:r>
      <w:r>
        <w:fldChar w:fldCharType="end"/>
      </w:r>
      <w:r>
        <w:t xml:space="preserve">), although this is unsurprising as they are mostly not </w:t>
      </w:r>
      <w:r>
        <w:lastRenderedPageBreak/>
        <w:t>naturally present in cells as osmolytes (</w:t>
      </w:r>
      <w:r>
        <w:fldChar w:fldCharType="begin"/>
      </w:r>
      <w:r>
        <w:instrText xml:space="preserve"> REF _Ref454356534 \h </w:instrText>
      </w:r>
      <w:r>
        <w:fldChar w:fldCharType="separate"/>
      </w:r>
      <w:r w:rsidR="00AA6926">
        <w:t xml:space="preserve">Table </w:t>
      </w:r>
      <w:r w:rsidR="00AA6926">
        <w:rPr>
          <w:noProof/>
        </w:rPr>
        <w:t>1</w:t>
      </w:r>
      <w:r w:rsidR="00AA6926">
        <w:noBreakHyphen/>
      </w:r>
      <w:r w:rsidR="00AA6926">
        <w:rPr>
          <w:noProof/>
        </w:rPr>
        <w:t>5</w:t>
      </w:r>
      <w:r>
        <w:fldChar w:fldCharType="end"/>
      </w:r>
      <w:r>
        <w:t xml:space="preserve">). Interestingly glutamate is shown to destabilise IgG despite being used as an osmolyte, although the destabilisation recorded is very small </w:t>
      </w:r>
      <w:r>
        <w:fldChar w:fldCharType="begin" w:fldLock="1"/>
      </w:r>
      <w:r>
        <w:instrText>ADDIN CSL_CITATION { "citationItems" : [ { "id" : "ITEM-1", "itemData" : { "DOI" : "10.1002/jctb.2657", "ISSN" : "02682575", "author" : [ { "dropping-particle" : "", "family" : "Falconer", "given" : "R J", "non-dropping-particle" : "", "parse-names" : false, "suffix" : "" }, { "dropping-particle" : "", "family" : "Chan", "given" : "C", "non-dropping-particle" : "", "parse-names" : false, "suffix" : "" }, { "dropping-particle" : "", "family" : "Hughes", "given" : "K", "non-dropping-particle" : "", "parse-names" : false, "suffix" : "" }, { "dropping-particle" : "", "family" : "Munro", "given" : "T P", "non-dropping-particle" : "", "parse-names" : false, "suffix" : "" } ], "container-title" : "Journal of Chemical Technology &amp; Biotechnology", "id" : "ITEM-1", "issued" : { "date-parts" : [ [ "2011", "7", "7" ] ] }, "page" : "942-948", "title" : "Stabilization of a monoclonal antibody during purification and formulation by addition of basic amino acid excipients", "type" : "article-journal", "volume" : "86" }, "uris" : [ "http://www.mendeley.com/documents/?uuid=0fd7d4b0-b0a9-40ec-8c2a-8ec42fa3572d" ] } ], "mendeley" : { "formattedCitation" : "(Falconer et al. 2011)", "plainTextFormattedCitation" : "(Falconer et al. 2011)", "previouslyFormattedCitation" : "(Falconer et al. 2011)" }, "properties" : { "noteIndex" : 0 }, "schema" : "https://github.com/citation-style-language/schema/raw/master/csl-citation.json" }</w:instrText>
      </w:r>
      <w:r>
        <w:fldChar w:fldCharType="separate"/>
      </w:r>
      <w:r w:rsidRPr="008778E9">
        <w:rPr>
          <w:noProof/>
        </w:rPr>
        <w:t>(Falconer et al. 2011)</w:t>
      </w:r>
      <w:r>
        <w:fldChar w:fldCharType="end"/>
      </w:r>
      <w:r>
        <w:t>.</w:t>
      </w:r>
    </w:p>
    <w:p w14:paraId="74435ED6" w14:textId="4812CB4A" w:rsidR="008778E9" w:rsidRPr="008778E9" w:rsidRDefault="008778E9" w:rsidP="00C81DE2">
      <w:r>
        <w:t xml:space="preserve">The destabilisation of proteins by certain osmolytes at low pH and high concentration causes no issues to their use in cells, as physiological pH is maintained and osmolytes are generally only present at concentrations up to several millimolar </w:t>
      </w:r>
      <w:r>
        <w:fldChar w:fldCharType="begin" w:fldLock="1"/>
      </w:r>
      <w:r w:rsidR="00777DBE">
        <w:instrText>ADDIN CSL_CITATION { "citationItems" : [ { "id" : "ITEM-1", "itemData" : { "author" : [ { "dropping-particle" : "", "family" : "Singh", "given" : "L R", "non-dropping-particle" : "", "parse-names" : false, "suffix" : "" }, { "dropping-particle" : "", "family" : "Poddar", "given" : "N K", "non-dropping-particle" : "", "parse-names" : false, "suffix" : "" }, { "dropping-particle" : "", "family" : "Dar", "given" : "T A", "non-dropping-particle" : "", "parse-names" : false, "suffix" : "" }, { "dropping-particle" : "", "family" : "Rahman", "given" : "S", "non-dropping-particle" : "", "parse-names" : false, "suffix" : "" }, { "dropping-particle" : "", "family" : "Kumar", "given" : "R", "non-dropping-particle" : "", "parse-names" : false, "suffix" : "" }, { "dropping-particle" : "", "family" : "Ahmad", "given" : "F", "non-dropping-particle" : "", "parse-names" : false, "suffix" : "" } ], "container-title" : "Journal of the Iranian Chemical Society", "id" : "ITEM-1", "issued" : { "date-parts" : [ [ "2011" ] ] }, "page" : "1-23", "title" : "Forty years of research on osmolyte-induced protein folding and stability", "type" : "article-journal", "volume" : "8" }, "uris" : [ "http://www.mendeley.com/documents/?uuid=6450f387-33ad-4b1c-93f3-dfedb7b0e4dd" ] } ], "mendeley" : { "formattedCitation" : "(Singh, Poddar, Dar, Rahman, et al. 2011)", "plainTextFormattedCitation" : "(Singh, Poddar, Dar, Rahman, et al. 2011)", "previouslyFormattedCitation" : "(Singh, Poddar, Dar, Rahman, et al. 2011)" }, "properties" : { "noteIndex" : 0 }, "schema" : "https://github.com/citation-style-language/schema/raw/master/csl-citation.json" }</w:instrText>
      </w:r>
      <w:r>
        <w:fldChar w:fldCharType="separate"/>
      </w:r>
      <w:r w:rsidRPr="008778E9">
        <w:rPr>
          <w:noProof/>
        </w:rPr>
        <w:t>(Singh, Poddar, Dar, Rahman, et al. 2011)</w:t>
      </w:r>
      <w:r>
        <w:fldChar w:fldCharType="end"/>
      </w:r>
      <w:r w:rsidR="003A7477">
        <w:t>. However, their utility as excipients in biopharmaceutical formulations becomes more limited (see</w:t>
      </w:r>
      <w:commentRangeStart w:id="102"/>
      <w:r w:rsidR="003A7477">
        <w:t xml:space="preserve"> section</w:t>
      </w:r>
      <w:r w:rsidR="004A1680">
        <w:t xml:space="preserve"> 1.3.3.3</w:t>
      </w:r>
      <w:commentRangeEnd w:id="102"/>
      <w:r w:rsidR="004A1680">
        <w:rPr>
          <w:rStyle w:val="CommentReference"/>
        </w:rPr>
        <w:commentReference w:id="102"/>
      </w:r>
      <w:r w:rsidR="003A7477">
        <w:t>). Most importantly, understanding the conditions which cause stabilising small molecules to become destabilising could help reach a consensus on the mechanisms by which these molecules affect protein stability.</w:t>
      </w:r>
    </w:p>
    <w:p w14:paraId="579A2D01" w14:textId="77777777" w:rsidR="007F7D6F" w:rsidRDefault="007F7D6F" w:rsidP="007F7D6F">
      <w:pPr>
        <w:pStyle w:val="Heading3"/>
      </w:pPr>
      <w:bookmarkStart w:id="103" w:name="_Toc485712758"/>
      <w:r>
        <w:t>Protein stabilisation by denaturants</w:t>
      </w:r>
      <w:bookmarkEnd w:id="103"/>
    </w:p>
    <w:p w14:paraId="50BD638B" w14:textId="77777777" w:rsidR="0066333C" w:rsidRDefault="0066333C" w:rsidP="0066333C">
      <w:r>
        <w:t xml:space="preserve">Similarly to stabilising </w:t>
      </w:r>
      <w:r w:rsidR="002338F9">
        <w:t xml:space="preserve">cosolutes </w:t>
      </w:r>
      <w:r>
        <w:t xml:space="preserve">occasionally destabilising proteins there have been a number of cases reporting protein stabilisation by denaturants. This is particularly true for </w:t>
      </w:r>
      <w:r w:rsidR="00777DBE">
        <w:t>GdnHCl</w:t>
      </w:r>
      <w:r>
        <w:t xml:space="preserve">. </w:t>
      </w:r>
      <w:r w:rsidR="00777DBE">
        <w:t xml:space="preserve">Non-denaturing concentrations of GdnHCl </w:t>
      </w:r>
      <w:r>
        <w:t>appear to stabilise at least certain proteins</w:t>
      </w:r>
      <w:r w:rsidR="00777DBE">
        <w:t xml:space="preserve">, including RNase T1 </w:t>
      </w:r>
      <w:r w:rsidR="00777DBE">
        <w:fldChar w:fldCharType="begin" w:fldLock="1"/>
      </w:r>
      <w:r w:rsidR="00777DBE">
        <w:instrText>ADDIN CSL_CITATION { "citationItems" : [ { "id" : "ITEM-1", "itemData" : { "DOI" : "10.1021/bi00082a021", "ISSN" : "0006-2960", "PMID" : "8347603", "abstract" : "Guanidinium chloride is a commonly used denaturant to unfold native proteins and to determine their Gibbs free energy of stabilization, delta Gstab. Here we show that this denaturant has a dual role for the stability and the folding of the model protein ribonuclease T1. When present at low concentration (0-0.3 M), guanidinium chloride stabilizes the folded protein toward thermal and urea-induced unfolding and decreases the rate of unfolding. At high concentration the function of guanidinium chloride as a denaturant dominates and ribonuclease T1 is cooperatively unfolded. Ribonuclease T1 is also strongly stabilized by other salts, such as NaCl, at low concentrations, and the dependence of the thermal stability on salt concentration is not linear. Such a complex behavior was not found in control experiments with pancreatic ribonuclease A. The stabilization in the presence of low concentrations of guanidinium chloride originates probably from the binding of guanidinium ions to one or a few cation binding sites that exist in native ribonuclease T1. It is not observed when an additional salt, NaCl, is present simultaneously. The favorable interaction of guanidinium chloride with the native protein leads to increased values for delta Gstab, when unfolding transitions induced by guanidinium chloride are analyzed on the basis of the two-state model by the linear extrapolation procedure. The noncoincidence of these delta Gstab values with stability data derived from urea-induced or thermal unfolding transitions does not imply that the two-state model is not appropriate but that the linear extrapolation to zero molar denaturant is incorrect.", "author" : [ { "dropping-particle" : "", "family" : "Mayr", "given" : "L M", "non-dropping-particle" : "", "parse-names" : false, "suffix" : "" }, { "dropping-particle" : "", "family" : "Schmid", "given" : "F X", "non-dropping-particle" : "", "parse-names" : false, "suffix" : "" } ], "container-title" : "Biochemistry", "id" : "ITEM-1", "issued" : { "date-parts" : [ [ "1993" ] ] }, "page" : "7994-7998", "title" : "Stabilization of a protein by guanidinium chloride", "type" : "article-journal", "volume" : "32" }, "uris" : [ "http://www.mendeley.com/documents/?uuid=7744b35a-ffba-4eb3-b78b-c320f5593d55" ] } ], "mendeley" : { "formattedCitation" : "(Mayr &amp; Schmid 1993)", "plainTextFormattedCitation" : "(Mayr &amp; Schmid 1993)", "previouslyFormattedCitation" : "(Mayr &amp; Schmid 1993)" }, "properties" : { "noteIndex" : 0 }, "schema" : "https://github.com/citation-style-language/schema/raw/master/csl-citation.json" }</w:instrText>
      </w:r>
      <w:r w:rsidR="00777DBE">
        <w:fldChar w:fldCharType="separate"/>
      </w:r>
      <w:r w:rsidR="00777DBE" w:rsidRPr="00777DBE">
        <w:rPr>
          <w:noProof/>
        </w:rPr>
        <w:t>(Mayr &amp; Schmid 1993)</w:t>
      </w:r>
      <w:r w:rsidR="00777DBE">
        <w:fldChar w:fldCharType="end"/>
      </w:r>
      <w:r w:rsidR="00777DBE">
        <w:t xml:space="preserve">, Fyn tyrosine kinase SH3 domain </w:t>
      </w:r>
      <w:r w:rsidR="00777DBE">
        <w:fldChar w:fldCharType="begin" w:fldLock="1"/>
      </w:r>
      <w:r w:rsidR="00777DBE">
        <w:instrText>ADDIN CSL_CITATION { "citationItems" : [ { "id" : "ITEM-1", "itemData" : { "DOI" : "10.1110/ps.051829106", "ISBN" : "0961-8368 (Print)", "ISSN" : "0961-8368", "PMID" : "16373478", "abstract" : "Guanidinium hydrochloride (GuHCl) at low concentrations significantly stabilizes the Fyn SH3 domain. In this work, we have demonstrated that this stabilizing effect is manifested through a dramatic (five- to sixfold) decrease in the unfolding rate of the domain with the folding rate being affected minimally. This behavior contrasts to the effect of NaCl, which stabilizes this domain by accelerating the folding rate. These data imply that the stabilizing effect of GuHCl is not predominantly ionic in nature. Through NMR studies, we have identified a specific binding site for guanidinium, and we have determined a dissociation constant of 90 mM for this interaction. The guanidinium-binding site overlaps with a functionally important arginine-binding pocket on the domain surface, and we have shown that GuHCl is a specific inhibitor of the peptide-binding activity of the domain. A different SH3 domain possessing a similar arginine-binding pocket is also thermodynamically stabilized by GuHCl. These data suggest that many proteins that normally interact with arginine-containing ligands may also be able to specifically interact with guanidinium. Thus, some caution should be used when using GuHCl as a denaturant in protein folding studies. Since a</w:instrText>
      </w:r>
      <w:r w:rsidR="00777DBE" w:rsidRPr="00E3274E">
        <w:rPr>
          <w:lang w:val="it-IT"/>
        </w:rPr>
        <w:instrText>rginine-mediated interactions are often important in the energetics of protein-protein interactions, our observations could be relevant for the design of small molecule inhibitors of protein-protein interactions.", "author" : [ { "dropping-particle" : "", "family" : "Zarrine-Afsar", "given" : "A", "non-dropping-particle" : "", "parse-names" : false, "suffix" : "" }, { "dropping-particle" : "", "family" : "Mittermaier", "given" : "A", "non-dropping-particle" : "", "parse-names" : false, "suffix" : "" }, { "dropping-particle" : "", "family" : "Kay", "given" : "L E", "non-dropping-particle" : "", "parse-names" : false, "suffix" : "" }, { "dropping-particle" : "", "family" : "Davidson", "given" : "A R", "non-dropping-particle" : "", "parse-names" : false, "suffix" : "" } ], "container-title" : "Protein Science", "id" : "ITEM-1", "issued" : { "date-parts" : [ [ "2006" ] ] }, "page" : "162-170", "title" : "Protein stabilization by specific binding of guanidinium to a functional arginine-binding surface on an SH3 domain", "type" : "article-journal", "volume" : "15" }, "uris" : [ "http://www.mendeley.com/documents/?uuid=edaebedc-6d6c-4188-9b83-362ff3ffe2dd" ] } ], "mendeley" : { "formattedCitation" : "(Zarrine-Afsar et al. 2006)", "plainTextFormattedCitation" : "(Zarrine-Afsar et al. 2006)", "previouslyFormattedCitation" : "(Zarrine-Afsar et al. 2006)" }, "properties" : { "noteIndex" : 0 }, "schema" : "https://github.com/citation-style-language/schema/raw/master/csl-citation.json" }</w:instrText>
      </w:r>
      <w:r w:rsidR="00777DBE">
        <w:fldChar w:fldCharType="separate"/>
      </w:r>
      <w:r w:rsidR="00777DBE" w:rsidRPr="00E3274E">
        <w:rPr>
          <w:noProof/>
          <w:lang w:val="it-IT"/>
        </w:rPr>
        <w:t>(Zarrine-Afsar et al. 2006)</w:t>
      </w:r>
      <w:r w:rsidR="00777DBE">
        <w:fldChar w:fldCharType="end"/>
      </w:r>
      <w:r w:rsidR="00777DBE" w:rsidRPr="00E3274E">
        <w:rPr>
          <w:lang w:val="it-IT"/>
        </w:rPr>
        <w:t xml:space="preserve">, RC-RNase 3 </w:t>
      </w:r>
      <w:r w:rsidR="00777DBE">
        <w:fldChar w:fldCharType="begin" w:fldLock="1"/>
      </w:r>
      <w:r w:rsidR="00777DBE" w:rsidRPr="00E3274E">
        <w:rPr>
          <w:lang w:val="it-IT"/>
        </w:rPr>
        <w:instrText>ADDIN CSL_CITATION { "citationItems" : [ { "id" : "ITEM-1", "itemData" : { "DOI" : "10.1016/j.febslet.2013.01.056", "ISSN" : "00145793", "PMID" : "23395613", "abstract" : "Unfolding by chemical denaturants and the linear extrapolation method are widely used to determine the free energy of proteins. Ribonuclease 3 from bullfrog shows an extraordinary behavior in guanidinium hydrochloride in comparison to its homologues ribonuclease A and onconase with a high transition midpoint of denaturation but an apparently low cooperativity. The analysis of the interdependence of thermal, urea-, and guanidine hydrochloride-induced unfolding revealed that whereas addition of urea resulted in the expected destabilization of all three proteins, guanidine hydrochloride acted diversely: in contrast to ribonuclease A and onconase, both of which were destabilized as expected, low concentrations of guanidine hydrochloride significantly stabilize ribonuclease 3 from bullfrog. This stabilizing effect was endorsed by in silico docking studies. \u00a9 2013 Federation of European Biochemical Societies. Published by Elsevier B.V. All rights reserved.", "author" : [ { "dropping-particle" : "", "family" : "Sol\u00e9", "given" : "M", "non-dropping-particle" : "", "parse-names" : false, "suffix" : "" }, { "dropping-particle" : "", "family" : "Brandt", "given" : "W", "non-dropping-particle" : "", "parse-names" : false, "suffix" : "" }, { "dropping-particle" : "", "family" : "Arnold", "given" : "U", "non-dropping-particle" : "", "parse-names" : false, "suffix" : "" } ], "container-title" : "FEBS Letters", "id" : "ITEM-1", "issued" : { "date-parts" : [ [ "2013" ] ] }, "page" : "737-742", "title" : "Striking stabilization of Rana catesbeiana ribonuclease 3 by guanidine hydrochloride", "type" : "article-journal", "volume" : "587" }, "uris" : [ "http://www.mendeley.com/documents/?uuid=8d43f319-4de8-4c5d-8641-381737085271" ] } ], "mendeley" : { "formattedCitation" : "(Sol\u00e9 et al. 2013)", "plainTextFormattedCitation" : "(Sol\u00e9 et al. 2013)", "previouslyFormattedCitation" : "(Sol\u00e9 et al. 2013)" }, "properties" : { "noteIndex" : 0 }, "schema" : "https://github.com/citation-style-language/schema/raw/master/csl-citation.json" }</w:instrText>
      </w:r>
      <w:r w:rsidR="00777DBE">
        <w:fldChar w:fldCharType="separate"/>
      </w:r>
      <w:r w:rsidR="00777DBE" w:rsidRPr="00E3274E">
        <w:rPr>
          <w:noProof/>
          <w:lang w:val="it-IT"/>
        </w:rPr>
        <w:t>(Solé et al. 2013)</w:t>
      </w:r>
      <w:r w:rsidR="00777DBE">
        <w:fldChar w:fldCharType="end"/>
      </w:r>
      <w:r w:rsidR="00777DBE" w:rsidRPr="00E3274E">
        <w:rPr>
          <w:lang w:val="it-IT"/>
        </w:rPr>
        <w:t xml:space="preserve"> and ubiquitin</w:t>
      </w:r>
      <w:r w:rsidRPr="00E3274E">
        <w:rPr>
          <w:lang w:val="it-IT"/>
        </w:rPr>
        <w:t xml:space="preserve"> </w:t>
      </w:r>
      <w:r w:rsidR="00777DBE">
        <w:fldChar w:fldCharType="begin" w:fldLock="1"/>
      </w:r>
      <w:r w:rsidR="00924827" w:rsidRPr="00E3274E">
        <w:rPr>
          <w:lang w:val="it-IT"/>
        </w:rPr>
        <w:instrText>ADDIN CSL_CITATION { "citationItems" : [ { "id" : "ITEM-1", "itemData" : { "DOI" : "10.1002/pro.5560070318", "ISSN" : "0961-8368", "PMID" : "9541401", "abstract" : "Effects of different salts (NaCl, MgCl2, CaCl2, GdmCl, NaBr, NaClO4, NaH2PO4, Na2SO4) on the stability of the ubiquitin molecule at pH 2.0 have been studied by differential scanning calorimetry, circular dichroism, and Tyr fluorescence spectroscopies. It is shown that all of the salts studied significantly increase the thermostability of the ubiquitin molecule, and that this stabilization can be interpreted in terms of anion binding. Estimated thermodynamic parameters of binding for Cl- show that this binding is relatively weak (Kd = 0.15 M) and is characterized by a negative enthalpy of -15 kJ/mol per site. Particularly surprising was the observed stabilizing effect of GdmCl through the entire concentration range studied (0.01-2 M), however, to a lesser extent than stabilization by NaCl. This stabilizing effect of GdmCl appears to arise from the binding of Cl- ions. Analysis of the observed changes in the stability of the ubiquitin molecule in the presence of GdmCl can be adequately described by combining the thermodynamic model of denaturant binding with Cl- binding effects.", "author" : [ { "dropping-particle" : "", "family" : "Makhatadze", "given" : "G I", "non-dropping-particle" : "", "parse-names" : false, "suffix" : "" }, { "dropping-particle" : "", "family" : "Lopez", "gi</w:instrText>
      </w:r>
      <w:r w:rsidR="00924827">
        <w:instrText>ven" : "M M", "non-dropping-particle" : "", "parse-names" : false, "suffix" : "" }, { "dropping-particle" : "", "family" : "Richardson", "given" : "J M", "non-dropping-particle" : "", "parse-names" : false, "suffix" : "" }, { "dropping-particle" : "", "family" : "Thomas", "given" : "S T", "non-dropping-particle" : "", "parse-names" : false, "suffix" : "" } ], "container-title" : "Protein Science", "id" : "ITEM-1", "issued" : { "date-parts" : [ [ "1998", "3" ] ] }, "page" : "689-697", "title" : "Anion binding to the ubiquitin molecule", "type" : "article-journal", "volume" : "7" }, "uris" : [ "http://www.mendeley.com/documents/?uuid=e4f4f61a-7f2a-4979-941d-087255dd7928" ] } ], "mendeley" : { "formattedCitation" : "(Makhatadze et al. 1998)", "plainTextFormattedCitation" : "(Makhatadze et al. 1998)", "previouslyFormattedCitation" : "(Makhatadze et al. 1998)" }, "properties" : { "noteIndex" : 0 }, "schema" : "https://github.com/citation-style-language/schema/raw/master/csl-citation.json" }</w:instrText>
      </w:r>
      <w:r w:rsidR="00777DBE">
        <w:fldChar w:fldCharType="separate"/>
      </w:r>
      <w:r w:rsidR="00777DBE" w:rsidRPr="00777DBE">
        <w:rPr>
          <w:noProof/>
        </w:rPr>
        <w:t>(Makhatadze et al. 1998)</w:t>
      </w:r>
      <w:r w:rsidR="00777DBE">
        <w:fldChar w:fldCharType="end"/>
      </w:r>
      <w:r w:rsidR="00777DBE">
        <w:t xml:space="preserve"> against thermal stress.</w:t>
      </w:r>
      <w:r w:rsidR="00245558">
        <w:t xml:space="preserve"> GdnHCl was even found to stabilise RNase T1 against urea-induced denaturation </w:t>
      </w:r>
      <w:r w:rsidR="00245558">
        <w:fldChar w:fldCharType="begin" w:fldLock="1"/>
      </w:r>
      <w:r w:rsidR="00245558">
        <w:instrText>ADDIN CSL_CITATION { "citationItems" : [ { "id" : "ITEM-1", "itemData" : { "DOI" : "10.1021/bi00082a021", "ISSN" : "0006-2960", "PMID" : "8347603", "abstract" : "Guanidinium chloride is a commonly used denaturant to unfold native proteins and to determine their Gibbs free energy of stabilization, delta Gstab. Here we show that this denaturant has a dual role for the stability and the folding of the model protein ribonuclease T1. When present at low concentration (0-0.3 M), guanidinium chloride stabilizes the folded protein toward thermal and urea-induced unfolding and decreases the rate of unfolding. At high concentration the function of guanidinium chloride as a denaturant dominates and ribonuclease T1 is cooperatively unfolded. Ribonuclease T1 is also strongly stabilized by other salts, such as NaCl, at low concentrations, and the dependence of the thermal stability on salt concentration is not linear. Such a complex behavior was not found in control experiments with pancreatic ribonuclease A. The stabilization in the presence of low concentrations of guanidinium chloride originates probably from the binding of guanidinium ions to one or a few cation binding sites that exist in native ribonuclease T1. It is not observed when an additional salt, NaCl, is present simultaneously. The favorable interaction of guanidinium chloride with the native protein leads to increased values for delta Gstab, when unfolding transitions induced by guanidinium chloride are analyzed on the basis of the two-state model by the linear extrapolation procedure. The noncoincidence of these delta Gstab values with stability data derived from urea-induced or thermal unfolding transitions does not imply that the two-state model is not appropriate but that the linear extrapolation to zero molar denaturant is incorrect.", "author" : [ { "dropping-particle" : "", "family" : "Mayr", "given" : "L M", "non-dropping-particle" : "", "parse-names" : false, "suffix" : "" }, { "dropping-particle" : "", "family" : "Schmid", "given" : "F X", "non-dropping-particle" : "", "parse-names" : false, "suffix" : "" } ], "container-title" : "Biochemistry", "id" : "ITEM-1", "issued" : { "date-parts" : [ [ "1993" ] ] }, "page" : "7994-7998", "title" : "Stabilization of a protein by guanidinium chloride", "type" : "article-journal", "volume" : "32" }, "uris" : [ "http://www.mendeley.com/documents/?uuid=7744b35a-ffba-4eb3-b78b-c320f5593d55" ] } ], "mendeley" : { "formattedCitation" : "(Mayr &amp; Schmid 1993)", "plainTextFormattedCitation" : "(Mayr &amp; Schmid 1993)", "previouslyFormattedCitation" : "(Mayr &amp; Schmid 1993)" }, "properties" : { "noteIndex" : 0 }, "schema" : "https://github.com/citation-style-language/schema/raw/master/csl-citation.json" }</w:instrText>
      </w:r>
      <w:r w:rsidR="00245558">
        <w:fldChar w:fldCharType="separate"/>
      </w:r>
      <w:r w:rsidR="00245558" w:rsidRPr="00245558">
        <w:rPr>
          <w:noProof/>
        </w:rPr>
        <w:t>(Mayr &amp; Schmid 1993)</w:t>
      </w:r>
      <w:r w:rsidR="00245558">
        <w:fldChar w:fldCharType="end"/>
      </w:r>
      <w:r w:rsidR="00245558">
        <w:t>.</w:t>
      </w:r>
      <w:r w:rsidR="00777DBE">
        <w:t xml:space="preserve"> Although it was still found to destabilise RNase A in a linear fashion </w:t>
      </w:r>
      <w:r w:rsidR="00777DBE">
        <w:fldChar w:fldCharType="begin" w:fldLock="1"/>
      </w:r>
      <w:r w:rsidR="00245558">
        <w:instrText>ADDIN CSL_CITATION { "citationItems" : [ { "id" : "ITEM-1", "itemData" : { "DOI" : "10.1021/bi00082a021", "ISSN" : "0006-2960", "PMID" : "8347603", "abstract" : "Guanidinium chloride is a commonly used denaturant to unfold native proteins and to determine their Gibbs free energy of stabilization, delta Gstab. Here we show that this denaturant has a dual role for the stability and the folding of the model protein ribonuclease T1. When present at low concentration (0-0.3 M), guanidinium chloride stabilizes the folded protein toward thermal and urea-induced unfolding and decreases the rate of unfolding. At high concentration the function of guanidinium chloride as a denaturant dominates and ribonuclease T1 is cooperatively unfolded. Ribonuclease T1 is also strongly stabilized by other salts, such as NaCl, at low concentrations, and the dependence of the thermal stability on salt concentration is not linear. Such a complex behavior was not found in control experiments with pancreatic ribonuclease A. The stabilization in the presence of low concentrations of guanidinium chloride originates probably from the binding of guanidinium ions to one or a few cation binding sites that exist in native ribonuclease T1. It is not observed when an additional salt, NaCl, is present simultaneously. The favorable interaction of guanidinium chloride with the native protein leads to increased values for delta Gstab, when unfolding transitions induced by guanidinium chloride are analyzed on the basis of the two-state model by the linear extrapolation procedure. The noncoincidence of these delta Gstab values with stability data derived from urea-induced or thermal unfolding transitions does not imply that the two-state model is not appropriate but that the linear extrapolation to zero molar denaturant is incorrect.", "author" : [ { "dropping-particle" : "", "family" : "Mayr", "given" : "L M", "non-dropping-particle" : "", "parse-names" : false, "suffix" : "" }, { "dropping-particle" : "", "family" : "Schmid", "given" : "F X", "non-dropping-particle" : "", "parse-names" : false, "suffix" : "" } ], "container-title" : "Biochemistry", "id" : "ITEM-1", "issued" : { "date-parts" : [ [ "1993" ] ] }, "page" : "7994-7998", "title" : "Stabilization of a protein by guanidinium chloride", "type" : "article-journal", "volume" : "32" }, "uris" : [ "http://www.mendeley.com/documents/?uuid=7744b35a-ffba-4eb3-b78b-c320f5593d55" ] } ], "mendeley" : { "formattedCitation" : "(Mayr &amp; Schmid 1993)", "plainTextFormattedCitation" : "(Mayr &amp; Schmid 1993)", "previouslyFormattedCitation" : "(Mayr &amp; Schmid 1993)" }, "properties" : { "noteIndex" : 0 }, "schema" : "https://github.com/citation-style-language/schema/raw/master/csl-citation.json" }</w:instrText>
      </w:r>
      <w:r w:rsidR="00777DBE">
        <w:fldChar w:fldCharType="separate"/>
      </w:r>
      <w:r w:rsidR="00777DBE" w:rsidRPr="00777DBE">
        <w:rPr>
          <w:noProof/>
        </w:rPr>
        <w:t>(Mayr &amp; Schmid 1993)</w:t>
      </w:r>
      <w:r w:rsidR="00777DBE">
        <w:fldChar w:fldCharType="end"/>
      </w:r>
      <w:r w:rsidR="00777DBE">
        <w:t xml:space="preserve">. Most of these occurrences of stabilisation are found at low concentrations of GdnHCl (&lt; 300 mM), but in the case of ubiquitin 1 M GdnHCl </w:t>
      </w:r>
      <w:r w:rsidR="00245558">
        <w:t xml:space="preserve">dramatically stabilises by 14.1 °C – a level of stabilisation not often observed even for stabilising cosolutes (see </w:t>
      </w:r>
      <w:r w:rsidR="00245558">
        <w:fldChar w:fldCharType="begin"/>
      </w:r>
      <w:r w:rsidR="00245558">
        <w:instrText xml:space="preserve"> REF _Ref453339849 \h </w:instrText>
      </w:r>
      <w:r w:rsidR="00245558">
        <w:fldChar w:fldCharType="separate"/>
      </w:r>
      <w:r w:rsidR="00AA6926">
        <w:t xml:space="preserve">Table </w:t>
      </w:r>
      <w:r w:rsidR="00AA6926">
        <w:rPr>
          <w:noProof/>
        </w:rPr>
        <w:t>1</w:t>
      </w:r>
      <w:r w:rsidR="00AA6926">
        <w:noBreakHyphen/>
      </w:r>
      <w:r w:rsidR="00AA6926">
        <w:rPr>
          <w:noProof/>
        </w:rPr>
        <w:t>4</w:t>
      </w:r>
      <w:r w:rsidR="00245558">
        <w:fldChar w:fldCharType="end"/>
      </w:r>
      <w:r w:rsidR="00245558">
        <w:t>).</w:t>
      </w:r>
    </w:p>
    <w:p w14:paraId="0CA09FB8" w14:textId="77777777" w:rsidR="00A67C63" w:rsidRDefault="00245558" w:rsidP="0066333C">
      <w:r>
        <w:t xml:space="preserve">A number of mechanisms for stabilisation have been suggested. The most commonly suggested being that, due to the ionic nature of GdnHCl, at low concentrations it binds to a common cation binding site </w:t>
      </w:r>
      <w:r w:rsidR="00E34FF7">
        <w:t xml:space="preserve">on the native </w:t>
      </w:r>
      <w:r w:rsidR="00B74578">
        <w:t xml:space="preserve">state of the </w:t>
      </w:r>
      <w:r w:rsidR="00E34FF7">
        <w:t>protein, similar</w:t>
      </w:r>
      <w:r>
        <w:t xml:space="preserve"> to other cations that stabilise such as NaCl </w:t>
      </w:r>
      <w:r>
        <w:fldChar w:fldCharType="begin" w:fldLock="1"/>
      </w:r>
      <w:r>
        <w:instrText>ADDIN CSL_CITATION { "citationItems" : [ { "id" : "ITEM-1", "itemData" : { "DOI" : "10.1021/bi00082a021", "ISSN" : "0006-2960", "PMID" : "8347603", "abstract" : "Guanidinium chloride is a commonly used denaturant to unfold native proteins and to determine their Gibbs free energy of stabilization, delta Gstab. Here we show that this denaturant has a dual role for the stability and the folding of the model protein ribonuclease T1. When present at low concentration (0-0.3 M), guanidinium chloride stabilizes the folded protein toward thermal and urea-induced unfolding and decreases the rate of unfolding. At high concentration the function of guanidinium chloride as a denaturant dominates and ribonuclease T1 is cooperatively unfolded. Ribonuclease T1 is also strongly stabilized by other salts, such as NaCl, at low concentrations, and the dependence of the thermal stability on salt concentration is not linear. Such a complex behavior was not found in control experiments with pancreatic ribonuclease A. The stabilization in the presence of low concentrations of guanidinium chloride originates probably from the binding of guanidinium ions to one or a few cation binding sites that exist in native ribonuclease T1. It is not observed when an additional salt, NaCl, is present simultaneously. The favorable interaction of guanidinium chloride with the native protein leads to increased values for delta Gstab, when unfolding transitions induced by guanidinium chloride are analyzed on the basis of the two-state model by the linear extrapolation procedure. The noncoincidence of these delta Gstab values with stability data derived from urea-induced or thermal unfolding transitions does not imply that the two-state model is not appropriate but that the linear extrapolation to zero molar denaturant is incorrect.", "author" : [ { "dropping-particle" : "", "family" : "Mayr", "given" : "L M", "non-dropping-particle" : "", "parse-names" : false, "suffix" : "" }, { "dropping-particle" : "", "family" : "Schmid", "given" : "F X", "non-dropping-particle" : "", "parse-names" : false, "suffix" : "" } ], "container-title" : "Biochemistry", "id" : "ITEM-1", "issued" : { "date-parts" : [ [ "1993" ] ] }, "page" : "7994-7998", "title" : "Stabilization of a protein by guanidinium chloride", "type" : "article-journal", "volume" : "32" }, "uris" : [ "http://www.mendeley.com/documents/?uuid=7744b35a-ffba-4eb3-b78b-c320f5593d55" ] }, { "id" : "ITEM-2", "itemData" : { "DOI" : "10.1016/j.febslet.2013.01.056", "ISSN" : "00145793", "PMID" : "23395613", "abstract" : "Unfolding by chemical denaturants and the linear extrapolation method are widely used to determine the free energy of proteins. Ribonuclease 3 from bullfrog shows an extraordinary behavior in guanidinium hydrochloride in comparison to its homologues ribonuclease A and onconase with a high transition midpoint of denaturation but an apparently low cooperativity. The analysis of the interdependence of thermal, urea-, and guanidine hydrochloride-induced unfolding revealed that whereas addition of urea resulted in the expected destabilization of all three proteins, guanidine hydrochloride acted diversely: in contrast to ribonuclease A and onconase, both of which were destabilized as expected, low concentrations of guanidine hydrochloride significantly stabilize ribonuclease 3 from bullfrog. This stabilizing effect was endorsed by in silico docking studies. \u00a9 2013 Federation of European Biochemical Societies. Published by Elsevier B.V. All rights reserved.", "author" : [ { "dropping-particle" : "", "family" : "Sol\u00e9", "given" : "M", "non-dropping-particle" : "", "parse-names" : false, "suffix" : "" }, { "dropping-particle" : "", "family" : "Brandt", "given" : "W", "non-dropping-particle" : "", "parse-names" : false, "suffix" : "" }, { "dropping-particle" : "", "family" : "Arnold", "given" : "U", "non-dropping-particle" : "", "parse-names" : false, "suffix" : "" } ], "container-title" : "FEBS Letters", "id" : "ITEM-2", "issued" : { "date-parts" : [ [ "2013" ] ] }, "page" : "737-742", "title" : "Striking stabilization of Rana catesbeiana ribonuclease 3 by guanidine hydrochloride", "type" : "article-journal", "volume" : "587" }, "uris" : [ "http://www.mendeley.com/documents/?uuid=8d43f319-4de8-4c5d-8641-381737085271" ] } ], "mendeley" : { "formattedCitation" : "(Mayr &amp; Schmid 1993; Sol\u00e9 et al. 2013)", "plainTextFormattedCitation" : "(Mayr &amp; Schmid 1993; Sol\u00e9 et al. 2013)", "previouslyFormattedCitation" : "(Mayr &amp; Schmid 1993; Sol\u00e9 et al. 2013)" }, "properties" : { "noteIndex" : 0 }, "schema" : "https://github.com/citation-style-language/schema/raw/master/csl-citation.json" }</w:instrText>
      </w:r>
      <w:r>
        <w:fldChar w:fldCharType="separate"/>
      </w:r>
      <w:r w:rsidRPr="00245558">
        <w:rPr>
          <w:noProof/>
        </w:rPr>
        <w:t>(Mayr &amp; Schmid 1993; Solé et al. 2013)</w:t>
      </w:r>
      <w:r>
        <w:fldChar w:fldCharType="end"/>
      </w:r>
      <w:r>
        <w:t xml:space="preserve">. Due to this specific binding site being situated on the native state, stabilisation occurs. At higher </w:t>
      </w:r>
      <w:r>
        <w:lastRenderedPageBreak/>
        <w:t>concentrations it reverts to its usual destabilising behaviour due to weak or indirect interactions. For protein</w:t>
      </w:r>
      <w:r w:rsidR="00A67C63">
        <w:t>s that contain specific arginine</w:t>
      </w:r>
      <w:r>
        <w:t xml:space="preserve">-binding sites in the native state, it appears that GdnHCl is capable of acting as </w:t>
      </w:r>
      <w:r w:rsidR="00B33C34">
        <w:t xml:space="preserve">a </w:t>
      </w:r>
      <w:r>
        <w:t xml:space="preserve">ligand and stabilising through this mechanism </w:t>
      </w:r>
      <w:r>
        <w:fldChar w:fldCharType="begin" w:fldLock="1"/>
      </w:r>
      <w:r>
        <w:instrText>ADDIN CSL_CITATION { "citationItems" : [ { "id" : "ITEM-1", "itemData" : { "DOI" : "10.1110/ps.051829106", "ISBN" : "0961-8368 (Print)", "ISSN" : "0961-8368", "PMID" : "16373478", "abstract" : "Guanidinium hydrochloride (GuHCl) at low concentrations significantly stabilizes the Fyn SH3 domain. In this work, we have demonstrated that this stabilizing effect is manifested through a dramatic (five- to sixfold) decrease in the unfolding rate of the domain with the folding rate being affected minimally. This behavior contrasts to the effect of NaCl, which stabilizes this domain by accelerating the folding rate. These data imply that the stabilizing effect of GuHCl is not predominantly ionic in nature. Through NMR studies, we have identified a specific binding site for guanidinium, and we have determined a dissociation constant of 90 mM for this interaction. The guanidinium-binding site overlaps with a functionally important arginine-binding pocket on the domain surface, and we have shown that GuHCl is a specific inhibitor of the peptide-binding activity of the domain. A different SH3 domain possessing a similar arginine-binding pocket is also thermodynamically stabilized by GuHCl. These data suggest that many proteins that normally interact with arginine-containing ligands may also be able to specifically interact with guanidinium. Thus, some caution should be used when using GuHCl as a denaturant in protein folding studies. Since arginine-mediated interactions are often important in the energetics of protein-protein interactions, our observations could be relevant for the design of small molecule inhibitors of protein-protein interactions.", "author" : [ { "dropping-particle" : "", "family" : "Zarrine-Afsar", "given" : "A", "non-dropping-particle" : "", "parse-names" : false, "suffix" : "" }, { "dropping-particle" : "", "family" : "Mittermaier", "given" : "A", "non-dropping-particle" : "", "parse-names" : false, "suffix" : "" }, { "dropping-particle" : "", "family" : "Kay", "given" : "L E", "non-dropping-particle" : "", "parse-names" : false, "suffix" : "" }, { "dropping-particle" : "", "family" : "Davidson", "given" : "A R", "non-dropping-particle" : "", "parse-names" : false, "suffix" : "" } ], "container-title" : "Protein Science", "id" : "ITEM-1", "issued" : { "date-parts" : [ [ "2006" ] ] }, "page" : "162-170", "title" : "Protein stabilization by specific binding of guanidinium to a functional arginine-binding surface on an SH3 domain", "type" : "article-journal", "volume" : "15" }, "uris" : [ "http://www.mendeley.com/documents/?uuid=edaebedc-6d6c-4188-9b83-362ff3ffe2dd" ] } ], "mendeley" : { "formattedCitation" : "(Zarrine-Afsar et al. 2006)", "plainTextFormattedCitation" : "(Zarrine-Afsar et al. 2006)", "previouslyFormattedCitation" : "(Zarrine-Afsar et al. 2006)" }, "properties" : { "noteIndex" : 0 }, "schema" : "https://github.com/citation-style-language/schema/raw/master/csl-citation.json" }</w:instrText>
      </w:r>
      <w:r>
        <w:fldChar w:fldCharType="separate"/>
      </w:r>
      <w:r w:rsidRPr="00245558">
        <w:rPr>
          <w:noProof/>
        </w:rPr>
        <w:t>(Zarrine-Afsar et al. 2006)</w:t>
      </w:r>
      <w:r>
        <w:fldChar w:fldCharType="end"/>
      </w:r>
      <w:r>
        <w:t xml:space="preserve">. </w:t>
      </w:r>
    </w:p>
    <w:p w14:paraId="091C0F9E" w14:textId="77777777" w:rsidR="00245558" w:rsidRDefault="00245558" w:rsidP="0066333C">
      <w:r>
        <w:t>It has also been suggested that at low pH the chloride ion, which will be fully dissociated</w:t>
      </w:r>
      <w:r w:rsidR="00DA584C">
        <w:t xml:space="preserve"> from Gdn</w:t>
      </w:r>
      <w:r>
        <w:t xml:space="preserve">, is responsible for protein stabilisation via binding, and the Gdn effects are not visible until much higher concentrations </w:t>
      </w:r>
      <w:r>
        <w:fldChar w:fldCharType="begin" w:fldLock="1"/>
      </w:r>
      <w:r w:rsidR="00924827">
        <w:instrText>ADDIN CSL_CITATION { "citationItems" : [ { "id" : "ITEM-1", "itemData" : { "DOI" : "10.1002/pro.5560070318", "ISSN" : "0961-8368", "PMID" : "9541401", "abstract" : "Effects of different salts (NaCl, MgCl2, CaCl2, GdmCl, NaBr, NaClO4, NaH2PO4, Na2SO4) on the stability of the ubiquitin molecule at pH 2.0 have been studied by differential scanning calorimetry, circular dichroism, and Tyr fluorescence spectroscopies. It is shown that all of the salts studied significantly increase the thermostability of the ubiquitin molecule, and that this stabilization can be interpreted in terms of anion binding. Estimated thermodynamic parameters of binding for Cl- show that this binding is relatively weak (Kd = 0.15 M) and is characterized by a negative enthalpy of -15 kJ/mol per site. Particularly surprising was the observed stabilizing effect of GdmCl through the entire concentration range studied (0.01-2 M), however, to a lesser extent than stabilization by NaCl. This stabilizing effect of GdmCl appears to arise from the binding of Cl- ions. Analysis of the observed changes in the stability of the ubiquitin molecule in the presence of GdmCl can be adequately described by combining the thermodynamic model of denaturant binding with Cl- binding effects.", "author" : [ { "dropping-particle" : "", "family" : "Makhatadze", "given" : "G I", "non-dropping-particle" : "", "parse-names" : false, "suffix" : "" }, { "dropping-particle" : "", "family" : "Lopez", "given" : "M M", "non-dropping-particle" : "", "parse-names" : false, "suffix" : "" }, { "dropping-particle" : "", "family" : "Richardson", "given" : "J M", "non-dropping-particle" : "", "parse-names" : false, "suffix" : "" }, { "dropping-particle" : "", "family" : "Thomas", "given" : "S T", "non-dropping-particle" : "", "parse-names" : false, "suffix" : "" } ], "container-title" : "Protein Science", "id" : "ITEM-1", "issued" : { "date-parts" : [ [ "1998", "3" ] ] }, "page" : "689-697", "title" : "Anion binding to the ubiquitin molecule", "type" : "article-journal", "volume" : "7" }, "uris" : [ "http://www.mendeley.com/documents/?uuid=e4f4f61a-7f2a-4979-941d-087255dd7928" ] } ], "mendeley" : { "formattedCitation" : "(Makhatadze et al. 1998)", "plainTextFormattedCitation" : "(Makhatadze et al. 1998)", "previouslyFormattedCitation" : "(Makhatadze et al. 1998)" }, "properties" : { "noteIndex" : 0 }, "schema" : "https://github.com/citation-style-language/schema/raw/master/csl-citation.json" }</w:instrText>
      </w:r>
      <w:r>
        <w:fldChar w:fldCharType="separate"/>
      </w:r>
      <w:r w:rsidRPr="00245558">
        <w:rPr>
          <w:noProof/>
        </w:rPr>
        <w:t>(Makhatadze et al. 1998)</w:t>
      </w:r>
      <w:r>
        <w:fldChar w:fldCharType="end"/>
      </w:r>
      <w:r>
        <w:t xml:space="preserve">. The effect of the counterion is </w:t>
      </w:r>
      <w:r w:rsidR="00A67C63">
        <w:t xml:space="preserve">clearly </w:t>
      </w:r>
      <w:r>
        <w:t xml:space="preserve">important, as guanidinium sulphate </w:t>
      </w:r>
      <w:r w:rsidR="00E34FF7">
        <w:t>is highly</w:t>
      </w:r>
      <w:r w:rsidR="00A67C63">
        <w:t xml:space="preserve"> stabilising at all concentrations </w:t>
      </w:r>
      <w:r w:rsidR="00A67C63">
        <w:fldChar w:fldCharType="begin" w:fldLock="1"/>
      </w:r>
      <w:r w:rsidR="0034217E">
        <w:instrText>ADDIN CSL_CITATION { "citationItems" : [ { "id" : "ITEM-1", "itemData" : { "DOI" : "10.1039/c1cp20843h", "ISSN" : "1463-9084", "PMID" : "21617819", "abstract" : "Guanidinium chloride, GdmCl, is a strong denaturing agent of globular proteins, whereas guanidinium sulfate, Gdm(2)SO(4), is a stabilizing agent of globular proteins. The stabilizing activity of Gdm(2)SO(4) is unexpected because the denaturant capability of GdmCl is due to direct interactions of Gdm(+) ions with protein surface groups. It is shown that the statistical thermodynamic approach devised to explain the molecular origin of cold denaturation [G. Graziano, Phys. Chem. Chem. Phys., 2010, 12, 14245-14252] can provide a rationalization of the different behaviour of GdmCl and Gdm(2)SO(4) towards globular proteins. The fundamental quantity is the reversible work to create in the aqueous solution a cavity suitable to host the D-state and a cavity suitable to host the N-state. In aqueous GdmCl solutions, this contribution is not large enough to overwhelm the conformational entropy gain upon unfolding and the direct attractions between Gdm(+) ions and protein surface groups; in aqueous Gdm(2)SO(4) solutions, it is so large that it overwhelms the two destabilizing contributions. Sulfate ions, due to their high charge density, interact strongly with water molecules producing a number density increase, that, in turn, renders the cavity creation process very costly, reversing the denaturing power of Gdm(+) ions and stabilizing the N-state of globular proteins.", "author" : [ { "dropping-particle" : "", "family" : "Graziano", "given" : "G", "non-dropping-particle" : "", "parse-names" : false, "suffix" : "" } ], "container-title" : "Physical Chemistry &amp; Chemical Physics", "id" : "ITEM-1", "issued" : { "date-parts" : [ [ "2011", "7", "7" ] ] }, "page" : "12008-12014", "title" : "Contrasting the denaturing effect of guanidinium chloride with the stabilizing effect of guanidinium sulfate", "type" : "article-journal", "volume" : "13" }, "uris" : [ "http://www.mendeley.com/documents/?uuid=884863f3-6e56-427c-b5f4-9b090a73e8d0" ] } ], "mendeley" : { "formattedCitation" : "(Graziano 2011)", "plainTextFormattedCitation" : "(Graziano 2011)", "previouslyFormattedCitation" : "(Graziano 2011)" }, "properties" : { "noteIndex" : 0 }, "schema" : "https://github.com/citation-style-language/schema/raw/master/csl-citation.json" }</w:instrText>
      </w:r>
      <w:r w:rsidR="00A67C63">
        <w:fldChar w:fldCharType="separate"/>
      </w:r>
      <w:r w:rsidR="00A67C63" w:rsidRPr="00A67C63">
        <w:rPr>
          <w:noProof/>
        </w:rPr>
        <w:t>(Graziano 2011)</w:t>
      </w:r>
      <w:r w:rsidR="00A67C63">
        <w:fldChar w:fldCharType="end"/>
      </w:r>
      <w:r w:rsidR="00A67C63">
        <w:t xml:space="preserve">. It is probable that when anion and cation are fully dissociated there will be multiple possible interactions with the protein that will balance and counteract each other to produce a specific effect on protein stability. This was visible in a DSC study of the effect of multiple Hofmeister ions on the thermal stability of lysozyme </w:t>
      </w:r>
      <w:r w:rsidR="00A67C63">
        <w:fldChar w:fldCharType="begin" w:fldLock="1"/>
      </w:r>
      <w:r w:rsidR="00A67C63">
        <w:instrText>ADDIN CSL_CITATION { "citationItems" : [ { "id" : "ITEM-1", "itemData" : { "DOI" : "10.1002/pro.2355", "ISSN" : "1469-896X", "PMID" : "24038575", "abstract" : "Anion and cation effects on the structural stability of lysozyme were investigated using differential scanning calorimetry. At low concentrations (&lt;5 mM) anions and cations alter the stability of lysozyme but they do not follow the Hofmeister (or inverse Hofmeister) series. At higher concentrations protein stabilization follows the well-established Hofmeister series. Our hypothesis is that there are three mechanisms at work. At low concentrations the anions interact with charged side chains where the presence of the ion can alter the structural stability of the protein. At higher concentrations the low charge density anions perchlorate and iodide interact weakly with the protein. Their presence however reduces the Gibbs free energy required to hydrate the core of the protein that is exposed during unfolding therefore destabilizing the structure. At higher concentrations the high charge density anions phosphate and sulfate compete for water with the protein as it unfolds increasing the Gibbs free energy required to hydrate the newly exposed core of the protein therefore stabilizing the structure.", "author" : [ { "dropping-particle" : "", "family" : "Bye", "given" : "J W", "non-dropping-particle" : "", "parse-names" : false, "suffix" : "" }, { "dropping-particle" : "", "family" : "Falconer", "given" : "R J", "non-dropping-particle" : "", "parse-names" : false, "suffix" : "" } ], "container-title" : "Protein Science", "id" : "ITEM-1", "issued" : { "date-parts" : [ [ "2013", "11" ] ] }, "page" : "1563-1570", "title" : "Thermal stability of lysozyme as a function of ion concentration: A reappraisal of the relationship between the Hofmeister series and protein stability", "type" : "article-journal", "volume" : "22" }, "uris" : [ "http://www.mendeley.com/documents/?uuid=cdce46dc-4ab2-44de-8184-be6984bc4e9d" ] } ], "mendeley" : { "formattedCitation" : "(Bye &amp; Falconer 2013)", "plainTextFormattedCitation" : "(Bye &amp; Falconer 2013)", "previouslyFormattedCitation" : "(Bye &amp; Falconer 2013)" }, "properties" : { "noteIndex" : 0 }, "schema" : "https://github.com/citation-style-language/schema/raw/master/csl-citation.json" }</w:instrText>
      </w:r>
      <w:r w:rsidR="00A67C63">
        <w:fldChar w:fldCharType="separate"/>
      </w:r>
      <w:r w:rsidR="00A67C63" w:rsidRPr="00A67C63">
        <w:rPr>
          <w:noProof/>
        </w:rPr>
        <w:t>(Bye &amp; Falconer 2013)</w:t>
      </w:r>
      <w:r w:rsidR="00A67C63">
        <w:fldChar w:fldCharType="end"/>
      </w:r>
      <w:r w:rsidR="00A67C63">
        <w:t>.</w:t>
      </w:r>
    </w:p>
    <w:p w14:paraId="148FD59A" w14:textId="77777777" w:rsidR="00A67C63" w:rsidRPr="0066333C" w:rsidRDefault="00A67C63" w:rsidP="0066333C">
      <w:r>
        <w:t xml:space="preserve">There is very little evidence to suggest that urea is capable of stabilising proteins, probably due to the fact that it is not ionic in nature. Urea, along with GdnHCl, has been shown to have an entropically stabilising effect on the CO dissociation reaction from native ferrocytochrome c </w:t>
      </w:r>
      <w:r>
        <w:fldChar w:fldCharType="begin" w:fldLock="1"/>
      </w:r>
      <w:r w:rsidR="00225AF9">
        <w:instrText>ADDIN CSL_CITATION { "citationItems" : [ { "id" : "ITEM-1", "itemData" : { "DOI" : "10.1021/bi020371n", "ISSN" : "00062960", "PMID" : "12416983", "abstract" : "The urea, guanidine hydrochloride, salt, and temperature dependence of the rate of dissociation of CO from a nonequilibrium state of CO-bound native ferrocytochrome c has been studied at pH 7. The heme iron of ferrocytochrome c in the presence of denaturing concentrations of guanidine hydrochloride (GdnHCl) and urea prepared in 0.1 M phosphate, pH 7, binds CO. When the unfolded protein solution is diluted 101-fold into CO-free folding buffer, the protein chain refolds completely, leaving the CO molecule bonded to the heme iron. Subsequently, slow thermal dissociation of the CO molecule yields to the heme coordination of the native M80 ligand. Thus, the reaction monitors the rate of thermal conversion of the CO-liganded native ferrocytochrome c to the M80-liganded native protein. The rate of this reaction, k(diss), shows a characteristic dependence on the presence of nondenaturing concentrations of the denaturants in the reaction medium. The rate decreases by approximately 1.9-3-fold as the concentration of GdnHCl in the refolding medium increases from nearly 0 to approximately 2.1 M. Similarly, the rate decreases by 1.8-fold as the urea concentration is raised from 0.l to approximately 5 M. At still higher concentrations of the denaturants the denaturing effect sets in, the protein is destabilized, and hence the CO dissociation rate increases sharply. The activation energy of the reaction, E(a), increases when the denaturant concentration in the reaction medium is raised: from 24.1 to 28.3 kcal mol(-1) for a 0.05-2.1 M rise in GdnHCl and from 25.2 to 26.9 kcal mol(-1) for a 0.1-26.9 M increase in urea. Corresponding to these increases in denaturant concentrations are also increases in the activation entropy, S(diss)/R, where R is the gas constant of the reaction. The denaturant dependence of these kinetic and thermodynamic parameters of the CO dissociation reaction suggests that binding interactions with GdnHCl and urea can increase the structural and energetic stability of ferrocytochrome c up to the limit of the subdenaturing concentrations of the additives. NaCl and Na(2)SO(4), which stabilize proteins through their salting-in effect, also decrease the rate with a corresponding increase in activation entropy of CO dissociation from CO-bound native ferrocytochrome c, lending support to the view that low concentrations of GdnHCl and urea stabilize proteins. These results have direct relevance to the understanding and interpretation of the free energy-d\u2026", "author" : [ { "dropping-particle" : "", "family" : "Bhuyan", "given" : "A K", "non-dropping-particle" : "", "parse-names" : false, "suffix" : "" } ], "container-title" : "Biochemistry", "id" : "ITEM-1", "issued" : { "date-parts" : [ [ "2002" ] ] }, "page" : "13386-13394", "title" : "Protein stabilization by urea and guanidine hydrochloride", "type" : "article-journal", "volume" : "41" }, "uris" : [ "http://www.mendeley.com/documents/?uuid=cfe52346-c2f3-4d22-b7e3-3b7aa2426114" ] } ], "mendeley" : { "formattedCitation" : "(Bhuyan 2002)", "plainTextFormattedCitation" : "(Bhuyan 2002)", "previouslyFormattedCitation" : "(Bhuyan 2002)" }, "properties" : { "noteIndex" : 0 }, "schema" : "https://github.com/citation-style-language/schema/raw/master/csl-citation.json" }</w:instrText>
      </w:r>
      <w:r>
        <w:fldChar w:fldCharType="separate"/>
      </w:r>
      <w:r w:rsidRPr="00A67C63">
        <w:rPr>
          <w:noProof/>
        </w:rPr>
        <w:t>(Bhuyan 2002)</w:t>
      </w:r>
      <w:r>
        <w:fldChar w:fldCharType="end"/>
      </w:r>
      <w:r>
        <w:t>. However, this is a very specific example of a stabilising effect and so it is unlikely that this can be inferred for the stabilisation of other proteins.</w:t>
      </w:r>
    </w:p>
    <w:p w14:paraId="6D022712" w14:textId="77777777" w:rsidR="00D550D2" w:rsidRDefault="00D550D2" w:rsidP="000A3469">
      <w:pPr>
        <w:pStyle w:val="Heading2"/>
      </w:pPr>
      <w:bookmarkStart w:id="104" w:name="_Ref453859258"/>
      <w:bookmarkStart w:id="105" w:name="_Toc485712759"/>
      <w:r w:rsidRPr="00E568C9">
        <w:t xml:space="preserve">Effects of mixed </w:t>
      </w:r>
      <w:r w:rsidR="00225AF9">
        <w:t>cosolutes on protein stability</w:t>
      </w:r>
      <w:bookmarkEnd w:id="104"/>
      <w:bookmarkEnd w:id="105"/>
    </w:p>
    <w:p w14:paraId="06A1CB3D" w14:textId="61C11C16" w:rsidR="008425B8" w:rsidRDefault="00CE4036" w:rsidP="003F2BCD">
      <w:pPr>
        <w:rPr>
          <w:szCs w:val="24"/>
        </w:rPr>
      </w:pPr>
      <w:r>
        <w:rPr>
          <w:szCs w:val="24"/>
        </w:rPr>
        <w:t xml:space="preserve">In pharmaceutical formulations a number of different excipients are generally combined in a single formulation to control protein stability and solubility. </w:t>
      </w:r>
      <w:commentRangeStart w:id="106"/>
      <w:r w:rsidR="006B7D90">
        <w:rPr>
          <w:szCs w:val="24"/>
        </w:rPr>
        <w:t>The</w:t>
      </w:r>
      <w:r>
        <w:rPr>
          <w:szCs w:val="24"/>
        </w:rPr>
        <w:t xml:space="preserve"> crowded cell environment when exposed to osmotic stress will </w:t>
      </w:r>
      <w:r w:rsidR="006B7D90">
        <w:rPr>
          <w:szCs w:val="24"/>
        </w:rPr>
        <w:t xml:space="preserve">also </w:t>
      </w:r>
      <w:r>
        <w:rPr>
          <w:szCs w:val="24"/>
        </w:rPr>
        <w:t xml:space="preserve">likely accumulate a mixture of various osmolytes to combat said stress. </w:t>
      </w:r>
      <w:commentRangeEnd w:id="106"/>
      <w:r w:rsidR="006B7D90">
        <w:rPr>
          <w:rStyle w:val="CommentReference"/>
        </w:rPr>
        <w:commentReference w:id="106"/>
      </w:r>
      <w:r>
        <w:rPr>
          <w:szCs w:val="24"/>
        </w:rPr>
        <w:t xml:space="preserve">In both </w:t>
      </w:r>
      <w:r w:rsidR="00225AF9">
        <w:rPr>
          <w:szCs w:val="24"/>
        </w:rPr>
        <w:t>of these situations a ‘cosolute</w:t>
      </w:r>
      <w:r>
        <w:rPr>
          <w:szCs w:val="24"/>
        </w:rPr>
        <w:t xml:space="preserve"> cocktail’ is present and as such</w:t>
      </w:r>
      <w:r w:rsidR="00537F0F">
        <w:rPr>
          <w:szCs w:val="24"/>
        </w:rPr>
        <w:t xml:space="preserve"> intra-solvent interactions have the potential to </w:t>
      </w:r>
      <w:r>
        <w:rPr>
          <w:szCs w:val="24"/>
        </w:rPr>
        <w:t>alte</w:t>
      </w:r>
      <w:r w:rsidR="00572B37">
        <w:rPr>
          <w:szCs w:val="24"/>
        </w:rPr>
        <w:t>r the way in which the cosolute</w:t>
      </w:r>
      <w:r>
        <w:rPr>
          <w:szCs w:val="24"/>
        </w:rPr>
        <w:t xml:space="preserve"> interacts with the protein</w:t>
      </w:r>
      <w:r w:rsidR="006972D3">
        <w:rPr>
          <w:szCs w:val="24"/>
        </w:rPr>
        <w:t xml:space="preserve"> </w:t>
      </w:r>
      <w:r w:rsidR="000C6FE0">
        <w:rPr>
          <w:szCs w:val="24"/>
        </w:rPr>
        <w:fldChar w:fldCharType="begin" w:fldLock="1"/>
      </w:r>
      <w:r w:rsidR="00E11F61">
        <w:rPr>
          <w:szCs w:val="24"/>
        </w:rPr>
        <w:instrText>ADDIN CSL_CITATION { "citationItems" : [ { "id" : "ITEM-1", "itemData" : { "DOI" : "10.1016/j.addr.2011.06.014", "ISSN" : "1872-8294", "PMID" : "21762737", "abstract" : "Protein based therapeutics hold great promise in the treatment of human diseases and disorders and subsequently, they have become the fastest growing sector of new drugs being developed. Proteins are, however, inherently unstable and the degraded form can be quite harmful if administered to a patient. Of the various degradation pathways, aggregation is one of the most common and a cause for great concern. Aggregation suppressing additives have long been used to stabilize proteins, and they still remain the most viable option for combating this problem. Much work has been devoted toward investigating the behavior of commonly used additives and the resulting models give valuable insight toward explaining aggregation suppression. In a few cases, an explanation for unique behavior is lacking or new insight provides an alternate explanation. Additive selection and the development of better performing additives may benefit from a more refined understanding of how commonly used additives inhibit or enhance aggregation. In this review, we focus on recent molecular-level studies into how a select group of commonly used additives interact with proteins and subsequently influence aggregation. The intent of the review is not meant to be comprehensive for each additive but rather to provide new insights into additive-additive interactions, which may be contributing to protein-additive interactions. This is something that is often overlooked but yet essential to understanding the effect of additives on aggregation. The importance of understanding such interactions is clear when one considers that most formulations contain a mixture of cosolutes and that ideal stability might be better achieved through tuning intra-solvent interactions. We give an example of this when we describe how novel aggregation suppressing additives were developed from the knowledge gained from the reviewed studies.", "author" : [ { "dropping-particle" : "", "family" : "Shukla", "given" : "D", "non-dropping-particle" : "", "parse-names" : false, "suffix" : "" }, { "dropping-particle" : "", "family" : "Schneider", "given" : "C P", "non-dropping-particle" : "", "parse-names" : false, "suffix" : "" }, { "dropping-particle" : "", "family" : "Trout", "given" : "B L", "non-dropping-particle" : "", "parse-names" : false, "suffix" : "" } ], "container-title" : "Advanced Drug Delivery Reviews", "id" : "ITEM-1", "issued" : { "date-parts" : [ [ "2011", "10" ] ] }, "page" : "1074-1085", "publisher" : "Elsevier B.V.", "title" : "Molecular level insight into intra-solvent interaction effects on protein stability and aggregation", "type" : "article-journal", "volume" : "63" }, "uris" : [ "http://www.mendeley.com/documents/?uuid=38920b63-36e7-4c46-9cc8-2344f8ff3a14" ] } ], "mendeley" : { "formattedCitation" : "(Shukla et al. 2011b)", "plainTextFormattedCitation" : "(Shukla et al. 2011b)", "previouslyFormattedCitation" : "(Shukla et al. 2011b)" }, "properties" : { "noteIndex" : 0 }, "schema" : "https://github.com/citation-style-language/schema/raw/master/csl-citation.json" }</w:instrText>
      </w:r>
      <w:r w:rsidR="000C6FE0">
        <w:rPr>
          <w:szCs w:val="24"/>
        </w:rPr>
        <w:fldChar w:fldCharType="separate"/>
      </w:r>
      <w:r w:rsidR="00790B0C" w:rsidRPr="00790B0C">
        <w:rPr>
          <w:noProof/>
          <w:szCs w:val="24"/>
        </w:rPr>
        <w:t>(Shukla et al. 2011b)</w:t>
      </w:r>
      <w:r w:rsidR="000C6FE0">
        <w:rPr>
          <w:szCs w:val="24"/>
        </w:rPr>
        <w:fldChar w:fldCharType="end"/>
      </w:r>
      <w:r w:rsidR="00225AF9">
        <w:rPr>
          <w:szCs w:val="24"/>
        </w:rPr>
        <w:t xml:space="preserve">, and the number of potential interactions may be </w:t>
      </w:r>
      <w:r w:rsidR="008C498C">
        <w:rPr>
          <w:szCs w:val="24"/>
        </w:rPr>
        <w:t xml:space="preserve">even </w:t>
      </w:r>
      <w:r w:rsidR="00225AF9">
        <w:rPr>
          <w:szCs w:val="24"/>
        </w:rPr>
        <w:t xml:space="preserve">larger than the intra-solvent interactions discussed in section </w:t>
      </w:r>
      <w:r w:rsidR="00225AF9">
        <w:rPr>
          <w:szCs w:val="24"/>
        </w:rPr>
        <w:fldChar w:fldCharType="begin"/>
      </w:r>
      <w:r w:rsidR="00225AF9">
        <w:rPr>
          <w:szCs w:val="24"/>
        </w:rPr>
        <w:instrText xml:space="preserve"> REF _Ref458522735 \r \h </w:instrText>
      </w:r>
      <w:r w:rsidR="00225AF9">
        <w:rPr>
          <w:szCs w:val="24"/>
        </w:rPr>
      </w:r>
      <w:r w:rsidR="00225AF9">
        <w:rPr>
          <w:szCs w:val="24"/>
        </w:rPr>
        <w:fldChar w:fldCharType="separate"/>
      </w:r>
      <w:r w:rsidR="00AA6926">
        <w:rPr>
          <w:szCs w:val="24"/>
        </w:rPr>
        <w:t>1.4.7</w:t>
      </w:r>
      <w:r w:rsidR="00225AF9">
        <w:rPr>
          <w:szCs w:val="24"/>
        </w:rPr>
        <w:fldChar w:fldCharType="end"/>
      </w:r>
      <w:r w:rsidR="001E3B17">
        <w:rPr>
          <w:szCs w:val="24"/>
        </w:rPr>
        <w:t xml:space="preserve"> for three-component systems</w:t>
      </w:r>
      <w:r w:rsidR="000C6FE0">
        <w:rPr>
          <w:szCs w:val="24"/>
        </w:rPr>
        <w:t xml:space="preserve">. </w:t>
      </w:r>
      <w:r w:rsidR="00537F0F">
        <w:rPr>
          <w:szCs w:val="24"/>
        </w:rPr>
        <w:t xml:space="preserve">As the </w:t>
      </w:r>
      <w:r w:rsidR="008425B8">
        <w:rPr>
          <w:szCs w:val="24"/>
        </w:rPr>
        <w:lastRenderedPageBreak/>
        <w:t>mechanisms governing the action</w:t>
      </w:r>
      <w:r w:rsidR="00537F0F">
        <w:rPr>
          <w:szCs w:val="24"/>
        </w:rPr>
        <w:t xml:space="preserve">s of individual cosolutes </w:t>
      </w:r>
      <w:r w:rsidR="008425B8">
        <w:rPr>
          <w:szCs w:val="24"/>
        </w:rPr>
        <w:t>on protein stability are still unclear, elucidating the mechanisms governing the actions of mixed cosolutes on protein stability is even more complicated.</w:t>
      </w:r>
    </w:p>
    <w:p w14:paraId="07FE93A4" w14:textId="77777777" w:rsidR="00CE4036" w:rsidRPr="00CE4036" w:rsidRDefault="008C498C" w:rsidP="003F2BCD">
      <w:pPr>
        <w:rPr>
          <w:szCs w:val="24"/>
        </w:rPr>
      </w:pPr>
      <w:r>
        <w:rPr>
          <w:szCs w:val="24"/>
        </w:rPr>
        <w:t>It</w:t>
      </w:r>
      <w:r w:rsidR="00225AF9">
        <w:rPr>
          <w:szCs w:val="24"/>
        </w:rPr>
        <w:t xml:space="preserve"> is clear from </w:t>
      </w:r>
      <w:r w:rsidR="00225AF9" w:rsidRPr="00225AF9">
        <w:rPr>
          <w:szCs w:val="24"/>
        </w:rPr>
        <w:fldChar w:fldCharType="begin"/>
      </w:r>
      <w:r w:rsidR="00225AF9" w:rsidRPr="00225AF9">
        <w:rPr>
          <w:szCs w:val="24"/>
        </w:rPr>
        <w:instrText xml:space="preserve"> REF _Ref453339849 \h </w:instrText>
      </w:r>
      <w:r w:rsidR="00225AF9">
        <w:rPr>
          <w:szCs w:val="24"/>
        </w:rPr>
        <w:instrText xml:space="preserve"> \* MERGEFORMAT </w:instrText>
      </w:r>
      <w:r w:rsidR="00225AF9" w:rsidRPr="00225AF9">
        <w:rPr>
          <w:szCs w:val="24"/>
        </w:rPr>
      </w:r>
      <w:r w:rsidR="00225AF9" w:rsidRPr="00225AF9">
        <w:rPr>
          <w:szCs w:val="24"/>
        </w:rPr>
        <w:fldChar w:fldCharType="separate"/>
      </w:r>
      <w:r w:rsidR="00AA6926" w:rsidRPr="00AA6926">
        <w:rPr>
          <w:szCs w:val="24"/>
        </w:rPr>
        <w:t xml:space="preserve">Table </w:t>
      </w:r>
      <w:r w:rsidR="00AA6926" w:rsidRPr="00AA6926">
        <w:rPr>
          <w:noProof/>
          <w:szCs w:val="24"/>
        </w:rPr>
        <w:t>1</w:t>
      </w:r>
      <w:r w:rsidR="00AA6926" w:rsidRPr="00AA6926">
        <w:rPr>
          <w:noProof/>
          <w:szCs w:val="24"/>
        </w:rPr>
        <w:noBreakHyphen/>
        <w:t>4</w:t>
      </w:r>
      <w:r w:rsidR="00225AF9" w:rsidRPr="00225AF9">
        <w:rPr>
          <w:szCs w:val="24"/>
        </w:rPr>
        <w:fldChar w:fldCharType="end"/>
      </w:r>
      <w:r w:rsidR="00225AF9">
        <w:rPr>
          <w:szCs w:val="24"/>
        </w:rPr>
        <w:t xml:space="preserve"> that the presence of salt-containing buffers has an effect on the melting temperature recorded for stabilising cosolutes</w:t>
      </w:r>
      <w:r>
        <w:rPr>
          <w:szCs w:val="24"/>
        </w:rPr>
        <w:t>, which is a very simplistic example of cosolute mixtures</w:t>
      </w:r>
      <w:r w:rsidR="001E3B17">
        <w:rPr>
          <w:szCs w:val="24"/>
        </w:rPr>
        <w:t>’ effects on protein stability</w:t>
      </w:r>
      <w:r w:rsidR="00225AF9">
        <w:rPr>
          <w:szCs w:val="24"/>
        </w:rPr>
        <w:t>. E</w:t>
      </w:r>
      <w:r w:rsidR="00DA584C">
        <w:rPr>
          <w:szCs w:val="24"/>
        </w:rPr>
        <w:t>qually the counteracting effect</w:t>
      </w:r>
      <w:r w:rsidR="00225AF9">
        <w:rPr>
          <w:szCs w:val="24"/>
        </w:rPr>
        <w:t xml:space="preserve"> of methylamines to </w:t>
      </w:r>
      <w:r w:rsidR="0078301D">
        <w:rPr>
          <w:szCs w:val="24"/>
        </w:rPr>
        <w:t xml:space="preserve">the protein destabilisation by </w:t>
      </w:r>
      <w:r w:rsidR="00DA584C">
        <w:rPr>
          <w:szCs w:val="24"/>
        </w:rPr>
        <w:t>urea in cell biology is</w:t>
      </w:r>
      <w:r w:rsidR="00225AF9">
        <w:rPr>
          <w:szCs w:val="24"/>
        </w:rPr>
        <w:t xml:space="preserve"> well-documented </w:t>
      </w:r>
      <w:r w:rsidR="00225AF9">
        <w:rPr>
          <w:szCs w:val="24"/>
        </w:rPr>
        <w:fldChar w:fldCharType="begin" w:fldLock="1"/>
      </w:r>
      <w:r w:rsidR="00E11F61">
        <w:rPr>
          <w:szCs w:val="24"/>
        </w:rPr>
        <w:instrText>ADDIN CSL_CITATION { "citationItems" : [ { "id" : "ITEM-1", "itemData" : { "DOI" : "10.1002/jez.1402120207", "ISBN" : "0022-104X", "ISSN" : "0022-104X", "author" : [ { "dropping-particle" : "", "family" : "Yancey", "given" : "P H", "non-dropping-particle" : "", "parse-names" : false, "suffix" : "" }, { "dropping-particle" : "", "family" : "Somero", "given" : "G N", "non-dropping-particle" : "", "parse-names" : false, "suffix" : "" } ], "container-title" : "Journal of Experimental Biology", "id" : "ITEM-1", "issued" : { "date-parts" : [ [ "1980" ] ] }, "page" : "205-213", "title" : "Methylamine osmoregulatory solutes of elasmobranch fishes counteract urea inhibition of enzymes", "type" : "article-journal", "volume" : "212" }, "uris" : [ "http://www.mendeley.com/documents/?uuid=557c0ed4-06a2-40f4-bad3-bc899a1584b3" ] }, { "id" : "ITEM-2", "itemData" : { "author" : [ { "dropping-particle" : "", "family" : "Lin", "given" : "T Y", "non-dropping-particle" : "", "parse-names" : false, "suffix" : "" }, { "dropping-particle" : "", "family" : "Timasheff", "given" : "S N", "non-dropping-particle" : "", "parse-names" : false, "suffix" : "" } ], "container-title" : "Biochemistry", "id" : "ITEM-2", "issued" : { "date-parts" : [ [ "1994" ] ] }, "page" : "12695-12701", "title" : "Why do some organisms use a urea-methylamine mixture as osmolyte? Thermodynamic compensation of urea and trimethylamine N-oxide interactions with protein", "type" : "article-journal", "volume" : "33" }, "uris" : [ "http://www.mendeley.com/documents/?uuid=1ab61bfa-d914-40da-8f49-814f9b80d429" ] }, { "id" : "ITEM-3", "itemData" : { "DOI" : "10.1021/bi970247h", "ISSN" : "0006-2960", "PMID" : "9230042", "abstract" : "Trimethylamine N-oxide (TMAO) is a solute concentrated in the urea-rich cells of elasmobranchs and coelacanth to offset the damaging effects of urea on intracellular protein structure and function. On the basis of transfer free energy measurements, favorable interaction of TMAO with amino acid side chains promote protein denaturation. This effect is more than offset by highly unfavorable TMAO-peptide backbone interactions that not only oppose denaturation but also provide stabilization against denaturation by urea. By combining transfer free energies of side chains and backbone with surface area exposure in the native and unfolded states of ribonuclease T1, the transfer free energies of native and unfolded protein from water to 1 M TMAO are estimated as 1.7 and 5.9 kcal/mol, respectively. These estimates agree favorably with the respective values of 1.2 and 5.4 kcal/mol determined experimentally by Lin and Timasheff [(1994) Biochemistry 33, 12695-12701]. The unfavorable transfer free energies of native and unfolded protein from water to TMAO provides a molecular level rationale for preferential hydration of proteins by osmolytes. Promotion of denaturation by urea is found to be offset by TMAO in a manner that is roughly additive of the combined effects of both solutes. The favorable interaction of urea with the backbone provides the dominant driving force for protein unfolding by this denaturant, and the unfavorable interaction of TMAO with backbone is the dominant force opposing urea denaturation. In solutions that contain significant organic solute concentration, the ascendance of the role of the peptide backbone over that of side chains can explain many observed effects in protein denaturation and stability induced by a variety of stabilizing and destabilizing organic solutes.", "author" : [ { "dropping-particle" : "", "family" : "Wang", "given" : "A", "non-dropping-particle" : "", "parse-names" : false, "suffix" : "" }, { "dropping-particle" : "", "family" : "Bolen", "given" : "D W", "non-dropping-particle" : "", "parse-names" : false, "suffix" : "" } ], "container-title" : "Biochemistry", "id" : "ITEM-3", "issued" : { "date-parts" : [ [ "1997", "7", "29" ] ] }, "page" : "9101-9108", "title" : "A naturally occurring protective system in urea-rich cells: Mechanism of osmolyte protection of proteins against urea denaturation", "type" : "article-journal", "volume" : "36" }, "uris" : [ "http://www.mendeley.com/documents/?uuid=54f240e9-a97b-41be-b322-ac99e427637c" ] }, { "id" : "ITEM-4", "itemData" : { "DOI" : "10.3184/003685004783238599", "ISBN" : "0036-8504 (Print)", "ISSN" : "00368504", "PMID" : "15651637", "abstract" : "Cells of many organisms accumulate certain small organic molecules--called compatible and counteracting solutes, compensatory solutes, or chemical chaperones--in response to certain physical stresses. These solutes include certain carbohydrates, amino acids, methylamine and methylsulphonium zwitterions, and urea. In osmotic dehydrating stress, these solutes serve as cellular osmolytes. Unlike common salt ions and urea (which inhibit proteins), some organic osmolytes are compatible; i.e., they do not perturb macromolecules such as proteins. In addition, some may protect cells through metabolic processes such as antioxidation reactions and sulphide detoxification. Other osmolytes, and identical or similar solutes accumulated in anhydrobiotic, heat and pressure stresses, are termed counteracting solutes or chemical chaperones because they stabilise proteins and counteract protein-destabilising factors such as urea, temperature, salt, and hydrostatic pressure. Stabilisation of proteins, not necessarily beneficial in the absence of a perturbant, may result indirectly from effects on water structure. Osmotic shrinkage of cells activates genes for chaperone proteins and osmolytes by mechanisms still being elucidated. These solutes have applications in agriculture, medicine and biotechnology.", "author" : [ { "dropping-particle" : "", "family" : "Yancey", "given" : "P H", "non-dropping-particle" : "", "parse-names" : false, "suffix" : "" } ], "container-title" : "Science Progress", "id" : "ITEM-4", "issued" : { "date-parts" : [ [ "2004" ] ] }, "page" : "1-24", "title" : "Compatible and counteracting solutes: Protecting cells from the Dead Sea to the deep sea", "type" : "article-journal", "volume" : "87" }, "uris" : [ "http://www.mendeley.com/documents/?uuid=4ec09f64-a904-4f4c-8266-c5d6806e1d60" ] } ], "mendeley" : { "formattedCitation" : "(Yancey &amp; Somero 1980; Lin &amp; Timasheff 1994; Wang &amp; Bolen 1997; Yancey 2004)", "plainTextFormattedCitation" : "(Yancey &amp; Somero 1980; Lin &amp; Timasheff 1994; Wang &amp; Bolen 1997; Yancey 2004)", "previouslyFormattedCitation" : "(Yancey &amp; Somero 1980; Lin &amp; Timasheff 1994; Wang &amp; Bolen 1997; Yancey 2004)" }, "properties" : { "noteIndex" : 0 }, "schema" : "https://github.com/citation-style-language/schema/raw/master/csl-citation.json" }</w:instrText>
      </w:r>
      <w:r w:rsidR="00225AF9">
        <w:rPr>
          <w:szCs w:val="24"/>
        </w:rPr>
        <w:fldChar w:fldCharType="separate"/>
      </w:r>
      <w:r w:rsidR="00225AF9" w:rsidRPr="00225AF9">
        <w:rPr>
          <w:noProof/>
          <w:szCs w:val="24"/>
        </w:rPr>
        <w:t>(Yancey &amp; Somero 1980; Lin &amp; Timasheff 1994; Wang &amp; Bolen 1997; Yancey 2004)</w:t>
      </w:r>
      <w:r w:rsidR="00225AF9">
        <w:rPr>
          <w:szCs w:val="24"/>
        </w:rPr>
        <w:fldChar w:fldCharType="end"/>
      </w:r>
      <w:r w:rsidR="0078301D">
        <w:rPr>
          <w:szCs w:val="24"/>
        </w:rPr>
        <w:t xml:space="preserve">. </w:t>
      </w:r>
      <w:r w:rsidR="008425B8">
        <w:rPr>
          <w:szCs w:val="24"/>
        </w:rPr>
        <w:t>Some of the major examples of mixed cosolutes are discussed below. It is clear from the literature that t</w:t>
      </w:r>
      <w:r>
        <w:rPr>
          <w:szCs w:val="24"/>
        </w:rPr>
        <w:t>here is currently no consensus on whether cosolutes when present in mixtures act in</w:t>
      </w:r>
      <w:r w:rsidR="008425B8">
        <w:rPr>
          <w:szCs w:val="24"/>
        </w:rPr>
        <w:t>dependently or synergistically.</w:t>
      </w:r>
    </w:p>
    <w:p w14:paraId="4C72C20F" w14:textId="77777777" w:rsidR="00E446D0" w:rsidRDefault="00206E29" w:rsidP="00F45FAF">
      <w:pPr>
        <w:pStyle w:val="Heading3"/>
      </w:pPr>
      <w:bookmarkStart w:id="107" w:name="_Ref460078607"/>
      <w:bookmarkStart w:id="108" w:name="_Toc485712760"/>
      <w:r>
        <w:t>Counteraction of urea by methylamines</w:t>
      </w:r>
      <w:bookmarkEnd w:id="107"/>
      <w:bookmarkEnd w:id="108"/>
    </w:p>
    <w:p w14:paraId="698B9E3A" w14:textId="77777777" w:rsidR="001E3B17" w:rsidRDefault="001E3B17" w:rsidP="001E3B17">
      <w:r>
        <w:t xml:space="preserve">It is well documented that the denaturing and destabilising effects of urea can be counteracted by the presence of methylamines at a ratio of 2:1 urea: methylamine </w:t>
      </w:r>
      <w:r>
        <w:fldChar w:fldCharType="begin" w:fldLock="1"/>
      </w:r>
      <w:r>
        <w:instrText>ADDIN CSL_CITATION { "citationItems" : [ { "id" : "ITEM-1", "itemData" : { "DOI" : "10.1002/jez.1402120207", "ISBN" : "0022-104X", "ISSN" : "0022-104X", "author" : [ { "dropping-particle" : "", "family" : "Yancey", "given" : "P H", "non-dropping-particle" : "", "parse-names" : false, "suffix" : "" }, { "dropping-particle" : "", "family" : "Somero", "given" : "G N", "non-dropping-particle" : "", "parse-names" : false, "suffix" : "" } ], "container-title" : "Journal of Experimental Biology", "id" : "ITEM-1", "issued" : { "date-parts" : [ [ "1980" ] ] }, "page" : "205-213", "title" : "Methylamine osmoregulatory solutes of elasmobranch fishes counteract urea inhibition of enzymes", "type" : "article-journal", "volume" : "212" }, "uris" : [ "http://www.mendeley.com/documents/?uuid=557c0ed4-06a2-40f4-bad3-bc899a1584b3" ] } ], "mendeley" : { "formattedCitation" : "(Yancey &amp; Somero 1980)", "plainTextFormattedCitation" : "(Yancey &amp; Somero 1980)", "previouslyFormattedCitation" : "(Yancey &amp; Somero 1980)" }, "properties" : { "noteIndex" : 0 }, "schema" : "https://github.com/citation-style-language/schema/raw/master/csl-citation.json" }</w:instrText>
      </w:r>
      <w:r>
        <w:fldChar w:fldCharType="separate"/>
      </w:r>
      <w:r w:rsidRPr="001E3B17">
        <w:rPr>
          <w:noProof/>
        </w:rPr>
        <w:t>(Yancey &amp; Somero 1980)</w:t>
      </w:r>
      <w:r>
        <w:fldChar w:fldCharType="end"/>
      </w:r>
      <w:r>
        <w:t xml:space="preserve">. This is a combination that is commonly used as a protective strategy against osmotic stress by a number of organisms including cartilaginous marine fishes, coelacanth, and in mammalian kidneys </w:t>
      </w:r>
      <w:r>
        <w:fldChar w:fldCharType="begin" w:fldLock="1"/>
      </w:r>
      <w:r w:rsidR="00D65023">
        <w:instrText>ADDIN CSL_CITATION { "citationItems" : [ { "id" : "ITEM-1", "itemData" : { "author" : [ { "dropping-particle" : "", "family" : "Yancey", "given" : "P H", "non-dropping-particle" : "", "parse-names" : false, "suffix" : "" }, { "dropping-particle" : "", "family" : "Clark", "given" : "M E", "non-dropping-particle" : "", "parse-names" : false, "suffix" : "" }, { "dropping-particle" : "", "family" : "Hand", "given" : "S C", "non-dropping-particle" : "", "parse-names" : false, "suffix" : "" }, { "dropping-particle" : "", "family" : "Bowlus", "given" : "R D", "non-dropping-particle" : "", "parse-names" : false, "suffix" : "" }, { "dropping-particle" : "", "family" : "Somero", "given" : "G N", "non-dropping-particle" : "", "parse-names" : false, "suffix" : "" } ], "container-title" : "Science", "id" : "ITEM-1", "issued" : { "date-parts" : [ [ "1982" ] ] }, "page" : "1214-1222", "title" : "Living with water stress: Evolution of osmolyte systems", "type" : "article-journal", "volume" : "217" }, "uris" : [ "http://www.mendeley.com/documents/?uuid=5c0ecbac-0ed5-485c-b4bd-8986742136e1" ] } ], "mendeley" : { "formattedCitation" : "(Yancey et al. 1982)", "plainTextFormattedCitation" : "(Yancey et al. 1982)", "previouslyFormattedCitation" : "(Yancey et al. 1982)" }, "properties" : { "noteIndex" : 0 }, "schema" : "https://github.com/citation-style-language/schema/raw/master/csl-citation.json" }</w:instrText>
      </w:r>
      <w:r>
        <w:fldChar w:fldCharType="separate"/>
      </w:r>
      <w:r w:rsidRPr="001E3B17">
        <w:rPr>
          <w:noProof/>
        </w:rPr>
        <w:t>(Yancey et al. 1982)</w:t>
      </w:r>
      <w:r>
        <w:fldChar w:fldCharType="end"/>
      </w:r>
      <w:r>
        <w:t xml:space="preserve">. Despite both urea and methylamines alone being potentially deleterious to protein function, it is thought that this system evolved </w:t>
      </w:r>
      <w:r w:rsidR="00926853">
        <w:t xml:space="preserve">in order to utilise urea as an osmolyte in cells where it is present without the need for cells to evolve specialised proteins. Although the specific ratios </w:t>
      </w:r>
      <w:r w:rsidR="002338F9">
        <w:t>in which urea and methylamines exist naturally</w:t>
      </w:r>
      <w:r w:rsidR="00926853">
        <w:t xml:space="preserve"> are well established, the mechanisms by which this counteraction occurs are not.</w:t>
      </w:r>
    </w:p>
    <w:p w14:paraId="2C41FCAD" w14:textId="77777777" w:rsidR="00926853" w:rsidRDefault="00926853" w:rsidP="001E3B17">
      <w:r>
        <w:t xml:space="preserve">A number of studies indicate that urea and methylamines even when present in a mixture act independently and additively on proteins. This suggests that </w:t>
      </w:r>
      <w:r w:rsidR="00D65023">
        <w:t>the mechanisms by which they act on proteins will be similar to those responsible when they are not present in a mixture. This has been shown experimentally for</w:t>
      </w:r>
      <w:r w:rsidR="00537F0F">
        <w:t xml:space="preserve"> urea with both</w:t>
      </w:r>
      <w:r w:rsidR="00D65023">
        <w:t xml:space="preserve"> sarcosine </w:t>
      </w:r>
      <w:r w:rsidR="00D65023">
        <w:fldChar w:fldCharType="begin" w:fldLock="1"/>
      </w:r>
      <w:r w:rsidR="00D65023">
        <w:instrText>ADDIN CSL_CITATION { "citationItems" : [ { "id" : "ITEM-1", "itemData" : { "DOI" : "10.1110/ps.062610407.to", "author" : [ { "dropping-particle" : "", "family" : "Holthauzen", "given" : "L M F", "non-dropping-particle" : "", "parse-names" : false, "suffix" : "" }, { "dropping-particle" : "", "family" : "Bolen", "given" : "D W", "non-dropping-particle" : "", "parse-names" : false, "suffix" : "" } ], "container-title" : "Protein Science", "id" : "ITEM-1", "issued" : { "date-parts" : [ [ "2007" ] ] }, "page" : "293-298", "title" : "Mixed osmolytes: The degree to which one osmolyte affects the protein stabilizing ability of another", "type" : "article-journal", "volume" : "16" }, "uris" : [ "http://www.mendeley.com/documents/?uuid=840e7504-edb7-4e01-b86f-415d435b9167" ] } ], "mendeley" : { "formattedCitation" : "(Holthauzen &amp; Bolen 2007)", "plainTextFormattedCitation" : "(Holthauzen &amp; Bolen 2007)", "previouslyFormattedCitation" : "(Holthauzen &amp; Bolen 2007)" }, "properties" : { "noteIndex" : 0 }, "schema" : "https://github.com/citation-style-language/schema/raw/master/csl-citation.json" }</w:instrText>
      </w:r>
      <w:r w:rsidR="00D65023">
        <w:fldChar w:fldCharType="separate"/>
      </w:r>
      <w:r w:rsidR="00D65023" w:rsidRPr="00D65023">
        <w:rPr>
          <w:noProof/>
        </w:rPr>
        <w:t>(Holthauzen &amp; Bolen 2007)</w:t>
      </w:r>
      <w:r w:rsidR="00D65023">
        <w:fldChar w:fldCharType="end"/>
      </w:r>
      <w:r w:rsidR="00D65023">
        <w:t xml:space="preserve"> and TMAO </w:t>
      </w:r>
      <w:r w:rsidR="00D65023">
        <w:fldChar w:fldCharType="begin" w:fldLock="1"/>
      </w:r>
      <w:r w:rsidR="005173D5">
        <w:instrText>ADDIN CSL_CITATION { "citationItems" : [ { "id" : "ITEM-1", "itemData" : { "DOI" : "10.1110/ps.0372903", "ISBN" : "0961-8368", "ISSN" : "0961-8368", "PMID" : "12824497", "abstract" : "Standard methods for measuring free energy of protein unfolding by chemical denaturation require complete folding at low concentrations of denaturant so that a native baseline can be observed. Alternatively, proteins that are completely unfolded in the absence of denaturant can be folded by addition of the osmolyte trimethylamine N-oxide (TMAO), and the unfolding free energy can then be calculated through analysis of the refolding transition. However, neither chemical denaturation nor osmolyte-induced refolding alone is sufficient to yield accurate thermodynamic unfolding parameters for partly folded proteins, because neither method produces both native and denatured baselines in a single transition. Here we combine urea denaturation and TMAO stabilization as a means to bring about baseline-resolved structural transitions in partly folded proteins. For Barnase and the Notch ankyrin domain, which both show two-state equilibrium unfolding, we found that DeltaG degrees for unfolding depends linearly on TMAO concentration, and that the sensitivity of DeltaG degrees to urea (the m-value) is TMAO independent. This second observation confirms that urea and TMAO exert independent effects on stability over the range of cosolvent concentrations required to bring about baseline-resolved structural transitions. Thermodynamic parameters calculated using a global fit that assumes additive, linear dependence of DeltaG degrees on each cosolvent are similar to those obtained by standard urea-induced unfolding in the absence of TMAO. Finally, we demonstrate the applicability of this method to measurement of the free energy of unfolding of a partly folded protein, a fragment of the full-length Notch ankyrin domain.", "author" : [ { "dropping-particle" : "", "family" : "Mello", "given" : "C C", "non-dropping-particle" : "", "parse-names" : false, "suffix" : "" }, { "dropping-particle" : "", "family" : "Barrick", "given" : "D", "non-dropping-particle" : "", "parse-names" : false, "suffix" : "" } ], "container-title" : "Protein Science", "id" : "ITEM-1", "issued" : { "date-parts" : [ [ "2003" ] ] }, "page" : "1522-1529", "title" : "Measuring the stability of partly folded proteins using TMAO", "type" : "article-journal", "volume" : "12" }, "uris" : [ "http://www.mendeley.com/documents/?uuid=70152990-2712-4fd3-8dc9-415ea064bec3" ] } ], "mendeley" : { "formattedCitation" : "(Mello &amp; Barrick 2003)", "plainTextFormattedCitation" : "(Mello &amp; Barrick 2003)", "previouslyFormattedCitation" : "(Mello &amp; Barrick 2003)" }, "properties" : { "noteIndex" : 0 }, "schema" : "https://github.com/citation-style-language/schema/raw/master/csl-citation.json" }</w:instrText>
      </w:r>
      <w:r w:rsidR="00D65023">
        <w:fldChar w:fldCharType="separate"/>
      </w:r>
      <w:r w:rsidR="00D65023" w:rsidRPr="00D65023">
        <w:rPr>
          <w:noProof/>
        </w:rPr>
        <w:t>(Mello &amp; Barrick 2003)</w:t>
      </w:r>
      <w:r w:rsidR="00D65023">
        <w:fldChar w:fldCharType="end"/>
      </w:r>
      <w:r w:rsidR="005173D5">
        <w:t xml:space="preserve">. Preferential interaction data also support additivity, with TMAO having no effect on </w:t>
      </w:r>
      <w:r w:rsidR="005173D5">
        <w:lastRenderedPageBreak/>
        <w:t>urea’s prefe</w:t>
      </w:r>
      <w:r w:rsidR="00537F0F">
        <w:t>rential interaction parameters with</w:t>
      </w:r>
      <w:r w:rsidR="005173D5">
        <w:t xml:space="preserve"> both native and denatured proteins </w:t>
      </w:r>
      <w:r w:rsidR="005173D5">
        <w:fldChar w:fldCharType="begin" w:fldLock="1"/>
      </w:r>
      <w:r w:rsidR="005173D5">
        <w:instrText>ADDIN CSL_CITATION { "citationItems" : [ { "id" : "ITEM-1", "itemData" : { "author" : [ { "dropping-particle" : "", "family" : "Lin", "given" : "T Y", "non-dropping-particle" : "", "parse-names" : false, "suffix" : "" }, { "dropping-particle" : "", "family" : "Timasheff", "given" : "S N", "non-dropping-particle" : "", "parse-names" : false, "suffix" : "" } ], "container-title" : "Biochemistry", "id" : "ITEM-1", "issued" : { "date-parts" : [ [ "1994" ] ] }, "page" : "12695-12701", "title" : "Why do some organisms use a urea-methylamine mixture as osmolyte? Thermodynamic compensation of urea and trimethylamine N-oxide interactions with protein", "type" : "article-journal", "volume" : "33" }, "uris" : [ "http://www.mendeley.com/documents/?uuid=1ab61bfa-d914-40da-8f49-814f9b80d429" ] } ], "mendeley" : { "formattedCitation" : "(Lin &amp; Timasheff 1994)", "plainTextFormattedCitation" : "(Lin &amp; Timasheff 1994)", "previouslyFormattedCitation" : "(Lin &amp; Timasheff 1994)" }, "properties" : { "noteIndex" : 0 }, "schema" : "https://github.com/citation-style-language/schema/raw/master/csl-citation.json" }</w:instrText>
      </w:r>
      <w:r w:rsidR="005173D5">
        <w:fldChar w:fldCharType="separate"/>
      </w:r>
      <w:r w:rsidR="005173D5" w:rsidRPr="005173D5">
        <w:rPr>
          <w:noProof/>
        </w:rPr>
        <w:t>(Lin &amp; Timasheff 1994)</w:t>
      </w:r>
      <w:r w:rsidR="005173D5">
        <w:fldChar w:fldCharType="end"/>
      </w:r>
      <w:r w:rsidR="005173D5">
        <w:t>.</w:t>
      </w:r>
      <w:r w:rsidR="008425B8">
        <w:t xml:space="preserve"> However, this counteraction ability is unique to the methylamines amongst the osmolyte classes </w:t>
      </w:r>
      <w:r w:rsidR="008425B8">
        <w:fldChar w:fldCharType="begin" w:fldLock="1"/>
      </w:r>
      <w:r w:rsidR="007228DB">
        <w:instrText>ADDIN CSL_CITATION { "citationItems" : [ { "id" : "ITEM-1", "itemData" : { "ISSN" : "1875-5305", "PMID" : "22670764", "abstract" : "Kidney cells of animals including human and marine invertebrates contain high amount of the protein denaturant, urea. Methylamine osmolytes are generally believed to offset the harmful effects of urea on proteins in vitro and in vivo. In this study we have investigated the possibility of glycine to counteract the effects of urea on three proteins by measuring thermodynamic stability, \u0394GD\u00b0 and functional activity parameters (K(m) and k(cat)). We discovered that glycine does not counteract the effects of urea in terms of both protein stability and functional activity. We also observed that the glycine alone is compatible with enzymes function and increases protein stability in terms of T(m) (midpoint of thermal denaturation) to a great extent. Our study indicates that a most probable reason for the absence of a stabilizing osmolyte, glycine in the urea-rich cells is due to the fact that this osmolyte is non-protective to macromolecules against the hostile effects of urea, and hence is not chosen by evolutionary selection pressure.", "author" : [ { "dropping-particle" : "", "family" : "Khan", "given" : "S", "non-dropping-particle" : "", "parse-names" : false, "suffix" : "" }, { "dropping-particle" : "", "family" : "Bano", "given" : "Z", "non-dropping-particle" : "", "parse-names" : false, "suffix" : "" }, { "dropping-particle" : "", "family" : "Singh", "given" : "L R", "non-dropping-particle" : "", "parse-names" : false, "suffix" : "" }, { "dropping-particle" : "", "family" : "Hassan", "given" : "M I", "non-dropping-particle" : "", "parse-names" : false, "suffix" : "" }, { "dropping-particle" : "", "family" : "Islam", "given" : "A", "non-dropping-particle" : "", "parse-names" : false, "suffix" : "" }, { "dropping-particle" : "", "family" : "Ahmad", "given" : "F", "non-dropping-particle" : "", "parse-names" : false, "suffix" : "" } ], "container-title" : "Protein &amp; Peptide Letters", "id" : "ITEM-1", "issued" : { "date-parts" : [ [ "2013", "1" ] ] }, "page" : "61-70", "title" : "Why is glycine not a part of the osmoticum in the urea-rich cells?", "type" : "article-journal", "volume" : "20" }, "uris" : [ "http://www.mendeley.com/documents/?uuid=7592d111-6424-49b8-be93-f3f221b323b9" ] } ], "mendeley" : { "formattedCitation" : "(Khan et al. 2013b)", "plainTextFormattedCitation" : "(Khan et al. 2013b)", "previouslyFormattedCitation" : "(Khan et al. 2013b)" }, "properties" : { "noteIndex" : 0 }, "schema" : "https://github.com/citation-style-language/schema/raw/master/csl-citation.json" }</w:instrText>
      </w:r>
      <w:r w:rsidR="008425B8">
        <w:fldChar w:fldCharType="separate"/>
      </w:r>
      <w:r w:rsidR="0064368A" w:rsidRPr="0064368A">
        <w:rPr>
          <w:noProof/>
        </w:rPr>
        <w:t>(Khan et al. 2013b)</w:t>
      </w:r>
      <w:r w:rsidR="008425B8">
        <w:fldChar w:fldCharType="end"/>
      </w:r>
      <w:r w:rsidR="008425B8">
        <w:t>, which would suggest that additive mechanisms are not responsible</w:t>
      </w:r>
      <w:r w:rsidR="009451CB">
        <w:t xml:space="preserve"> as other stabilising cosolutes would also be able to counteract urea’s destabilisation</w:t>
      </w:r>
      <w:r w:rsidR="008425B8">
        <w:t>.</w:t>
      </w:r>
    </w:p>
    <w:p w14:paraId="7A873802" w14:textId="77777777" w:rsidR="001D14E5" w:rsidRPr="005173D5" w:rsidRDefault="005173D5" w:rsidP="001E3B17">
      <w:r>
        <w:t xml:space="preserve">There is also a plethora of evidence to suggest </w:t>
      </w:r>
      <w:r w:rsidR="00537F0F">
        <w:t>the opposite of this; that urea-</w:t>
      </w:r>
      <w:r>
        <w:t>methylamine mixtures act in a synergistic manner on proteins. A similar experimental study to those described above, using the same marginally stable protein (notch-ankyrin domain), demonstrated that using urea-TMAO mixtures results in urea being a less effective denaturant and T</w:t>
      </w:r>
      <w:r w:rsidR="00537F0F">
        <w:t>MAO a more effective stabiliser. This</w:t>
      </w:r>
      <w:r>
        <w:t xml:space="preserve"> was attributed to protein surface effects</w:t>
      </w:r>
      <w:r w:rsidR="00537F0F">
        <w:t xml:space="preserve"> due to a more expanded denatured state</w:t>
      </w:r>
      <w:r>
        <w:t xml:space="preserve"> </w:t>
      </w:r>
      <w:r>
        <w:fldChar w:fldCharType="begin" w:fldLock="1"/>
      </w:r>
      <w:r w:rsidR="001D14E5">
        <w:instrText>ADDIN CSL_CITATION { "citationItems" : [ { "id" : "ITEM-1", "itemData" : { "author" : [ { "dropping-particle" : "", "family" : "Rosgen", "given" : "J", "non-dropping-particle" : "", "parse-names" : false, "suffix" : "" } ], "container-title" : "Journal of Physical Chemistry B", "id" : "ITEM-1", "issued" : { "date-parts" : [ [ "2015" ] ] }, "page" : "150-157", "title" : "Synergy in protein-osmolyte mixtures", "type" : "article-journal", "volume" : "119" }, "uris" : [ "http://www.mendeley.com/documents/?uuid=e705f93e-99a6-4d71-9a60-ea0717c6dbda" ] } ], "mendeley" : { "formattedCitation" : "(Rosgen 2015)", "plainTextFormattedCitation" : "(Rosgen 2015)", "previouslyFormattedCitation" : "(Rosgen 2015)" }, "properties" : { "noteIndex" : 0 }, "schema" : "https://github.com/citation-style-language/schema/raw/master/csl-citation.json" }</w:instrText>
      </w:r>
      <w:r>
        <w:fldChar w:fldCharType="separate"/>
      </w:r>
      <w:r w:rsidRPr="005173D5">
        <w:rPr>
          <w:noProof/>
        </w:rPr>
        <w:t>(Rosgen 2015)</w:t>
      </w:r>
      <w:r>
        <w:fldChar w:fldCharType="end"/>
      </w:r>
      <w:r>
        <w:t xml:space="preserve">. </w:t>
      </w:r>
      <w:r w:rsidR="001D14E5">
        <w:t xml:space="preserve">Other experimental studies </w:t>
      </w:r>
      <w:r w:rsidR="00537F0F">
        <w:t xml:space="preserve">have proven </w:t>
      </w:r>
      <w:r w:rsidR="001D14E5">
        <w:t xml:space="preserve">a synergistic effect of all methylamines with urea </w:t>
      </w:r>
      <w:r w:rsidR="00537F0F">
        <w:t xml:space="preserve">on α-chymotrypsin </w:t>
      </w:r>
      <w:r w:rsidR="001D14E5">
        <w:fldChar w:fldCharType="begin" w:fldLock="1"/>
      </w:r>
      <w:r w:rsidR="001D14E5">
        <w:instrText>ADDIN CSL_CITATION { "citationItems" : [ { "id" : "ITEM-1", "itemData" : { "DOI" : "10.1021/jp8113013", "author" : [ { "dropping-particle" : "", "family" : "Venkatesu", "given" : "P", "non-dropping-particle" : "", "parse-names" : false, "suffix" : "" }, { "dropping-particle" : "", "family" : "Lee", "given" : "M J", "non-dropping-particle" : "", "parse-names" : false, "suffix" : "" }, { "dropping-particle" : "", "family" : "Lin", "given" : "H M", "non-dropping-particle" : "", "parse-names" : false, "suffix" : "" } ], "container-title" : "Journal of Physical Chemistry B", "id" : "ITEM-1", "issued" : { "date-parts" : [ [ "2009" ] ] }, "page" : "5327-5338", "title" : "Osmolyte counteracts urea-induced denaturation of a-chymotrypsin", "type" : "article-journal", "volume" : "113" }, "uris" : [ "http://www.mendeley.com/documents/?uuid=d7b014ef-cccc-4287-8891-735d9f03de58" ] } ], "mendeley" : { "formattedCitation" : "(Venkatesu et al. 2009)", "plainTextFormattedCitation" : "(Venkatesu et al. 2009)", "previouslyFormattedCitation" : "(Venkatesu et al. 2009)" }, "properties" : { "noteIndex" : 0 }, "schema" : "https://github.com/citation-style-language/schema/raw/master/csl-citation.json" }</w:instrText>
      </w:r>
      <w:r w:rsidR="001D14E5">
        <w:fldChar w:fldCharType="separate"/>
      </w:r>
      <w:r w:rsidR="001D14E5" w:rsidRPr="001D14E5">
        <w:rPr>
          <w:noProof/>
        </w:rPr>
        <w:t>(Venkatesu et al. 2009)</w:t>
      </w:r>
      <w:r w:rsidR="001D14E5">
        <w:fldChar w:fldCharType="end"/>
      </w:r>
      <w:r w:rsidR="001D14E5">
        <w:t xml:space="preserve">, and cyclic dipeptides </w:t>
      </w:r>
      <w:r w:rsidR="001D14E5">
        <w:fldChar w:fldCharType="begin" w:fldLock="1"/>
      </w:r>
      <w:r w:rsidR="001D14E5">
        <w:instrText>ADDIN CSL_CITATION { "citationItems" : [ { "id" : "ITEM-1", "itemData" : { "DOI" : "10.1016/j.abb.2007.07.004", "ISSN" : "0003-9861", "PMID" : "17697669", "abstract" : "To understand trimethylamine N-oxide (TMAO) attenuation of the denaturating effects of urea or guanidine hydrochloride (GdnHCl), we have determined the apparent transfer free energies (DeltaG(tr)(')) of cyclic dipeptides (CDs) from water to TMAO, urea or GdnHCl, and also the blends of TMAO and denaturants (urea or GdnHCl) at a 1:2 ratio as well as various denaturant concentrations in the presence of 1M TMAO, through the solubility measurements, at 25 degrees C. The CDs investigated in the present study included cyclo(Gly-Gly), cyclo(Ala-Ala) and cyclo(Val-Val). The observed DeltaG(tr)(') values indicate that TMAO can stabilize the CDs while urea or GdnHCl can destabilize the CDs. Furthermore, the DeltaG(tr)(') values of the blends of TMAO with urea or GdnHCl revealed that TMAO strongly counteracted the denaturating effects of urea on CDs in all instances, however, TMAO partially counteracted the perturbing effects of GdnHCl on CDs. TMAO counteraction ability of the deleterious effects of denaturants depended on the denaturant-CDs pair. The experimental results were further used to estimate the transfer free energies (Deltag(tr)(')) of the various functional group contributions from water to TMAO, urea or GdnHCl individually and to the combinations of TMAO and the denaturants in various ratios.", "author" : [ { "dropping-particle" : "", "family" : "Venkatesu", "given" : "P", "non-dropping-particle" : "", "parse-names" : false, "suffix" : "" }, { "dropping-particle" : "", "family" : "Lee", "given" : "M J", "non-dropping-particle" : "", "parse-names" : false, "suffix" : "" }, { "dropping-particle" : "", "family" : "Lin", "given" : "H", "non-dropping-particle" : "", "parse-names" : false, "suffix" : "" } ], "container-title" : "Archives of Biochemistry and Biophysics", "id" : "ITEM-1", "issued" : { "date-parts" : [ [ "2007", "10", "1" ] ] }, "page" : "106-115", "title" : "Trimethylamine N-oxide counteracts the denaturing effects of urea or GdnHCl on protein denatured state", "type" : "article-journal", "volume" : "466" }, "uris" : [ "http://www.mendeley.com/documents/?uuid=1f42e1fc-48d5-4d60-886d-e5897e8dd5f5" ] } ], "mendeley" : { "formattedCitation" : "(Venkatesu et al. 2007)", "plainTextFormattedCitation" : "(Venkatesu et al. 2007)", "previouslyFormattedCitation" : "(Venkatesu et al. 2007)" }, "properties" : { "noteIndex" : 0 }, "schema" : "https://github.com/citation-style-language/schema/raw/master/csl-citation.json" }</w:instrText>
      </w:r>
      <w:r w:rsidR="001D14E5">
        <w:fldChar w:fldCharType="separate"/>
      </w:r>
      <w:r w:rsidR="001D14E5" w:rsidRPr="001D14E5">
        <w:rPr>
          <w:noProof/>
        </w:rPr>
        <w:t>(Venkatesu et al. 2007)</w:t>
      </w:r>
      <w:r w:rsidR="001D14E5">
        <w:fldChar w:fldCharType="end"/>
      </w:r>
      <w:r w:rsidR="001D14E5">
        <w:t xml:space="preserve">. The synergistic effect has been mechanistically attributed to strong interaction of methylamines with both water and urea, meaning that methylamine solvation is preferred over protein solvation, making unfolding more unfavourable </w:t>
      </w:r>
      <w:r w:rsidR="001D14E5">
        <w:fldChar w:fldCharType="begin" w:fldLock="1"/>
      </w:r>
      <w:r w:rsidR="008425B8">
        <w:instrText>ADDIN CSL_CITATION { "citationItems" : [ { "id" : "ITEM-1", "itemData" : { "DOI" : "10.1021/ja0685506", "ISBN" : "0002-7863", "ISSN" : "0002-7863", "PMID" : "17373796", "abstract" : "The structural and energetic properties of solutions containing water, urea, and trimethylamine-N-oxide (TMAO) are examined using molecular dynamics simulations. Such systems are of interest mainly because TMAO acts to counter the protein denaturing effect of urea. Even at relatively high concentration, TMAO is found to fit well into the urea-water structure. The underlying solution structure is influenced by TMAO, but these perturbations tend to be modest. The TMAO-water and TMAO-urea interaction energies make an important contribution to the total energy in solutions where counter-denaturing effects are expected. TMAO-water and TMAO-urea hydrogen bonds have the largest hydrogen-bond energies in the system. Additionally, TMAO cannot hydrogen bond with itself, and hence it interacts strongly with water and urea. These observations suggest that the mechanism of TMAO counter denaturation is simply that water and urea prefer to solvate TMAO rather than the protein, hence inhibiting its unfolding.", "author" : [ { "dropping-particle" : "", "family" : "Paul", "given" : "S", "non-dropping-particle" : "", "parse-names" : false, "suffix" : "" }, { "dropping-particle" : "", "family" : "Patey", "given" : "G N", "non-dropping-particle" : "", "parse-names" : false, "suffix" : "" } ], "container-title" : "Journal of the American Chemical Society", "id" : "ITEM-1", "issued" : { "date-parts" : [ [ "2007" ] ] }, "page" : "4476-4482", "title" : "Structure and interaction in aqueous urea-trimethylamine-N-oxide solutions", "type" : "article-journal", "volume" : "129" }, "uris" : [ "http://www.mendeley.com/documents/?uuid=61fdeb02-cfe2-41f2-b51e-191401f585e8" ] } ], "mendeley" : { "formattedCitation" : "(Paul &amp; Patey 2007)", "plainTextFormattedCitation" : "(Paul &amp; Patey 2007)", "previouslyFormattedCitation" : "(Paul &amp; Patey 2007)" }, "properties" : { "noteIndex" : 0 }, "schema" : "https://github.com/citation-style-language/schema/raw/master/csl-citation.json" }</w:instrText>
      </w:r>
      <w:r w:rsidR="001D14E5">
        <w:fldChar w:fldCharType="separate"/>
      </w:r>
      <w:r w:rsidR="001D14E5" w:rsidRPr="001D14E5">
        <w:rPr>
          <w:noProof/>
        </w:rPr>
        <w:t>(Paul &amp; Patey 2007)</w:t>
      </w:r>
      <w:r w:rsidR="001D14E5">
        <w:fldChar w:fldCharType="end"/>
      </w:r>
      <w:r w:rsidR="001D14E5">
        <w:t xml:space="preserve">. </w:t>
      </w:r>
      <w:r>
        <w:t xml:space="preserve">All of these experimental studies used </w:t>
      </w:r>
      <w:r>
        <w:rPr>
          <w:i/>
        </w:rPr>
        <w:t>m</w:t>
      </w:r>
      <w:r>
        <w:t xml:space="preserve">-values to determine the effects of one cosolute on another. As described in section </w:t>
      </w:r>
      <w:r>
        <w:fldChar w:fldCharType="begin"/>
      </w:r>
      <w:r>
        <w:instrText xml:space="preserve"> REF _Ref453342046 \r \h </w:instrText>
      </w:r>
      <w:r>
        <w:fldChar w:fldCharType="separate"/>
      </w:r>
      <w:r w:rsidR="00AA6926">
        <w:t>1.4</w:t>
      </w:r>
      <w:r>
        <w:fldChar w:fldCharType="end"/>
      </w:r>
      <w:r>
        <w:t xml:space="preserve">, </w:t>
      </w:r>
      <w:r>
        <w:rPr>
          <w:i/>
        </w:rPr>
        <w:t>m</w:t>
      </w:r>
      <w:r>
        <w:t>-values are not a reliable way of describing a cosolute’s effects on protein stability, due to the fact that most cosolutes do not affect</w:t>
      </w:r>
      <w:r w:rsidR="001D14E5">
        <w:t xml:space="preserve"> stability in a linear manner. </w:t>
      </w:r>
      <w:r w:rsidR="00537F0F">
        <w:t>However, a</w:t>
      </w:r>
      <w:r w:rsidR="001D14E5">
        <w:t xml:space="preserve"> number of molecular dynamics simulations have backed up</w:t>
      </w:r>
      <w:r w:rsidR="00537F0F">
        <w:t xml:space="preserve"> the synergistic effect of urea-</w:t>
      </w:r>
      <w:r w:rsidR="001D14E5">
        <w:t xml:space="preserve">methylamine mixtures </w:t>
      </w:r>
      <w:r w:rsidR="001D14E5">
        <w:fldChar w:fldCharType="begin" w:fldLock="1"/>
      </w:r>
      <w:r w:rsidR="00924827">
        <w:instrText>ADDIN CSL_CITATION { "citationItems" : [ { "id" : "ITEM-1", "itemData" : { "DOI" : "10.1063/1.4821615", "ISBN" : "1089-7690 (Electronic)\\r0021-9606 (Linking)", "ISSN" : "00219606", "PMID" : "24070312", "abstract" : "Glycine betaine (GB) is one of the most important osmolyte which is known to stabilize proteins as well as counteract the denaturing effect of urea. There have been many studies indicating protein stabilization and counteraction of the effect of urea by GB. However, the exact mechanism of counteraction is still debated and is of important research interest. In this study, distribution functions, hydrogen bonds, and energetics were analysed to understand different interactions between GB and urea, and their solvation properties in presence of each other. The results show that in the GB-urea mixture, GB acted as a stronger osmolyte and urea became a weaker denaturing agent than its individual counterparts. The increase in the solvation of urea and GB in GB-urea mixture and their mutual interactions through hydrogen bonding and coulombic energy resulted in more involvement of GB and urea with solvent as well as with themselves. This might result in the increase of the exclusion of GB from protein surface and decrease in the protein-urea interactions in the mixture. This synergistic behavior might be the prime reason for the counteraction of denaturing effect of urea by GB.", "author" : [ { "dropping-particle" : "", "family" : "Kumar", "given" : "N", "non-dropping-particle" : "", "parse-names" : false, "suffix" : "" }, { "dropping-particle" : "", "family" : "Kishore", "given" : "N", "non-dropping-particle" : "", "parse-names" : false, "suffix" : "" } ], "container-title" : "Journal of Chemical Physics", "id" : "ITEM-1", "issued" : { "date-parts" : [ [ "2013" ] ] }, "page" : "115104", "title" : "Synergistic behavior of glycine betaine-urea mixture: A molecular dynamics study", "type" : "article-journal", "volume" : "139" }, "uris" : [ "http://www.mendeley.com/documents/?uuid=1dbbee11-21e7-48e8-8646-05d90aca1c0a" ] }, { "id" : "ITEM-2", "itemData" : { "author" : [ { "dropping-particle" : "", "family" : "Sarma", "given" : "R", "non-dropping-particle" : "", "parse-names" : false, "suffix" : "" }, { "dropping-particle" : "", "family" : "Paul", "given" : "S", "non-dropping-particle" : "", "parse-names" : false, "suffix" : "" } ], "container-title" : "Journal of Physical Chemistry B", "id" : "ITEM-2", "issued" : { "date-parts" : [ [ "2013" ] ] }, "page" : "5691-5704", "title" : "Exploring the molecular mechanism of trimethylamine-N-oxide\u2019s ability to counteract the protein denaturing effects of urea", "type" : "article-journal", "volume" : "117" }, "uris" : [ "http://www.mendeley.com/documents/?uuid=65d0a1e6-b2b7-4b56-a116-6d3691f13de4" ] } ], "mendeley" : { "formattedCitation" : "(Kumar &amp; Kishore 2013; Sarma &amp; Paul 2013)", "plainTextFormattedCitation" : "(Kumar &amp; Kishore 2013; Sarma &amp; Paul 2013)", "previouslyFormattedCitation" : "(Kumar &amp; Kishore 2013; Sarma &amp; Paul 2013)" }, "properties" : { "noteIndex" : 0 }, "schema" : "https://github.com/citation-style-language/schema/raw/master/csl-citation.json" }</w:instrText>
      </w:r>
      <w:r w:rsidR="001D14E5">
        <w:fldChar w:fldCharType="separate"/>
      </w:r>
      <w:r w:rsidR="001D14E5" w:rsidRPr="001D14E5">
        <w:rPr>
          <w:noProof/>
        </w:rPr>
        <w:t>(Kumar &amp; Kishore 2013; Sarma &amp; Paul 2013)</w:t>
      </w:r>
      <w:r w:rsidR="001D14E5">
        <w:fldChar w:fldCharType="end"/>
      </w:r>
      <w:r w:rsidR="001D14E5">
        <w:t>.</w:t>
      </w:r>
    </w:p>
    <w:p w14:paraId="307CA9A7" w14:textId="77777777" w:rsidR="00C16875" w:rsidRDefault="00ED6786" w:rsidP="00F45FAF">
      <w:pPr>
        <w:pStyle w:val="Heading3"/>
      </w:pPr>
      <w:bookmarkStart w:id="109" w:name="_Ref460079142"/>
      <w:bookmarkStart w:id="110" w:name="_Toc485712761"/>
      <w:r>
        <w:t>Arginine-glutamic acid</w:t>
      </w:r>
      <w:r w:rsidR="00C16875">
        <w:t xml:space="preserve"> mixtures in biopharmaceutical formulations</w:t>
      </w:r>
      <w:bookmarkEnd w:id="109"/>
      <w:bookmarkEnd w:id="110"/>
    </w:p>
    <w:p w14:paraId="39852823" w14:textId="77777777" w:rsidR="00ED6786" w:rsidRDefault="00ED6786" w:rsidP="00ED6786">
      <w:r>
        <w:t xml:space="preserve">The use of 50 mM equimolar mixtures of arginine and glutamic acid (Arg-Glu) as an excipient mixture has been found to result in high solubilisation and reduced aggregation of various aggregation-prone proteins and monoclonal antibodies </w:t>
      </w:r>
      <w:r>
        <w:fldChar w:fldCharType="begin" w:fldLock="1"/>
      </w:r>
      <w:r w:rsidR="0034217E">
        <w:instrText>ADDIN CSL_CITATION { "citationItems" : [ { "id" : "ITEM-1", "itemData" : { "DOI" : "10.1021/ja049297h", "ISSN" : "0002-7863", "PMID" : "15264823", "abstract" : "Increasing a protein concentration in solution to the required level, without causing aggregation and precipitation is often a challenging but important task, especially in the field of structural biology; as little as 20% of nonmembrane proteins have been found to be suitable candidates for structural studies predominantly due to poor protein solubility. We demonstrate here that simultaneous addition of charged amino acids L-Arg and L-Glu at 50 mM to the buffer can dramatically increase the maximum achievable concentration of soluble protein (up to 8.7 times). These amino acids are effective in preventing protein aggregation and precipitation, and they dramatically increase the long-term stability of the sample; additionally, they protect protein samples from proteolytic degradation. Specific protein-protein and protein-RNA interactions are not adversely affected by the presence of these amino acids. These additives are particularly suitable for situations where high protein concentration and long-term stability are required, including solution-state studies of isotopically labeled proteins by NMR.", "author" : [ { "dropping-particle" : "", "family" : "Golovanov", "given" : "A P", "non-dropping-particle" : "", "parse-names" : false, "suffix" : "" }, { "dropping-particle" : "", "family" : "Hautbergue", "given" : "G M", "non-dropping-particle" : "", "parse-names" : false, "suffix" : "" }, { "dropping-particle" : "", "family" : "Wilson", "given" : "S A", "non-dropping-particle" : "", "parse-names" : false, "suffix" : "" }, { "dropping-particle" : "", "family" : "Lian", "given" : "L Y", "non-dropping-particle" : "", "parse-names" : false, "suffix" : "" } ], "container-title" : "Journal of the American Chemical Society", "id" : "ITEM-1", "issued" : { "date-parts" : [ [ "2004", "7", "28" ] ] }, "page" : "8933-8939", "title" : "A simple method for improving protein solubility and long-term stability", "type" : "article-journal", "volume" : "126" }, "uris" : [ "http://www.mendeley.com/documents/?uuid=d38188f2-f8d0-460f-9b60-e5c25aadba0c" ] }, { "id" : "ITEM-2", "itemData" : { "DOI" : "10.1016/j.ijpharm.2014.06.053", "ISBN" : "1873-3476", "ISSN" : "18733476", "PMID" : "24992318", "abstract" : "Finding excipients which mitigate protein self-association and aggregation is an important task during formulation. Here, the effect of an equimolar mixture of l-Arg and l-Glu (Arg\u00b7Glu) on colloidal and conformational stability of four monoclonal antibodies (mAb1-mAb4) at different pH is explored, with the temperatures of the on-set of aggregation (Tagg) and unfolding (Tm1) measured by static light scattering and intrinsic fluorescence, respectively. Arg\u00b7Glu increased the Tagg of all four mAbs in concentration-dependent manner, especially as pH increased to neutral. Arg\u00b7Glu also increased Tm1 of the least thermally stable mAb3, but without similar direct effect on the Tm1 of other mAbs. Raising pH itself from 5 to 7 increased Tm1 for all four mAbs. Selected mAb formulations were assessed under accelerated stability conditions for the monomer fraction remaining in solution after storage. The aggregation of mAb3 was suppressed to a greater extent by Arg\u00b7Glu than by Arg\u00b7HCl. Furthermore, Arg\u00b7Glu suppressed the aggregation of mAb1 at neutral pH such that the fraction monomer was near to that at the more typical formulation pH of 5.5. We conclude that Arg\u00b7Glu can suppress mAb aggregation with increasing temperature/pH and, importantly, under accelerated stability conditions at weakly acidic to neutral pH. \u00a9 2014 The Authors.", "author" : [ { "dropping-particle" : "", "family" : "Kheddo", "given" : "P", "non-dropping-particle" : "", "parse-names" : false, "suffix" : "" }, { "dropping-particle" : "", "family" : "Tracka", "given" : "M", "non-dropping-particle" : "", "parse-names" : false, "suffix" : "" }, { "dropping-particle" : "", "family" : "Armer", "given" : "J", "non-dropping-particle" : "", "parse-names" : false, "suffix" : "" }, { "dropping-particle" : "", "family" : "Dearman", "given" : "R J", "non-dropping-particle" : "", "parse-names" : false, "suffix" : "" }, { "dropping-particle" : "", "family" : "Uddin", "given" : "S", "non-dropping-particle" : "", "parse-names" : false, "suffix" : "" }, { "dropping-particle" : "", "family" : "Walle", "given" : "C F", "non-dropping-particle" : "Van Der", "parse-names" : false, "suffix" : "" }, { "dropping-particle" : "", "family" : "Golovanov", "given" : "A P", "non-dropping-particle" : "", "parse-names" : false, "suffix" : "" } ], "container-title" : "International Journal of Pharmaceutics", "id" : "ITEM-2", "issued" : { "date-parts" : [ [ "2014" ] ] }, "page" : "126-133", "publisher" : "Elsevier B.V.", "title" : "The effect of arginine glutamate on the stability of monoclonal antibodies in solution", "type" : "article-journal", "volume" : "473" }, "uris" : [ "http://www.mendeley.com/documents/?uuid=6e5317c6-c5e5-4c29-9a4d-f77cd3b6788c" ] } ], "mendeley" : { "formattedCitation" : "(Golovanov et al. 2004; Kheddo et al. 2014)", "plainTextFormattedCitation" : "(Golovanov et al. 2004; Kheddo et al. 2014)", "previouslyFormattedCitation" : "(Golovanov et al. 2004; Kheddo et al. 2014)" }, "properties" : { "noteIndex" : 0 }, "schema" : "https://github.com/citation-style-language/schema/raw/master/csl-citation.json" }</w:instrText>
      </w:r>
      <w:r>
        <w:fldChar w:fldCharType="separate"/>
      </w:r>
      <w:r w:rsidRPr="00ED6786">
        <w:rPr>
          <w:noProof/>
        </w:rPr>
        <w:t>(Golovanov et al. 2004; Kheddo et al. 2014)</w:t>
      </w:r>
      <w:r>
        <w:fldChar w:fldCharType="end"/>
      </w:r>
      <w:r>
        <w:t xml:space="preserve">. Importantly, </w:t>
      </w:r>
      <w:r w:rsidR="009451CB">
        <w:t>this mixture</w:t>
      </w:r>
      <w:r>
        <w:t xml:space="preserve"> has also been shown to increase thermodynamic stability of proteins where arginine alone has been demonstrated to destabilise </w:t>
      </w:r>
      <w:r>
        <w:fldChar w:fldCharType="begin" w:fldLock="1"/>
      </w:r>
      <w:r>
        <w:instrText>ADDIN CSL_CITATION { "citationItems" : [ { "id" : "ITEM-1", "itemData" : { "DOI" : "10.1007/s11095-013-1221-2", "ISBN" : "1109501312212", "ISSN" : "1573904X", "PMID" : "24287623", "abstract" : "PURPOSE: To investigate mechanisms governing the stabilization and destabilization of immunoglobulin (IgG1) by arginine (Arg).\\n\\nMETHODS: The effects of Arg on the aggregation/degradation, thermodynamic stability, hydrophobicity, and aromatic residues of IgG1 were respectively investigated by size-exclusion chromatography, differential scanning calorimetry, probe fluorescence, and intrinsic fluorescence.\\n\\nRESULTS: Arg monohydrochloride (Arg-HCl) suppressed IgG1 aggregation at near-neutral pH, but facilitated aggregation and degradation at acidic pH or at high storage temperature. Equimolar mixtures of Arg and aspartic acid (Asp) or glutamic acid (Glu) suppressed aggregation without facilitating degradation even at high temperature. Arg-HCl decreased the thermodynamic stability of IgG1 by enthalpic loss, which was counteracted by using Asp or Glu as a counterion for Arg. The suppression of aggregation by Arg-HCl was well correlated with the decrease in hydrophobicity of IgG1. The intrinsic fluorescence of IgG1 was unaffected by Arg-HCl.\\n\\nCONCLUSIONS: Suppression of IgG1 aggregation can be attributed to the interaction between Arg and hydrophobic residues; on the other hand, facilitation of aggregation and degradation is presumably due to the interaction between Arg and some acidic residues, which could be competitively inhibited by simultaneously adding either Asp or Glu.", "author" : [ { "dropping-particle" : "", "family" : "Fukuda", "given" : "M", "non-dropping-particle" : "", "parse-names" : false, "suffix" : "" }, { "dropping-particle" : "", "family" : "Kameoka", "given" : "D", "non-dropping-particle" : "", "parse-names" : false, "suffix" : "" }, { "dropping-particle" : "", "family" : "Torizawa", "given" : "T", "non-dropping-particle" : "", "parse-names" : false, "suffix" : "" }, { "dropping-particle" : "", "family" : "Saitoh", "given" : "S", "non-dropping-particle" : "", "parse-names" : false, "suffix" : "" }, { "dropping-particle" : "", "family" : "Yasutake", "given" : "M", "non-dropping-particle" : "", "parse-names" : false, "suffix" : "" }, { "dropping-particle" : "", "family" : "Imaeda", "given" : "Y", "non-dropping-particle" : "", "parse-names" : false, "suffix" : "" }, { "dropping-particle" : "", "family" : "Koga", "given" : "A", "non-dropping-particle" : "", "parse-names" : false, "suffix" : "" }, { "dropping-particle" : "", "family" : "Mizutani", "given" : "A", "non-dropping-particle" : "", "parse-names" : false, "suffix" : "" } ], "container-title" : "Pharmaceutical Research", "id" : "ITEM-1", "issued" : { "date-parts" : [ [ "2014" ] ] }, "page" : "992-1001", "title" : "Thermodynamic and fluorescence analyses to determine mechanisms of IgG1 stabilization and destabilization by arginine", "type" : "article-journal", "volume" : "31" }, "uris" : [ "http://www.mendeley.com/documents/?uuid=639d5a44-e310-4e05-beb5-ab72ed03fc48" ] } ], "mendeley" : { "formattedCitation" : "(Fukuda et al. 2014)", "plainTextFormattedCitation" : "(Fukuda et al. 2014)", "previouslyFormattedCitation" : "(Fukuda et al. 2014)" }, "properties" : { "noteIndex" : 0 }, "schema" : "https://github.com/citation-style-language/schema/raw/master/csl-citation.json" }</w:instrText>
      </w:r>
      <w:r>
        <w:fldChar w:fldCharType="separate"/>
      </w:r>
      <w:r w:rsidRPr="00ED6786">
        <w:rPr>
          <w:noProof/>
        </w:rPr>
        <w:t>(Fukuda et al. 2014)</w:t>
      </w:r>
      <w:r>
        <w:fldChar w:fldCharType="end"/>
      </w:r>
      <w:r>
        <w:t xml:space="preserve">, and a recent high throughput </w:t>
      </w:r>
      <w:r>
        <w:lastRenderedPageBreak/>
        <w:t>screening of multiple excipients</w:t>
      </w:r>
      <w:r w:rsidR="009451CB">
        <w:t xml:space="preserve"> and proteins</w:t>
      </w:r>
      <w:r>
        <w:t xml:space="preserve"> found 50 mM Arg-Glu mixtures to be the second most effective stabiliser tested in terms of percentage of proteins stabilised by more than 4 °C </w:t>
      </w:r>
      <w:r>
        <w:fldChar w:fldCharType="begin" w:fldLock="1"/>
      </w:r>
      <w:r w:rsidR="00E11F61">
        <w:instrText>ADDIN CSL_CITATION { "citationItems" : [ { "id" : "ITEM-1", "itemData" : { "DOI" : "0605224103 [pii]\\r10.1073/pnas.0605224103", "ISBN" : "0027-8424 (Print)", "ISSN" : "0027-8424", "PMID" : "17035505", "abstract" : "The 3D structures of human therapeutic targets are enabling for drug discovery. However, their purification and crystallization remain rate determining. In individual cases, ligands have been used to increase the success rate of protein purification and crystallization, but the broad applicability of this approach is unknown. We implemented two screening platforms, based on either fluorimetry or static light scattering, to measure the increase in protein thermal stability upon binding of a ligand without the need to monitor enzyme activity. In total, 221 different proteins from humans and human parasites were screened against one or both of two sorts of small-molecule libraries. The first library comprised different salts, pH conditions, and commonly found small molecules and was applicable to all proteins. The second comprised compounds specific for protein families of particular interest (e.g., protein kinases). In 20 cases, including nine unique human protein kinases, a small molecule was identified that stabilized the proteins and promoted structure determination. The methods are cost-effective, can be implemented in any laboratory, promise to increase the success rates of purifying and crystallizing human proteins significantly, and identify new ligands for these proteins.", "author" : [ { "dropping-particle" : "", "family" : "Vedadi", "given" : "M", "non-dropping-particle" : "", "parse-names" : false, "suffix" : "" }, { "dropping-particle" : "", "family" : "Niesen", "given" : "F H", "non-dropping-particle" : "", "parse-names" : false, "suffix" : "" }, { "dropping-particle" : "", "family" : "Allali-Hassani", "given" : "A", "non-dropping-particle" : "", "parse-names" : false, "suffix" : "" }, { "dropping-particle" : "", "family" : "Fedorov", "given" : "O Y", "non-dropping-particle" : "", "parse-names" : false, "suffix" : "" }, { "dropping-particle" : "", "family" : "Finerty Jr.", "given" : "P J", "non-dropping-particle" : "", "parse-names" : false, "suffix" : "" }, { "dropping-particle" : "", "family" : "Wasney", "given" : "G A", "non-dropping-particle" : "", "parse-names" : false, "suffix" : "" }, { "dropping-particle" : "", "family" : "Yeung", "given" : "R", "non-dropping-particle" : "", "parse-names" : false, "suffix" : "" }, { "dropping-particle" : "", "family" : "Arrowsmith", "given" : "C", "non-dropping-particle" : "", "parse-names" : false, "suffix" : "" }, { "dropping-particle" : "", "family" : "Ball", "given" : "L J", "non-dropping-particle" : "", "parse-names" : false, "suffix" : "" }, { "dropping-particle" : "", "family" : "Berglund", "given" : "H", "non-dropping-particle" : "", "parse-names" : false, "suffix" : "" }, { "dropping-particle" : "", "family" : "Hui", "given" : "R", "non-dropping-particle" : "", "parse-names" : false, "suffix" : "" }, { "dropping-particle" : "", "family" : "Marsden", "given" : "B D", "non-dropping-particle" : "", "parse-names" : false, "suffix" : "" }, { "dropping-particle" : "", "family" : "Nordlund", "given" : "P", "non-dropping-particle" : "", "parse-names" : false, "suffix" : "" }, { "dropping-particle" : "", "family" : "Sundstrom", "given" : "M", "non-dropping-particle" : "", "parse-names" : false, "suffix" : "" }, { "dropping-particle" : "", "family" : "Weigelt", "given" : "J", "non-dropping-particle" : "", "parse-names" : false, "suffix" : "" }, { "dropping-particle" : "", "family" : "Edwards", "given" : "A M", "non-dropping-particle" : "", "parse-names" : false, "suffix" : "" } ], "container-title" : "Proceedings of the National Academy of Sciences of the United States of America", "id" : "ITEM-1", "issued" : { "date-parts" : [ [ "2006" ] ] }, "page" : "15835-15840", "title" : "Chemical screening methods to identify ligands that promote protein stability, protein crystallization, and structure determination", "type" : "article-journal", "volume" : "103" }, "uris" : [ "http://www.mendeley.com/documents/?uuid=b5f89ef5-1362-4b4b-86fe-cba7f50313c9" ] } ], "mendeley" : { "formattedCitation" : "(Vedadi et al. 2006)", "plainTextFormattedCitation" : "(Vedadi et al. 2006)", "previouslyFormattedCitation" : "(Vedadi et al. 2006)" }, "properties" : { "noteIndex" : 0 }, "schema" : "https://github.com/citation-style-language/schema/raw/master/csl-citation.json" }</w:instrText>
      </w:r>
      <w:r>
        <w:fldChar w:fldCharType="separate"/>
      </w:r>
      <w:r w:rsidRPr="00ED6786">
        <w:rPr>
          <w:noProof/>
        </w:rPr>
        <w:t>(Vedadi et al. 2006)</w:t>
      </w:r>
      <w:r>
        <w:fldChar w:fldCharType="end"/>
      </w:r>
      <w:r>
        <w:t xml:space="preserve">. This is a synergistic effect as both arginine and </w:t>
      </w:r>
      <w:r w:rsidR="009D2B9C">
        <w:t>glutamic</w:t>
      </w:r>
      <w:r>
        <w:t xml:space="preserve"> acid separately have been shown to destabilise numerous proteins (see </w:t>
      </w:r>
      <w:r>
        <w:fldChar w:fldCharType="begin"/>
      </w:r>
      <w:r>
        <w:instrText xml:space="preserve"> REF _Ref453339849 \h </w:instrText>
      </w:r>
      <w:r>
        <w:fldChar w:fldCharType="separate"/>
      </w:r>
      <w:r w:rsidR="00AA6926">
        <w:t xml:space="preserve">Table </w:t>
      </w:r>
      <w:r w:rsidR="00AA6926">
        <w:rPr>
          <w:noProof/>
        </w:rPr>
        <w:t>1</w:t>
      </w:r>
      <w:r w:rsidR="00AA6926">
        <w:noBreakHyphen/>
      </w:r>
      <w:r w:rsidR="00AA6926">
        <w:rPr>
          <w:noProof/>
        </w:rPr>
        <w:t>4</w:t>
      </w:r>
      <w:r>
        <w:fldChar w:fldCharType="end"/>
      </w:r>
      <w:r w:rsidR="00FD3C80">
        <w:t>). It also</w:t>
      </w:r>
      <w:r>
        <w:t xml:space="preserve"> appears to be a fairly universal effect.</w:t>
      </w:r>
    </w:p>
    <w:p w14:paraId="44619098" w14:textId="77777777" w:rsidR="00ED6786" w:rsidRPr="00ED6786" w:rsidRDefault="00ED6786" w:rsidP="00ED6786">
      <w:r>
        <w:t xml:space="preserve">It was first speculated that this synergy was due to arginine and glutamic acid individually interacting with and masking opposite charged groups on the protein surface, along with masking of the hydrophobic patches with the aliphatic parts of their side chains </w:t>
      </w:r>
      <w:r>
        <w:fldChar w:fldCharType="begin" w:fldLock="1"/>
      </w:r>
      <w:r w:rsidR="0034217E">
        <w:instrText>ADDIN CSL_CITATION { "citationItems" : [ { "id" : "ITEM-1", "itemData" : { "DOI" : "10.1021/ja049297h", "ISSN" : "0002-7863", "PMID" : "15264823", "abstract" : "Increasing a protein concentration in solution to the required level, without causing aggregation and precipitation is often a challenging but important task, especially in the field of structural biology; as little as 20% of nonmembrane proteins have been found to be suitable candidates for structural studies predominantly due to poor protein solubility. We demonstrate here that simultaneous addition of charged amino acids L-Arg and L-Glu at 50 mM to the buffer can dramatically increase the maximum achievable concentration of soluble protein (up to 8.7 times). These amino acids are effective in preventing protein aggregation and precipitation, and they dramatically increase the long-term stability of the sample; additionally, they protect protein samples from proteolytic degradation. Specific protein-protein and protein-RNA interactions are not adversely affected by the presence of these amino acids. These additives are particularly suitable for situations where high protein concentration and long-term stability are required, including solution-state studies of isotopically labeled proteins by NMR.", "author" : [ { "dropping-particle" : "", "family" : "Golovanov", "given" : "A P", "non-dropping-particle" : "", "parse-names" : false, "suffix" : "" }, { "dropping-particle" : "", "family" : "Hautbergue", "given" : "G M", "non-dropping-particle" : "", "parse-names" : false, "suffix" : "" }, { "dropping-particle" : "", "family" : "Wilson", "given" : "S A", "non-dropping-particle" : "", "parse-names" : false, "suffix" : "" }, { "dropping-particle" : "", "family" : "Lian", "given" : "L Y", "non-dropping-particle" : "", "parse-names" : false, "suffix" : "" } ], "container-title" : "Journal of the American Chemical Society", "id" : "ITEM-1", "issued" : { "date-parts" : [ [ "2004", "7", "28" ] ] }, "page" : "8933-8939", "title" : "A simple method for improving protein solubility and long-term stability", "type" : "article-journal", "volume" : "126" }, "uris" : [ "http://www.mendeley.com/documents/?uuid=d38188f2-f8d0-460f-9b60-e5c25aadba0c" ] } ], "mendeley" : { "formattedCitation" : "(Golovanov et al. 2004)", "plainTextFormattedCitation" : "(Golovanov et al. 2004)", "previouslyFormattedCitation" : "(Golovanov et al. 2004)" }, "properties" : { "noteIndex" : 0 }, "schema" : "https://github.com/citation-style-language/schema/raw/master/csl-citation.json" }</w:instrText>
      </w:r>
      <w:r>
        <w:fldChar w:fldCharType="separate"/>
      </w:r>
      <w:r w:rsidRPr="00ED6786">
        <w:rPr>
          <w:noProof/>
        </w:rPr>
        <w:t>(Golovanov et al. 2004)</w:t>
      </w:r>
      <w:r>
        <w:fldChar w:fldCharType="end"/>
      </w:r>
      <w:r w:rsidR="00C42D6A">
        <w:t xml:space="preserve">, which was indirectly supported by preferential interaction parameters of both molecules demonstrating preferential interaction at low concentrations and preferential hydration at high concentrations </w:t>
      </w:r>
      <w:r w:rsidR="00C42D6A">
        <w:fldChar w:fldCharType="begin" w:fldLock="1"/>
      </w:r>
      <w:r w:rsidR="00FF6FB8">
        <w:instrText>ADDIN CSL_CITATION { "citationItems" : [ { "id" : "ITEM-1", "itemData" : { "ISSN" : "0006-2960", "PMID" : "7999778", "abstract" : "Surface tension measurements were carried out at 20 degrees C by a capillary drop-weight method on aqueous solutions of sodium glutamate (NaGlu), lysine hydrochloride (LysHCl), potassium aspartate (KAsp), arginine hydrochloride (ArgHCl), lysylglutamate (LysGlu), argininylglutamate (ArgGlu), guanidinium sulfate, trehalose, trimethylamine N-oxide (TMAO), dimethyl sulfoxide, 2-methyl-2,4-pentanediol (hexylene glycol), and poly(ethylene glycol)s of molecular weights 200, 400, 600, and 1000. All of the salts and the sugar increased the surface tension of water, while the last four compounds decreased it, with 2-methyl-2,4-pentanediol lowering it most effectively and TMAO being the least effective. The preferential hydration of bovine serum albumin (BSA) and lysozyme was measured in KAsp, ArgHCl, LysGlu, and ArgGlu. The high values of preferential hydration found in all cases, except for BSA in ArgHCl, suggest that they should stabilize protein structure, as had been found for lysine hydrochloride and monosodium glutamate [Arakawa, T., &amp; Timasheff, S. N. (1984) J. Biol. Chem. 259, 4979-4986]. A correlation was found for both BSA and lysozyme in KAsp, NaGlu, LysHCl, ArgGlu, and LysGlu between the surface tension effect and the observed preferential interactions, indicating that the change in the surface free energy of the protein-containing cavity due to the surface tension increase for water by these amino acid salts contributes dominantly to the observed increase in the chemical potential of the protein by their addition. The lack of a correlation observed for BSA, but not lysozyme, in ArgHCl at low concentrations where preferential binding is close to zero suggests, however, that the surface tension effect is not the sole factor involved in the protein-solvent interactions in these amino acid salts. Binding of ArgHCl to BSA, probably through hydrogen bonds between the Arg guanidinium group and peptide bonds, was proposed to occur, the affinity of Arg+ being reduced by electrostatic repulsion when proteins carry a net positive charge, such as is the case with lysozyme. Since the four organic solvent additives also lead to protein preferential hydration, no correlation exists between their preferential interactions and the surface free energy perturbation. Therefore, in their case, the preferential hydration must be ascribed to other factors that overcome the preferential binding expected from the Gibbs adsorption isotherm. The surface tension results, howeve\u2026", "author" : [ { "dropping-particle" : "", "family" : "Kita", "given" : "Y", "non-dropping-particle" : "", "parse-names" : false, "suffix" : "" }, { "dropping-particle" : "", "family" : "Arakawa", "given" : "T", "non-dropping-particle" : "", "parse-names" : false, "suffix" : "" }, { "dropping-particle" : "", "family" : "Lin", "given" : "T Y", "non-dropping-particle" : "", "parse-names" : false, "suffix" : "" }, { "dropping-particle" : "", "family" : "Timasheff", "given" : "S N", "non-dropping-particle" : "", "parse-names" : false, "suffix" : "" } ], "container-title" : "Biochemistry", "id" : "ITEM-1", "issued" : { "date-parts" : [ [ "1994", "12", "20" ] ] }, "page" : "15178-15189", "title" : "Contribution of the surface free energy perturbation to protein-solvent interactions", "type" : "article-journal", "volume" : "33" }, "uris" : [ "http://www.mendeley.com/documents/?uuid=182aa376-d2a7-43c5-ab39-1c1a5a5666ea" ] } ], "mendeley" : { "formattedCitation" : "(Kita et al. 1994)", "plainTextFormattedCitation" : "(Kita et al. 1994)", "previouslyFormattedCitation" : "(Kita et al. 1994)" }, "properties" : { "noteIndex" : 0 }, "schema" : "https://github.com/citation-style-language/schema/raw/master/csl-citation.json" }</w:instrText>
      </w:r>
      <w:r w:rsidR="00C42D6A">
        <w:fldChar w:fldCharType="separate"/>
      </w:r>
      <w:r w:rsidR="00C42D6A" w:rsidRPr="00C42D6A">
        <w:rPr>
          <w:noProof/>
        </w:rPr>
        <w:t>(Kita et al. 1994)</w:t>
      </w:r>
      <w:r w:rsidR="00C42D6A">
        <w:fldChar w:fldCharType="end"/>
      </w:r>
      <w:r w:rsidR="00C42D6A">
        <w:t xml:space="preserve">. More recently molecular dynamics simulations have shown increased intra-cosolute hydrogen bonding between the arginine and glutamic acid when they are present in a mixture, which is thought to decrease aggregation due to enhanced crowding </w:t>
      </w:r>
      <w:r w:rsidR="00C42D6A">
        <w:fldChar w:fldCharType="begin" w:fldLock="1"/>
      </w:r>
      <w:r w:rsidR="00C42D6A">
        <w:instrText>ADDIN CSL_CITATION { "citationItems" : [ { "id" : "ITEM-1", "itemData" : { "DOI" : "10.1021/jp204462t", "ISSN" : "1520-5207", "PMID" : "21894928", "abstract" : "Understanding protein solubility is a key part of physical chemistry. In particular, solution conditions can have a major effect, and the effect of multiple cosolutes is little understood. It has been shown that the simultaneous addition of L-arginine hydrochloride and L-glutamic acid enhances the maximum achievable solubility of several poorly soluble proteins up to 4-8 times (Golovanov et. al, J. Am. Chem. Soc., 2004, 126, 8933-8939) and reduces the intermolecular interactions between proteins. The observed solubility enhancement is negligible for arginine and glutamic acid solutions as compared to the equimolar mixtures. In this study, we have established the molecular mechanism behind this observed synergistic effect of arginine and glutamic acid mixtures using preferential interaction theory and molecular dynamics simulations of Drosophilia Su(dx) protein (ww34). It was found that the protein solubility enhancement is related to the relative increase in the number of arginine and glutamic acid molecules around the protein in the equimolar mixtures due to additional hydrogen bonding interactions between the excipients on the surface of the protein when both excipients are present. The presence of these additional molecules around the protein leads to enhanced crowding, which suppresses the protein association. These results highlight the role of additive-additive interaction in tuning the protein-protein interactions. Furthermore, this study reports a unique behavior of additive solutions, where the presence of one additive in solution affects the concentration of another on the protein surface.", "author" : [ { "dropping-particle" : "", "family" : "Shukla", "given" : "D", "non-dropping-particle" : "", "parse-names" : false, "suffix" : "" }, { "dropping-particle" : "", "family" : "Trout", "given" : "B L", "non-dropping-particle" : "", "parse-names" : false, "suffix" : "" } ], "container-title" : "Journal of Physical Chemistry B", "id" : "ITEM-1", "issued" : { "date-parts" : [ [ "2011", "10", "20" ] ] }, "page" : "11831-11839", "title" : "Understanding the synergistic effect of arginine and glutamic acid mixtures on protein solubility", "type" : "article-journal", "volume" : "115" }, "uris" : [ "http://www.mendeley.com/documents/?uuid=6feb0c81-021c-4575-8899-2aedafcf5e9b" ] } ], "mendeley" : { "formattedCitation" : "(Shukla &amp; Trout 2011b)", "plainTextFormattedCitation" : "(Shukla &amp; Trout 2011b)", "previouslyFormattedCitation" : "(Shukla &amp; Trout 2011b)" }, "properties" : { "noteIndex" : 0 }, "schema" : "https://github.com/citation-style-language/schema/raw/master/csl-citation.json" }</w:instrText>
      </w:r>
      <w:r w:rsidR="00C42D6A">
        <w:fldChar w:fldCharType="separate"/>
      </w:r>
      <w:r w:rsidR="00C42D6A" w:rsidRPr="00C42D6A">
        <w:rPr>
          <w:noProof/>
        </w:rPr>
        <w:t>(Shukla &amp; Trout 2011b)</w:t>
      </w:r>
      <w:r w:rsidR="00C42D6A">
        <w:fldChar w:fldCharType="end"/>
      </w:r>
      <w:r w:rsidR="00C42D6A">
        <w:t xml:space="preserve">, although it seems unlikely that this could explain the increased thermodynamic stabilisation. Small angle X-ray Scattering (SAXS) and Nuclear Magnetic Resonance (NMR) experiments have shown the Arg-Glu mixtures to act on flexible loops causing compaction </w:t>
      </w:r>
      <w:r w:rsidR="00C42D6A">
        <w:fldChar w:fldCharType="begin" w:fldLock="1"/>
      </w:r>
      <w:r w:rsidR="00C42D6A">
        <w:instrText>ADDIN CSL_CITATION { "citationItems" : [ { "id" : "ITEM-1", "itemData" : { "DOI" : "10.1007/s00249-011-0686-3", "ISSN" : "1432-1017", "PMID" : "21390527", "abstract" : "Addition of a 50 mM mixture of L: -arginine and L: -glutamic acid (RE) is extensively used to improve protein solubility and stability, although the origin of the effect is not well understood. We present Small Angle X-ray Scattering (SAXS) and Nuclear Magnetic Resonance (NMR) results showing that RE induces protein compaction by collapsing flexible loops on the protein core. This is suggested to be a general mechanism preventing aggregation and improving resistance to proteases and to originate from the polyelectrolyte nature of RE. Molecular polyelectrolyte mixtures are expected to display long range correlation effects according to dressed interaction site theory. We hypothesize that perturbation of the RE solution by dissolved proteins is proportional to the volume occupied by the protein. As a consequence, loop collapse, minimizing the effective protein volume, is favored in the presence of RE.", "author" : [ { "dropping-particle" : "", "family" : "Blobel", "given" : "J", "non-dropping-particle" : "", "parse-names" : false, "suffix" : "" }, { "dropping-particle" : "", "family" : "Brath", "given" : "U", "non-dropping-particle" : "", "parse-names" : false, "suffix" : "" }, { "dropping-particle" : "", "family" : "Bernad\u00f3", "given" : "P", "non-dropping-particle" : "", "parse-names" : false, "suffix" : "" }, { "dropping-particle" : "", "family" : "Diehl", "given" : "C", "non-dropping-particle" : "", "parse-names" : false, "suffix" : "" }, { "dropping-particle" : "", "family" : "Ballester", "given" : "L", "non-dropping-particle" : "", "parse-names" : false, "suffix" : "" }, { "dropping-particle" : "", "family" : "Sornosa", "given" : "A", "non-dropping-particle" : "", "parse-names" : false, "suffix" : "" }, { "dropping-particle" : "", "family" : "Akke", "given" : "M", "non-dropping-particle" : "", "parse-names" : false, "suffix" : "" }, { "dropping-particle" : "", "family" : "Pons", "given" : "M", "non-dropping-particle" : "", "parse-names" : false, "suffix" : "" } ], "container-title" : "European Biophysics Journal", "id" : "ITEM-1", "issued" : { "date-parts" : [ [ "2011", "12" ] ] }, "page" : "1327-1338", "title" : "Protein loop compaction and the origin of the effect of arginine and glutamic acid mixtures on solubility, stability and transient oligomerization of proteins", "type" : "article-journal", "volume" : "40" }, "uris" : [ "http://www.mendeley.com/documents/?uuid=e29544ae-17f5-408f-a887-8eff5f240c69" ] } ], "mendeley" : { "formattedCitation" : "(Blobel et al. 2011)", "plainTextFormattedCitation" : "(Blobel et al. 2011)", "previouslyFormattedCitation" : "(Blobel et al. 2011)" }, "properties" : { "noteIndex" : 0 }, "schema" : "https://github.com/citation-style-language/schema/raw/master/csl-citation.json" }</w:instrText>
      </w:r>
      <w:r w:rsidR="00C42D6A">
        <w:fldChar w:fldCharType="separate"/>
      </w:r>
      <w:r w:rsidR="00C42D6A" w:rsidRPr="00C42D6A">
        <w:rPr>
          <w:noProof/>
        </w:rPr>
        <w:t>(Blobel et al. 2011)</w:t>
      </w:r>
      <w:r w:rsidR="00C42D6A">
        <w:fldChar w:fldCharType="end"/>
      </w:r>
      <w:r w:rsidR="00C42D6A">
        <w:t xml:space="preserve">, which would increase solubility and stability. However, Arg-Glu mixtures have similar effects on proteins that do not have flexible loops or other unstructured regions </w:t>
      </w:r>
      <w:r w:rsidR="00C42D6A">
        <w:fldChar w:fldCharType="begin" w:fldLock="1"/>
      </w:r>
      <w:r w:rsidR="00E11F61">
        <w:instrText>ADDIN CSL_CITATION { "citationItems" : [ { "id" : "ITEM-1", "itemData" : { "DOI" : "0605224103 [pii]\\r10.1073/pnas.0605224103", "ISBN" : "0027-8424 (Print)", "ISSN" : "0027-8424", "PMID" : "17035505", "abstract" : "The 3D structures of human therapeutic targets are enabling for drug discovery. However, their purification and crystallization remain rate determining. In individual cases, ligands have been used to increase the success rate of protein purification and crystallization, but the broad applicability of this approach is unknown. We implemented two screening platforms, based on either fluorimetry or static light scattering, to measure the increase in protein thermal stability upon binding of a ligand without the need to monitor enzyme activity. In total, 221 different proteins from humans and human parasites were screened against one or both of two sorts of small-molecule libraries. The first library comprised different salts, pH conditions, and commonly found small molecules and was applicable to all proteins. The second comprised compounds specific for protein families of particular interest (e.g., protein kinases). In 20 cases, including nine unique human protein kinases, a small molecule was identified that stabilized the proteins and promoted structure determination. The methods are cost-effective, can be implemented in any laboratory, promise to increase the success rates of purifying and crystallizing human proteins significantly, and identify new ligands for these proteins.", "author" : [ { "dropping-particle" : "", "family" : "Vedadi", "given" : "M", "non-dropping-particle" : "", "parse-names" : false, "suffix" : "" }, { "dropping-particle" : "", "family" : "Niesen", "given" : "F H", "non-dropping-particle" : "", "parse-names" : false, "suffix" : "" }, { "dropping-particle" : "", "family" : "Allali-Hassani", "given" : "A", "non-dropping-particle" : "", "parse-names" : false, "suffix" : "" }, { "dropping-particle" : "", "family" : "Fedorov", "given" : "O Y", "non-dropping-particle" : "", "parse-names" : false, "suffix" : "" }, { "dropping-particle" : "", "family" : "Finerty Jr.", "given" : "P J", "non-dropping-particle" : "", "parse-names" : false, "suffix" : "" }, { "dropping-particle" : "", "family" : "Wasney", "given" : "G A", "non-dropping-particle" : "", "parse-names" : false, "suffix" : "" }, { "dropping-particle" : "", "family" : "Yeung", "given" : "R", "non-dropping-particle" : "", "parse-names" : false, "suffix" : "" }, { "dropping-particle" : "", "family" : "Arrowsmith", "given" : "C", "non-dropping-particle" : "", "parse-names" : false, "suffix" : "" }, { "dropping-particle" : "", "family" : "Ball", "given" : "L J", "non-dropping-particle" : "", "parse-names" : false, "suffix" : "" }, { "dropping-particle" : "", "family" : "Berglund", "given" : "H", "non-dropping-particle" : "", "parse-names" : false, "suffix" : "" }, { "dropping-particle" : "", "family" : "Hui", "given" : "R", "non-dropping-particle" : "", "parse-names" : false, "suffix" : "" }, { "dropping-particle" : "", "family" : "Marsden", "given" : "B D", "non-dropping-particle" : "", "parse-names" : false, "suffix" : "" }, { "dropping-particle" : "", "family" : "Nordlund", "given" : "P", "non-dropping-particle" : "", "parse-names" : false, "suffix" : "" }, { "dropping-particle" : "", "family" : "Sundstrom", "given" : "M", "non-dropping-particle" : "", "parse-names" : false, "suffix" : "" }, { "dropping-particle" : "", "family" : "Weigelt", "given" : "J", "non-dropping-particle" : "", "parse-names" : false, "suffix" : "" }, { "dropping-particle" : "", "family" : "Edwards", "given" : "A M", "non-dropping-particle" : "", "parse-names" : false, "suffix" : "" } ], "container-title" : "Proceedings of the National Academy of Sciences of the United States of America", "id" : "ITEM-1", "issued" : { "date-parts" : [ [ "2006" ] ] }, "page" : "15835-15840", "title" : "Chemical screening methods to identify ligands that promote protein stability, protein crystallization, and structure determination", "type" : "article-journal", "volume" : "103" }, "uris" : [ "http://www.mendeley.com/documents/?uuid=b5f89ef5-1362-4b4b-86fe-cba7f50313c9" ] } ], "mendeley" : { "formattedCitation" : "(Vedadi et al. 2006)", "plainTextFormattedCitation" : "(Vedadi et al. 2006)", "previouslyFormattedCitation" : "(Vedadi et al. 2006)" }, "properties" : { "noteIndex" : 0 }, "schema" : "https://github.com/citation-style-language/schema/raw/master/csl-citation.json" }</w:instrText>
      </w:r>
      <w:r w:rsidR="00C42D6A">
        <w:fldChar w:fldCharType="separate"/>
      </w:r>
      <w:r w:rsidR="00C42D6A" w:rsidRPr="00C42D6A">
        <w:rPr>
          <w:noProof/>
        </w:rPr>
        <w:t>(Vedadi et al. 2006)</w:t>
      </w:r>
      <w:r w:rsidR="00C42D6A">
        <w:fldChar w:fldCharType="end"/>
      </w:r>
      <w:r w:rsidR="00C42D6A">
        <w:t>. Although the effects of Arg-Glu mixtures are now well documented, the mechanisms that result in their synergistic effect have yet to be clarified.</w:t>
      </w:r>
    </w:p>
    <w:p w14:paraId="6DF4F4CD" w14:textId="77777777" w:rsidR="009C0B9E" w:rsidRDefault="00C16875" w:rsidP="00F45FAF">
      <w:pPr>
        <w:pStyle w:val="Heading3"/>
      </w:pPr>
      <w:bookmarkStart w:id="111" w:name="_Ref460082242"/>
      <w:bookmarkStart w:id="112" w:name="_Toc485712762"/>
      <w:r>
        <w:t>Other mixtures</w:t>
      </w:r>
      <w:bookmarkEnd w:id="111"/>
      <w:bookmarkEnd w:id="112"/>
    </w:p>
    <w:p w14:paraId="696057A7" w14:textId="77777777" w:rsidR="00CE1FFE" w:rsidRDefault="00CE1FFE" w:rsidP="00CE1FFE">
      <w:r>
        <w:t xml:space="preserve">Mixtures of TMAO and trehalose </w:t>
      </w:r>
      <w:r>
        <w:fldChar w:fldCharType="begin" w:fldLock="1"/>
      </w:r>
      <w:r>
        <w:instrText>ADDIN CSL_CITATION { "citationItems" : [ { "id" : "ITEM-1", "itemData" : { "DOI" : "10.1016/j.abb.2006.02.001", "ISBN" : "0003-9861 (Print)\\r0003-9861 (Linking)", "ISSN" : "00039861", "PMID" : "16530158", "abstract" : "Many protein conformational diseases arise when proteins form alternative stable conformations, resulting in aggregation and accumulation of the protein as fibrillar deposits, or amyloids. Interestingly, numerous proteins implicated in amyloid protein formation show similar structural and functional properties. Given this similarity, we tested the notion that carboxymethylated bovine alpha-lactalbumin (1SS-alpha-lac) could serve as a general amyloid fibrillation/aggregation model system. Like most amyloid forming systems, Mg2+ ions accelerate 1SS-alpha-lac amyloid fibril formation. While osmolytes such as trimethylamine N-oxide (TMAO), and sucrose enhanced thioflavin T detected aggregation, a mixture of trehalose and TMAO substantially inhibited aggregation. Most importantly however, the flavonoid, baicalein, known to inhibit alpha-synuclein amyloid fibril formation, also inhibits 1SS-alpha-lac amyloid with the same apparent efficacy. These data suggest that the easily obtainable 1SS-alpha-lac protein can serve as a general amyloid model and that some small molecule amyloid inhibitors may function successfully with many different amyloid systems.", "author" : [ { "dropping-particle" : "", "family" : "Bomhoff", "given" : "G", "non-dropping-particle" : "", "parse-names" : false, "suffix" : "" }, { "dropping-particle" : "", "family" : "Sloan", "given" : "K", "non-dropping-particle" : "", "parse-names" : false, "suffix" : "" }, { "dropping-particle" : "", "family" : "McLain", "given" : "C", "non-dropping-particle" : "", "parse-names" : false, "suffix" : "" }, { "dropping-particle" : "", "family" : "Gogol", "given" : "E P", "non-dropping-particle" : "", "parse-names" : false, "suffix" : "" }, { "dropping-particle" : "", "family" : "Fisher", "given" : "M T", "non-dropping-particle" : "", "parse-names" : false, "suffix" : "" } ], "container-title" : "Archives of Biochemistry and Biophysics", "id" : "ITEM-1", "issued" : { "date-parts" : [ [ "2006" ] ] }, "page" : "75-86", "title" : "The effects of the flavonoid baicalein and osmolytes on the Mg 2+ accelerated aggregation/fibrillation of carboxymethylated bovine 1SS-alpha-lactalbumin", "type" : "article-journal", "volume" : "453" }, "uris" : [ "http://www.mendeley.com/documents/?uuid=4ee83a1a-9120-4426-b735-531b46bd8118" ] } ], "mendeley" : { "formattedCitation" : "(Bomhoff et al. 2006)", "plainTextFormattedCitation" : "(Bomhoff et al. 2006)", "previouslyFormattedCitation" : "(Bomhoff et al. 2006)" }, "properties" : { "noteIndex" : 0 }, "schema" : "https://github.com/citation-style-language/schema/raw/master/csl-citation.json" }</w:instrText>
      </w:r>
      <w:r>
        <w:fldChar w:fldCharType="separate"/>
      </w:r>
      <w:r w:rsidRPr="00CE1FFE">
        <w:rPr>
          <w:noProof/>
        </w:rPr>
        <w:t>(Bomhoff et al. 2006)</w:t>
      </w:r>
      <w:r>
        <w:fldChar w:fldCharType="end"/>
      </w:r>
      <w:r>
        <w:t xml:space="preserve">, GdnHCl and artificial chaperones </w:t>
      </w:r>
      <w:r>
        <w:fldChar w:fldCharType="begin" w:fldLock="1"/>
      </w:r>
      <w:r>
        <w:instrText>ADDIN CSL_CITATION { "citationItems" : [ { "id" : "ITEM-1", "itemData" : { "DOI" : "10.1021/bp0200191", "ISSN" : "87567938", "PMID" : "12052090", "abstract" : "It has been recognized that the artificial chaperone system, cetyltrimethylammonium bromide and beta-cyclodextrin, is effective for enhancing protein renaturation. In this work, we studied the effect of the artificial chaperone system and guanidinium chloride (GdmCl) on the oxidative renaturation of lysozyme at 0.21-1.05 mg/mL, and a kinetic model based on the competition between protein folding and aggregation was employed to express the renaturation process. The refolding rate constant increased, while the aggregation rate constant decreased, with increasing concentration of the artificial chaperones. With increasing GdmCl concentration (0.28-2 M), both rate constants decreased, but there existed a specific GdmCl concentration that maximized the ratio of the two rate constants and thus the renaturation yield. The results obviously indicated the cooperative effect of GdmCl and the artificial chaperones on enhancing protein renaturation.", "author" : [ { "dropping-particle" : "", "family" : "Dong", "given" : "X Y", "non-dropping-particle" : "", "parse-names" : false, "suffix" : "" }, { "dropping-particle" : "", "family" : "Shi", "given" : "J H", "non-dropping-particle" : "", "parse-names" : false, "suffix" : "" }, { "dropping-particle" : "", "family" : "Sun", "given" : "Y", "non-dropping-particle" : "", "parse-names" : false, "suffix" : "" } ], "container-title" : "Biotechnology Progress", "id" : "ITEM-1", "issued" : { "date-parts" : [ [ "2002" ] ] }, "page" : "663-665", "title" : "Cooperative effect of artificial chaperones and guanidinium chloride on lysozyme renaturation at high concentrations", "type" : "article-journal", "volume" : "18" }, "uris" : [ "http://www.mendeley.com/documents/?uuid=af8d1b25-1ba9-457d-8259-b74499e5bc80" ] } ], "mendeley" : { "formattedCitation" : "(Dong et al. 2002)", "plainTextFormattedCitation" : "(Dong et al. 2002)", "previouslyFormattedCitation" : "(Dong et al. 2002)" }, "properties" : { "noteIndex" : 0 }, "schema" : "https://github.com/citation-style-language/schema/raw/master/csl-citation.json" }</w:instrText>
      </w:r>
      <w:r>
        <w:fldChar w:fldCharType="separate"/>
      </w:r>
      <w:r w:rsidRPr="00CE1FFE">
        <w:rPr>
          <w:noProof/>
        </w:rPr>
        <w:t>(Dong et al. 2002)</w:t>
      </w:r>
      <w:r>
        <w:fldChar w:fldCharType="end"/>
      </w:r>
      <w:r>
        <w:t xml:space="preserve">, and 2 M urea – 0.5 M arginine </w:t>
      </w:r>
      <w:r>
        <w:fldChar w:fldCharType="begin" w:fldLock="1"/>
      </w:r>
      <w:r>
        <w:instrText>ADDIN CSL_CITATION { "citationItems" : [ { "id" : "ITEM-1", "itemData" : { "DOI" : "10.1016/j.pep.2009.02.004", "ISBN" : "1096-0279 (Electronic)\\r1046-5928 (Linking)", "ISSN" : "10465928", "PMID" : "19233287", "abstract" : "The use of low concentrations of urea, guanidinium chloride or arginine has been reported in the literature to increase protein refolding and yield of active proteins by suppressing aggregate formation. However, no studies have yet examined whether these substances can exert synergistic or cooperative effects when used in combination. In this work, a comparative study was carried out on refolding of recombinant human granulocyte colony-stimulating factor (rhG-CSF) in the presence of different concentrations of urea, guanidinium chloride or arginine. All three folding aids could inhibit the formation of insoluble aggregates of rhG-CSF but with different efficacies. A low concentration of guanidinium chloride was found to denature protein, so that rhG-CSF was not fully or correctly folded even if concentration was reduced to 1 M. Low concentration of urea (2 M) or arginine (0.5 M) did not cause rhG-CSF denaturation, but urea was unable to suppress the formation of soluble oligomers, which persisted at a level of about 30% in refolded soluble rhG-CSF. Arginine, in contrast, could inhibit formation of all soluble oligomers. Based on these phenomena, we tested rhG-CSF folding in a mixture of 2 M urea and 0.5 M arginine. Kinetic analysis indicated that urea aided in suppressing insoluble precipitates, while arginine prevented formation of soluble oligomers produced by hydrophobic interaction. With this combination system, the refolding yield of rhG-CSF could be increased 2-fold. \u00a9 2009 Elsevier Inc. All rights reserved.", "author" : [ { "dropping-particle" : "", "family" : "Chen", "given" : "J", "non-dropping-particle" : "", "parse-names" : false, "suffix" : "" }, { "dropping-particle" : "", "family" : "Liu", "given" : "Y", "non-dropping-particle" : "", "parse-names" : false, "suffix" : "" }, { "dropping-particle" : "", "family" : "Li", "given" : "X", "non-dropping-particle" : "", "parse-names" : false, "suffix" : "" }, { "dropping-particle" : "", "family" : "Wang", "given" : "Y", "non-dropping-particle" : "", "parse-names" : false, "suffix" : "" }, { "dropping-particle" : "", "family" : "Ding", "given" : "H", "non-dropping-particle" : "", "parse-names" : false, "suffix" : "" }, { "dropping-particle" : "", "family" : "Ma", "given" : "G", "non-dropping-particle" : "", "parse-names" : false, "suffix" : "" }, { "dropping-particle" : "", "family" : "Su", "given" : "Z", "non-dropping-particle" : "", "parse-names" : false, "suffix" : "" } ], "container-title" : "Protein Expression &amp; Purification", "id" : "ITEM-1", "issued" : { "date-parts" : [ [ "2009" ] ] }, "page" : "82-90", "publisher" : "Elsevier Inc.", "title" : "Cooperative effects of urea and L-arginine on protein refolding", "type" : "article-journal", "volume" : "66" }, "uris" : [ "http://www.mendeley.com/documents/?uuid=7f6e5973-bb6f-408c-bd80-78e1ca6435ba" ] } ], "mendeley" : { "formattedCitation" : "(Chen et al. 2009)", "plainTextFormattedCitation" : "(Chen et al. 2009)", "previouslyFormattedCitation" : "(Chen et al. 2009)" }, "properties" : { "noteIndex" : 0 }, "schema" : "https://github.com/citation-style-language/schema/raw/master/csl-citation.json" }</w:instrText>
      </w:r>
      <w:r>
        <w:fldChar w:fldCharType="separate"/>
      </w:r>
      <w:r w:rsidRPr="00CE1FFE">
        <w:rPr>
          <w:noProof/>
        </w:rPr>
        <w:t>(Chen et al. 2009)</w:t>
      </w:r>
      <w:r>
        <w:fldChar w:fldCharType="end"/>
      </w:r>
      <w:r>
        <w:t xml:space="preserve"> have all been shown to improve protein refolding more effectively than the cosolutes individually. </w:t>
      </w:r>
      <w:r w:rsidR="00141006">
        <w:t xml:space="preserve">An equimolar concentration of arginine and glycine was also shown to result in high stabilisation during spray drying of proteins </w:t>
      </w:r>
      <w:r w:rsidR="00141006">
        <w:fldChar w:fldCharType="begin" w:fldLock="1"/>
      </w:r>
      <w:r w:rsidR="00C80101">
        <w:instrText>ADDIN CSL_CITATION { "citationItems" : [ { "id" : "ITEM-1", "itemData" : { "DOI" : "10.1016/j.ijpharm.2014.01.002", "ISSN" : "03785173", "PMID" : "24412336", "abstract" : "Biologicals are often formulated as solids in an effort to preserve stability which generally requires stabilising excipients for proper drying. The purpose of this study was to screen amino acids and their combinations for their stabilising effect on proteins during spray drying. Catalase, as model protein, was spray dried in 1 + 1 or 1 + 2 ratios with amino acids. Some amino acids namely arginine, glycine and histidine showed good retention of catalase functionality after spray drying and subsequent storage stress. A 1 + 1 combination of arginine and glycine in a 1 + 2 ratio with catalase resulted in a tremendously good stabilising effect. Storage at high temperature/humidity also showed beneficial effects of this combination. To evaluate whether this was a general principle, these findings were transferred to an antigenic protein of comparable size and supramolecular structure (haemagglutinin) as well as to a smaller enzyme (lysozyme). Upon spray drying with the combination of amino acids it could be shown that both proteins remain more stable especially after storage compared to the unprotected protein. The combination of arginine and glycine is tailored to the needs of protein stabilisation during spray drying and may hence be utilised in dry powder formulation of biomolecules with superior stability characteristics. \u00a9 2014 Elsevier B.V.", "author" : [ { "dropping-particle" : "", "family" : "Ajmera", "given" : "A", "non-dropping-particle" : "", "parse-names" : false, "suffix" : "" }, { "dropping-particle" : "", "family" : "Scherlie\u00df", "given" : "R", "non-dropping-particle" : "", "parse-names" : false, "suffix" : "" } ], "container-title" : "International Journal of Pharmaceutics", "id" : "ITEM-1", "issued" : { "date-parts" : [ [ "2014" ] ] }, "page" : "98-107", "publisher" : "Elsevier B.V.", "title" : "Stabilisation of proteins via mixtures of amino acids during spray drying", "type" : "article-journal", "volume" : "463" }, "uris" : [ "http://www.mendeley.com/documents/?uuid=2105d950-bef5-46ac-9c1e-da83267e257a" ] } ], "mendeley" : { "formattedCitation" : "(Ajmera &amp; Scherlie\u00df 2014)", "plainTextFormattedCitation" : "(Ajmera &amp; Scherlie\u00df 2014)", "previouslyFormattedCitation" : "(Ajmera &amp; Scherlie\u00df 2014)" }, "properties" : { "noteIndex" : 0 }, "schema" : "https://github.com/citation-style-language/schema/raw/master/csl-citation.json" }</w:instrText>
      </w:r>
      <w:r w:rsidR="00141006">
        <w:fldChar w:fldCharType="separate"/>
      </w:r>
      <w:r w:rsidR="00141006" w:rsidRPr="00141006">
        <w:rPr>
          <w:noProof/>
        </w:rPr>
        <w:t>(Ajmera &amp; Scherließ 2014)</w:t>
      </w:r>
      <w:r w:rsidR="00141006">
        <w:fldChar w:fldCharType="end"/>
      </w:r>
      <w:r w:rsidR="00141006">
        <w:t xml:space="preserve">. </w:t>
      </w:r>
      <w:r>
        <w:lastRenderedPageBreak/>
        <w:t>However, there are very few studies done on the effects of other mixtures of cosolutes on protein thermal stability</w:t>
      </w:r>
      <w:r w:rsidR="00141006">
        <w:t xml:space="preserve"> in solution</w:t>
      </w:r>
      <w:r>
        <w:t>.</w:t>
      </w:r>
    </w:p>
    <w:p w14:paraId="300F9330" w14:textId="77777777" w:rsidR="00CE1FFE" w:rsidRPr="00CE1FFE" w:rsidRDefault="00CE1FFE" w:rsidP="00CE1FFE">
      <w:r>
        <w:t xml:space="preserve">An extensive study into the effects of monosaccharides, oligosaccharides, and monosaccharide mixtures on thermal stability of RNase A demonstrated that, although oligosaccharides were less stabilising than the sum of their individual monosaccharides when in solution separately, equimolar monosaccharide mixtures had additive effects on thermodynamic stability when compared to the separate solutions </w:t>
      </w:r>
      <w:r>
        <w:fldChar w:fldCharType="begin" w:fldLock="1"/>
      </w:r>
      <w:r w:rsidR="00141006">
        <w:instrText>ADDIN CSL_CITATION { "citationItems" : [ { "id" : "ITEM-1", "itemData" : { "DOI" : "10.1016/j.bpc.2008.09.013", "ISBN" : "1873-4200 (Electronic) 0301-4622 (Linking)", "ISSN" : "03014622", "PMID" : "18835508", "abstract" : "Thermal denaturation curves of ribonuclease-A were measured by monitoring changes in the far-UV circular dichroism (CD) spectra in the presence of different concentrations of six sugars (glucose, fructose, galactose, sucrose, raffinose and stachyose) and mixture of monosaccharide constituents of each oligosaccharide at various pH values in the range of 6.0-2.0. These measurements gave values of Tm (midpoint of denaturation), ??Hm (enthalpy change at Tm), ??Cp (constant-pressure heat capacity change) under a given solvent condition. Using these values of ??Hm, Tm and ??Cp in appropriate thermodynamic relations, thermodynamic parameters at 25????C, namely, ??GD o (Gibbs energy change), ??HD o (enthalpy change), and ??SD o (entropy change) were determined at a given pH and concentration of each sugar (including its mixture of monosaccharide constituents). Our main conclusions are: (i) each sugar stabilizes the protein in terms of Tm and ??GD o, and this stabilization is under enthalpic control, (ii) the protein stabilization by the oligosaccharide is significantly less than that by the equimolar concentration of the constituent monosaccharides, and (iii) the stabilization by monosaccharides in a mixture is fully additive. Furthermore, measurements of the far- and near-UV CD spectra suggested that secondary and tertiary structures of protein in their native and denatured states are not perturbed on the addition of sugars. ?? 2008 Elsevier B.V. All rights reserved.", "author" : [ { "dropping-particle" : "", "family" : "Poddar", "given" : "N K", "non-dropping-particle" : "", "parse-names" : false, "suffix" : "" }, { "dropping-particle" : "", "family" : "Ansari", "given" : "Z A", "non-dropping-particle" : "", "parse-names" : false, "suffix" : "" }, { "dropping-particle" : "", "family" : "Brojen Singh", "given" : "R K", "non-dropping-particle" : "", "parse-names" : false, "suffix" : "" }, { "dropping-particle" : "", "family" : "Moosavi-Movahedi", "given" : "A A", "non-dropping-particle" : "", "parse-names" : false, "suffix" : "" }, { "dropping-particle" : "", "family" : "Ahmad", "given" : "F", "non-dropping-particle" : "", "parse-names" : false, "suffix" : "" } ], "container-title" : "Biophysical Chemistry", "id" : "ITEM-1", "issued" : { "date-parts" : [ [ "2008" ] ] }, "page" : "120-129", "publisher" : "Elsevier B.V.", "title" : "Effect of monomeric and oligomeric sugar osmolytes on deltaGD, the Gibbs energy of stabilization of the protein at different pH values: Is the sum effect of monosaccharide individually additive in a mixture?", "type" : "article-journal", "volume" : "138" }, "uris" : [ "http://www.mendeley.com/documents/?uuid=569eff96-0841-4709-83b9-a2fdcc3f9203" ] } ], "mendeley" : { "formattedCitation" : "(Poddar et al. 2008)", "plainTextFormattedCitation" : "(Poddar et al. 2008)", "previouslyFormattedCitation" : "(Poddar et al. 2008)" }, "properties" : { "noteIndex" : 0 }, "schema" : "https://github.com/citation-style-language/schema/raw/master/csl-citation.json" }</w:instrText>
      </w:r>
      <w:r>
        <w:fldChar w:fldCharType="separate"/>
      </w:r>
      <w:r w:rsidRPr="00CE1FFE">
        <w:rPr>
          <w:noProof/>
        </w:rPr>
        <w:t>(Poddar et al. 2008)</w:t>
      </w:r>
      <w:r>
        <w:fldChar w:fldCharType="end"/>
      </w:r>
      <w:r>
        <w:t xml:space="preserve">. This suggests that the mechanisms by which a larger molecule (oligosaccharide) acts on protein stability will be different </w:t>
      </w:r>
      <w:r w:rsidR="00610FA8">
        <w:t>to those by which its smaller functional parts (monosaccharides) act. It also suggests that even when present in a mixture these smaller monosaccharides will act via similar mechanisms to those by which it acts when present as a singular cosolute. This additive effect is one that has generally not been seen in other cosolute mixtures.</w:t>
      </w:r>
    </w:p>
    <w:p w14:paraId="608E5308" w14:textId="77777777" w:rsidR="003F2BCD" w:rsidRDefault="007D4480" w:rsidP="000A3469">
      <w:pPr>
        <w:pStyle w:val="Heading2"/>
      </w:pPr>
      <w:bookmarkStart w:id="113" w:name="_Toc485712763"/>
      <w:r>
        <w:t>Cosolutes</w:t>
      </w:r>
      <w:r w:rsidR="005644BD">
        <w:t xml:space="preserve"> studied in this thesis</w:t>
      </w:r>
      <w:bookmarkEnd w:id="113"/>
    </w:p>
    <w:p w14:paraId="4F143565" w14:textId="77777777" w:rsidR="00863365" w:rsidRPr="00863365" w:rsidRDefault="00863365" w:rsidP="00863365">
      <w:r>
        <w:t>Although generally discussed throughout this literature review the following sections discuss specific uses and suggested mechanisms for the principal cosolutes studied in this thesis. Where appropriate rather than repeat</w:t>
      </w:r>
      <w:r w:rsidR="008D5285">
        <w:t xml:space="preserve"> information </w:t>
      </w:r>
      <w:r>
        <w:t xml:space="preserve">previous sections </w:t>
      </w:r>
      <w:r w:rsidR="009451CB">
        <w:t xml:space="preserve">are </w:t>
      </w:r>
      <w:r>
        <w:t>referred to.</w:t>
      </w:r>
    </w:p>
    <w:p w14:paraId="55513536" w14:textId="77777777" w:rsidR="005644BD" w:rsidRDefault="005644BD" w:rsidP="005644BD">
      <w:pPr>
        <w:pStyle w:val="Heading3"/>
      </w:pPr>
      <w:bookmarkStart w:id="114" w:name="_Ref453863899"/>
      <w:bookmarkStart w:id="115" w:name="_Toc485712764"/>
      <w:r>
        <w:t>Arginine</w:t>
      </w:r>
      <w:bookmarkEnd w:id="114"/>
      <w:bookmarkEnd w:id="115"/>
    </w:p>
    <w:p w14:paraId="27734A6F" w14:textId="77777777" w:rsidR="00752C4D" w:rsidRPr="00752C4D" w:rsidRDefault="00752C4D" w:rsidP="00752C4D">
      <w:r>
        <w:t>Arginine is widely used by the biopharmaceutic</w:t>
      </w:r>
      <w:r w:rsidR="00C80101">
        <w:t>al industry for a number of reasons</w:t>
      </w:r>
      <w:r>
        <w:t xml:space="preserve">. </w:t>
      </w:r>
      <w:r w:rsidR="00C80101">
        <w:t>It can assist in refolding of proteins, solubilise inclusion bodies, facilitate elution from protein A columns</w:t>
      </w:r>
      <w:r w:rsidR="003E658B">
        <w:t>, decrease solution viscosity</w:t>
      </w:r>
      <w:r w:rsidR="00C80101">
        <w:t xml:space="preserve"> and reduce aggregation when used as an excipient during long-term storage </w:t>
      </w:r>
      <w:r w:rsidR="00C80101">
        <w:fldChar w:fldCharType="begin" w:fldLock="1"/>
      </w:r>
      <w:r w:rsidR="00E11F61">
        <w:instrText>ADDIN CSL_CITATION { "citationItems" : [ { "id" : "ITEM-1", "itemData" : { "author" : [ { "dropping-particle" : "", "family" : "Ejima", "given" : "D", "non-dropping-particle" : "", "parse-names" : false, "suffix" : "" }, { "dropping-particle" : "", "family" : "Tsumoto", "given" : "K", "non-dropping-particle" : "", "parse-names" : false, "suffix" : "" }, { "dropping-particle" : "", "family" : "Arakawa", "given" : "T", "non-dropping-particle" : "", "parse-names" : false, "suffix" : "" } ], "container-title" : "BioProcess International", "id" : "ITEM-1", "issued" : { "date-parts" : [ [ "2005" ] ] }, "page" : "20-28", "title" : "Biotech applications of arginine. Novel uses in protein production, processing, analysis and formulation", "type" : "article-journal" }, "uris" : [ "http://www.mendeley.com/documents/?uuid=fe1ffa17-3f9f-4d5e-a416-7491260a8e76" ] }, { "id" : "ITEM-2", "itemData" : { "DOI" : "10.1007/s00726-007-0506-3", "ISBN" : "0072600705", "ISSN" : "1438-2199", "PMID" : "17357829", "abstract" : "Amino acids are widely used in biotechnology applications. Since amino acids are natural compounds, they can be safely used in pharmaceutical applications, e.g., as a solvent additive for protein purification and as an excipient for protein formulations. At high concentrations, certain amino acids are found to raise intra-cellular osmotic pressure and adjust to the high salt concentrations of the surrounding medium. They are called \"compatible solutes\", since they do not affect macromolecular function. Not only are they needed to increase the osmotic pressure, they are known to increase the stability of the proteins. Sucrose, glycerol and certain amino acids were used to enhance the stability of unstable proteins after isolation from natural environments. The mechanism of the action of these protein-stabilizing amino acids is relatively well understood. On the contrary, arginine was accidentally discovered as a useful reagent for assisting in the refolding of recombinant proteins. This effect of arginine was ascribed to its ability to suppress aggregation of the proteins during refolding, thereby increasing refolding efficiency. By the same mechanism, arginine now finds much wider applications than previously anticipated in the research and development of proteins, in particular in pharmaceutical applications. For example, arginine solubilizes proteins from loose inclusion bodies, resulting in efficient production of active proteins. Arginine suppresses protein-protein interactions in solution and also non-specific adsorption to gel permeation chromatography columns. Arginine facilitates elution of bound proteins from various column resins, including Protein-A or dye affinity columns and hydrophobic interaction columns. This review covers various biotechnology applications of amino acids, in particular arginine.", "author" : [ { "dropping-particle" : "", "family" : "Arakawa", "given" : "T", "non-dropping-particle" : "", "parse-names" : false, "suffix" : "" }, { "dropping-particle" : "", "family" : "Tsumoto", "given" : "K", "non-dropping-particle" : "", "parse-names" : false, "suffix" : "" }, { "dropping-particle" : "", "family" : "Kita", "given" : "Y", "non-dropping-particle" : "", "parse-names" : false, "suffix" : "" }, { "dropping-particle" : "", "family" : "Chang", "given" : "B", "non-dropping-particle" : "", "parse-names" : false, "suffix" : "" }, { "dropping-particle" : "", "family" : "Ejima", "given" : "D", "non-dropping-particle" : "", "parse-names" : false, "suffix" : "" } ], "container-title" : "Amino Acids", "id" : "ITEM-2", "issued" : { "date-parts" : [ [ "2007", "11" ] ] }, "page" : "587-605", "title" : "Biotechnology applications of amino acids in protein purification and formulations", "type" : "article-journal", "volume" : "33" }, "uris" : [ "http://www.mendeley.com/documents/?uuid=29ec20f0-56a1-4437-99b3-8d21c1daaafe" ] }, { "id" : "ITEM-3", "itemData" : { "DOI" : "10.2174/138920109788488851", "ISBN" : "1389-2010", "ISSN" : "13892010", "PMID" : "19519416", "abstract" : "L-Arginine is one of the most commonly used and most generally applicable suppressors of protein aggregation. Its effect as enhancer of in vitro protein refolding was serendipitously discovered two decades ago. This article aims at giving a brief overview about the discovery of the arginine effect, the range of its applications that have been explored over the past two decades, and of the current state of the discussion regarding the mechanisms responsible for the action of L-arginine as suppressor of aggregation.", "author" : [ { "dropping-particle" : "", "family" : "Lange", "given" : "C", "non-dropping-particle" : "", "parse-names" : false, "suffix" : "" }, { "dropping-particle" : "", "family" : "Rudolph", "given" : "R", "non-dropping-particle" : "", "parse-names" : false, "suffix" : "" } ], "container-title" : "Current Pharmaceutical Biotechnology", "id" : "ITEM-3", "issued" : { "date-parts" : [ [ "2009" ] ] }, "page" : "408-414", "title" : "Suppression of protein aggregation by L-arginine", "type" : "article-journal", "volume" : "10" }, "uris" : [ "http://www.mendeley.com/documents/?uuid=d4d46f41-3146-434c-b9cb-09b3d8519bdc" ] }, { "id" : "ITEM-4", "itemData" : { "DOI" : "10.1021/bp0498793", "ISSN" : "8756-7938", "PMID" : "15458311", "abstract" : "Recombinant proteins are often expressed in the form of insoluble inclusion bodies in bacteria. To facilitate refolding of recombinant proteins obtained from inclusion bodies, 0.1 to 1 M arginine is customarily included in solvents used for refolding the proteins by dialysis or dilution. In addition, arginine at higher concentrations, e.g., 0.5-2 M, can be used to extract active, folded proteins from insoluble pellets obtained after lysing Escherichia coli cells. Moreover, arginine increases the yield of proteins secreted to the periplasm, enhances elution of antibodies from Protein-A columns, and stabilizes proteins during storage. All these arginine effects are apparently due to suppression of protein aggregation. Little is known, however, about the mechanism. Various effects of solvent additives on proteins have been attributed to their preferential interaction with the protein, effects on surface tension, or effects on amino acid solubility. The suppression of protein aggregation by arginine cannot be readily explained by either surface tension effects or preferential interactions. In this review we show that interactions between the guanidinium group of arginine and tryptophan side chains may be responsible for suppression of protein aggregation by arginine.", "author" : [ { "dropping-particle" : "", "family" : "Tsumoto", "given" : "K", "non-dropping-particle" : "", "parse-names" : false, "suffix" : "" }, { "dropping-particle" : "", "family" : "Umetsu", "given" : "M", "non-dropping-particle" : "", "parse-names" : false, "suffix" : "" }, { "dropping-particle" : "", "family" : "Kumagai", "given" : "I", "non-dropping-particle" : "", "parse-names" : false, "suffix" : "" }, { "dropping-particle" : "", "family" : "Ejima", "given" : "D", "non-dropping-particle" : "", "parse-names" : false, "suffix" : "" }, { "dropping-particle" : "", "family" : "Philo", "given" : "J S", "non-dropping-particle" : "", "parse-names" : false, "suffix" : "" }, { "dropping-particle" : "", "family" : "Arakawa", "given" : "T", "non-dropping-particle" : "", "parse-names" : false, "suffix" : "" } ], "container-title" : "Biotechnology Progress", "id" : "ITEM-4", "issued" : { "date-parts" : [ [ "2004" ] ] }, "page" : "1301-1308", "title" : "Role of arginine in protein refolding, solubilization, and purification", "type" : "article-journal", "volume" : "20" }, "uris" : [ "http://www.mendeley.com/documents/?uuid=312a8df6-a9cb-4e21-8a29-cbf787a04eb0" ] }, { "id" : "ITEM-5", "itemData" : { "DOI" : "10.1021/mp5000218", "ISBN" : "1543-8392", "ISSN" : "15438392", "PMID" : "24689736", "abstract" : "Unacceptably high viscosity is observed in high protein concentration formulations due to extremely large therapeutic dose of antibodies and volume restriction of subcutaneous route of administration. Here, we show that a protein aggregation suppressor, arginine hydrochloride (ArgHCl), specifically decreases viscosity of antibody formulations. The viscosities of bovine gamma globulin (BGG) solution at 250 mg/mL and human gamma globulin (HGG) solution at 292 mg/mL at a physiological pH were too high for subcutaneous injections, but decreased to an acceptable level (below 50 cP) in the presence of 1,000 mM ArgHCl. ArgHCl also decreased the viscosity of BGG solution at acidic and alkaline pHs. Interestingly, ArgHCl decreased the viscosity of antibody solutions (BGG, HGG, and human immunoglobulin G) but not globular protein solutions (\u03b1-amylase and \u03b1-chymotrypsin). These results indicate not only high potency of ArgHCl as an excipient to decrease the solution viscosity of high concentration antibodies formulations but also specific interactions between ArgHCl and antibodies.", "author" : [ { "dropping-particle" : "", "fam</w:instrText>
      </w:r>
      <w:r w:rsidR="00E11F61" w:rsidRPr="00E3274E">
        <w:rPr>
          <w:lang w:val="it-IT"/>
        </w:rPr>
        <w:instrText>ily" : "Inoue", "given" : "N", "non-dropping-particle" : "", "parse-names" : false, "suffix" : "" }, { "dropping-particle" : "", "family" : "Takai", "given" : "E", "non-dropping-particle" : "", "parse-names" : false, "suffix" : "" }, { "dropping-particle" : "", "family" : "Arakawa", "given" : "T", "non-dropping-particle" : "", "parse-names" : false, "suffix" : "" }, { "dropping-particle" : "", "family" : "Shiraki", "given" : "K", "non-dropping-particle" : "", "parse-names" : false, "suffix" : "" } ], "container-title" : "Molecular Pharmaceutics", "id" : "ITEM-5", "issued" : { "date-parts" : [ [ "2014" ] ] }, "page" : "1889-1896", "title" : "Specific decrease in solution viscosity of antibodies by arginine for therapeutic formulations", "type" : "article-journal", "volume" : "11" }, "uris" : [ "http://www.mendeley.com/documents/?uuid=0a247157-1a83-4e8a-b5d7-954f791504b0" ] } ], "mendeley" : { "formattedCitation" : "(Ejima, Tsumoto, et al. 2005; Arakawa, Tsumoto, et al. 2007; Lange &amp; Rudolph 2009; Tsumoto et al. 2004; Inoue et al. 2014)", "plainTextFormattedCitation" : "(Ejima, Tsumoto, et al. 2005; Arakawa, Tsumoto, et al. 2007; Lange &amp; Rudolph 2009; Tsumoto et al. 2004; Inoue et al. 2014)", "previouslyFormattedCitation" : "(Ejima, Tsumoto, et al. 2005; Arakawa, Tsumoto, et al. 2007; Lange &amp; Rudolph 2009; Tsumoto et al. 2004; Inoue et al. 2014)" }, "properties" : { "noteIndex" : 0 }, "schema" : "https://github.com/citation-style-language/schema/raw/master/csl-citation.json" }</w:instrText>
      </w:r>
      <w:r w:rsidR="00C80101">
        <w:fldChar w:fldCharType="separate"/>
      </w:r>
      <w:r w:rsidR="0064368A" w:rsidRPr="00E3274E">
        <w:rPr>
          <w:noProof/>
          <w:lang w:val="it-IT"/>
        </w:rPr>
        <w:t>(Ejima, Tsumoto, et al. 2005; Arakawa, Tsumoto, et al. 2007; Lange &amp; Rudolph 2009; Tsumoto et al. 2004; Inoue et al. 2014)</w:t>
      </w:r>
      <w:r w:rsidR="00C80101">
        <w:fldChar w:fldCharType="end"/>
      </w:r>
      <w:r w:rsidR="00C80101" w:rsidRPr="00E3274E">
        <w:rPr>
          <w:lang w:val="it-IT"/>
        </w:rPr>
        <w:t xml:space="preserve">. </w:t>
      </w:r>
      <w:r w:rsidR="00C80101">
        <w:t xml:space="preserve">Its popularity stems from the fact that it is unique in its ability to </w:t>
      </w:r>
      <w:r w:rsidR="00E76F2D">
        <w:t>solubilise and prevent aggregation</w:t>
      </w:r>
      <w:r w:rsidR="00C80101">
        <w:t xml:space="preserve"> supposedly without any negative effects on protein stability </w:t>
      </w:r>
      <w:r w:rsidR="00C80101">
        <w:fldChar w:fldCharType="begin" w:fldLock="1"/>
      </w:r>
      <w:r w:rsidR="00924827">
        <w:instrText>ADDIN CSL_CITATION { "citationItems" : [ { "id" : "ITEM-1", "itemData" : { "DOI" : "10.1016/j.pep.2005.03.028", "ISSN" : "1046-5928", "PMID" : "15893471", "abstract" : "Arginine is a useful solvent additive for many applications, including refolding and solubilization of proteins from insoluble pellets, and suppression of protein aggregation and non-specific adsorption during formulation and purification. However, there is a concern that arginine may be a protein-denaturant, which may limit the expansion of its applications. Such concern arises from the facts that arginine decreases melting temperature and perturbs the spectroscopic properties of certain proteins and contains a guanidinium group, which is a critical chemical structure for denaturing activity of guanidine hydrochloride. Here, we show that although arginine does lower the melting temperatures of certain proteins, the extent is insufficient to cause denaturation of proteins at or below room temperature. The proteins described here show enzymatic activity and folded structure in the presence of arginine, although the local structure around aromatic amino acids is perturbed by arginine. Arginine differs from guandinine hydrochloride in the mode of interactions with proteins, which may be a primary reason why arginine is not a protein-denaturant.", "author" : [ { "dropping-particle" : "", "family" : "Ishibashi", "given" : "M", "non-dropping-particle" : "", "parse-names" : false, "suffix" : "" }, { "dropping-particle" : "", "family" : "Tsumoto", "given" : "K", "non-dropping-particle" : "", "parse-names" : false, "suffix" : "" }, { "dropping-particle" : "", "family" : "Tokunaga", "given" : "M", "non-dropping-particle" : "", "parse-names" : false, "suffix" : "" }, { "dropping-particle" : "", "family" : "Ejima", "given" : "D", "non-dropping-particle" : "", "parse-names" : false, "suffix" : "" }, { "dropping-particle" : "", "family" : "Kita", "given" : "Y", "non-dropping-particle" : "", "parse-names" : false, "suffix" : "" }, { "dropping-particle" : "", "family" : "Arakawa", "given" : "T", "non-dropping-particle" : "", "parse-names" : false, "suffix" : "" } ], "container-title" : "Protein Expression &amp; Purification", "id" : "ITEM-1", "issued" : { "date-parts" : [ [ "2005", "7" ] ] }, "page" : "1-6", "title" : "Is arginine a protein-denaturant?", "type" : "article-journal", "volume" : "42" }, "uris" : [ "http://www.mendeley.com/documents/?uuid=4f7780e5-385c-4f63-97dc-cb62626ee94e" ] } ], "mendeley" : { "formattedCitation" : "(Ishibashi et al. 2005)", "plainTextFormattedCitation" : "(Ishibashi et al. 2005)", "previouslyFormattedCitation" : "(Ishibashi et al. 2005)" }, "properties" : { "noteIndex" : 0 }, "schema" : "https://github.com/citation-style-language/schema/raw/master/csl-citation.json" }</w:instrText>
      </w:r>
      <w:r w:rsidR="00C80101">
        <w:fldChar w:fldCharType="separate"/>
      </w:r>
      <w:r w:rsidR="00C80101" w:rsidRPr="00C80101">
        <w:rPr>
          <w:noProof/>
        </w:rPr>
        <w:t>(Ishibashi et al. 2005)</w:t>
      </w:r>
      <w:r w:rsidR="00C80101">
        <w:fldChar w:fldCharType="end"/>
      </w:r>
      <w:r w:rsidR="00C80101">
        <w:t xml:space="preserve">, which is in contradiction of the ‘kosmotrope/chaotrope’ separation of small </w:t>
      </w:r>
      <w:r w:rsidR="00C80101">
        <w:lastRenderedPageBreak/>
        <w:t xml:space="preserve">molecules (see </w:t>
      </w:r>
      <w:r w:rsidR="00C80101">
        <w:fldChar w:fldCharType="begin"/>
      </w:r>
      <w:r w:rsidR="00C80101">
        <w:instrText xml:space="preserve"> REF _Ref453332271 \h </w:instrText>
      </w:r>
      <w:r w:rsidR="00C80101">
        <w:fldChar w:fldCharType="separate"/>
      </w:r>
      <w:r w:rsidR="00AA6926">
        <w:t xml:space="preserve">Table </w:t>
      </w:r>
      <w:r w:rsidR="00AA6926">
        <w:rPr>
          <w:noProof/>
        </w:rPr>
        <w:t>1</w:t>
      </w:r>
      <w:r w:rsidR="00AA6926">
        <w:noBreakHyphen/>
      </w:r>
      <w:r w:rsidR="00AA6926">
        <w:rPr>
          <w:noProof/>
        </w:rPr>
        <w:t>1</w:t>
      </w:r>
      <w:r w:rsidR="00C80101">
        <w:fldChar w:fldCharType="end"/>
      </w:r>
      <w:r w:rsidR="00C80101">
        <w:t>).</w:t>
      </w:r>
      <w:r w:rsidR="00BB3E3F">
        <w:t xml:space="preserve"> </w:t>
      </w:r>
      <w:r w:rsidR="0064215D">
        <w:t xml:space="preserve">Although its positive effects on solubility, refolding and aggregation are well documented </w:t>
      </w:r>
      <w:r w:rsidR="0064215D">
        <w:fldChar w:fldCharType="begin" w:fldLock="1"/>
      </w:r>
      <w:r w:rsidR="00FF6FB8">
        <w:instrText>ADDIN CSL_CITATION { "citationItems" : [ { "id" : "ITEM-1", "itemData" : { "DOI" : "10.1016/S0006-291X(03)00578-3", "ISSN" : "0006291X", "author" : [ { "dropping-particle" : "", "family" : "Arakawa", "given" : "T", "non-dropping-particle" : "", "parse-names" : false, "suffix" : "" }, { "dropping-particle" : "", "family" : "Tsumoto", "given" : "K", "non-dropping-particle" : "", "parse-names" : false, "suffix" : "" } ], "container-title" : "Biochemical and Biophysical Research Communications", "id" : "ITEM-1", "issued" : { "date-parts" : [ [ "2003", "4" ] ] }, "page" : "148-152", "title" : "The effects of arginine on refolding of aggregated proteins: Not facilitate refolding, but suppress aggregation", "type" : "article-journal", "volume" : "304" }, "uris" : [ "http://www.mendeley.com/documents/?uuid=1ec5f6bb-8e7b-444e-9655-b3d9189f70c9" ] }, { "id" : "ITEM-2", "itemData" : { "DOI" : "10.1016/j.bbrc.2003.11.055", "ISSN" : "0006291X", "author" : [ { "dropping-particle" : "", "family" : "Tsumoto", "given" : "K", "non-dropping-particle" : "", "parse-names" : false, "suffix" : "" }, { "dropping-particle" : "", "family" : "Umetsu", "given" : "M", "non-dropping-particle" : "", "parse-names" : false, "suffix" : "" }, { "dropping-particle" : "", "family" : "Kumagai", "given" : "I", "non-dropping-particle" : "", "parse-names" : false, "suffix" : "" }, { "dropping-particle" : "", "family" : "Ejima", "given" : "D", "non-dropping-particle" : "", "parse-names" : false, "suffix" : "" }, { "dropping-particle" : "", "family" : "Arakawa", "given" : "T", "non-dropping-particle" : "", "parse-names" : false, "suffix" : "" } ], "container-title" : "Biochemical and Biophysical Research Communications", "id" : "ITEM-2", "issued" : { "date-parts" : [ [ "2003", "12" ] ] }, "page" : "1383-1386", "title" : "Solubilization of active green fluorescent protein from insoluble particles by guanidine and arginine", "type" : "article-journal", "volume" : "312" }, "uris" : [ "http://www.mendeley.com/documents/?uuid=d95a9241-52c9-41dd-8136-27f5183fb333" ] }, { "id" : "ITEM-3", "itemData" : { "DOI" : "10.1021/bp0498793", "ISSN" : "8756-7938", "PMID" : "15458311", "abstract" : "Recombinant proteins are often expressed in the form of insoluble inclusion bodies in bacteria. To facilitate refolding of recombinant proteins obtained from inclusion bodies, 0.1 to 1 M arginine is customarily included in solvents used for refolding the proteins by dialysis or dilution. In addition, arginine at higher concentrations, e.g., 0.5-2 M, can be used to extract active, folded proteins from insoluble pellets obtained after lysing Escherichia coli cells. Moreover, arginine increases the yield of proteins secreted to the periplasm, enhances elution of antibodies from Protein-A columns, and stabilizes proteins during storage. All these arginine effects are apparently due to suppression of protein aggregation. Little is known, however, about the mechanism. Various effects of solvent additives on proteins have been attributed to their preferential interaction with the protein, effects on surface tension, or effects on amino acid solubility. The suppression of protein aggregation by arginine cannot be readily explained by either surface tension effects or preferential interactions. In this review we show that interactions between the guanidinium group of arginine and tryptophan side chains may be responsible for suppression of protein aggregation by arginine.", "author" : [ { "dropping-particle" : "", "family" : "Tsumoto", "given" : "K", "non-dropping-particle" : "", "parse-names" : false, "suffix" : "" }, { "dropping-particle" : "", "family" : "Umetsu", "given" : "M", "non-dropping-particle" : "", "parse-names" : false, "suffix" : "" }, { "dropping-particle" : "", "family" : "Kumagai", "given" : "I", "non-dropping-particle" : "", "parse-names" : false, "suffix" : "" }, { "dropping-particle" : "", "family" : "Ejima", "given" : "D", "non-dropping-particle" : "", "parse-names" : false, "suffix" : "" }, { "dropping-particle" : "", "family" : "Philo", "given" : "J S", "non-dropping-particle" : "", "parse-names" : false, "suffix" : "" }, { "dropping-particle" : "", "family" : "Arakawa", "given" : "T", "non-dropping-particle" : "", "parse-names" : false, "suffix" : "" } ], "container-title" : "Biotechnology Progress", "id" : "ITEM-3", "issued" : { "date-parts" : [ [ "2004" ] ] }, "page" : "1301-1308", "title" : "Role of arginine in protein refolding, solubilization, and purification", "type" : "article-journal", "volume" : "20" }, "uris" : [ "http://www.mendeley.com/documents/?uuid=312a8df6-a9cb-4e21-8a29-cbf787a04eb0" ] }, { "id" : "ITEM-4", "itemData" : { "DOI" : "10.1110/ps.041085005.L", "author" : [ { "dropping-particle" : "", "family" : "Reddy", "given" : "R C", "non-dropping-particle" : "", "parse-names" : false, "suffix" : "" }, { "dropping-particle" : "", "family" : "Lilie", "given" : "H", "non-dropping-particle" : "", "parse-names" : false, "suffix" : "" }, { "dropping-particle" : "", "family" : "Rudolph", "given" : "R", "non-dropping-particle" : "", "parse-names" : false, "suffix" : "" }, { "dropping-particle" : "", "family" : "Lange", "given" : "C", "non-dropping-particle" : "", "parse-names" : false, "suffix" : "" } ], "container-title" : "Protein Science", "id" : "ITEM-4", "issued" : { "date-parts" : [ [ "2005" ] ] }, "page" : "929-935", "title" : "L-Arginine increases the solubility of unfolded species of hen egg white lysozyme", "type" : "article-journal", "volume" : "14" }, "uris" : [ "http://www.mendeley.com/documents/?uuid=c72e00a7-7eb9-4ad4-9621-9992d64a4004" ] } ], "mendeley" : { "formattedCitation" : "(Arakawa &amp; Tsumoto 2003; Tsumoto et al. 2003; Tsumoto et al. 2004; Reddy et al. 2005)", "plainTextFormattedCitation" : "(Arakawa &amp; Tsumoto 2003; Tsumoto et al. 2003; Tsumoto et al. 2004; Reddy et al. 2005)", "previouslyFormattedCitation" : "(Arakawa &amp; Tsumoto 2003; Tsumoto et al. 2003; Tsumoto et al. 2004; Reddy et al. 2005)" }, "properties" : { "noteIndex" : 0 }, "schema" : "https://github.com/citation-style-language/schema/raw/master/csl-citation.json" }</w:instrText>
      </w:r>
      <w:r w:rsidR="0064215D">
        <w:fldChar w:fldCharType="separate"/>
      </w:r>
      <w:r w:rsidR="00714D3D" w:rsidRPr="00714D3D">
        <w:rPr>
          <w:noProof/>
        </w:rPr>
        <w:t>(Arakawa &amp; Tsumoto 2003; Tsumoto et al. 2003; Tsumoto et al. 2004; Reddy et al. 2005)</w:t>
      </w:r>
      <w:r w:rsidR="0064215D">
        <w:fldChar w:fldCharType="end"/>
      </w:r>
      <w:r w:rsidR="0064215D">
        <w:t xml:space="preserve">, its effects on protein stability are scarce, and not necessarily in agreement (see </w:t>
      </w:r>
      <w:r w:rsidR="0064215D">
        <w:fldChar w:fldCharType="begin"/>
      </w:r>
      <w:r w:rsidR="0064215D">
        <w:instrText xml:space="preserve"> REF _Ref453339849 \h </w:instrText>
      </w:r>
      <w:r w:rsidR="0064215D">
        <w:fldChar w:fldCharType="separate"/>
      </w:r>
      <w:r w:rsidR="00AA6926">
        <w:t xml:space="preserve">Table </w:t>
      </w:r>
      <w:r w:rsidR="00AA6926">
        <w:rPr>
          <w:noProof/>
        </w:rPr>
        <w:t>1</w:t>
      </w:r>
      <w:r w:rsidR="00AA6926">
        <w:noBreakHyphen/>
      </w:r>
      <w:r w:rsidR="00AA6926">
        <w:rPr>
          <w:noProof/>
        </w:rPr>
        <w:t>4</w:t>
      </w:r>
      <w:r w:rsidR="0064215D">
        <w:fldChar w:fldCharType="end"/>
      </w:r>
      <w:r w:rsidR="0064215D">
        <w:t xml:space="preserve">) </w:t>
      </w:r>
      <w:r w:rsidR="0064215D">
        <w:fldChar w:fldCharType="begin" w:fldLock="1"/>
      </w:r>
      <w:r w:rsidR="00924827">
        <w:instrText>ADDIN CSL_CITATION { "citationItems" : [ { "id" : "ITEM-1", "itemData" : { "DOI" : "10.1016/j.pep.2005.03.028", "ISSN" : "1046-5928", "PMID" : "15893471", "abstract" : "Arginine is a useful solvent additive for many applications, including refolding and solubilization of proteins from insoluble pellets, and suppression of protein aggregation and non-specific adsorption during formulation and purification. However, there is a concern that arginine may be a protein-denaturant, which may limit the expansion of its applications. Such concern arises from the facts that arginine decreases melting temperature and perturbs the spectroscopic properties of certain proteins and contains a guanidinium group, which is a critical chemical structure for denaturing activity of guanidine hydrochloride. Here, we show that although arginine does lower the melting temperatures of certain proteins, the extent is insufficient to cause denaturation of proteins at or below room temperature. The proteins described here show enzymatic activity and folded structure in the presence of arginine, although the local structure around aromatic amino acids is perturbed by arginine. Arginine differs from guandinine hydrochloride in the mode of interactions with proteins, which may be a primary reason why arginine is not a protein-denaturant.", "author" : [ { "dropping-particle" : "", "family" : "Ishibashi", "given" : "M", "non-dropping-particle" : "", "parse-names" : false, "suffix" : "" }, { "dropping-particle" : "", "family" : "Tsumoto", "given" : "K", "non-dropping-particle" : "", "parse-names" : false, "suffix" : "" }, { "dropping-particle" : "", "family" : "Tokunaga", "given" : "M", "non-dropping-particle" : "", "parse-names" : false, "suffix" : "" }, { "dropping-particle" : "", "family" : "Ejima", "given" : "D", "non-dropping-particle" : "", "parse-names" : false, "suffix" : "" }, { "dropping-particle" : "", "family" : "Kita", "given" : "Y", "non-dropping-particle" : "", "parse-names" : false, "suffix" : "" }, { "dropping-particle" : "", "family" : "Arakawa", "given" : "T", "non-dropping-particle" : "", "parse-names" : false, "suffix" : "" } ], "container-title" : "Protein Expression &amp; Purification", "id" : "ITEM-1", "issued" : { "date-parts" : [ [ "2005", "7" ] ] }, "page" : "1-6", "title" : "Is arginine a protein-denaturant?", "type" : "article-journal", "volume" : "42" }, "uris" : [ "http://www.mendeley.com/documents/?uuid=4f7780e5-385c-4f63-97dc-cb62626ee94e" ] } ], "mendeley" : { "formattedCitation" : "(Ishibashi et al. 2005)", "plainTextFormattedCitation" : "(Ishibashi et al. 2005)", "previouslyFormattedCitation" : "(Ishibashi et al. 2005)" }, "properties" : { "noteIndex" : 0 }, "schema" : "https://github.com/citation-style-language/schema/raw/master/csl-citation.json" }</w:instrText>
      </w:r>
      <w:r w:rsidR="0064215D">
        <w:fldChar w:fldCharType="separate"/>
      </w:r>
      <w:r w:rsidR="0064215D" w:rsidRPr="0064215D">
        <w:rPr>
          <w:noProof/>
        </w:rPr>
        <w:t>(Ishibashi et al. 2005)</w:t>
      </w:r>
      <w:r w:rsidR="0064215D">
        <w:fldChar w:fldCharType="end"/>
      </w:r>
      <w:r w:rsidR="0064215D">
        <w:t xml:space="preserve">. </w:t>
      </w:r>
      <w:r w:rsidR="003E658B">
        <w:t>Most</w:t>
      </w:r>
      <w:r w:rsidR="00900F8D">
        <w:t xml:space="preserve"> studies consider arginine to have very little effect on protein stability, </w:t>
      </w:r>
      <w:r w:rsidR="003E658B">
        <w:t xml:space="preserve">but </w:t>
      </w:r>
      <w:r w:rsidR="00900F8D">
        <w:t>there is evidence from</w:t>
      </w:r>
      <w:r w:rsidR="00C461B0">
        <w:t xml:space="preserve"> thermal denaturation </w:t>
      </w:r>
      <w:r w:rsidR="00C461B0">
        <w:fldChar w:fldCharType="begin" w:fldLock="1"/>
      </w:r>
      <w:r w:rsidR="00C461B0">
        <w:instrText>ADDIN CSL_CITATION { "citationItems" : [ { "id" : "ITEM-1", "itemData" : { "ISSN" : "0264-6021", "PMID" : "7945233", "abstract" : "This study is a systematic attempt to understand the roles of osmolytes in protecting proteins against denaturing stress. Thermal denaturation of cytochrome c has been studied in the presence of various concentrations of all L-amino acids that are more hydrophobic than glycine and have a solubility of 0.1 M or higher in water at 25 degrees C. The basic observations are as follows. (1) Arginine and histidine destabilize the native protein; both Tm (the midpoint of thermal transition) and delta GDH2O (25 degrees C) (the Gibbs energy of stabilization) decrease with increasing amino acid concentration. (2) Isoleucine, leucine and phenylalanine have no effect on Tm and deltaGDH2O (25 degrees C). (3) Valine and less hydrophobic amino acids stabilize the protein in terms of Tm but deltaGDH2O (25 degrees C) is unchanged. This observation was confirmed by the study of isothermal denaturation of cytochrome c by guanidinium chloride which suggested that delta GDH2O is independent of osmolyte concentration, but Cm (the midpoint of transition) is increased in their presence. (4) In the case of stabilizers, change in Tm/mol of amino acid decreases with increasing hydrophobicity of these osmolytes.", "author" : [ { "dropping-particle" : "", "family" : "Taneja", "given" : "S", "non-dropping-particle" : "", "parse-names" : false, "suffix" : "" }, { "dropping-particle" : "", "family" : "Ahmad", "given" : "F", "non-dropping-particle" : "", "parse-names" : false, "suffix" : "" } ], "container-title" : "Biochemical Journal", "id" : "ITEM-1", "issued" : { "date-parts" : [ [ "1994", "10", "1" ] ] }, "page" : "147-153", "title" : "Increased thermal stability of proteins in the presence of amino acids", "type" : "article-journal", "volume" : "303" }, "uris" : [ "http://www.mendeley.com/documents/?uuid=58de2c9a-4375-44f3-b3b7-972049f9dc42" ] } ], "mendeley" : { "formattedCitation" : "(Taneja &amp; Ahmad 1994)", "plainTextFormattedCitation" : "(Taneja &amp; Ahmad 1994)", "previouslyFormattedCitation" : "(Taneja &amp; Ahmad 1994)" }, "properties" : { "noteIndex" : 0 }, "schema" : "https://github.com/citation-style-language/schema/raw/master/csl-citation.json" }</w:instrText>
      </w:r>
      <w:r w:rsidR="00C461B0">
        <w:fldChar w:fldCharType="separate"/>
      </w:r>
      <w:r w:rsidR="00C461B0" w:rsidRPr="00C461B0">
        <w:rPr>
          <w:noProof/>
        </w:rPr>
        <w:t>(Taneja &amp; Ahmad 1994)</w:t>
      </w:r>
      <w:r w:rsidR="00C461B0">
        <w:fldChar w:fldCharType="end"/>
      </w:r>
      <w:r w:rsidR="00C461B0">
        <w:t xml:space="preserve"> and</w:t>
      </w:r>
      <w:r w:rsidR="00900F8D">
        <w:t xml:space="preserve"> circular dichroism (CD) experiments </w:t>
      </w:r>
      <w:r w:rsidR="00C461B0">
        <w:fldChar w:fldCharType="begin" w:fldLock="1"/>
      </w:r>
      <w:r w:rsidR="0034217E">
        <w:instrText>ADDIN CSL_CITATION { "citationItems" : [ { "id" : "ITEM-1", "itemData" : { "DOI" : "10.1016/j.biologicals.2011.04.003", "ISSN" : "1095-8320", "PMID" : "21550265", "abstract" : "Circular dichroism spectroscopy was used to study the effect of l-arginine on the temperature related unfolding and aggregation of three growth hormones, i.e. human, porcine and mink growth hormones, and human interferon-\u03b12b. (L)-arginine can stabilize some proteins and suppress their aggregation as it was exemplified by porcine and mink growth hormones. For some other proteins, on the contrary, the effect of arginine can be negative. Even at low concentrations the amino acid is able to promote the aggregation as it was demonstrated by the experiments with human growth hormone and interferon-\u03b12b. (L)-arginine seems not to be a universal excipient for preventing the temperature related aggregation of proteins in contrast to its widespread application in the refolding process.", "author" : [ { "dropping-particle" : "", "family" : "Cirkovas", "given" : "A", "non-dropping-particle" : "", "parse-names" : false, "suffix" : "" }, { "dropping-particle" : "", "family" : "Sereikaite", "given" : "J", "non-dropping-particle" : "", "parse-names" : false, "suffix" : "" } ], "container-title" : "Biologicals", "id" : "ITEM-1", "issued" : { "date-parts" : [ [ "2011", "5" ] ] }, "page" : "181-188", "publisher" : "Elsevier Ltd", "title" : "Different effects of L-arginine on the heat-induced unfolding and aggregation of proteins", "type" : "article-journal", "volume" : "39" }, "uris" : [ "http://www.mendeley.com/documents/?uuid=2fe866a4-4cb4-4766-a7c9-4613e21596ac" ] } ], "mendeley" : { "formattedCitation" : "(Cirkovas &amp; Sereikaite 2011)", "plainTextFormattedCitation" : "(Cirkovas &amp; Sereikaite 2011)", "previouslyFormattedCitation" : "(Cirkovas &amp; Sereikaite 2011)" }, "properties" : { "noteIndex" : 0 }, "schema" : "https://github.com/citation-style-language/schema/raw/master/csl-citation.json" }</w:instrText>
      </w:r>
      <w:r w:rsidR="00C461B0">
        <w:fldChar w:fldCharType="separate"/>
      </w:r>
      <w:r w:rsidR="00C461B0" w:rsidRPr="00C461B0">
        <w:rPr>
          <w:noProof/>
        </w:rPr>
        <w:t>(Cirkovas &amp; Sereikaite 2011)</w:t>
      </w:r>
      <w:r w:rsidR="00C461B0">
        <w:fldChar w:fldCharType="end"/>
      </w:r>
      <w:r w:rsidR="00C461B0">
        <w:t xml:space="preserve"> </w:t>
      </w:r>
      <w:r w:rsidR="00900F8D">
        <w:t xml:space="preserve">to suggest that its effect is protein-specific </w:t>
      </w:r>
      <w:r w:rsidR="00C461B0">
        <w:t xml:space="preserve">and </w:t>
      </w:r>
      <w:r w:rsidR="009451CB">
        <w:t>occasionally destabilising; a</w:t>
      </w:r>
      <w:r w:rsidR="00900F8D">
        <w:t xml:space="preserve">rginine was shown to stabilise both porcine and mink growth hormones but destabilise human growth hormone </w:t>
      </w:r>
      <w:r w:rsidR="00C461B0">
        <w:t xml:space="preserve">and cytochrome c </w:t>
      </w:r>
      <w:r w:rsidR="00900F8D">
        <w:t xml:space="preserve">even at low concentrations. </w:t>
      </w:r>
      <w:r w:rsidR="00BB3E3F">
        <w:t xml:space="preserve">Due to its </w:t>
      </w:r>
      <w:r w:rsidR="00900F8D">
        <w:t>peculiar characteristics the mechanisms by which arginine</w:t>
      </w:r>
      <w:r w:rsidR="00BB3E3F">
        <w:t xml:space="preserve"> acts on proteins are still open to debate, although many suggestions have been made. The difficulty of determining the mechanisms by which arginine acts on</w:t>
      </w:r>
      <w:r w:rsidR="00E76F2D">
        <w:t xml:space="preserve"> protein stability stem not only</w:t>
      </w:r>
      <w:r w:rsidR="00BB3E3F">
        <w:t xml:space="preserve"> from its unique action but also from the fact that, due to its structure, it is capable of participating in numerous interactions (</w:t>
      </w:r>
      <w:r w:rsidR="00BB3E3F">
        <w:fldChar w:fldCharType="begin"/>
      </w:r>
      <w:r w:rsidR="00BB3E3F">
        <w:instrText xml:space="preserve"> REF _Ref459819792 \h </w:instrText>
      </w:r>
      <w:r w:rsidR="00BB3E3F">
        <w:fldChar w:fldCharType="separate"/>
      </w:r>
      <w:r w:rsidR="00AA6926">
        <w:t xml:space="preserve">Figure </w:t>
      </w:r>
      <w:r w:rsidR="00AA6926">
        <w:rPr>
          <w:noProof/>
        </w:rPr>
        <w:t>1</w:t>
      </w:r>
      <w:r w:rsidR="00AA6926">
        <w:noBreakHyphen/>
      </w:r>
      <w:r w:rsidR="00AA6926">
        <w:rPr>
          <w:noProof/>
        </w:rPr>
        <w:t>11</w:t>
      </w:r>
      <w:r w:rsidR="00BB3E3F">
        <w:fldChar w:fldCharType="end"/>
      </w:r>
      <w:r w:rsidR="00BB3E3F">
        <w:t>).</w:t>
      </w:r>
    </w:p>
    <w:p w14:paraId="0CFB5ACB" w14:textId="77777777" w:rsidR="00863365" w:rsidRDefault="00863365" w:rsidP="00863365">
      <w:pPr>
        <w:keepNext/>
      </w:pPr>
      <w:r>
        <w:rPr>
          <w:noProof/>
          <w:lang w:eastAsia="en-GB"/>
        </w:rPr>
        <w:drawing>
          <wp:inline distT="0" distB="0" distL="0" distR="0" wp14:anchorId="019E8DFE" wp14:editId="3AB9F213">
            <wp:extent cx="3943786" cy="1571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3786" cy="1571625"/>
                    </a:xfrm>
                    <a:prstGeom prst="rect">
                      <a:avLst/>
                    </a:prstGeom>
                    <a:noFill/>
                    <a:ln>
                      <a:noFill/>
                    </a:ln>
                    <a:effectLst/>
                  </pic:spPr>
                </pic:pic>
              </a:graphicData>
            </a:graphic>
          </wp:inline>
        </w:drawing>
      </w:r>
    </w:p>
    <w:p w14:paraId="21D6E8C0" w14:textId="77777777" w:rsidR="00863365" w:rsidRDefault="00863365" w:rsidP="00863365">
      <w:pPr>
        <w:pStyle w:val="Caption"/>
        <w:jc w:val="left"/>
      </w:pPr>
      <w:bookmarkStart w:id="116" w:name="_Ref459819792"/>
      <w:bookmarkStart w:id="117" w:name="_Ref459819787"/>
      <w:bookmarkStart w:id="118" w:name="_Toc482633169"/>
      <w:r>
        <w:t xml:space="preserve">Figure </w:t>
      </w:r>
      <w:fldSimple w:instr=" STYLEREF 1 \s ">
        <w:r w:rsidR="00AA6926">
          <w:rPr>
            <w:noProof/>
          </w:rPr>
          <w:t>1</w:t>
        </w:r>
      </w:fldSimple>
      <w:r w:rsidR="00BA082C">
        <w:noBreakHyphen/>
      </w:r>
      <w:fldSimple w:instr=" SEQ Figure \* ARABIC \s 1 ">
        <w:r w:rsidR="00AA6926">
          <w:rPr>
            <w:noProof/>
          </w:rPr>
          <w:t>11</w:t>
        </w:r>
      </w:fldSimple>
      <w:bookmarkEnd w:id="116"/>
      <w:r>
        <w:t>. Structure of arginine</w:t>
      </w:r>
      <w:bookmarkEnd w:id="117"/>
      <w:bookmarkEnd w:id="118"/>
    </w:p>
    <w:p w14:paraId="4CABE0C5" w14:textId="77777777" w:rsidR="00B614F7" w:rsidRDefault="00B614F7" w:rsidP="00B614F7">
      <w:r>
        <w:t xml:space="preserve">Firstly the side chain of arginine contains the denaturant group guanidinium (see section </w:t>
      </w:r>
      <w:r>
        <w:fldChar w:fldCharType="begin"/>
      </w:r>
      <w:r>
        <w:instrText xml:space="preserve"> REF _Ref453082183 \r \h </w:instrText>
      </w:r>
      <w:r>
        <w:fldChar w:fldCharType="separate"/>
      </w:r>
      <w:r w:rsidR="00AA6926">
        <w:t>1.3.2</w:t>
      </w:r>
      <w:r>
        <w:fldChar w:fldCharType="end"/>
      </w:r>
      <w:r>
        <w:t xml:space="preserve">), which is positively charged at neutral pH, capable of participating in hydrogen bonding </w:t>
      </w:r>
      <w:r w:rsidR="008D7A06">
        <w:t xml:space="preserve">with hydrogen bond acceptors </w:t>
      </w:r>
      <w:r>
        <w:t xml:space="preserve">and </w:t>
      </w:r>
      <w:r w:rsidR="003E658B">
        <w:t xml:space="preserve">in </w:t>
      </w:r>
      <w:r>
        <w:t xml:space="preserve">cation-π interactions </w:t>
      </w:r>
      <w:r w:rsidR="008D7A06">
        <w:t xml:space="preserve">with aromatic side chains </w:t>
      </w:r>
      <w:r>
        <w:t xml:space="preserve">(see section </w:t>
      </w:r>
      <w:r>
        <w:fldChar w:fldCharType="begin"/>
      </w:r>
      <w:r>
        <w:instrText xml:space="preserve"> REF _Ref459881632 \r \h </w:instrText>
      </w:r>
      <w:r>
        <w:fldChar w:fldCharType="separate"/>
      </w:r>
      <w:r w:rsidR="00AA6926">
        <w:t>1.4.2</w:t>
      </w:r>
      <w:r>
        <w:fldChar w:fldCharType="end"/>
      </w:r>
      <w:r>
        <w:t xml:space="preserve">). Arginine’s side chain also has a three-carbon </w:t>
      </w:r>
      <w:r w:rsidR="00F14F27">
        <w:t>alkyl</w:t>
      </w:r>
      <w:r>
        <w:t xml:space="preserve"> chain, which is hydrophobic</w:t>
      </w:r>
      <w:r w:rsidR="009451CB">
        <w:t xml:space="preserve"> and so capable of participating in hydrophobic interactions</w:t>
      </w:r>
      <w:r>
        <w:t xml:space="preserve">. The amino acid </w:t>
      </w:r>
      <w:r w:rsidR="009451CB">
        <w:t>moiety</w:t>
      </w:r>
      <w:r>
        <w:t xml:space="preserve"> of arginine has carboxylate and amine groups as with all amino acids, which are capable of accepting and donating hydrogen bonds respectively </w:t>
      </w:r>
      <w:r>
        <w:fldChar w:fldCharType="begin" w:fldLock="1"/>
      </w:r>
      <w:r w:rsidR="00E11F61">
        <w:instrText>ADDIN CSL_CITATION { "citationItems" : [ { "id" : "ITEM-1", "itemData" : { "DOI" : "10.1016/j.addr.2011.06.014", "ISSN" : "1872-8294", "PMID" : "21762737", "abstract" : "Protein based therapeutics hold great promise in the treatment of human diseases and disorders and subsequently, they have become the fastest growing sector of new drugs being developed. Proteins are, however, inherently unstable and the degraded form can be quite harmful if administered to a patient. Of the various degradation pathways, aggregation is one of the most common and a cause for great concern. Aggregation suppressing additives have long been used to stabilize proteins, and they still remain the most viable option for combating this problem. Much work has been devoted toward investigating the behavior of commonly used additives and the resulting models give valuable insight toward explaining aggregation suppression. In a few cases, an explanation for unique behavior is lacking or new insight provides an alternate explanation. Additive selection and the development of better performing additives may benefit from a more refined understanding of how commonly used additives inhibit or enhance aggregation. In this review, we focus on recent molecular-level studies into how a select group of commonly used additives interact with proteins and subsequently influence aggregation. The intent of the review is not meant to be comprehensive for each additive but rather to provide new insights into additive-additive interactions, which may be contributing to protein-additive interactions. This is something that is often overlooked but yet essential to understanding the effect of additives on aggregation. The importance of understanding such interactions is clear when one considers that most formulations contain a mixture of cosolutes and that ideal stability might be better achieved through tuning intra-solvent interactions. We give an example of this when we describe how novel aggregation suppressing additives were developed from the knowledge gained from the reviewed studies.", "author" : [ { "dropping-particle" : "", "family" : "Shukla", "given" : "D", "non-dropping-particle" : "", "parse-names" : false, "suffix" : "" }, { "dropping-particle" : "", "family" : "Schneider", "given" : "C P", "non-dropping-particle" : "", "parse-names" : false, "suffix" : "" }, { "dropping-particle" : "", "family" : "Trout", "given" : "B L", "non-dropping-particle" : "", "parse-names" : false, "suffix" : "" } ], "container-title" : "Advanced Drug Delivery Reviews", "id" : "ITEM-1", "issued" : { "date-parts" : [ [ "2011", "10" ] ] }, "page" : "1074-1085", "publisher" : "Elsevier B.V.", "title" : "Molecular level insight into intra-solvent interaction effects on protein stability and aggregation", "type" : "article-journal", "volume" : "63" }, "uris" : [ "http://www.mendeley.com/documents/?uuid=38920b63-36e7-4c46-9cc8-2344f8ff3a14" ] }, { "id" : "ITEM-2", "itemData" : { "DOI" : "10.1016/j.addr.2011.07.006", "ISSN" : "1872-8294", "PMID" : "21855584", "abstract" : "The purpose of this review is to demonstrate the critical importance of understanding protein-excipient interactions as a key step in the rational design of formulations to stabilize and deliver protein-based therapeutic drugs and vaccines. Biophysical methods used to examine various molecular interactions between solutes and protein molecules are discussed with an emphasis on applications to pharmaceutical excipients in terms of their effects on protein stability. Key mechanisms of protein-excipient interactions such as electrostatic and cation-pi interactions, preferential hydration, dispersive forces, and hydrogen bonding are presented in the context of different physical states of the formulation such as frozen liquids, solutions, gels, freeze-dried solids and interfacial phenomenon. An overview of the different classes of pharmaceutical excipients used to formulate and stabilize protein therapeutic drugs is also presented along with the rationale for use in different dosage forms including practical pharmaceutical considerations. The utility of high throughput analytical methodologies to examine protein-excipient interactions is presented in terms of expanding formulation design space and accelerating experimental timelines.", "author" : [ { "dropping-particle" : "", "family" : "Kamerzell", "given" : "T J", "non-dropping-particle" : "", "parse-names" : false, "suffix" : "" }, { "dropping-particle" : "", "family" : "Esfandiary", "given" : "R", "non-dropping-particle" : "", "parse-names" : false, "suffix" : "" }, { "dropping-particle" : "", "family" : "Joshi", "given" : "S B", "non-dropping-particle" : "", "parse-names" : false, "suffix" : "" }, { "dropping-particle" : "", "family" : "Middaugh", "given" : "C R", "non-dropping-particle" : "", "parse-names" : false, "suffix" : "" }, { "dropping-particle" : "", "family" : "Volkin", "given" : "D B", "non-dropping-particle" : "", "parse-names" : false, "suffix" : "" } ], "container-title" : "Advanced Drug Delivery Reviews", "id" : "ITEM-2", "issued" : { "date-parts" : [ [ "2011", "10" ] ] }, "note" : "Extensive review on a wide range of experimental techniques I could use in future work. Also goes on the look at how to determine which types of interactions are occurring between protein and excipient", "page" : "1118-1159", "publisher" : "Elsevier B.V.", "title" : "Protein-excipient interactions: Mechanisms and biophysical characterization applied to protein formulation development", "type" : "article-journal", "volume" : "63" }, "uris" : [ "http://www.mendeley.com/documents/?uuid=4fa76116-2b12-4ebe-bcb7-b8cf754d40a5" ] } ], "mendeley" : { "formattedCitation" : "(Shukla et al. 2011b; Kamerzell et al. 2011)", "plainTextFormattedCitation" : "(Shukla et al. 2011b; Kamerzell et al. 2011)", "previouslyFormattedCitation" : "(Shukla et al. 2011b; Kamerzell et al. 2011)" }, "properties" : { "noteIndex" : 0 }, "schema" : "https://github.com/citation-style-language/schema/raw/master/csl-citation.json" }</w:instrText>
      </w:r>
      <w:r>
        <w:fldChar w:fldCharType="separate"/>
      </w:r>
      <w:r w:rsidR="008D7A06" w:rsidRPr="008D7A06">
        <w:rPr>
          <w:noProof/>
        </w:rPr>
        <w:t>(Shukla et al. 2011b; Kamerzell et al. 2011)</w:t>
      </w:r>
      <w:r>
        <w:fldChar w:fldCharType="end"/>
      </w:r>
      <w:r w:rsidR="008D7A06">
        <w:t xml:space="preserve">. Arginine is also zwitterionic </w:t>
      </w:r>
      <w:r w:rsidR="008D7A06">
        <w:lastRenderedPageBreak/>
        <w:t>and much larger than water</w:t>
      </w:r>
      <w:r w:rsidR="003E658B">
        <w:t>, which affect</w:t>
      </w:r>
      <w:r w:rsidR="009451CB">
        <w:t>s</w:t>
      </w:r>
      <w:r w:rsidR="003E658B">
        <w:t xml:space="preserve"> the interactions it can participate in</w:t>
      </w:r>
      <w:r w:rsidR="008D7A06">
        <w:t>. Due to the multitude of potential interaction sites on arginine, elucidating whi</w:t>
      </w:r>
      <w:r w:rsidR="009451CB">
        <w:t>ch of these interactions govern</w:t>
      </w:r>
      <w:r w:rsidR="008D7A06">
        <w:t xml:space="preserve"> its unique abilities is a difficult task.</w:t>
      </w:r>
      <w:r w:rsidR="0064215D">
        <w:t xml:space="preserve"> Although many of the molecular mechanisms examined have been related to arginine’s effects on solubility and ag</w:t>
      </w:r>
      <w:r w:rsidR="00CD44F1">
        <w:t>gregation, it is possible and in</w:t>
      </w:r>
      <w:r w:rsidR="0064215D">
        <w:t xml:space="preserve"> some cases probable that the same mechanisms govern its action on stability and so it is appropriate to discuss some of those suggested in the literature here.</w:t>
      </w:r>
      <w:r w:rsidR="00E44A28">
        <w:t xml:space="preserve"> They are summarised in </w:t>
      </w:r>
      <w:r w:rsidR="00E44A28">
        <w:fldChar w:fldCharType="begin"/>
      </w:r>
      <w:r w:rsidR="00E44A28">
        <w:instrText xml:space="preserve"> REF _Ref459907948 \h </w:instrText>
      </w:r>
      <w:r w:rsidR="00E44A28">
        <w:fldChar w:fldCharType="separate"/>
      </w:r>
      <w:r w:rsidR="00AA6926">
        <w:t xml:space="preserve">Table </w:t>
      </w:r>
      <w:r w:rsidR="00AA6926">
        <w:rPr>
          <w:noProof/>
        </w:rPr>
        <w:t>1</w:t>
      </w:r>
      <w:r w:rsidR="00AA6926">
        <w:noBreakHyphen/>
      </w:r>
      <w:r w:rsidR="00AA6926">
        <w:rPr>
          <w:noProof/>
        </w:rPr>
        <w:t>9</w:t>
      </w:r>
      <w:r w:rsidR="00E44A28">
        <w:fldChar w:fldCharType="end"/>
      </w:r>
      <w:r w:rsidR="00E44A28">
        <w:t>.</w:t>
      </w:r>
    </w:p>
    <w:p w14:paraId="78DAC94B" w14:textId="77777777" w:rsidR="00D6574D" w:rsidRDefault="00D6574D" w:rsidP="006B257F">
      <w:pPr>
        <w:pStyle w:val="Caption"/>
        <w:keepNext/>
        <w:jc w:val="left"/>
      </w:pPr>
      <w:bookmarkStart w:id="119" w:name="_Ref459907948"/>
      <w:bookmarkStart w:id="120" w:name="_Ref459907944"/>
      <w:r>
        <w:t xml:space="preserve">Table </w:t>
      </w:r>
      <w:fldSimple w:instr=" STYLEREF 1 \s ">
        <w:r w:rsidR="00AA6926">
          <w:rPr>
            <w:noProof/>
          </w:rPr>
          <w:t>1</w:t>
        </w:r>
      </w:fldSimple>
      <w:r>
        <w:noBreakHyphen/>
      </w:r>
      <w:fldSimple w:instr=" SEQ Table \* ARABIC \s 1 ">
        <w:r w:rsidR="00AA6926">
          <w:rPr>
            <w:noProof/>
          </w:rPr>
          <w:t>9</w:t>
        </w:r>
      </w:fldSimple>
      <w:bookmarkEnd w:id="119"/>
      <w:r>
        <w:t>. Mechanisms suggested for the action of arginine on protein stability and solubility</w:t>
      </w:r>
      <w:bookmarkEnd w:id="120"/>
    </w:p>
    <w:tbl>
      <w:tblPr>
        <w:tblStyle w:val="LightShading"/>
        <w:tblW w:w="0" w:type="auto"/>
        <w:tblLayout w:type="fixed"/>
        <w:tblLook w:val="04A0" w:firstRow="1" w:lastRow="0" w:firstColumn="1" w:lastColumn="0" w:noHBand="0" w:noVBand="1"/>
      </w:tblPr>
      <w:tblGrid>
        <w:gridCol w:w="1809"/>
        <w:gridCol w:w="4820"/>
        <w:gridCol w:w="2091"/>
      </w:tblGrid>
      <w:tr w:rsidR="0049213A" w14:paraId="766C2B09" w14:textId="77777777" w:rsidTr="007A4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C693961" w14:textId="77777777" w:rsidR="0049213A" w:rsidRDefault="0049213A" w:rsidP="00B614F7">
            <w:r>
              <w:t>Mechanism</w:t>
            </w:r>
          </w:p>
        </w:tc>
        <w:tc>
          <w:tcPr>
            <w:tcW w:w="4820" w:type="dxa"/>
            <w:shd w:val="clear" w:color="auto" w:fill="auto"/>
          </w:tcPr>
          <w:p w14:paraId="6BCB373F" w14:textId="77777777" w:rsidR="0049213A" w:rsidRDefault="0049213A" w:rsidP="00B614F7">
            <w:pPr>
              <w:cnfStyle w:val="100000000000" w:firstRow="1" w:lastRow="0" w:firstColumn="0" w:lastColumn="0" w:oddVBand="0" w:evenVBand="0" w:oddHBand="0" w:evenHBand="0" w:firstRowFirstColumn="0" w:firstRowLastColumn="0" w:lastRowFirstColumn="0" w:lastRowLastColumn="0"/>
            </w:pPr>
            <w:r>
              <w:t>Effect of arginine</w:t>
            </w:r>
          </w:p>
        </w:tc>
        <w:tc>
          <w:tcPr>
            <w:tcW w:w="2091" w:type="dxa"/>
            <w:shd w:val="clear" w:color="auto" w:fill="auto"/>
          </w:tcPr>
          <w:p w14:paraId="6E135336" w14:textId="77777777" w:rsidR="0049213A" w:rsidRDefault="0049213A" w:rsidP="00B614F7">
            <w:pPr>
              <w:cnfStyle w:val="100000000000" w:firstRow="1" w:lastRow="0" w:firstColumn="0" w:lastColumn="0" w:oddVBand="0" w:evenVBand="0" w:oddHBand="0" w:evenHBand="0" w:firstRowFirstColumn="0" w:firstRowLastColumn="0" w:lastRowFirstColumn="0" w:lastRowLastColumn="0"/>
            </w:pPr>
            <w:r>
              <w:t>Reference</w:t>
            </w:r>
          </w:p>
        </w:tc>
      </w:tr>
      <w:tr w:rsidR="0049213A" w14:paraId="68B7902E" w14:textId="77777777" w:rsidTr="007A4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EBBF22E" w14:textId="77777777" w:rsidR="0049213A" w:rsidRPr="009D78ED" w:rsidRDefault="0049213A" w:rsidP="007A46CA">
            <w:pPr>
              <w:spacing w:before="0"/>
              <w:rPr>
                <w:b w:val="0"/>
                <w:sz w:val="20"/>
                <w:szCs w:val="20"/>
              </w:rPr>
            </w:pPr>
            <w:r w:rsidRPr="009D78ED">
              <w:rPr>
                <w:b w:val="0"/>
                <w:sz w:val="20"/>
                <w:szCs w:val="20"/>
              </w:rPr>
              <w:t>Direct interactions</w:t>
            </w:r>
          </w:p>
        </w:tc>
        <w:tc>
          <w:tcPr>
            <w:tcW w:w="4820" w:type="dxa"/>
            <w:shd w:val="clear" w:color="auto" w:fill="auto"/>
          </w:tcPr>
          <w:p w14:paraId="7B469690" w14:textId="77777777" w:rsidR="0049213A" w:rsidRPr="009D78ED" w:rsidRDefault="00082D18" w:rsidP="007A46CA">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 xml:space="preserve">(1) </w:t>
            </w:r>
            <w:r w:rsidR="0049213A" w:rsidRPr="009D78ED">
              <w:rPr>
                <w:sz w:val="20"/>
                <w:szCs w:val="20"/>
              </w:rPr>
              <w:t>Cation-π interactions with tyrosine residues &amp; salt-bridge formation with charged residues</w:t>
            </w:r>
          </w:p>
          <w:p w14:paraId="5E0B19EE" w14:textId="77777777" w:rsidR="00477992" w:rsidRPr="009D78ED" w:rsidRDefault="00082D18" w:rsidP="007A46CA">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 xml:space="preserve">(2) </w:t>
            </w:r>
            <w:r w:rsidR="00477992" w:rsidRPr="009D78ED">
              <w:rPr>
                <w:sz w:val="20"/>
                <w:szCs w:val="20"/>
              </w:rPr>
              <w:t>Favourable interactions with all amino acids except valine &amp; especially aromatic residues</w:t>
            </w:r>
          </w:p>
        </w:tc>
        <w:tc>
          <w:tcPr>
            <w:tcW w:w="2091" w:type="dxa"/>
            <w:shd w:val="clear" w:color="auto" w:fill="auto"/>
          </w:tcPr>
          <w:p w14:paraId="6AEEB6F8" w14:textId="77777777" w:rsidR="0049213A" w:rsidRPr="009D78ED" w:rsidRDefault="00082D18" w:rsidP="007A46CA">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 xml:space="preserve">(1) </w:t>
            </w:r>
            <w:r w:rsidR="0049213A" w:rsidRPr="009D78ED">
              <w:rPr>
                <w:sz w:val="20"/>
                <w:szCs w:val="20"/>
              </w:rPr>
              <w:fldChar w:fldCharType="begin" w:fldLock="1"/>
            </w:r>
            <w:r w:rsidR="00477992" w:rsidRPr="009D78ED">
              <w:rPr>
                <w:sz w:val="20"/>
                <w:szCs w:val="20"/>
              </w:rPr>
              <w:instrText>ADDIN CSL_CITATION { "citationItems" : [ { "id" : "ITEM-1", "itemData" : { "DOI" : "10.1021/jp108399g", "ISSN" : "1520-5207", "PMID" : "20925358", "abstract" : "Aqueous arginine solutions are used extensively for inhibiting protein aggregation. There are several theories proposed to explain the effect of arginine on protein stability, but the exact mechanism is still not clear. To understand the mechanism of protein cosolvent interaction, the intraprotein, protein-solvent, and intrasolvent interactions have to be understood. Molecular dynamics simulations of aqueous arginine solutions were carried out for experimentally accessible concentrations and temperature ranges to study the structure of the solution and its energetic properties and obtain insight into the mechanism by which arginine inhibits protein aggregation. Simulations of proteins (\u03b1-chymotrypsinogen A and melittin) were performed. Structurally, the most striking feature of the aqueous arginine solutions is the self-association of arginine molecules. Arginine shows a marked tendency to form clusters with head to tail hydrogen bonding. Due to the presence of the three charged groups, there are several possible configurations in which arginine molecules interact. At relatively high concentrations, these arginine clusters associate with other clusters and monomeric arginine molecules to form large clusters. The hydrogen bonds between arginine molecules were found to be stronger than those between arginine and water, which makes the process of self-association enthalpically favorable. From the simulation of the proteins in aqueous arginine solution, arginine is found to interact with the aromatic and charged side chains of surface residues. A probable mechanism of the effect of arginine on protein stability consistent with our findings is proposed. In particular, arginine interacts with aromatic and charged residues due to cation-\u03c0 interaction and salt-bridge formation, respectively, to stabilize the partially unfolded intermediates. The self-interaction of arginine leads to the formation of clusters which, due to their size, crowd out the protein-protein interaction. The mechanisms proposed in the literature are analyzed on the basis of the simulation results reported in this paper and recent experimental data.", "author" : [ { "dropping-particle" : "", "family" : "Shukla", "given" : "D", "non-dropping-particle" : "", "parse-names" : false, "suffix" : "" }, { "dropping-particle" : "", "family" : "Trout", "given" : "B L", "non-dropping-particle" : "", "parse-names" : false, "suffix" : "" } ], "container-title" : "Journal of Physical Chemistry B", "id" : "ITEM-1", "issued" : { "date-parts" : [ [ "2010", "10", "28" ] ] }, "page" : "13426-13438", "title" : "Interaction of arginine with proteins and the mechanism by which it inhibits aggregation", "type" : "article-journal", "volume" : "114" }, "uris" : [ "http://www.mendeley.com/documents/?uuid=dbec9b1d-1c9e-4add-bea5-97fc49a049c2" ] } ], "mendeley" : { "formattedCitation" : "(Shukla &amp; Trout 2010)", "plainTextFormattedCitation" : "(Shukla &amp; Trout 2010)", "previouslyFormattedCitation" : "(Shukla &amp; Trout 2010)" }, "properties" : { "noteIndex" : 0 }, "schema" : "https://github.com/citation-style-language/schema/raw/master/csl-citation.json" }</w:instrText>
            </w:r>
            <w:r w:rsidR="0049213A" w:rsidRPr="009D78ED">
              <w:rPr>
                <w:sz w:val="20"/>
                <w:szCs w:val="20"/>
              </w:rPr>
              <w:fldChar w:fldCharType="separate"/>
            </w:r>
            <w:r w:rsidR="0049213A" w:rsidRPr="009D78ED">
              <w:rPr>
                <w:noProof/>
                <w:sz w:val="20"/>
                <w:szCs w:val="20"/>
              </w:rPr>
              <w:t>(Shukla &amp; Trout 2010)</w:t>
            </w:r>
            <w:r w:rsidR="0049213A" w:rsidRPr="009D78ED">
              <w:rPr>
                <w:sz w:val="20"/>
                <w:szCs w:val="20"/>
              </w:rPr>
              <w:fldChar w:fldCharType="end"/>
            </w:r>
          </w:p>
          <w:p w14:paraId="62EE3D6E" w14:textId="77777777" w:rsidR="00477992" w:rsidRPr="009D78ED" w:rsidRDefault="00082D18" w:rsidP="007A46CA">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 xml:space="preserve">(2) </w:t>
            </w:r>
            <w:r w:rsidR="00477992" w:rsidRPr="009D78ED">
              <w:rPr>
                <w:sz w:val="20"/>
                <w:szCs w:val="20"/>
              </w:rPr>
              <w:fldChar w:fldCharType="begin" w:fldLock="1"/>
            </w:r>
            <w:r w:rsidRPr="009D78ED">
              <w:rPr>
                <w:sz w:val="20"/>
                <w:szCs w:val="20"/>
              </w:rPr>
              <w:instrText>ADDIN CSL_CITATION { "citationItems" : [ { "id" : "ITEM-1", "itemData" : { "DOI" : "10.1016/j.bpc.2006.12.007", "ISSN" : "0301-4622", "PMID" : "17257734", "abstract" : "Arginine has been used to suppress protein aggregation and protein-protein or protein-surface interactions during protein refolding and purification. While its biotechnology applications are gradually expanding, the mechanism of these effects of arginine has not been fully elucidated. Arginine is more effective at higher concentrations, an indication of weak interactions with the proteins. The effects of weakly interacting additives, such as arginine, on protein solubility, stability and aggregation have been explained from three different approaches: i.e., (1) the effects of additives on the structure of water, (2) the interactions of additives with the amino acid side chains and peptide bonds and (3) the preferential interactions of additives with the proteins. Here we have examined these properties of arginine and compared with those of other additives, e.g., guanidine hydrochloride (GdnHCl) and certain amino acids and amines. GdnHCl is a strong salting-in agent and denatures proteins, while betaine is a protein stabilizer. Several amino acids and amine compounds, including betaine, which stabilize the proteins, are strongly excluded; i.e., the proteins are preferentially hydrated in these solutions. On the other hand, GdnHCl preferentially binds to the proteins. Arginine is intermediate between these two extreme cases and shows a more complicated pattern of interactions with the proteins. The effects of additives on water structure, e.g., the surface tension of aqueous solution of the additives and the solubility of amino acids in the presence of additives also shed light on the mechanism of the effects of the additives on protein aggregation. While arginine increases the surface tension of water, it favorably interacts with most amino acid side chains and the peptide bonds, a property shared with GdnHCl. Thus, we propose that while arginine is similar to GdnHCl in the amino acid level, arginine interacts with the proteins differently from GdnHCl.", "author" : [ { "dropping-particle" : "", "family" : "Arakawa", "given" : "T", "non-dropping-particle" : "", "parse-names" : false, "suffix" : "" }, { "dropping-particle" : "", "family" : "Ejima", "given" : "D", "non-dropping-particle" : "", "parse-names" : false, "suffix" : "" }, { "dropping-particle" : "", "family" : "Tsumoto", "given" : "K", "non-dropping-particle" : "", "parse-names" : false, "suffix" : "" }, { "dropping-particle" : "", "family" : "Obeyama", "given" : "N", "non-dropping-particle" : "", "parse-names" : false, "suffix" : "" }, { "dropping-particle" : "", "family" : "Tanaka", "given" : "Y", "non-dropping-particle" : "", "parse-names" : false, "suffix" : "" }, { "dropping-particle" : "", "family" : "Kita", "given" : "Y", "non-dropping-particle" : "", "parse-names" : false, "suffix" : "" }, { "dropping-particle" : "", "family" : "Timasheff", "given" : "S N", "non-dropping-particle" : "", "parse-names" : false, "suffix" : "" } ], "container-title" : "Biophysical Chemistry", "id" : "ITEM-1", "issued" : { "date-parts" : [ [ "2007", "4" ] ] }, "note" : "Review talking about how arginine suppresses aggregation of proteins by separating out surface tension effects, amino acid solubility in arginine solutions and preferential interaction parameters.", "page" : "1-8", "title" : "Suppression of protein interactions by arginine: A proposed mechanism of the arginine effects", "type" : "article-journal", "volume" : "127" }, "uris" : [ "http://www.mendeley.com/documents/?uuid=ffbe080e-828f-4a45-8644-aa9950c99e46" ] } ], "mendeley" : { "formattedCitation" : "(Arakawa, Ejima, et al. 2007)", "plainTextFormattedCitation" : "(Arakawa, Ejima, et al. 2007)", "previouslyFormattedCitation" : "(Arakawa, Ejima, et al. 2007)" }, "properties" : { "noteIndex" : 0 }, "schema" : "https://github.com/citation-style-language/schema/raw/master/csl-citation.json" }</w:instrText>
            </w:r>
            <w:r w:rsidR="00477992" w:rsidRPr="009D78ED">
              <w:rPr>
                <w:sz w:val="20"/>
                <w:szCs w:val="20"/>
              </w:rPr>
              <w:fldChar w:fldCharType="separate"/>
            </w:r>
            <w:r w:rsidR="00477992" w:rsidRPr="009D78ED">
              <w:rPr>
                <w:noProof/>
                <w:sz w:val="20"/>
                <w:szCs w:val="20"/>
              </w:rPr>
              <w:t>(Arakawa, Ejima, et al. 2007)</w:t>
            </w:r>
            <w:r w:rsidR="00477992" w:rsidRPr="009D78ED">
              <w:rPr>
                <w:sz w:val="20"/>
                <w:szCs w:val="20"/>
              </w:rPr>
              <w:fldChar w:fldCharType="end"/>
            </w:r>
          </w:p>
        </w:tc>
      </w:tr>
      <w:tr w:rsidR="0049213A" w14:paraId="6C0A7CAA" w14:textId="77777777" w:rsidTr="007A46CA">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5233224" w14:textId="77777777" w:rsidR="0049213A" w:rsidRPr="009D78ED" w:rsidRDefault="0049213A" w:rsidP="007A46CA">
            <w:pPr>
              <w:spacing w:before="0"/>
              <w:rPr>
                <w:b w:val="0"/>
                <w:sz w:val="20"/>
                <w:szCs w:val="20"/>
              </w:rPr>
            </w:pPr>
            <w:r w:rsidRPr="009D78ED">
              <w:rPr>
                <w:b w:val="0"/>
                <w:sz w:val="20"/>
                <w:szCs w:val="20"/>
              </w:rPr>
              <w:t>Preferential interaction/</w:t>
            </w:r>
            <w:r w:rsidR="00477992" w:rsidRPr="009D78ED">
              <w:rPr>
                <w:b w:val="0"/>
                <w:sz w:val="20"/>
                <w:szCs w:val="20"/>
              </w:rPr>
              <w:t xml:space="preserve"> </w:t>
            </w:r>
            <w:r w:rsidRPr="009D78ED">
              <w:rPr>
                <w:b w:val="0"/>
                <w:sz w:val="20"/>
                <w:szCs w:val="20"/>
              </w:rPr>
              <w:t>hydration</w:t>
            </w:r>
          </w:p>
        </w:tc>
        <w:tc>
          <w:tcPr>
            <w:tcW w:w="4820" w:type="dxa"/>
            <w:shd w:val="clear" w:color="auto" w:fill="auto"/>
          </w:tcPr>
          <w:p w14:paraId="12476B78" w14:textId="77777777" w:rsidR="0049213A" w:rsidRPr="009D78ED" w:rsidRDefault="00082D18" w:rsidP="007A46CA">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Concentration dependent. Preferential interaction/neutral at low concentrations, preferential hydration at high concentrations</w:t>
            </w:r>
          </w:p>
        </w:tc>
        <w:tc>
          <w:tcPr>
            <w:tcW w:w="2091" w:type="dxa"/>
            <w:shd w:val="clear" w:color="auto" w:fill="auto"/>
          </w:tcPr>
          <w:p w14:paraId="58F28CA5" w14:textId="77777777" w:rsidR="0049213A" w:rsidRPr="009D78ED" w:rsidRDefault="00082D18" w:rsidP="007A46CA">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fldChar w:fldCharType="begin" w:fldLock="1"/>
            </w:r>
            <w:r w:rsidR="00E11F61">
              <w:rPr>
                <w:sz w:val="20"/>
                <w:szCs w:val="20"/>
              </w:rPr>
              <w:instrText>ADDIN CSL_CITATION { "citationItems" : [ { "id" : "ITEM-1", "itemData" : { "DOI" : "10.1016/j.bpc.2006.12.007", "ISSN" : "0301-4622", "PMID" : "17257734", "abstract" : "Arginine has been used to suppress protein aggregation and protein-protein or protein-surface interactions during protein refolding and purification. While its biotechnology applications are gradually expanding, the mechanism of these effects of arginine has not been fully elucidated. Arginine is more effective at higher concentrations, an indication of weak interactions with the proteins. The effects of weakly interacting additives, such as arginine, on protein solubility, stability and aggregation have been explained from three different approaches: i.e., (1) the effects of additives on the structure of water, (2) the interactions of additives with the amino acid side chains and peptide bonds and (3) the preferential interactions of additives with the proteins. Here we have examined these properties of arginine and compared with those of other additives, e.g., guanidine hydrochloride (GdnHCl) and certain amino acids and amines. GdnHCl is a strong salting-in agent and denatures proteins, while betaine is a protein stabilizer. Several amino acids and amine compounds, including betaine, which stabilize the proteins, are strongly excluded; i.e., the proteins are preferentially hydrated in these solutions. On the other hand, GdnHCl preferentially binds to the proteins. Arginine is intermediate between these two extreme cases and shows a more complicated pattern of interactions with the proteins. The effects of additives on water structure, e.g., the surface tension of aqueous solution of the additives and the solubility of amino acids in the presence of additives also shed light on the mechanism of the effects of the additives on protein aggregation. While arginine increases the surface tension of water, it favorably interacts with most amino acid side chains and the peptide bonds, a property shared with GdnHCl. Thus, we propose that while arginine is similar to GdnHCl in the amino acid level, arginine interacts with the proteins differently from GdnHCl.", "author" : [ { "dropping-particle" : "", "family" : "Arakawa", "given" : "T", "non-dropping-particle" : "", "parse-names" : false, "suffix" : "" }, { "dropping-particle" : "", "family" : "Ejima", "given" : "D", "non-dropping-particle" : "", "parse-names" : false, "suffix" : "" }, { "dropping-particle" : "", "family" : "Tsumoto", "given" : "K", "non-dropping-particle" : "", "parse-names" : false, "suffix" : "" }, { "dropping-particle" : "", "family" : "Obeyama", "given" : "N", "non-dropping-particle" : "", "parse-names" : false, "suffix" : "" }, { "dropping-particle" : "", "family" : "Tanaka", "given" : "Y", "non-dropping-particle" : "", "parse-names" : false, "suffix" : "" }, { "dropping-particle" : "", "family" : "Kita", "given" : "Y", "non-dropping-particle" : "", "parse-names" : false, "suffix" : "" }, { "dropping-particle" : "", "family" : "Timasheff", "given" : "S N", "non-dropping-particle" : "", "parse-names" : false, "suffix" : "" } ], "container-title" : "Biophysical Chemistry", "id" : "ITEM-1", "issued" : { "date-parts" : [ [ "2007", "4" ] ] }, "note" : "Review talking about how arginine suppresses aggregation of proteins by separating out surface tension effects, amino acid solubility in arginine solutions and preferential interaction parameters.", "page" : "1-8", "title" : "Suppression of protein interactions by arginine: A proposed mechanism of the arginine effects", "type" : "article-journal", "volume" : "127" }, "uris" : [ "http://www.mendeley.com/documents/?uuid=ffbe080e-828f-4a45-8644-aa9950c99e46" ] }, { "id" : "ITEM-2", "itemData" : { "DOI" : "10.1021/jp108586b", "ISSN" : "1520-5207", "PMID" : "21186800", "abstract" : "Preferential interaction coefficients provide a thermodynamic measure to quantify the interactions between cosolutes and a protein. Preferential interactions of cosolutes can be measured experimentally using dialysis/densimetry and vapor pressure osmometry (VPO) techniques. The cosolute arginine is a widely used aggregation suppressor with a seemingly unique behavior. Its role in protein aggregation has been studied extensively, although a complete mechanistic understanding of its behavior is lacking. Moreover, due to experimental limitations, experimental preferential interaction data for arginine has only been reported at low concentrations. Schneider and Trout ( J. Phys. Chem. B 2009 , 113 , 7 ) have reported experimental preferential interaction data for argHCl (up to 0.7 m), and their study raised several interesting questions about the preferential interaction of arginine with proteins. Arginine is attracted to proteins at low concentrations but it was highly excluded at high concentrations. Furthermore, the preferential interaction coefficient values were found to vary as a square of the concentration, which is different from commonly observed linear relationship for other cosolutes like urea, glycerol, guanidinium hydrochloride, etc. In this study, preferential interaction coefficients of argHCl have been estimated computationally for two proteins (lysozyme and \u03b1-chymotripsinogen A) for a large concentration range (up to 2.8 m). On the basis of these results, the molecular level interactions responsible for the nonlinear exclusion of arginine from the protein surface are identified.", "author" : [ { "dropping-particle" : "", "family" : "Shukla", "given" : "D", "non-dropping-particle" : "", "parse-names" : false, "suffix" : "" }, { "dropping-particle" : "", "family" : "Trout", "given" : "B L", "non-dropping-particle" : "", "parse-names" : false, "suffix" : "" } ], "container-title" : "Journal of Physical Chemistry B", "id" : "ITEM-2", "issued" : { "date-parts" : [ [ "2011", "2", "10" ] ] }, "page" : "1243-1253", "publisher" : "American Chemical Society", "title" : "Preferential interaction coefficients of proteins in aqueous arginine solutions and their molecular origins", "type" : "article-journal", "volume" : "115" }, "uris" : [ "http://www.mendeley.com/documents/?uuid=a81e5778-ff76-4fd8-a37b-129997e8d378" ] }, { "id" : "ITEM-3", "itemData" : { "DOI" : "10.1021/jp808042w", "ISSN" : "1520-6106", "PMID" : "19199688", "abstract" : "The relatively new technique of vapor pressure osmometry was utilized to determine the preferential interaction of five common solution additives (arginine HCl, guanidine HCl, glycerol, glucose, and urea) using three different model proteins (BSA, lysozyme, and alpha-chymotrypsinogen). Results for guanidine, glycerol, glucose, and urea are comparable to literature values, which utilized the dialysis/densimetry technique. However, values for arginine differ greatly from literature values, making it unclear what is the nature of arginine-protein interactions. A repeat of the dialysis/densimetry measurements reported in the literature supports the vapor pressure osmometry measurements and reveals a never before seen trend in the interaction of arginine with proteins as a function of concentration. This trend is dependent on the protein size and shows arginine to be unique among solution additives. For concentrations below 0.5 M, arginine has a preferential interaction coefficient near zero (slightly greater than zero for small proteins but decreases as the size of the protein increases), which indicates that arginine is neither strongly bound nor excluded from the protein surface. This trend differs greatly from cosolutes that influence the protein folding equilibrium. However, as the concentration of arginine increases beyond 0.5 M, arginine becomes increasingly excluded. Such behavior might be indicative of the protein surface becoming saturated with arginine, thus causing any additional arginine added to the solution to be excluded from interacting with the surface. All of this behavior is most likely the result of a balance between the affinity arginine has for the peptide backbone and certain amino acids and the repulsion generated by surface tension increment and volume exclusion effects [Arakawa et al. Biophysical Chemistry 2007, 127, 1]. In addition, such behavior may explain why arginine has little effect on protein folding equilibrium but is an effective aggregation suppressor.", "author" : [ { "dropping-particle" : "", "family" : "Schneider", "given" : "C P", "non-dropping-particle" : "", "parse-names" : false, "suffix" : "" }, { "dropping-particle" : "", "family" : "Trout", "given" : "B L", "non-dropping-particle" : "", "parse-names" : false, "suffix" : "" } ], "container-title" : "Journal of Physical Chemistry B", "id" : "ITEM-3", "issued" : { "date-parts" : [ [ "2009", "2", "19" ] ] }, "page" : "2050-2058", "title" : "Investigation of cosolute-protein preferential interaction coefficients: New insight into the mechanism by which arginine inhibits aggregation", "type" : "article-journal", "volume" : "113" }, "uris" : [ "http://www.mendeley.com/documents/?uuid=9eed0480-0f78-439e-accc-1dcb3b07e260" ] } ], "mendeley" : { "formattedCitation" : "(Arakawa, Ejima, et al. 2007; Shukla &amp; Trout 2011a; Schneider &amp; Trout 2009)", "plainTextFormattedCitation" : "(Arakawa, Ejima, et al. 2007; Shukla &amp; Trout 2011a; Schneider &amp; Trout 2009)", "previouslyFormattedCitation" : "(Arakawa, Ejima, et al. 2007; Shukla &amp; Trout 2011a; Schneider &amp; Trout 2009)" }, "properties" : { "noteIndex" : 0 }, "schema" : "https://github.com/citation-style-language/schema/raw/master/csl-citation.json" }</w:instrText>
            </w:r>
            <w:r w:rsidRPr="009D78ED">
              <w:rPr>
                <w:sz w:val="20"/>
                <w:szCs w:val="20"/>
              </w:rPr>
              <w:fldChar w:fldCharType="separate"/>
            </w:r>
            <w:r w:rsidRPr="009D78ED">
              <w:rPr>
                <w:noProof/>
                <w:sz w:val="20"/>
                <w:szCs w:val="20"/>
              </w:rPr>
              <w:t>(Arakawa, Ejima, et al. 2007; Shukla &amp; Trout 2011a; Schneider &amp; Trout 2009)</w:t>
            </w:r>
            <w:r w:rsidRPr="009D78ED">
              <w:rPr>
                <w:sz w:val="20"/>
                <w:szCs w:val="20"/>
              </w:rPr>
              <w:fldChar w:fldCharType="end"/>
            </w:r>
          </w:p>
        </w:tc>
      </w:tr>
      <w:tr w:rsidR="0049213A" w14:paraId="7570903A" w14:textId="77777777" w:rsidTr="007A4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95D8715" w14:textId="77777777" w:rsidR="0049213A" w:rsidRPr="009D78ED" w:rsidRDefault="0049213A" w:rsidP="007A46CA">
            <w:pPr>
              <w:spacing w:before="0"/>
              <w:rPr>
                <w:b w:val="0"/>
                <w:sz w:val="20"/>
                <w:szCs w:val="20"/>
              </w:rPr>
            </w:pPr>
            <w:r w:rsidRPr="009D78ED">
              <w:rPr>
                <w:b w:val="0"/>
                <w:sz w:val="20"/>
                <w:szCs w:val="20"/>
              </w:rPr>
              <w:t>Interactions with peptide backbone</w:t>
            </w:r>
          </w:p>
        </w:tc>
        <w:tc>
          <w:tcPr>
            <w:tcW w:w="4820" w:type="dxa"/>
            <w:shd w:val="clear" w:color="auto" w:fill="auto"/>
          </w:tcPr>
          <w:p w14:paraId="44141E40" w14:textId="77777777" w:rsidR="0049213A" w:rsidRPr="009D78ED" w:rsidRDefault="00082D18" w:rsidP="007A46CA">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Slightly favourable interaction with peptide backbone</w:t>
            </w:r>
          </w:p>
        </w:tc>
        <w:tc>
          <w:tcPr>
            <w:tcW w:w="2091" w:type="dxa"/>
            <w:shd w:val="clear" w:color="auto" w:fill="auto"/>
          </w:tcPr>
          <w:p w14:paraId="52D94D1F" w14:textId="77777777" w:rsidR="0049213A" w:rsidRPr="009D78ED" w:rsidRDefault="00082D18" w:rsidP="007A46CA">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fldChar w:fldCharType="begin" w:fldLock="1"/>
            </w:r>
            <w:r w:rsidR="00D6574D" w:rsidRPr="009D78ED">
              <w:rPr>
                <w:sz w:val="20"/>
                <w:szCs w:val="20"/>
              </w:rPr>
              <w:instrText>ADDIN CSL_CITATION { "citationItems" : [ { "id" : "ITEM-1", "itemData" : { "DOI" : "10.1016/j.bpc.2006.12.007", "ISSN" : "0301-4622", "PMID" : "17257734", "abstract" : "Arginine has been used to suppress protein aggregation and protein-protein or protein-surface interactions during protein refolding and purification. While its biotechnology applications are gradually expanding, the mechanism of these effects of arginine has not been fully elucidated. Arginine is more effective at higher concentrations, an indication of weak interactions with the proteins. The effects of weakly interacting additives, such as arginine, on protein solubility, stability and aggregation have been explained from three different approaches: i.e., (1) the effects of additives on the structure of water, (2) the interactions of additives with the amino acid side chains and peptide bonds and (3) the preferential interactions of additives with the proteins. Here we have examined these properties of arginine and compared with those of other additives, e.g., guanidine hydrochloride (GdnHCl) and certain amino acids and amines. GdnHCl is a strong salting-in agent and denatures proteins, while betaine is a protein stabilizer. Several amino acids and amine compounds, including betaine, which stabilize the proteins, are strongly excluded; i.e., the proteins are preferentially hydrated in these solutions. On the other hand, GdnHCl preferentially binds to the proteins. Arginine is intermediate between these two extreme cases and shows a more complicated pattern of interactions with the proteins. The effects of additives on water structure, e.g., the surface tension of aqueous solution of the additives and the solubility of amino acids in the presence of additives also shed light on the mechanism of the effects of the additives on protein aggregation. While arginine increases the surface tension of water, it favorably interacts with most amino acid side chains and the peptide bonds, a property shared with GdnHCl. Thus, we propose that while arginine is similar to GdnHCl in the amino acid level, arginine interacts with the proteins differently from GdnHCl.", "author" : [ { "dropping-particle" : "", "family" : "Arakawa", "given" : "T", "non-dropping-particle" : "", "parse-names" : false, "suffix" : "" }, { "dropping-particle" : "", "family" : "Ejima", "given" : "D", "non-dropping-particle" : "", "parse-names" : false, "suffix" : "" }, { "dropping-particle" : "", "family" : "Tsumoto", "given" : "K", "non-dropping-particle" : "", "parse-names" : false, "suffix" : "" }, { "dropping-particle" : "", "family" : "Obeyama", "given" : "N", "non-dropping-particle" : "", "parse-names" : false, "suffix" : "" }, { "dropping-particle" : "", "family" : "Tanaka", "given" : "Y", "non-dropping-particle" : "", "parse-names" : false, "suffix" : "" }, { "dropping-particle" : "", "family" : "Kita", "given" : "Y", "non-dropping-particle" : "", "parse-names" : false, "suffix" : "" }, { "dropping-particle" : "", "family" : "Timasheff", "given" : "S N", "non-dropping-particle" : "", "parse-names" : false, "suffix" : "" } ], "container-title" : "Biophysical Chemistry", "id" : "ITEM-1", "issued" : { "date-parts" : [ [ "2007", "4" ] ] }, "note" : "Review talking about how arginine suppresses aggregation of proteins by separating out surface tension effects, amino acid solubility in arginine solutions and preferential interaction parameters.", "page" : "1-8", "title" : "Suppression of protein interactions by arginine: A proposed mechanism of the arginine effects", "type" : "article-journal", "volume" : "127" }, "uris" : [ "http://www.mendeley.com/documents/?uuid=ffbe080e-828f-4a45-8644-aa9950c99e46" ] } ], "mendeley" : { "formattedCitation" : "(Arakawa, Ejima, et al. 2007)", "plainTextFormattedCitation" : "(Arakawa, Ejima, et al. 2007)", "previouslyFormattedCitation" : "(Arakawa, Ejima, et al. 2007)" }, "properties" : { "noteIndex" : 0 }, "schema" : "https://github.com/citation-style-language/schema/raw/master/csl-citation.json" }</w:instrText>
            </w:r>
            <w:r w:rsidRPr="009D78ED">
              <w:rPr>
                <w:sz w:val="20"/>
                <w:szCs w:val="20"/>
              </w:rPr>
              <w:fldChar w:fldCharType="separate"/>
            </w:r>
            <w:r w:rsidRPr="009D78ED">
              <w:rPr>
                <w:noProof/>
                <w:sz w:val="20"/>
                <w:szCs w:val="20"/>
              </w:rPr>
              <w:t>(Arakawa, Ejima, et al. 2007)</w:t>
            </w:r>
            <w:r w:rsidRPr="009D78ED">
              <w:rPr>
                <w:sz w:val="20"/>
                <w:szCs w:val="20"/>
              </w:rPr>
              <w:fldChar w:fldCharType="end"/>
            </w:r>
          </w:p>
        </w:tc>
      </w:tr>
      <w:tr w:rsidR="0049213A" w:rsidRPr="00C643FE" w14:paraId="764BE4B8" w14:textId="77777777" w:rsidTr="007A46CA">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A59E579" w14:textId="77777777" w:rsidR="0049213A" w:rsidRPr="009D78ED" w:rsidRDefault="0049213A" w:rsidP="007A46CA">
            <w:pPr>
              <w:spacing w:before="0"/>
              <w:rPr>
                <w:b w:val="0"/>
                <w:sz w:val="20"/>
                <w:szCs w:val="20"/>
              </w:rPr>
            </w:pPr>
            <w:r w:rsidRPr="009D78ED">
              <w:rPr>
                <w:b w:val="0"/>
                <w:sz w:val="20"/>
                <w:szCs w:val="20"/>
              </w:rPr>
              <w:t>Structural similarities to Hofmeister salts</w:t>
            </w:r>
          </w:p>
        </w:tc>
        <w:tc>
          <w:tcPr>
            <w:tcW w:w="4820" w:type="dxa"/>
            <w:shd w:val="clear" w:color="auto" w:fill="auto"/>
          </w:tcPr>
          <w:p w14:paraId="65C53C14" w14:textId="77777777" w:rsidR="00D6574D" w:rsidRPr="009D78ED" w:rsidRDefault="00D6574D" w:rsidP="007A46CA">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 xml:space="preserve">(1) </w:t>
            </w:r>
            <w:r w:rsidR="00082D18" w:rsidRPr="009D78ED">
              <w:rPr>
                <w:sz w:val="20"/>
                <w:szCs w:val="20"/>
              </w:rPr>
              <w:t>Similar denaturing effects to guanidinium HCl</w:t>
            </w:r>
          </w:p>
          <w:p w14:paraId="5A9EC579" w14:textId="77777777" w:rsidR="00D6574D" w:rsidRPr="009D78ED" w:rsidRDefault="00D6574D" w:rsidP="007A46CA">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9D78ED">
              <w:rPr>
                <w:sz w:val="20"/>
                <w:szCs w:val="20"/>
              </w:rPr>
              <w:t>(2) Similar trends in favourable interactions with all amino acids to guanidinium HCl</w:t>
            </w:r>
          </w:p>
        </w:tc>
        <w:tc>
          <w:tcPr>
            <w:tcW w:w="2091" w:type="dxa"/>
            <w:shd w:val="clear" w:color="auto" w:fill="auto"/>
          </w:tcPr>
          <w:p w14:paraId="180A969D" w14:textId="77777777" w:rsidR="0049213A" w:rsidRPr="00E3274E" w:rsidRDefault="00D6574D" w:rsidP="007A46CA">
            <w:pPr>
              <w:spacing w:before="0" w:after="0"/>
              <w:cnfStyle w:val="000000000000" w:firstRow="0" w:lastRow="0" w:firstColumn="0" w:lastColumn="0" w:oddVBand="0" w:evenVBand="0" w:oddHBand="0" w:evenHBand="0" w:firstRowFirstColumn="0" w:firstRowLastColumn="0" w:lastRowFirstColumn="0" w:lastRowLastColumn="0"/>
              <w:rPr>
                <w:sz w:val="20"/>
                <w:szCs w:val="20"/>
                <w:lang w:val="de-DE"/>
              </w:rPr>
            </w:pPr>
            <w:r w:rsidRPr="00C643FE">
              <w:rPr>
                <w:sz w:val="20"/>
                <w:szCs w:val="20"/>
                <w:lang w:val="de-DE"/>
              </w:rPr>
              <w:t xml:space="preserve">(1) </w:t>
            </w:r>
            <w:r w:rsidRPr="009D78ED">
              <w:rPr>
                <w:sz w:val="20"/>
                <w:szCs w:val="20"/>
              </w:rPr>
              <w:fldChar w:fldCharType="begin" w:fldLock="1"/>
            </w:r>
            <w:r w:rsidRPr="00C643FE">
              <w:rPr>
                <w:sz w:val="20"/>
                <w:szCs w:val="20"/>
                <w:lang w:val="de-DE"/>
              </w:rPr>
              <w:instrText>ADDIN CSL_CITATION { "citationItems" : [ { "id" : "ITEM-1", "itemData" : { "DOI" : "10.1016/S1357-2725(03)00252-8", "ISSN" : "13572725", "author" : [ { "dropping-particle" : "", "family" : "Xie", "given" : "Q", "non-dropping-particle" : "", "parse-names" : false, "suffix" : "" }, { "dropping-particle" : "", "family" : "Guo", "given" : "T", "non-dropping-particle" : "", "parse-names" : false, "suffix" : "" }, { "dropping-particle" : "", "family" : "Lu", "given" : "J", "non-dropping-particle" : "", "parse-names" : false, "suffix" : "" }, { "dropping-particle" : "", "family" : "Zhou", "given" : "H M", "non-dropping-particle" : "", "parse-names" : false, "suffix" : "" } ], "container-title" : "International Journal of Biochemistry &amp; Cell Biology", "id" : "ITEM-1", "issued" : { "date-parts" : [ [ "2004", "2" ] ] }, "page" : "296-306", "title" : "The guanidine like effects of arginine on aminoacylase and salt-induced molten globule state", "type" : "article-journal", "volume" : "36" }, "uris" : [ "http://www.mendeley.com/documents/?uuid=c4774180-6b83-4ff3-b5e5-58766eff3a26" ] } ], "mendeley" : { "formattedCitation" : "(Xie et al. 2004)", "plainTextFormattedCitation" : "(Xie et al. 2004)", "previouslyFormattedCitation" : "(Xie et al. 2004)" }, "properties" : { "noteInde</w:instrText>
            </w:r>
            <w:r w:rsidRPr="00E3274E">
              <w:rPr>
                <w:sz w:val="20"/>
                <w:szCs w:val="20"/>
                <w:lang w:val="de-DE"/>
              </w:rPr>
              <w:instrText>x" : 0 }, "schema" : "https://github.com/citation-style-language/schema/raw/master/csl-citation.json" }</w:instrText>
            </w:r>
            <w:r w:rsidRPr="009D78ED">
              <w:rPr>
                <w:sz w:val="20"/>
                <w:szCs w:val="20"/>
              </w:rPr>
              <w:fldChar w:fldCharType="separate"/>
            </w:r>
            <w:r w:rsidRPr="00E3274E">
              <w:rPr>
                <w:noProof/>
                <w:sz w:val="20"/>
                <w:szCs w:val="20"/>
                <w:lang w:val="de-DE"/>
              </w:rPr>
              <w:t>(Xie et al. 2004)</w:t>
            </w:r>
            <w:r w:rsidRPr="009D78ED">
              <w:rPr>
                <w:sz w:val="20"/>
                <w:szCs w:val="20"/>
              </w:rPr>
              <w:fldChar w:fldCharType="end"/>
            </w:r>
          </w:p>
          <w:p w14:paraId="6940CED6" w14:textId="77777777" w:rsidR="00D6574D" w:rsidRPr="00E3274E" w:rsidRDefault="00D6574D" w:rsidP="007A46CA">
            <w:pPr>
              <w:spacing w:before="0"/>
              <w:cnfStyle w:val="000000000000" w:firstRow="0" w:lastRow="0" w:firstColumn="0" w:lastColumn="0" w:oddVBand="0" w:evenVBand="0" w:oddHBand="0" w:evenHBand="0" w:firstRowFirstColumn="0" w:firstRowLastColumn="0" w:lastRowFirstColumn="0" w:lastRowLastColumn="0"/>
              <w:rPr>
                <w:sz w:val="20"/>
                <w:szCs w:val="20"/>
                <w:lang w:val="de-DE"/>
              </w:rPr>
            </w:pPr>
            <w:r w:rsidRPr="00E3274E">
              <w:rPr>
                <w:sz w:val="20"/>
                <w:szCs w:val="20"/>
                <w:lang w:val="de-DE"/>
              </w:rPr>
              <w:t xml:space="preserve">(2) </w:t>
            </w:r>
            <w:r w:rsidRPr="009D78ED">
              <w:rPr>
                <w:sz w:val="20"/>
                <w:szCs w:val="20"/>
              </w:rPr>
              <w:fldChar w:fldCharType="begin" w:fldLock="1"/>
            </w:r>
            <w:r w:rsidRPr="00E3274E">
              <w:rPr>
                <w:sz w:val="20"/>
                <w:szCs w:val="20"/>
                <w:lang w:val="de-DE"/>
              </w:rPr>
              <w:instrText>ADDIN CSL_CITATION { "citationItems" : [ { "id" : "ITEM-1", "itemData" : { "DOI" : "10.1016/j.bpc.2006.12.007", "ISSN" : "0301-4622", "PMID" : "17257734", "abstract" : "Arginine has been used to suppress protein aggregation and protein-protein or protein-surface interactions during protein refolding and purification. While its biotechnology applications are gradually expanding, the mechanism of these effects of arginine has not been fully elucidated. Arginine is more effective at higher concentrations, an indication of weak interactions with the proteins. The effects of weakly interacting additives, such as arginine, on protein solubility, stability and aggregation have been explained from three different approaches: i.e., (1) the effects of additives on the structure of water, (2) the interactions of additives with the amino acid side chains and peptide bonds and (3) the preferential interactions of additives with the proteins. Here we have examined these properties of arginine and compared with those of other additives, e.g., guanidine hydrochloride (GdnHCl) and certain amino acids and amines. GdnHCl is a strong salting-in agent and denatures proteins, while betaine is a protein stabilizer. Several amino acids and amine compounds, including betaine, which stabilize the proteins, are strongly excluded; i.e., the proteins are preferentially hydrated in these solutions. On the other hand, GdnHCl preferentially binds to the proteins. Arginine is intermediate between these two extreme cases and shows a more complicated pattern of interactions with the proteins. The effects of additives on water structure, e.g., the surface tension of aqueous solution of the additives and the solubility of amino acids in the presence of additives also shed light on the mechanism of the effects of the additives on protein aggregation. While arginine increases the surface tension of water, it favorably interacts with most amino acid side chains and the peptide bonds, a property shared with GdnHCl. Thus, we propose that while arginine is similar to GdnHCl in the amino acid level, arginine interacts with the proteins differently from GdnHCl.", "author" : [ { "dropping-particle" : "", "family" : "Arakawa", "given" : "T", "non-dropping-particle" : "", "parse-names" : false, "suffix" : "" }, { "dropping-particle" : "", "family" : "Ejima", "given" : "D", "non-dropping-particle" : "", "parse-names" : false, "suffix" : "" }, { "dropping-particle" : "", "family" : "Tsumoto", "given" : "K", "non-dropping-particle" : "", "parse-names" : false, "suffix" : "" }, { "dropping-particle" : "", "family" : "Obeyama", "given" : "N", "non-dropping-particle" : "", "parse-names" : false, "suffix" : "" }, { "dropping-particle" : "", "family" : "Tanaka", "given" : "Y", "non-dropping-particle" : "", "parse-names" : false, "suffix" : "" }, { "dropping-particle" : "", "family" : "Kita", "given" : "Y", "non-dropping-particle" : "", "parse-names" : false, "suffix" : "" }, { "dropping-particle" : "", "family" : "Timasheff", "given" : "S N", "non-dropping-particle" : "", "parse-names" : false, "suffix" : "" } ], "container-title" : "Biophysical Chemistry", "id" : "ITEM-1", "issued" : { "date-parts" : [ [ "2007", "4" ] ] }, "note" : "Review talking about how arginine suppresses aggregation of proteins by separating out surface tension effects, amino acid solubility in arginine solutions and preferential interaction parameters.", "page" : "1-8", "title" : "Suppression of protein interactions by arginine: A proposed mechanism of the arginine effects", "type" : "article-journal", "volume" : "127" }, "uris" : [ "http://www.mendeley.com/documents/?uuid=ffbe080e-828f-4a45-8644-aa9950c99e46" ] } ], "mendeley" : { "formattedCitation" : "(Arakawa, Ejima, et al. 2007)", "plainTextFormattedCitation" : "(Arakawa, Ejima, et al. 2007)", "previouslyFormattedCitation" : "(Arakawa, Ejima, et al. 2007)" }, "properties" : { "noteIndex" : 0 }, "schema" : "https://github.com/citation-style-language/schema/raw/master/csl-citation.json" }</w:instrText>
            </w:r>
            <w:r w:rsidRPr="009D78ED">
              <w:rPr>
                <w:sz w:val="20"/>
                <w:szCs w:val="20"/>
              </w:rPr>
              <w:fldChar w:fldCharType="separate"/>
            </w:r>
            <w:r w:rsidRPr="00E3274E">
              <w:rPr>
                <w:noProof/>
                <w:sz w:val="20"/>
                <w:szCs w:val="20"/>
                <w:lang w:val="de-DE"/>
              </w:rPr>
              <w:t>(Arakawa, Ejima, et al. 2007)</w:t>
            </w:r>
            <w:r w:rsidRPr="009D78ED">
              <w:rPr>
                <w:sz w:val="20"/>
                <w:szCs w:val="20"/>
              </w:rPr>
              <w:fldChar w:fldCharType="end"/>
            </w:r>
          </w:p>
        </w:tc>
      </w:tr>
      <w:tr w:rsidR="0049213A" w14:paraId="3721464B" w14:textId="77777777" w:rsidTr="007A4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8926625" w14:textId="77777777" w:rsidR="0049213A" w:rsidRPr="009D78ED" w:rsidRDefault="0049213A" w:rsidP="007A46CA">
            <w:pPr>
              <w:spacing w:before="0"/>
              <w:rPr>
                <w:b w:val="0"/>
                <w:sz w:val="20"/>
                <w:szCs w:val="20"/>
              </w:rPr>
            </w:pPr>
            <w:r w:rsidRPr="009D78ED">
              <w:rPr>
                <w:b w:val="0"/>
                <w:sz w:val="20"/>
                <w:szCs w:val="20"/>
              </w:rPr>
              <w:t>Additive-additive interactions</w:t>
            </w:r>
          </w:p>
        </w:tc>
        <w:tc>
          <w:tcPr>
            <w:tcW w:w="4820" w:type="dxa"/>
            <w:shd w:val="clear" w:color="auto" w:fill="auto"/>
          </w:tcPr>
          <w:p w14:paraId="03658AA9" w14:textId="77777777" w:rsidR="0049213A" w:rsidRPr="009D78ED" w:rsidRDefault="00D6574D" w:rsidP="007A46CA">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t>Formation of large arginine clusters in solution</w:t>
            </w:r>
          </w:p>
        </w:tc>
        <w:tc>
          <w:tcPr>
            <w:tcW w:w="2091" w:type="dxa"/>
            <w:shd w:val="clear" w:color="auto" w:fill="auto"/>
          </w:tcPr>
          <w:p w14:paraId="69853A7A" w14:textId="77777777" w:rsidR="0049213A" w:rsidRPr="009D78ED" w:rsidRDefault="00D6574D" w:rsidP="007A46CA">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9D78ED">
              <w:rPr>
                <w:sz w:val="20"/>
                <w:szCs w:val="20"/>
              </w:rPr>
              <w:fldChar w:fldCharType="begin" w:fldLock="1"/>
            </w:r>
            <w:r w:rsidR="00E11F61">
              <w:rPr>
                <w:sz w:val="20"/>
                <w:szCs w:val="20"/>
              </w:rPr>
              <w:instrText>ADDIN CSL_CITATION { "citationItems" : [ { "id" : "ITEM-1", "itemData" : { "DOI" : "10.1371/journal.pone.0001176", "ISSN" : "1932-6203", "PMID" : "18000547", "abstract" : "BACKGROUND: Aggregation of unfolded proteins occurs mainly through the exposed hydrophobic surfaces. Any mechanism of inhibition of this aggregation should explain the prevention of these hydrophobic interactions. Though arginine is prevalently used as an aggregation suppressor, its mechanism of action is not clearly understood. We propose a mechanism based on the hydrophobic interactions of arginine. METHODOLOGY: We have analyzed arginine solution for its hydrotropic effect by pyrene solubility and the presence of hydrophobic environment by 1-anilino-8-naphthalene sulfonic acid fluorescence. Mass spectroscopic analyses show that arginine forms molecular clusters in the gas phase and the cluster composition is dependent on the solution conditions. Light scattering studies indicate that arginine exists as clusters in solution. In the presence of arginine, the reverse phase chromatographic elution profile of Alzheimer's amyloid beta 1-42 (Abeta(1-42)) peptide is modified. Changes in the hydrodynamic volume of Abeta(1-42) in the presence of arginine measured by size exclusion chromatography show that arginine binds to Abeta(1-42). Arginine increases the solubility of Abeta(1-42) peptide in aqueous medium. It decreases the aggregation of Abeta(1-42) as observed by atomic force microscopy. CONCLUSIONS: Based on our experimental results we propose that molecular clusters of arginine in aqueous solutions display a hydrophobic surface by the alignment of its three methylene groups. The hydrophobic surfaces present on the proteins interact with the hydrophobic surface presented by the arginine clusters. The masking of hydrophobic surface inhibits protein-protein aggregation. This mechanism is also responsible for the hydrotropic effect of arginine on various compounds. It is also explained why other amino acids fail to inhibit the protein aggregation.", "author" : [ { "dropping-particle" : "", "family" : "Das", "given" : "U", "non-dropping-particle" : "", "parse-names" : false, "suffix" : "" }, { "dropping-particle" : "", "family" : "Hariprasad", "given" : "G", "non-dropping-particle" : "", "parse-names" : false, "suffix" : "" }, { "dropping-particle" : "", "family" : "Ethayathulla", "given" : "A S", "non-dropping-particle" : "", "parse-names" : false, "suffix" : "" }, { "dropping-particle" : "", "family" : "Manral", "given" : "P", "non-dropping-particle" : "", "parse-names" : false, "suffix" : "" }, { "dropping-particle" : "", "family" : "Das", "given" : "T K", "non-dropping-particle" : "", "parse-names" : false, "suffix" : "" }, { "dropping-particle" : "", "family" : "Pasha", "given" : "S", "non-dropping-particle" : "", "parse-names" : false, "suffix" : "" }, { "dropping-particle" : "", "family" : "Mann", "given" : "A", "non-dropping-particle" : "", "parse-names" : false, "suffix" : "" }, { "dropping-particle" : "", "family" : "Ganguli", "given" : "M", "non-dropping-particle" : "", "parse-names" : false, "suffix" : "" }, { "dropping-particle" : "", "family" : "Verma", "given" : "A K", "non-dropping-particle" : "", "parse-names" : false, "suffix" : "" }, { "dropping-particle" : "", "family" : "Bhat", "given" : "R", "non-dropping-particle" : "", "parse-names" : false, "suffix" : "" }, { "dropping-particle" : "", "family" : "Chandrayan", "given" : "S K", "non-dropping-particle" : "", "parse-names" : false, "suffix" : "" }, { "dropping-particle" : "", "family" : "Ahmed", "given" : "S", "non-dropping-particle" : "", "parse-names" : false, "suffix" : "" }, { "dropping-particle" : "", "family" : "Sharma", "given" : "S", "non-dropping-particle" : "", "parse-names" : false, "suffix" : "" }, { "dropping-particle" : "", "family" : "Kaur", "given" : "P", "non-dropping-particle" : "", "parse-names" : false, "suffix" : "" }, { "dropping-particle" : "", "family" : "Singh", "given" : "T P", "non-dropping-particle" : "", "parse-names" : false, "suffix" : "" }, { "dropping-particle" : "", "family" : "Srinivasan", "given" : "A", "non-dropping-particle" : "", "parse-names" : false, "suffix" : "" } ], "container-title" : "PloS One", "id" : "ITEM-1", "issued" : { "date-parts" : [ [ "2007", "1" ] ] }, "note" : "Experimental evidence of arginine forming molecular clusters displaying a hydrophobic surface by alignment of three methylene groups. Inhibition of aggregation caused by this hydrophobic surface interacting with hydrophobic surface on protein. Explains why other amino acids don't inhibit aggregation", "page" : "e1176", "title" : "Inhibition of protein aggregation: Supramolecular assemblies of arginine hold the key", "type" : "article-journal", "volume" : "2" }, "uris" : [ "http://www.mendeley.com/documents/?uuid=e4e8db8b-5276-44cd-91e1-05cdc67dc926" ] }, { "id" : "ITEM-2", "itemData" : { "DOI" : "10.1021/jp108399g", "ISSN" : "1520-5207", "PMID" : "20925358", "abstract" : "Aqueous arginine solutions are used extensively for inhibiting protein aggregation. There are several theories proposed to explain the effect of arginine on protein stability, but the exact mechanism is still not clear. To understand the mechanism of protein cosolvent interaction, the intraprotein, protein-solvent, and intrasolvent interactions have to be understood. Molecular dynamics simulations of aqueous arginine solutions were carried out for experimentally accessible concentrations and temperature ranges to study the structure of the solution and its energetic properties and obtain insight into the mechanism by which arginine inhibits protein aggregation. Simulations of proteins (\u03b1-chymotrypsinogen A and melittin) were performed. Structurally, the most striking feature of the aqueous arginine solutions is the self-association of arginine molecules. Arginine shows a marked tendency to form clusters with head to tail hydrogen bonding. Due to the presence of the three charged groups, there are several possible configurations in which arginine molecules interact. At relatively high concentrations, these arginine clusters associate with other clusters and monomeric arginine molecules to form large clusters. The hydrogen bonds between arginine molecules were found to be stronger than those between arginine and water, which makes the process of self-association enthalpically favorable. From the simulation of the proteins in aqueous arginine solution, arginine is found to interact with the aromatic and charged side chains of surface residues. A probable mechanism of the effect of arginine on protein stability consistent with our findings is proposed. In particular, arginine interacts with aromatic and charged residues due to cation-\u03c0 interaction and salt-bridge formation, respectively, to stabilize the partially unfolded intermediates. The self-interaction of arginine leads to the formation of clusters which, due to their size, crowd out the protein-protein interaction. The mechanisms proposed in the literature are analyzed on the basis of the simulation results reported in this paper and recent experimental data.", "author" : [ { "dropping-particle" : "", "family" : "Shukla", "given" : "D", "non-dropping-particle" : "", "parse-names" : false, "suffix" : "" }, { "dropping-particle" : "", "family" : "Trout", "given" : "B L", "non-dropping-particle" : "", "parse-names" : false, "suffix" : "" } ], "container-title" : "Journal of Physical Chemistry B", "id" : "ITEM-2", "issued" : { "date-parts" : [ [ "2010", "10", "28" ] ] }, "page" : "13426-13438", "title" : "Interaction of arginine with proteins and the mechanism by which it inhibits aggregation", "type" : "article-journal", "volume" : "114" }, "uris" : [ "http://www.mendeley.com/documents/?uuid=dbec9b1d-1c9e-4add-bea5-97fc49a049c2" ] }, { "id" : "ITEM-3", "itemData" : { "DOI" : "10.1021/jp108586b", "ISSN" : "1520-5207", "PMID" : "21186800", "abstract" : "Preferential interaction coefficients provide a thermodynamic measure to quantify the interactions between cosolutes and a protein. Preferential interactions of cosolutes can be measured experimentally using dialysis/densimetry and vapor pressure osmometry (VPO) techniques. The cosolute arginine is a widely used aggregation suppressor with a seemingly unique behavior. Its role in protein aggregation has been studied extensively, although a complete mechanistic understanding of its behavior is lacking. Moreover, due to experimental limitations, experimental preferential interaction data for arginine has only been reported at low concentrations. Schneider and Trout ( J. Phys. Chem. B 2009 , 113 , 7 ) have reported experimental preferential interaction data for argHCl (up to 0.7 m), and their study raised several interesting questions about the preferential interaction of arginine with proteins. Arginine is attracted to proteins at low concentrations but it was highly excluded at high concentrations. Furthermore, the preferential interaction coefficient values were found to vary as a square of the concentration, which is different from commonly observed linear relationship for other cosolutes like urea, glycerol, guanidinium hydrochloride, etc. In this study, preferential interaction coefficients of argHCl have been estimated computationally for two proteins (lysozyme and \u03b1-chymotripsinogen A) for a large concentration range (up to 2.8 m). On the basis of these results, the molecular level interactions responsible for the nonlinear exclusion of arginine from the protein surface are identified.", "author" : [ { "dropping-particle" : "", "family" : "Shukla", "given" : "D", "non-dropping-particle" : "", "parse-names" : false, "suffix" : "" }, { "dropping-particle" : "", "family" : "Trout", "given" : "B L", "non-dropping-particle" : "", "parse-names" : false, "suffix" : "" } ], "container-title" : "Journal of Physical Chemistry B", "id" : "ITEM-3", "issued" : { "date-parts" : [ [ "2011", "2", "10" ] ] }, "page" : "1243-1253", "publisher" : "American Chemical Society", "title" : "Preferential interaction coefficients of proteins in aqueous arginine solutions and their molecular origins", "type" : "article-journal", "volume" : "115" }, "uris" : [ "http://www.mendeley.com/documents/?uuid=a81e5778-ff76-4fd8-a37b-129997e8d378" ] } ], "mendeley" : { "formattedCitation" : "(Das et al. 2007; Shukla &amp; Trout 2010; Shukla &amp; Trout 2011a)", "plainTextFormattedCitation" : "(Das et al. 2007; Shukla &amp; Trout 2010; Shukla &amp; Trout 2011a)", "previouslyFormattedCitation" : "(Das et al. 2007; Shukla &amp; Trout 2010; Shukla &amp; Trout 2011a)" }, "properties" : { "noteIndex" : 0 }, "schema" : "https://github.com/citation-style-language/schema/raw/master/csl-citation.json" }</w:instrText>
            </w:r>
            <w:r w:rsidRPr="009D78ED">
              <w:rPr>
                <w:sz w:val="20"/>
                <w:szCs w:val="20"/>
              </w:rPr>
              <w:fldChar w:fldCharType="separate"/>
            </w:r>
            <w:r w:rsidRPr="009D78ED">
              <w:rPr>
                <w:noProof/>
                <w:sz w:val="20"/>
                <w:szCs w:val="20"/>
              </w:rPr>
              <w:t>(Das et al. 2007; Shukla &amp; Trout 2010; Shukla &amp; Trout 2011a)</w:t>
            </w:r>
            <w:r w:rsidRPr="009D78ED">
              <w:rPr>
                <w:sz w:val="20"/>
                <w:szCs w:val="20"/>
              </w:rPr>
              <w:fldChar w:fldCharType="end"/>
            </w:r>
          </w:p>
        </w:tc>
      </w:tr>
    </w:tbl>
    <w:p w14:paraId="12927B46" w14:textId="77777777" w:rsidR="0049213A" w:rsidRDefault="00E44A28" w:rsidP="00B614F7">
      <w:r>
        <w:lastRenderedPageBreak/>
        <w:t xml:space="preserve">As expected given the distinctiveness of arginine’s action on protein stability and solubility, the interactions and mechanisms suggested for arginine are unusual amongst cosolutes. As discussed in section </w:t>
      </w:r>
      <w:r>
        <w:fldChar w:fldCharType="begin"/>
      </w:r>
      <w:r>
        <w:instrText xml:space="preserve"> REF _Ref455651654 \r \h </w:instrText>
      </w:r>
      <w:r>
        <w:fldChar w:fldCharType="separate"/>
      </w:r>
      <w:r w:rsidR="00AA6926">
        <w:t>1.4.3.2</w:t>
      </w:r>
      <w:r>
        <w:fldChar w:fldCharType="end"/>
      </w:r>
      <w:r>
        <w:t xml:space="preserve">, cosolutes and salts that raise the surface tension of solution are expected to increase stability and decrease solubility, and those that lower the surface tension decrease stability and increase solubility. Arginine is expected to decrease the surface tension due to its solubilising effects but instead it increases surface tension, similar to stabilising cosolutes </w:t>
      </w:r>
      <w:r>
        <w:fldChar w:fldCharType="begin" w:fldLock="1"/>
      </w:r>
      <w:r w:rsidR="00FF6FB8">
        <w:instrText>ADDIN CSL_CITATION { "citationItems" : [ { "id" : "ITEM-1", "itemData" : { "ISSN" : "0006-2960", "PMID" : "7999778", "abstract" : "Surface tension measurements were carried out at 20 degrees C by a capillary drop-weight method on aqueous solutions of sodium glutamate (NaGlu), lysine hydrochloride (LysHCl), potassium aspartate (KAsp), arginine hydrochloride (ArgHCl), lysylglutamate (LysGlu), argininylglutamate (ArgGlu), guanidinium sulfate, trehalose, trimethylamine N-oxide (TMAO), dimethyl sulfoxide, 2-methyl-2,4-pentanediol (hexylene glycol), and poly(ethylene glycol)s of molecular weights 200, 400, 600, and 1000. All of the salts and the sugar increased the surface tension of water, while the last four compounds decreased it, with 2-methyl-2,4-pentanediol lowering it most effectively and TMAO being the least effective. The preferential hydration of bovine serum albumin (BSA) and lysozyme was measured in KAsp, ArgHCl, LysGlu, and ArgGlu. The high values of preferential hydration found in all cases, except for BSA in ArgHCl, suggest that they should stabilize protein structure, as had been found for lysine hydrochloride and monosodium glutamate [Arakawa, T., &amp; Timasheff, S. N. (1984) J. Biol. Chem. 259, 4979-4986]. A correlation was found for both BSA and lysozyme in KAsp, NaGlu, LysHCl, ArgGlu, and LysGlu between the surface tension effect and the observed preferential interactions, indicating that the change in the surface free energy of the protein-containing cavity due to the surface tension increase for water by these amino acid salts contributes dominantly to the observed increase in the chemical potential of the protein by their addition. The lack of a correlation observed for BSA, but not lysozyme, in ArgHCl at low concentrations where preferential binding is close to zero suggests, however, that the surface tension effect is not the sole factor involved in the protein-solvent interactions in these amino acid salts. Binding of ArgHCl to BSA, probably through hydrogen bonds between the Arg guanidinium group and peptide bonds, was proposed to occur, the affinity of Arg+ being reduced by electrostatic repulsion when proteins carry a net positive charge, such as is the case with lysozyme. Since the four organic solvent additives also lead to protein preferential hydration, no correlation exists between their preferential interactions and the surface free energy perturbation. Therefore, in their case, the preferential hydration must be ascribed to other factors that overcome the preferential binding expected from the Gibbs adsorption isotherm. The surface tension results, howeve\u2026", "author" : [ { "dropping-particle" : "", "family" : "Kita", "given" : "Y", "non-dropping-particle" : "", "parse-names" : false, "suffix" : "" }, { "dropping-particle" : "", "family" : "Arakawa", "given" : "T", "non-dropping-particle" : "", "parse-names" : false, "suffix" : "" }, { "dropping-particle" : "", "family" : "Lin", "given" : "T Y", "non-dropping-particle" : "", "parse-names" : false, "suffix" : "" }, { "dropping-particle" : "", "family" : "Timasheff", "given" : "S N", "non-dropping-particle" : "", "parse-names" : false, "suffix" : "" } ], "container-title" : "Biochemistry", "id" : "ITEM-1", "issued" : { "date-parts" : [ [ "1994", "12", "20" ] ] }, "page" : "15178-15189", "title" : "Contribution of the surface free energy perturbation to protein-solvent interactions", "type" : "article-journal", "volume" : "33" }, "uris" : [ "http://www.mendeley.com/documents/?uuid=182aa376-d2a7-43c5-ab39-1c1a5a5666ea" ] } ], "mendeley" : { "formattedCitation" : "(Kita et al. 1994)", "plainTextFormattedCitation" : "(Kita et al. 1994)", "previouslyFormattedCitation" : "(Kita et al. 1994)" }, "properties" : { "noteIndex" : 0 }, "schema" : "https://github.com/citation-style-language/schema/raw/master/csl-citation.json" }</w:instrText>
      </w:r>
      <w:r>
        <w:fldChar w:fldCharType="separate"/>
      </w:r>
      <w:r w:rsidRPr="00CD44F1">
        <w:rPr>
          <w:noProof/>
        </w:rPr>
        <w:t>(Kita et al. 1994)</w:t>
      </w:r>
      <w:r>
        <w:fldChar w:fldCharType="end"/>
      </w:r>
      <w:r>
        <w:t xml:space="preserve">. </w:t>
      </w:r>
      <w:r w:rsidR="009D2B9C">
        <w:t>GdnHCl</w:t>
      </w:r>
      <w:r>
        <w:t xml:space="preserve">, despite being a denaturant, also increases surface tension although to a lesser extent than arginine </w:t>
      </w:r>
      <w:r>
        <w:fldChar w:fldCharType="begin" w:fldLock="1"/>
      </w:r>
      <w:r>
        <w:instrText>ADDIN CSL_CITATION { "citationItems" : [ { "id" : "ITEM-1", "itemData" : { "ISSN" : "0027-8424", "PMID" : "2153285", "abstract" : "Since the salting-in agents guanidinium chloride, urea, and lithium perchlorate increase the surface tension of water, the salting-in phenomenon does not reflect easier cavity formation in water. Therefore, these salting-in agents must be directly contributing to the solvation of a solute such as benzene in water, probably by a direct solvation interaction. The increased surface-tension effects do not overbalance these solvation effects since they are smaller than the large surface-tension increases with lithium chloride, a typical salting-out agent. The salting-in agent tetra-n-butylammonium chloride differs in that it lowers the surface tension of water. Thus, it probably contributes both to easier cavity formation and to direct solvation of the substrate. The previous findings that most salting-in agents switch to become salting-out agents in other polar solvents such as ethylene glycol and formamide but that tetra-n-butylammonium chloride does not switch in these solvents can be understood in terms of relative polarities.", "author" : [ { "dropping-particle" : "", "family" : "Breslow", "given" : "R", "non-dropping-particle" : "", "parse-names" : false, "suffix" : "" }, { "dropping-particle" : "", "family" : "Guo", "given" : "T", "non-dropping-particle" : "", "parse-names" : false, "suffix" : "" } ], "container-title" : "Proceedings of the National Academy of Sciences of the United States of America", "id" : "ITEM-1", "issued" : { "date-parts" : [ [ "1990", "1" ] ] }, "page" : "167-169", "title" : "Surface tension measurements show that chaotropic salting-in denaturants are not just water-structure breakers", "type" : "article-journal", "volume" : "87" }, "uris" : [ "http://www.mendeley.com/documents/?uuid=5a2e02af-5a62-49c3-acb3-dcd6dcaf6973" ] } ], "mendeley" : { "formattedCitation" : "(Breslow &amp; Guo 1990)", "plainTextFormattedCitation" : "(Breslow &amp; Guo 1990)", "previouslyFormattedCitation" : "(Breslow &amp; Guo 1990)" }, "properties" : { "noteIndex" : 0 }, "schema" : "https://github.com/citation-style-language/schema/raw/master/csl-citation.json" }</w:instrText>
      </w:r>
      <w:r>
        <w:fldChar w:fldCharType="separate"/>
      </w:r>
      <w:r w:rsidRPr="00E44A28">
        <w:rPr>
          <w:noProof/>
        </w:rPr>
        <w:t>(Breslow &amp; Guo 1990)</w:t>
      </w:r>
      <w:r>
        <w:fldChar w:fldCharType="end"/>
      </w:r>
      <w:r>
        <w:t xml:space="preserve">. It was hypothesised that arginine and GdnHCl both have protein binding capabilities that overcome the surface tension effects in order to increase solubility of the protein </w:t>
      </w:r>
      <w:r>
        <w:fldChar w:fldCharType="begin" w:fldLock="1"/>
      </w:r>
      <w:r>
        <w:instrText>ADDIN CSL_CITATION { "citationItems" : [ { "id" : "ITEM-1", "itemData" : { "DOI" : "10.1016/j.bpc.2006.12.007", "ISSN" : "0301-4622", "PMID" : "17257734", "abstract" : "Arginine has been used to suppress protein aggregation and protein-protein or protein-surface interactions during protein refolding and purification. While its biotechnology applications are gradually expanding, the mechanism of these effects of arginine has not been fully elucidated. Arginine is more effective at higher concentrations, an indication of weak interactions with the proteins. The effects of weakly interacting additives, such as arginine, on protein solubility, stability and aggregation have been explained from three different approaches: i.e., (1) the effects of additives on the structure of water, (2) the interactions of additives with the amino acid side chains and peptide bonds and (3) the preferential interactions of additives with the proteins. Here we have examined these properties of arginine and compared with those of other additives, e.g., guanidine hydrochloride (GdnHCl) and certain amino acids and amines. GdnHCl is a strong salting-in agent and denatures proteins, while betaine is a protein stabilizer. Several amino acids and amine compounds, including betaine, which stabilize the proteins, are strongly excluded; i.e., the proteins are preferentially hydrated in these solutions. On the other hand, GdnHCl preferentially binds to the proteins. Arginine is intermediate between these two extreme cases and shows a more complicated pattern of interactions with the proteins. The effects of additives on water structure, e.g., the surface tension of aqueous solution of the additives and the solubility of amino acids in the presence of additives also shed light on the mechanism of the effects of the additives on protein aggregation. While arginine increases the surface tension of water, it favorably interacts with most amino acid side chains and the peptide bonds, a property shared with GdnHCl. Thus, we propose that while arginine is similar to GdnHCl in the amino acid level, arginine interacts with the proteins differently from GdnHCl.", "author" : [ { "dropping-particle" : "", "family" : "Arakawa", "given" : "T", "non-dropping-particle" : "", "parse-names" : false, "suffix" : "" }, { "dropping-particle" : "", "family" : "Ejima", "given" : "D", "non-dropping-particle" : "", "parse-names" : false, "suffix" : "" }, { "dropping-particle" : "", "family" : "Tsumoto", "given" : "K", "non-dropping-particle" : "", "parse-names" : false, "suffix" : "" }, { "dropping-particle" : "", "family" : "Obeyama", "given" : "N", "non-dropping-particle" : "", "parse-names" : false, "suffix" : "" }, { "dropping-particle" : "", "family" : "Tanaka", "given" : "Y", "non-dropping-particle" : "", "parse-names" : false, "suffix" : "" }, { "dropping-particle" : "", "family" : "Kita", "given" : "Y", "non-dropping-particle" : "", "parse-names" : false, "suffix" : "" }, { "dropping-particle" : "", "family" : "Timasheff", "given" : "S N", "non-dropping-particle" : "", "parse-names" : false, "suffix" : "" } ], "container-title" : "Biophysical Chemistry", "id" : "ITEM-1", "issued" : { "date-parts" : [ [ "2007", "4" ] ] }, "note" : "Review talking about how arginine suppresses aggregation of proteins by separating out surface tension effects, amino acid solubility in arginine solutions and preferential interaction parameters.", "page" : "1-8", "title" : "Suppression of protein interactions by arginine: A proposed mechanism of the arginine effects", "type" : "article-journal", "volume" : "127" }, "uris" : [ "http://www.mendeley.com/documents/?uuid=ffbe080e-828f-4a45-8644-aa9950c99e46" ] } ], "mendeley" : { "formattedCitation" : "(Arakawa, Ejima, et al. 2007)", "plainTextFormattedCitation" : "(Arakawa, Ejima, et al. 2007)", "previouslyFormattedCitation" : "(Arakawa, Ejima, et al. 2007)" }, "properties" : { "noteIndex" : 0 }, "schema" : "https://github.com/citation-style-language/schema/raw/master/csl-citation.json" }</w:instrText>
      </w:r>
      <w:r>
        <w:fldChar w:fldCharType="separate"/>
      </w:r>
      <w:r w:rsidRPr="00E44A28">
        <w:rPr>
          <w:noProof/>
        </w:rPr>
        <w:t>(Arakawa, Ejima, et al. 2007)</w:t>
      </w:r>
      <w:r>
        <w:fldChar w:fldCharType="end"/>
      </w:r>
      <w:r>
        <w:t xml:space="preserve">. Concentration-dependent preferential interaction coefficients for arginine, showing interaction at low concentration, and exclusion at high concentration, are equally unusual and support the existence of a balance between two opposing mechanisms </w:t>
      </w:r>
      <w:r>
        <w:fldChar w:fldCharType="begin" w:fldLock="1"/>
      </w:r>
      <w:r w:rsidR="00E11F61">
        <w:instrText>ADDIN CSL_CITATION { "citationItems" : [ { "id" : "ITEM-1", "itemData" : { "DOI" : "10.1021/jp808042w", "ISSN" : "1520-6106", "PMID" : "19199688", "abstract" : "The relatively new technique of vapor pressure osmometry was utilized to determine the preferential interaction of five common solution additives (arginine HCl, guanidine HCl, glycerol, glucose, and urea) using three different model proteins (BSA, lysozyme, and alpha-chymotrypsinogen). Results for guanidine, glycerol, glucose, and urea are comparable to literature values, which utilized the dialysis/densimetry technique. However, values for arginine differ greatly from literature values, making it unclear what is the nature of arginine-protein interactions. A repeat of the dialysis/densimetry measurements reported in the literature supports the vapor pressure osmometry measurements and reveals a never before seen trend in the interaction of arginine with proteins as a function of concentration. This trend is dependent on the protein size and shows arginine to be unique among solution additives. For concentrations below 0.5 M, arginine has a preferential interaction coefficient near zero (slightly greater than zero for small proteins but decreases as the size of the protein increases), which indicates that arginine is neither strongly bound nor excluded from the protein surface. This trend differs greatly from cosolutes that influence the protein folding equilibrium. However, as the concentration of arginine increases beyond 0.5 M, arginine becomes increasingly excluded. Such behavior might be indicative of the protein surface becoming saturated with arginine, thus causing any additional arginine added to the solution to be excluded from interacting with the surface. All of this behavior is most likely the result of a balance between the affinity arginine has for the peptide backbone and certain amino acids and the repulsion generated by surface tension increment and volume exclusion effects [Arakawa et al. Biophysical Chemistry 2007, 127, 1]. In addition, such behavior may explain why arginine has little effect on protein folding equilibrium but is an effective aggregation suppressor.", "author" : [ { "dropping-particle" : "", "family" : "Schneider", "given" : "C P", "non-dropping-particle" : "", "parse-names" : false, "suffix" : "" }, { "dropping-particle" : "", "family" : "Trout", "given" : "B L", "non-dropping-particle" : "", "parse-names" : false, "suffix" : "" } ], "container-title" : "Journal of Physical Chemistry B", "id" : "ITEM-1", "issued" : { "date-parts" : [ [ "2009", "2", "19" ] ] }, "page" : "2050-2058", "title" : "Investigation of cosolute-protein preferential interaction coefficients: New insight into the mechanism by which arginine inhibits aggregation", "type" : "article-journal", "volume" : "113" }, "uris" : [ "http://www.mendeley.com/documents/?uuid=9eed0480-0f78-439e-accc-1dcb3b07e260" ] }, { "id" : "ITEM-2", "itemData" : { "DOI" : "10.1021/jp108586b", "ISSN" : "1520-5207", "PMID" : "21186800", "abstract" : "Preferential interaction coefficients provide a thermodynamic measure to quantify the interactions between cosolutes and a protein. Preferential interactions of cosolutes can be measured experimentally using dialysis/densimetry and vapor pressure osmometry (VPO) techniques. The cosolute arginine is a widely used aggregation suppressor with a seemingly unique behavior. Its role in protein aggregation has been studied extensively, although a complete mechanistic understanding of its behavior is lacking. Moreover, due to experimental limitations, experimental preferential interaction data for arginine has only been reported at low concentrations. Schneider and Trout ( J. Phys. Chem. B 2009 , 113 , 7 ) have reported experimental preferential interaction data for argHCl (up to 0.7 m), and their study raised several interesting questions about the preferential interaction of arginine with proteins. Arginine is attracted to proteins at low concentrations but it was highly excluded at high concentrations. Furthermore, the preferential interaction coefficient values were found to vary as a square of the concentration, which is different from commonly observed linear relationship for other cosolutes like urea, glycerol, guanidinium hydrochloride, etc. In this study, preferential interaction coefficients of argHCl have been estimated computationally for two proteins (lysozyme and \u03b1-chymotripsinogen A) for a large concentration range (up to 2.8 m). On the basis of these results, the molecular level interactions responsible for the nonlinear exclusion of arginine from the protein surface are identified.", "author" : [ { "dropping-particle" : "", "family" : "Shukla", "given" : "D", "non-dropping-particle" : "", "parse-names" : false, "suffix" : "" }, { "dropping-particle" : "", "family" : "Trout", "given" : "B L", "non-dropping-particle" : "", "parse-names" : false, "suffix" : "" } ], "container-title" : "Journal of Physical Chemistry B", "id" : "ITEM-2", "issued" : { "date-parts" : [ [ "2011", "2", "10" ] ] }, "page" : "1243-1253", "publisher" : "American Chemical Society", "title" : "Preferential interaction coefficients of proteins in aqueous arginine solutions and their molecular origins", "type" : "article-journal", "volume" : "115" }, "uris" : [ "http://www.mendeley.com/documents/?uuid=a81e5778-ff76-4fd8-a37b-129997e8d378" ] } ], "mendeley" : { "formattedCitation" : "(Schneider &amp; Trout 2009; Shukla &amp; Trout 2011a)", "plainTextFormattedCitation" : "(Schneider &amp; Trout 2009; Shukla &amp; Trout 2011a)", "previouslyFormattedCitation" : "(Schneider &amp; Trout 2009; Shukla &amp; Trout 2011a)" }, "properties" : { "noteIndex" : 0 }, "schema" : "https://github.com/citation-style-language/schema/raw/master/csl-citation.json" }</w:instrText>
      </w:r>
      <w:r>
        <w:fldChar w:fldCharType="separate"/>
      </w:r>
      <w:r w:rsidRPr="00E44A28">
        <w:rPr>
          <w:noProof/>
        </w:rPr>
        <w:t>(Schneider &amp; Trout 2009; Shukla &amp; Trout 2011a)</w:t>
      </w:r>
      <w:r>
        <w:fldChar w:fldCharType="end"/>
      </w:r>
      <w:r>
        <w:t>.</w:t>
      </w:r>
    </w:p>
    <w:p w14:paraId="188FDF9C" w14:textId="77777777" w:rsidR="00E44A28" w:rsidRDefault="00E44A28" w:rsidP="00B614F7">
      <w:r>
        <w:t>Direct interactions between arginine and aromatic side chains, probably due to cation-π interactions</w:t>
      </w:r>
      <w:r w:rsidR="009D2B9C">
        <w:t>,</w:t>
      </w:r>
      <w:r>
        <w:t xml:space="preserve"> have been proven by multiple experiments </w:t>
      </w:r>
      <w:r>
        <w:fldChar w:fldCharType="begin" w:fldLock="1"/>
      </w:r>
      <w:r w:rsidR="00E11F61">
        <w:instrText>ADDIN CSL_CITATION { "citationItems" : [ { "id" : "ITEM-1", "itemData" : { "DOI" : "10.1016/j.bpc.2006.12.007", "ISSN" : "0301-4622", "PMID" : "17257734", "abstract" : "Arginine has been used to suppress protein aggregation and protein-protein or protein-surface interactions during protein refolding and purification. While its biotechnology applications are gradually expanding, the mechanism of these effects of arginine has not been fully elucidated. Arginine is more effective at higher concentrations, an indication of weak interactions with the proteins. The effects of weakly interacting additives, such as arginine, on protein solubility, stability and aggregation have been explained from three different approaches: i.e., (1) the effects of additives on the structure of water, (2) the interactions of additives with the amino acid side chains and peptide bonds and (3) the preferential interactions of additives with the proteins. Here we have examined these properties of arginine and compared with those of other additives, e.g., guanidine hydrochloride (GdnHCl) and certain amino acids and amines. GdnHCl is a strong salting-in agent and denatures proteins, while betaine is a protein stabilizer. Several amino acids and amine compounds, including betaine, which stabilize the proteins, are strongly excluded; i.e., the proteins are preferentially hydrated in these solutions. On the other hand, GdnHCl preferentially binds to the proteins. Arginine is intermediate between these two extreme cases and shows a more complicated pattern of interactions with the proteins. The effects of additives on water structure, e.g., the surface tension of aqueous solution of the additives and the solubility of amino acids in the presence of additives also shed light on the mechanism of the effects of the additives on protein aggregation. While arginine increases the surface tension of water, it favorably interacts with most amino acid side chains and the peptide bonds, a property shared with GdnHCl. Thus, we propose that while arginine is similar to GdnHCl in the amino acid level, arginine interacts with the proteins differently from GdnHCl.", "author" : [ { "dropping-particle" : "", "family" : "Arakawa", "given" : "T", "non-dropping-particle" : "", "parse-names" : false, "suffix" : "" }, { "dropping-particle" : "", "family" : "Ejima", "given" : "D", "non-dropping-particle" : "", "parse-names" : false, "suffix" : "" }, { "dropping-particle" : "", "family" : "Tsumoto", "given" : "K", "non-dropping-particle" : "", "parse-names" : false, "suffix" : "" }, { "dropping-particle" : "", "family" : "Obeyama", "given" : "N", "non-dropping-particle" : "", "parse-names" : false, "suffix" : "" }, { "dropping-particle" : "", "family" : "Tanaka", "given" : "Y", "non-dropping-particle" : "", "parse-names" : false, "suffix" : "" }, { "dropping-particle" : "", "family" : "Kita", "given" : "Y", "non-dropping-particle" : "", "parse-names" : false, "suffix" : "" }, { "dropping-particle" : "", "family" : "Timasheff", "given" : "S N", "non-dropping-particle" : "", "parse-names" : false, "suffix" : "" } ], "container-title" : "Biophysical Chemistry", "id" : "ITEM-1", "issued" : { "date-parts" : [ [ "2007", "4" ] ] }, "note" : "Review talking about how arginine suppresses aggregation of proteins by separating out surface tension effects, amino acid solubility in arginine solutions and preferential interaction parameters.", "page" : "1-8", "title" : "Suppression of protein interactions by arginine: A proposed mechanism of the arginine effects", "type" : "article-journal", "volume" : "127" }, "uris" : [ "http://www.mendeley.com/documents/?uuid=ffbe080e-828f-4a45-8644-aa9950c99e46" ] }, { "id" : "ITEM-2", "itemData" : { "DOI" : "10.1093/protein/gzq101", "ISSN" : "1741-0134", "PMID" : "21084280", "abstract" : "While biotechnological applications of arginine (Arg) as a solution additive that prevents protein aggregation are increasing, the molecular mechanism of its effects remains unclear. In this study, we investigated the Arg-lysozyme complex by high-resolution crystallographic analysis. Three Arg molecules were observed to be in close proximity to aromatic amino acid residues of the protein surface, and their occupancies gradually increased with increasing Arg concentration. These interactions were mediated by electrostatic, hydrophobic and cation-\u03c0 interactions with the surface residues. The binding of Arg decreased the accessible surface area of aromatic residues by 40%, but increased that of charged residues by 10%. These changes might prevent intermolecular hydrophobic interactions by shielding hydrophobic regions of the lysozyme surface, resulting in an increase in protein solubility.", "author" : [ { "dropping-particle" : "", "family" : "Ito", "given" : "L", "non-dropping-particle" : "", "parse-names" : false, "suffix" : "" }, { "dropping-particle" : "", "family" : "Shiraki", "given" : "K", "non-dropping-particle" : "", "parse-names" : false, "suffix" : "" }, { "dropping-particle" : "", "family" : "Matsuura", "given" : "T", "non-dropping-particle" : "", "parse-names" : false, "suffix" : "" }, { "dropping-particle" : "", "family" : "Okumura", "given" : "M", "non-dropping-particle" : "", "parse-names" : false, "suffix" : "" }, { "dropping-particle" : "", "family" : "Hasegawa", "given" : "K", "non-dropping-particle" : "", "parse-names" : false, "suffix" : "" }, { "dropping-particle" : "", "family" : "Baba", "given" : "S", "non-dropping-particle" : "", "parse-names" : false, "suffix" : "" }, { "dropping-particle" : "", "family" : "Yamaguchi", "given" : "H", "non-dropping-particle" : "", "parse-names" : false, "suffix" : "" }, { "dropping-particle" : "", "family" : "Kumasaka", "given" : "T", "non-dropping-particle" : "", "parse-names" : false, "suffix" : "" } ], "container-title" : "Protein Engineering Design &amp; Selection", "id" : "ITEM-2", "issued" : { "date-parts" : [ [ "2011", "3" ] ] }, "page" : "269-274", "title" : "High-resolution X-ray analysis reveals binding of arginine to aromatic residues of lysozyme surface: Implication of suppression of protein aggregation by arginine", "type" : "article-journal", "volume" : "24" }, "uris" : [ "http://www.mendeley.com/documents/?uuid=46121189-6c6b-4fb5-bde5-ea98b89a88de" ] }, { "id" : "ITEM-3", "itemData" : { "DOI" : "10.1080/07391102.2015.1013158", "ISSN" : "1538-0254", "PMID" : "25730443", "abstract" : "Additives are widely used to suppress aggregation of therapeutic proteins. However, the molecular mechanisms of effect of additives to stabilize proteins are still unclear. To understand this, we herein perform molecular dynamics simulations of lysozyme in the presence of three commonly used additives: arginine, lysine, and guanidine. These additives have different effects on stability of proteins and have different structures with some similarities; arginine and lysine have aliphatic side chain, while arginine has a guanidinium group. We analyze atomic contact frequencies to study the interactions of the additives with individual residues of lysozyme. Contact coefficient, quantified from contact frequencies, is helpful in analyzing the interactions with the guanidine groups as well as aliphatic side chains of arginine and lysine. Strong preference for contacts to the additives (over water) is seen for the acidic followed by polar and the aromatic residues. Further analysis suggests that the hydration layer around the protein surface is depleted more in the presence of arginine, followed by lysine and guanidine. Molecular dynamics simulations also reveal that the internal dynamics of protein, as indicated by the lifetimes of the hydrogen bonds within the protein, changes depending on the additives. Particularly, we note that the side-chain hydrogen-bonding patterns within the protein differ with the additives, with several side-chain hydrogen bonds missing in the presence of guanidine. These results collectively indicate that the aliphatic chain of arginine and lysine plays a critical role in the stabilization of the protein.", "author" : [ { "dropping-particle" : "", "family" : "Shah", "given" : "D", "non-dropping-particle" : "", "parse-names" : false, "suffix" : "" }, { "dropping-particle" : "", "family" : "Shaikh", "given" : "A R", "non-dropping-particle" : "", "parse-names" : false, "suffix" : "" } ], "container-title" : "Journal of Biomolecular Structure &amp; Dynamics", "id" : "ITEM-3", "issued" : { "date-parts" : [ [ "2015" ] ] }, "page" : "1-11", "title" : "Interaction of arginine, lysine, and guanidine with surface residues of lysozyme: Implication to protein stability", "type" : "article-journal", "volume" : "1102" }, "uris" : [ "http://www.mendeley.com/documents/?uuid=18886b5b-34f4-44e6-9865-8cd4dac1f253" ] } ], "mendeley" : { "formattedCitation" : "(Arakawa, Ejima, et al. 2007; Ito et al. 2011; Shah &amp; Shaikh 2015)", "plainTextFormattedCitation" : "(Arakawa, Ejima, et al. 2007; Ito et al. 2011; Shah &amp; Shaikh 2015)", "previouslyFormattedCitation" : "(Arakawa, Ejima, et al. 2007; Ito et al. 2011; Shah &amp; Shaikh 2015)" }, "properties" : { "noteIndex" : 0 }, "schema" : "https://github.com/citation-style-language/schema/raw/master/csl-citation.json" }</w:instrText>
      </w:r>
      <w:r>
        <w:fldChar w:fldCharType="separate"/>
      </w:r>
      <w:r w:rsidRPr="00E44A28">
        <w:rPr>
          <w:noProof/>
        </w:rPr>
        <w:t>(Arakawa, Ejima, et al. 2007; Ito et al. 2011; Shah &amp; Shaikh 2015)</w:t>
      </w:r>
      <w:r>
        <w:fldChar w:fldCharType="end"/>
      </w:r>
      <w:r w:rsidR="00381B2D">
        <w:t xml:space="preserve">. Cation-π interactions between arginine and tyrosine </w:t>
      </w:r>
      <w:r w:rsidR="00C00AEE">
        <w:t xml:space="preserve">residues on the protein surface </w:t>
      </w:r>
      <w:r w:rsidR="00381B2D">
        <w:t xml:space="preserve">are known to be important </w:t>
      </w:r>
      <w:r w:rsidR="003D50D8">
        <w:t>at the interface of</w:t>
      </w:r>
      <w:r w:rsidR="00381B2D">
        <w:t xml:space="preserve"> protein-protein interactions </w:t>
      </w:r>
      <w:r w:rsidR="00381B2D">
        <w:fldChar w:fldCharType="begin" w:fldLock="1"/>
      </w:r>
      <w:r w:rsidR="00381B2D">
        <w:instrText>ADDIN CSL_CITATION { "citationItems" : [ { "id" : "ITEM-1", "itemData" : { "DOI" : "10.1002/prot.20417", "ISSN" : "08873585", "PMID" : "15726638", "author" : [ { "dropping-particle" : "", "family" : "Crowley", "given" : "P B", "non-dropping-particle" : "", "parse-names" : false, "suffix" : "" }, { "dropping-particle" : "", "family" : "Golovin", "given" : "A", "non-dropping-particle" : "", "parse-names" : false, "suffix" : "" } ], "container-title" : "Proteins", "id" : "ITEM-1", "issued" : { "date-parts" : [ [ "2005" ] ] }, "page" : "231-239", "title" : "Cation-\u03c0 interactions in protein-protein interfaces", "type" : "article-journal", "volume" : "59" }, "uris" : [ "http://www.mendeley.com/documents/?uuid=cef29d05-cc87-481f-b692-6a1cb2dec1f1" ] } ], "mendeley" : { "formattedCitation" : "(Crowley &amp; Golovin 2005)", "plainTextFormattedCitation" : "(Crowley &amp; Golovin 2005)", "previouslyFormattedCitation" : "(Crowley &amp; Golovin 2005)" }, "properties" : { "noteIndex" : 0 }, "schema" : "https://github.com/citation-style-language/schema/raw/master/csl-citation.json" }</w:instrText>
      </w:r>
      <w:r w:rsidR="00381B2D">
        <w:fldChar w:fldCharType="separate"/>
      </w:r>
      <w:r w:rsidR="00381B2D" w:rsidRPr="00381B2D">
        <w:rPr>
          <w:noProof/>
        </w:rPr>
        <w:t>(Crowley &amp; Golovin 2005)</w:t>
      </w:r>
      <w:r w:rsidR="00381B2D">
        <w:fldChar w:fldCharType="end"/>
      </w:r>
      <w:r w:rsidR="00381B2D">
        <w:t xml:space="preserve">. Therefore </w:t>
      </w:r>
      <w:r w:rsidR="00C00AEE">
        <w:t xml:space="preserve">binding of </w:t>
      </w:r>
      <w:r w:rsidR="00381B2D">
        <w:t>arginine in solution to aromatic side chains is probably an important mechanism in aggregatio</w:t>
      </w:r>
      <w:r w:rsidR="009451CB">
        <w:t>n</w:t>
      </w:r>
      <w:r w:rsidR="009019AC">
        <w:t xml:space="preserve"> prevention and solubilisation. W</w:t>
      </w:r>
      <w:r w:rsidR="009451CB">
        <w:t>hether it plays a role in arginine’s effects on stability is yet to be elucidated.</w:t>
      </w:r>
    </w:p>
    <w:p w14:paraId="62821978" w14:textId="77777777" w:rsidR="00381B2D" w:rsidRDefault="00381B2D" w:rsidP="00B614F7">
      <w:r>
        <w:t xml:space="preserve">The similarity in structure between arginine’s side chain and guanidinium has been used to explain at least some of arginine’s destabilising and solubilising effects on proteins </w:t>
      </w:r>
      <w:r>
        <w:fldChar w:fldCharType="begin" w:fldLock="1"/>
      </w:r>
      <w:r w:rsidR="00466B07">
        <w:instrText>ADDIN CSL_CITATION { "citationItems" : [ { "id" : "ITEM-1", "itemData" : { "DOI" : "10.1016/S1357-2725(03)00252-8", "ISSN" : "13572725", "author" : [ { "dropping-particle" : "", "family" : "Xie", "given" : "Q", "non-dropping-particle" : "", "parse-names" : false, "suffix" : "" }, { "dropping-particle" : "", "family" : "Guo", "given" : "T", "non-dropping-particle" : "", "parse-names" : false, "suffix" : "" }, { "dropping-particle" : "", "family" : "Lu", "given" : "J", "non-dropping-particle" : "", "parse-names" : false, "suffix" : "" }, { "dropping-particle" : "", "family" : "Zhou", "given" : "H M", "non-dropping-particle" : "", "parse-names" : false, "suffix" : "" } ], "container-title" : "International Journal of Biochemistry &amp; Cell Biology", "id" : "ITEM-1", "issued" : { "date-parts" : [ [ "2004", "2" ] ] }, "page" : "296-306", "title" : "The guanidine like effects of arginine on aminoacylase and salt-induced molten globule state", "type" : "article-journal", "volume" : "36" }, "uris" : [ "http://www.mendeley.com/documents/?uuid=c4774180-6b83-4ff3-b5e5-58766eff3a26" ] } ], "mendeley" : { "formattedCitation" : "(Xie et al. 2004)", "plainTextFormattedCitation" : "(Xie et al. 2004)", "previouslyFormattedCitation" : "(Xie et al. 2004)" }, "properties" : { "noteIndex" : 0 }, "schema" : "https://github.com/citation-style-language/schema/raw/master/csl-citation.json" }</w:instrText>
      </w:r>
      <w:r>
        <w:fldChar w:fldCharType="separate"/>
      </w:r>
      <w:r w:rsidRPr="00381B2D">
        <w:rPr>
          <w:noProof/>
        </w:rPr>
        <w:t>(Xie et al. 2004)</w:t>
      </w:r>
      <w:r>
        <w:fldChar w:fldCharType="end"/>
      </w:r>
      <w:r>
        <w:t xml:space="preserve">. The effects of guanidinium are discussed in section </w:t>
      </w:r>
      <w:r>
        <w:fldChar w:fldCharType="begin"/>
      </w:r>
      <w:r>
        <w:instrText xml:space="preserve"> REF _Ref459908879 \r \h </w:instrText>
      </w:r>
      <w:r>
        <w:fldChar w:fldCharType="separate"/>
      </w:r>
      <w:r w:rsidR="00AA6926">
        <w:t>1.7.3</w:t>
      </w:r>
      <w:r>
        <w:fldChar w:fldCharType="end"/>
      </w:r>
      <w:r>
        <w:t xml:space="preserve">. Differences between their actions have been explained by arginine’s larger size, especially relative to water, meaning steric exclusion likely plays a factor </w:t>
      </w:r>
      <w:r w:rsidR="00466B07">
        <w:fldChar w:fldCharType="begin" w:fldLock="1"/>
      </w:r>
      <w:r w:rsidR="00026178">
        <w:instrText>ADDIN CSL_CITATION { "citationItems" : [ { "id" : "ITEM-1", "itemData" : { "DOI" : "10.1016/j.bpc.2006.12.007", "ISSN" : "0301-4622", "PMID" : "17257734", "abstract" : "Arginine has been used to suppress protein aggregation and protein-protein or protein-surface interactions during protein refolding and purification. While its biotechnology applications are gradually expanding, the mechanism of these effects of arginine has not been fully elucidated. Arginine is more effective at higher concentrations, an indication of weak interactions with the proteins. The effects of weakly interacting additives, such as arginine, on protein solubility, stability and aggregation have been explained from three different approaches: i.e., (1) the effects of additives on the structure of water, (2) the interactions of additives with the amino acid side chains and peptide bonds and (3) the preferential interactions of additives with the proteins. Here we have examined these properties of arginine and compared with those of other additives, e.g., guanidine hydrochloride (GdnHCl) and certain amino acids and amines. GdnHCl is a strong salting-in agent and denatures proteins, while betaine is a protein stabilizer. Several amino acids and amine compounds, including betaine, which stabilize the proteins, are strongly excluded; i.e., the proteins are preferentially hydrated in these solutions. On the other hand, GdnHCl preferentially binds to the proteins. Arginine is intermediate between these two extreme cases and shows a more complicated pattern of interactions with the proteins. The effects of additives on water structure, e.g., the surface tension of aqueous solution of the additives and the solubility of amino acids in the presence of additives also shed light on the mechanism of the effects of the additives on protein aggregation. While arginine increases the surface tension of water, it favorably interacts with most amino acid side chains and the peptide bonds, a property shared with GdnHCl. Thus, we propose that while arginine is similar to GdnHCl in the amino acid level, arginine interacts with the proteins differently from GdnHCl.", "author" : [ { "dropping-particle" : "", "family" : "Arakawa", "given" : "T", "non-dropping-particle" : "", "parse-names" : false, "suffix" : "" }, { "dropping-particle" : "", "family" : "Ejima", "given" : "D", "non-dropping-particle" : "", "parse-names" : false, "suffix" : "" }, { "dropping-particle" : "", "family" : "Tsumoto", "given" : "K", "non-dropping-particle" : "", "parse-names" : false, "suffix" : "" }, { "dropping-particle" : "", "family" : "Obeyama", "given" : "N", "non-dropping-particle" : "", "parse-names" : false, "suffix" : "" }, { "dropping-particle" : "", "family" : "Tanaka", "given" : "Y", "non-dropping-particle" : "", "parse-names" : false, "suffix" : "" }, { "dropping-particle" : "", "family" : "Kita", "given" : "Y", "non-dropping-particle" : "", "parse-names" : false, "suffix" : "" }, { "dropping-particle" : "", "family" : "Timasheff", "given" : "S N", "non-dropping-particle" : "", "parse-names" : false, "suffix" : "" } ], "container-title" : "Biophysical Chemistry", "id" : "ITEM-1", "issued" : { "date-parts" : [ [ "2007", "4" ] ] }, "note" : "Review talking about how arginine suppresses aggregation of proteins by separating out surface tension effects, amino acid solubility in arginine solutions and preferential interaction parameters.", "page" : "1-8", "title" : "Suppression of protein interactions by arginine: A proposed mechanism of the arginine effects", "type" : "article-journal", "volume" : "127" }, "uris" : [ "http://www.mendeley.com/documents/?uuid=ffbe080e-828f-4a45-8644-aa9950c99e46" ] } ], "mendeley" : { "formattedCitation" : "(Arakawa, Ejima, et al. 2007)", "plainTextFormattedCitation" : "(Arakawa, Ejima, et al. 2007)", "previouslyFormattedCitation" : "(Arakawa, Ejima, et al. 2007)" }, "properties" : { "noteIndex" : 0 }, "schema" : "https://github.com/citation-style-language/schema/raw/master/csl-citation.json" }</w:instrText>
      </w:r>
      <w:r w:rsidR="00466B07">
        <w:fldChar w:fldCharType="separate"/>
      </w:r>
      <w:r w:rsidR="00466B07" w:rsidRPr="00466B07">
        <w:rPr>
          <w:noProof/>
        </w:rPr>
        <w:t>(Arakawa, Ejima, et al. 2007)</w:t>
      </w:r>
      <w:r w:rsidR="00466B07">
        <w:fldChar w:fldCharType="end"/>
      </w:r>
      <w:r w:rsidR="009451CB">
        <w:t xml:space="preserve">, similar to the differences seen for oligosaccharides and their monosaccharide components (see section </w:t>
      </w:r>
      <w:r w:rsidR="009451CB">
        <w:fldChar w:fldCharType="begin"/>
      </w:r>
      <w:r w:rsidR="009451CB">
        <w:instrText xml:space="preserve"> REF _Ref460082242 \r \h </w:instrText>
      </w:r>
      <w:r w:rsidR="009451CB">
        <w:fldChar w:fldCharType="separate"/>
      </w:r>
      <w:r w:rsidR="00AA6926">
        <w:t>1.6.3</w:t>
      </w:r>
      <w:r w:rsidR="009451CB">
        <w:fldChar w:fldCharType="end"/>
      </w:r>
      <w:r w:rsidR="009451CB">
        <w:t>)</w:t>
      </w:r>
      <w:r w:rsidR="00466B07">
        <w:t xml:space="preserve">. </w:t>
      </w:r>
      <w:r w:rsidR="00026178">
        <w:t xml:space="preserve">Other functional groups present in </w:t>
      </w:r>
      <w:r w:rsidR="00026178">
        <w:lastRenderedPageBreak/>
        <w:t xml:space="preserve">the arginine molecule are also likely to be important, which is supported by the fact that arginine derivatives and analogues have been shown to differ from arginine in their effects on protein stability and solubility </w:t>
      </w:r>
      <w:r w:rsidR="00026178">
        <w:fldChar w:fldCharType="begin" w:fldLock="1"/>
      </w:r>
      <w:r w:rsidR="00E11F61">
        <w:instrText>ADDIN CSL_CITATION { "citationItems" : [ { "id" : "ITEM-1", "itemData" : { "DOI" : "10.1016/j.jbiotec.2007.03.003", "ISSN" : "01681656", "PMID" : "17434637", "abstract" : "l-Arginine (Arg) is a widely used additive for suppressing protein aggregation during refolding. Systematic screening of Arg analogs provides superior additives that enhance the refolding yield more effectively than Arg. The refolding yield of hen egg lysozyme in the presence of 500 mM l-argininamide (ArgAd) increases 1.7-fold higher than Arg. Thermal unfolding experiments indicate that ArgAd has a greater denaturing effect than Arg. The refolding yield positively relates to the net charge of Arg analogs. Moreover ArgAd was also effective for the refolding of bovine carbonic anhydrase. High potency to increase the refolding yield of ArgAd compared to Arg results from high positive net charge and the denaturing property. ?? 2007 Elsevier B.V. All rights reserved.", "author" : [ { "dropping-particle" : "", "family" : "Hamada", "given" : "H", "non-dropping-particle" : "", "parse-names" : false, "suffix" : "" }, { "dropping-particle" : "", "family" : "Shiraki", "given" : "K", "non-dropping-particle" : "", "parse-names" : false, "suffix" : "" } ], "container-title" : "Journal of Biotechnology", "id" : "ITEM-1", "issued" : { "date-parts" : [ [ "2007" ] ] }, "page" : "153-160", "title" : "L-Argininamide improves the refolding more effectively than L-arginine", "type" : "article-journal", "volume" : "130" }, "uris" : [ "http://www.mendeley.com/documents/?uuid=3e154ec5-faf9-4375-87ae-19a3a29f0a33" ] }, { "id" : "ITEM-2", "itemData" : { "DOI" : "10.1002/btpr.1766", "ISSN" : "87567938", "PMID" : "23794528", "abstract" : "L-arginine (Arg), L-homoarginine (HArg), L-arginine ethylester (ArgEE), and L-arginine methylester (ArgME) were found effective in inhibiting protein aggregation, but the molecular mechanisms are not clear. Herein, stopped-flow fluorescence spectroscopy, isothermal titration calorimetry, and mass spectroscopy were used to investigate the folding kinetics of lysozyme and the interactions of the additives with lysozyme. It was found that the interactions of ArgME and ArgEE with lysozyme were similar to that of guanidine hydrochloride and were much stronger than those of Arg and HArg. The binding forces were all mainly hydrogen bonding and cation-\u03c0 interaction from the guanidinium group, but their differences in molecular states led to the significantly different binding strengths. The additives formed molecular clusters in an increasing order of ArgEE, ArgME, HArg, and Arg. Arg and HArg mainly formed annular clusters with head-to-tail bonding, while ArgME and ArgEE formed linear clusters with guanidinium groups stacking. The interactions between the additives and lysozyme were positively related to the monomer contents. That is, the monomers were the primary species that participated in the direct interactions due to their intact guanidinium groups and small sizes, while the clusters performed as barriers to crowd out the protein-protein interactions for aggregation. Thus, it is concluded that the effects of Arg and its derivatives on protein aggregation stemmed from the direct interactions by the monomers and the crowding effects by the clusters. Interplay of the two effects led to the differences in their inhibition effects on protein aggregation.", "author" : [ { "dropping-particle" : "", "family" : "Gao", "given" : "M T", "non-dropping-particle" : "", "parse-names" : false, "suffix" : "" }, { "dropping-particle" : "", "family" : "Dong", "given" : "X Y", "non-dropping-particle" : "", "parse-names" : false, "suffix" : "" }, { "dropping-particle" : "", "family" : "Sun", "given" : "Y", "non-dropping-particle" : "", "parse-names" : false, "suffix" : "" } ], "container-title" : "Biotechnology Progress", "id" : "ITEM-2", "issued" : { "date-parts" : [ [ "2013" ] ] }, "page" : "1316-1324", "title" : "Interactions between L-arginine/L-arginine derivatives and lysozyme and implications to their inhibition effects on protein aggregation", "type" : "article-journal", "volume" : "29" }, "uris" : [ "http://www.mendeley.com/documents/?uuid=9c063c3c-cbf7-45da-b23f-917022e23827" ] }, { "id" : "ITEM-3", "itemData" : { "DOI" : "10.1007/s11095-013-1221-2", "ISBN" : "1109501312212", "ISSN" : "1573904X", "PMID" : "24287623", "abstract" : "PURPOSE: To investigate mechanisms governing the stabilization and destabilization of immunoglobulin (IgG1) by arginine (Arg).\\n\\nMETHODS: The effects of Arg on the aggregation/degradation, thermodynamic stability, hydrophobicity, and aromatic residues of IgG1 were respectively investigated by size-exclusion chromatography, differential scanning calorimetry, probe fluorescence, and intrinsic fluorescence.\\n\\nRESULTS: Arg monohydrochloride (Arg-HCl) suppressed IgG1 aggregation at near-neutral pH, but facilitated aggregation and degradation at acidic pH or at high storage temperature. Equimolar mixtures of Arg and aspartic acid (Asp) or glutamic acid (Glu) suppressed aggregation without facilitating degradation even at high temperature. Arg-HCl decreased the thermodynamic stability of IgG1 by enthalpic loss, which was counteracted by using Asp or Glu as a counterion for Arg. The suppression of aggregation by Arg-HCl was well correlated with the decrease in hydrophobicity of IgG1. The intrinsic fluorescence of IgG1 was unaffected by Arg-HCl.\\n\\nCONCLUSIONS: Suppression of IgG1 aggregation can be attributed to the interaction between Arg and hydrophobic residues; on the other hand, facilitation of aggregation and degradation is presumably due to the interaction between Arg and some acidic residues, which could be competitively inhibited by simultaneously adding either Asp or Glu.", "author" : [ { "dropping-particle" : "", "family" : "Fukuda", "given" : "M", "non-dropping-particle" : "", "parse-names" : false, "suffix" : "" }, { "dropping-particle" : "", "family" : "Kameoka", "given" : "D", "non-dropping-particle" : "", "parse-names" : false, "suffix" : "" }, { "dropping-particle" : "", "family" : "Torizawa", "given" : "T", "non-dropping-particle" : "", "parse-names" : false, "suffix" : "" }, { "dropping-particle" : "", "family" : "Saitoh", "given" : "S", "non-dropping-particle" : "", "parse-names" : false, "suffix" : "" }, { "dropping-particle" : "", "family" : "Yasutake", "given" : "M", "non-dropping-particle" : "", "parse-names" : false, "suffix" : "" }, { "dropping-particle" : "", "family" : "Imaeda", "given" : "Y", "non-dropping-particle" : "", "parse-names" : false, "suffix" : "" }, { "dropping-particle" : "", "family" : "Koga", "given" : "A", "non-dropping-particle" : "", "parse-names" : false, "suffix" : "" }, { "dropping-particle" : "", "family" : "Mizutani", "given" : "A", "non-dropping-particle" : "", "parse-names" : false, "suffix" : "" } ], "container-title" : "Pharmaceutical Research", "id" : "ITEM-3", "issued" : { "date-parts" : [ [ "2014" ] ] }, "page" : "992-1001", "title" : "Thermodynamic and fluorescence analyses to determine mechanisms of IgG1 stabilization and destabilization by arginine", "type" : "article-journal", "volume" : "31" }, "uris" : [ "http://www.mendeley.com/documents/?uuid=639d5a44-e310-4e05-beb5-ab72ed03fc48" ] }, { "id" : "ITEM-4", "itemData" : { "DOI" : "10.1080/07391102.2015.1013158", "ISSN" : "1538-0254", "PMID" : "25730443", "abstract" : "Additives are widely used to suppress aggregation of therapeutic proteins. However, the molecular mechanisms of effect of additives to stabilize proteins are still unclear. To understand this, we herein perform molecular dynamics simulations of lysozyme in the presence of three commonly used additives: arginine, lysine, and guanidine. These additives have different effects on stability of proteins and have different structures with some similarities; arginine and lysine have aliphatic side chain, while arginine has a guanidinium group. We analyze atomic contact frequencies to study the interactions of the additives with individual residues of lysozyme. Contact coefficient, quantified from contact frequencies, is helpful in analyzing the interactions with the guanidine groups as well as aliphatic side chains of arginine and lysine. Strong preference for contacts to the additives (over water) is seen for the acidic followed by polar and the aromatic residues. Further analysis suggests that the hydration layer around the protein surface is depleted more in the presence of arginine, followed by lysine and guanidine. Molecular dynamics simulations also reveal that the internal dynamics of protein, as indicated by the lifetimes of the hydrogen bonds within the protein, changes depending on the additives. Particularly, we note that the side-chain hydrogen-bonding patterns within the protein differ with the additives, with several side-chain hydrogen bonds missing in the presence of guanidine. These results collectively indicate that the aliphatic chain of arginine and lysine plays a critical role in the stabilization of the protein.", "author" : [ { "dropping-particle" : "", "family" : "Shah", "given" : "D", "non-dropping-particle" : "", "parse-names" : false, "suffix" : "" }, { "dropping-particle" : "", "family" : "Shaikh", "given" : "A R", "non-dropping-particle" : "", "parse-names" : false, "suffix" : "" } ], "container-title" : "Journal of Biomolecular Structure &amp; Dynamics", "id" : "ITEM-4", "issued" : { "date-parts" : [ [ "2015" ] ] }, "page" : "1-11", "title" : "Interaction of arginine, lysine, and guanidine with surface residues of lysozyme: Implication to protein stability", "type" : "article-journal", "volume" : "1102" }, "uris" : [ "http://www.mendeley.com/documents/?uuid=18886b5b-34f4-44e6-9865-8cd4dac1f253" ] } ], "mendeley" : { "formattedCitation" : "(Hamada &amp; Shiraki 2007; Gao et al. 2013; Fukuda et al. 2014; Shah &amp; Shaikh 2015)", "plainTextFormattedCitation" : "(Hamada &amp; Shiraki 2007; Gao et al. 2013; Fukuda et al. 2014; Shah &amp; Shaikh 2015)", "previouslyFormattedCitation" : "(Hamada &amp; Shiraki 2007; Gao et al. 2013; Fukuda et al. 2014; Shah &amp; Shaikh 2015)" }, "properties" : { "noteIndex" : 0 }, "schema" : "https://github.com/citation-style-language/schema/raw/master/csl-citation.json" }</w:instrText>
      </w:r>
      <w:r w:rsidR="00026178">
        <w:fldChar w:fldCharType="separate"/>
      </w:r>
      <w:r w:rsidR="00026178" w:rsidRPr="00026178">
        <w:rPr>
          <w:noProof/>
        </w:rPr>
        <w:t>(Hamada &amp; Shiraki 2007; Gao et al. 2013; Fukuda et al. 2014; Shah &amp; Shaikh 2015)</w:t>
      </w:r>
      <w:r w:rsidR="00026178">
        <w:fldChar w:fldCharType="end"/>
      </w:r>
      <w:r w:rsidR="00026178">
        <w:t>.</w:t>
      </w:r>
    </w:p>
    <w:p w14:paraId="3417FA78" w14:textId="77777777" w:rsidR="00F87DF7" w:rsidRDefault="007473B9" w:rsidP="00F87DF7">
      <w:pPr>
        <w:pStyle w:val="Heading4"/>
      </w:pPr>
      <w:bookmarkStart w:id="121" w:name="_Ref459970839"/>
      <w:r>
        <w:t>Gap effect theory and a</w:t>
      </w:r>
      <w:r w:rsidR="00F87DF7">
        <w:t>rginine cluster formation</w:t>
      </w:r>
      <w:bookmarkEnd w:id="121"/>
    </w:p>
    <w:p w14:paraId="16F09A53" w14:textId="77777777" w:rsidR="00C461B0" w:rsidRDefault="007473B9" w:rsidP="00C461B0">
      <w:r>
        <w:t xml:space="preserve">Trout and colleagues developed a hypothesis for arginine’s unique interaction, which they termed the ‘gap effect’ theory </w:t>
      </w:r>
      <w:r>
        <w:fldChar w:fldCharType="begin" w:fldLock="1"/>
      </w:r>
      <w:r w:rsidR="00924827">
        <w:instrText>ADDIN CSL_CITATION { "citationItems" : [ { "id" : "ITEM-1", "itemData" : { "DOI" : "10.1529/biophysj.104.042473", "ISBN" : "0006-3495 (Print)\\n0006-3495 (Linking)", "ISSN" : "00063495", "PMID" : "15345542", "abstract" : "We have developed a statistical-mechanical model of the effect of solution additives on protein association reactions. This model incorporates solvent radial distribution functions obtained from all-atom molecular dynamics simulations of particular proteins into simple models of protein interactions. In this way, the effects of additives can be computed along the entire association/dissociation reaction coordinate. We used the model to test our hypothesis that a class of large solution additives, which we term \"neutral crowders,\" can slow protein association and dissociation by being preferentially excluded from protein-protein encounter complexes, in a manner analogous to osmotic stress. The magnitude of this proposed \"gap effect\" was probed for two simple model systems: the association of two spheres and the association of two planes. Our results suggest that for a protein of 20 A radius, an 8 A additive can increase the free energy barrier for association and dissociation by as much as 3-6 kcal/mol. Because the proposed gap effect is present only for reactions involving multiple molecules, it can be exploited to develop novel additives that affect protein association reactions although having little or no effect on unimolecular reactions such as protein folding. This idea has many potential applications in areas such as the stabilization of proteins against aggregation during folding and in pharmaceutical formulations.", "author" : [ { "dropping-particle" : "", "family" : "Baynes", "given" : "B M", "non-dropping-particle" : "", "parse-names" : false, "suffix" : "" }, { "dropping-particle" : "", "family" : "Trout", "given" : "B L", "non-dropping-particle" : "", "parse-names" : false, "suffix" : "" } ], "container-title" : "Biophysical Journal", "id" : "ITEM-1", "issued" : { "date-parts" : [ [ "2004" ] ] }, "page" : "1631-1639", "title" : "Rational design of solution additives for the prevention of protein aggregation", "type" : "article-journal", "volume" : "87" }, "uris" : [ "http://www.mendeley.com/documents/?uuid=4af50292-3aa3-4fef-a9f0-eee103f8ad50" ] } ], "mendeley" : { "formattedCitation" : "(Baynes &amp; Trout 2004)", "plainTextFormattedCitation" : "(Baynes &amp; Trout 2004)", "previouslyFormattedCitation" : "(Baynes &amp; Trout 2004)" }, "properties" : { "noteIndex" : 0 }, "schema" : "https://github.com/citation-style-language/schema/raw/master/csl-citation.json" }</w:instrText>
      </w:r>
      <w:r>
        <w:fldChar w:fldCharType="separate"/>
      </w:r>
      <w:r w:rsidRPr="007473B9">
        <w:rPr>
          <w:noProof/>
        </w:rPr>
        <w:t>(Baynes &amp; Trout 2004)</w:t>
      </w:r>
      <w:r>
        <w:fldChar w:fldCharType="end"/>
      </w:r>
      <w:r w:rsidR="002913D1">
        <w:t>. According to</w:t>
      </w:r>
      <w:r>
        <w:t xml:space="preserve"> this theory, any cosolute that is larger than water but exhibits no preference for interaction or exclusion from the protein surface (termed a neutral crowder) will be sterically excluded from the gap formed when two protein molecules come together to aggregate. This will make aggregation less favourable due to having to exclude the neutral crowder, and </w:t>
      </w:r>
      <w:r w:rsidR="009019AC">
        <w:t xml:space="preserve">will </w:t>
      </w:r>
      <w:r>
        <w:t>therefore slow dow</w:t>
      </w:r>
      <w:r w:rsidR="001C4BE7">
        <w:t>n protein-protein interactions. Due to this being a mechanism involving mul</w:t>
      </w:r>
      <w:r w:rsidR="002913D1">
        <w:t>tiple proteins, neutral crowders</w:t>
      </w:r>
      <w:r w:rsidR="001C4BE7">
        <w:t xml:space="preserve"> will have very little effect on protein stability and unfolding. </w:t>
      </w:r>
      <w:r w:rsidR="002913D1">
        <w:t>The</w:t>
      </w:r>
      <w:r w:rsidR="001C4BE7">
        <w:t xml:space="preserve"> gap effect theory requires arginine to exhibit neutral preferential interaction coefficients, which has since been shown to only be true at lower concentrations </w:t>
      </w:r>
      <w:r w:rsidR="001C4BE7">
        <w:fldChar w:fldCharType="begin" w:fldLock="1"/>
      </w:r>
      <w:r w:rsidR="001C4BE7">
        <w:instrText>ADDIN CSL_CITATION { "citationItems" : [ { "id" : "ITEM-1", "itemData" : { "DOI" : "10.1021/jp808042w", "ISSN" : "1520-6106", "PMID" : "19199688", "abstract" : "The relatively new technique of vapor pressure osmometry was utilized to determine the preferential interaction of five common solution additives (arginine HCl, guanidine HCl, glycerol, glucose, and urea) using three different model proteins (BSA, lysozyme, and alpha-chymotrypsinogen). Results for guanidine, glycerol, glucose, and urea are comparable to literature values, which utilized the dialysis/densimetry technique. However, values for arginine differ greatly from literature values, making it unclear what is the nature of arginine-protein interactions. A repeat of the dialysis/densimetry measurements reported in the literature supports the vapor pressure osmometry measurements and reveals a never before seen trend in the interaction of arginine with proteins as a function of concentration. This trend is dependent on the protein size and shows arginine to be unique among solution additives. For concentrations below 0.5 M, arginine has a preferential interaction coefficient near zero (slightly greater than zero for small proteins but decreases as the size of the protein increases), which indicates that arginine is neither strongly bound nor excluded from the protein surface. This trend differs greatly from cosolutes that influence the protein folding equilibrium. However, as the concentration of arginine increases beyond 0.5 M, arginine becomes increasingly excluded. Such behavior might be indicative of the protein surface becoming saturated with arginine, thus causing any additional arginine added to the solution to be excluded from interacting with the surface. All of this behavior is most likely the result of a balance between the affinity arginine has for the peptide backbone and certain amino acids and the repulsion generated by surface tension increment and volume exclusion effects [Arakawa et al. Biophysical Chemistry 2007, 127, 1]. In addition, such behavior may explain why arginine has little effect on protein folding equilibrium but is an effective aggregation suppressor.", "author" : [ { "dropping-particle" : "", "family" : "Schneider", "given" : "C P", "non-dropping-particle" : "", "parse-names" : false, "suffix" : "" }, { "dropping-particle" : "", "family" : "Trout", "given" : "B L", "non-dropping-particle" : "", "parse-names" : false, "suffix" : "" } ], "container-title" : "Journal of Physical Chemistry B", "id" : "ITEM-1", "issued" : { "date-parts" : [ [ "2009", "2", "19" ] ] }, "page" : "2050-2058", "title" : "Investigation of cosolute-protein preferential interaction coefficients: New insight into the mechanism by which arginine inhibits aggregation", "type" : "article-journal", "volume" : "113" }, "uris" : [ "http://www.mendeley.com/documents/?uuid=9eed0480-0f78-439e-accc-1dcb3b07e260" ] } ], "mendeley" : { "formattedCitation" : "(Schneider &amp; Trout 2009)", "plainTextFormattedCitation" : "(Schneider &amp; Trout 2009)", "previouslyFormattedCitation" : "(Schneider &amp; Trout 2009)" }, "properties" : { "noteIndex" : 0 }, "schema" : "https://github.com/citation-style-language/schema/raw/master/csl-citation.json" }</w:instrText>
      </w:r>
      <w:r w:rsidR="001C4BE7">
        <w:fldChar w:fldCharType="separate"/>
      </w:r>
      <w:r w:rsidR="001C4BE7" w:rsidRPr="001C4BE7">
        <w:rPr>
          <w:noProof/>
        </w:rPr>
        <w:t>(Schneider &amp; Trout 2009)</w:t>
      </w:r>
      <w:r w:rsidR="001C4BE7">
        <w:fldChar w:fldCharType="end"/>
      </w:r>
      <w:r w:rsidR="001C4BE7">
        <w:t xml:space="preserve"> meaning this cannot explain all of arginine’s actions on proteins.</w:t>
      </w:r>
    </w:p>
    <w:p w14:paraId="275D15A1" w14:textId="77777777" w:rsidR="00E521B5" w:rsidRDefault="001C4BE7" w:rsidP="00C461B0">
      <w:r>
        <w:t xml:space="preserve">Further investigation by the same research group demonstrated that the mechanism governing arginine’s preferential exclusion at higher concentrations was the formation of large arginine clusters in solution </w:t>
      </w:r>
      <w:r>
        <w:fldChar w:fldCharType="begin" w:fldLock="1"/>
      </w:r>
      <w:r w:rsidR="00E11F61">
        <w:instrText>ADDIN CSL_CITATION { "citationItems" : [ { "id" : "ITEM-1", "itemData" : { "DOI" : "10.1021/jp108399g", "ISSN" : "1520-5207", "PMID" : "20925358", "abstract" : "Aqueous arginine solutions are used extensively for inhibiting protein aggregation. There are several theories proposed to explain the effect of arginine on protein stability, but the exact mechanism is still not clear. To understand the mechanism of protein cosolvent interaction, the intraprotein, protein-solvent, and intrasolvent interactions have to be understood. Molecular dynamics simulations of aqueous arginine solutions were carried out for experimentally accessible concentrations and temperature ranges to study the structure of the solution and its energetic properties and obtain insight into the mechanism by which arginine inhibits protein aggregation. Simulations of proteins (\u03b1-chymotrypsinogen A and melittin) were performed. Structurally, the most striking feature of the aqueous arginine solutions is the self-association of arginine molecules. Arginine shows a marked tendency to form clusters with head to tail hydrogen bonding. Due to the presence of the three charged groups, there are several possible configurations in which arginine molecules interact. At relatively high concentrations, these arginine clusters associate with other clusters and monomeric arginine molecules to form large clusters. The hydrogen bonds between arginine molecules were found to be stronger than those between arginine and water, which makes the process of self-association enthalpically favorable. From the simulation of the proteins in aqueous arginine solution, arginine is found to interact with the aromatic and charged side chains of surface residues. A probable mechanism of the effect of arginine on protein stability consistent with our findings is proposed. In particular, arginine interacts with aromatic and charged residues due to cation-\u03c0 interaction and salt-bridge formation, respectively, to stabilize the partially unfolded intermediates. The self-interaction of arginine leads to the formation of clusters which, due to their size, crowd out the protein-protein interaction. The mechanisms proposed in the literature are analyzed on the basis of the simulation results reported in this paper and recent experimental data.", "author" : [ { "dropping-particle" : "", "family" : "Shukla", "given" : "D", "non-dropping-particle" : "", "parse-names" : false, "suffix" : "" }, { "dropping-particle" : "", "family" : "Trout", "given" : "B L", "non-dropping-particle" : "", "parse-names" : false, "suffix" : "" } ], "container-title" : "Journal of Physical Chemistry B", "id" : "ITEM-1", "issued" : { "date-parts" : [ [ "2010", "10", "28" ] ] }, "page" : "13426-13438", "title" : "Interaction of arginine with proteins and the mechanism by which it inhibits aggregation", "type" : "article-journal", "volume" : "114" }, "uris" : [ "http://www.mendeley.com/documents/?uuid=dbec9b1d-1c9e-4add-bea5-97fc49a049c2" ] }, { "id" : "ITEM-2", "itemData" : { "DOI" : "10.1021/jp108586b", "ISSN" : "1520-5207", "PMID" : "21186800", "abstract" : "Preferential interaction coefficients provide a thermodynamic measure to quantify the interactions between cosolutes and a protein. Preferential interactions of cosolutes can be measured experimentally using dialysis/densimetry and vapor pressure osmometry (VPO) techniques. The cosolute arginine is a widely used aggregation suppressor with a seemingly unique behavior. Its role in protein aggregation has been studied extensively, although a complete mechanistic understanding of its behavior is lacking. Moreover, due to experimental limitations, experimental preferential interaction data for arginine has only been reported at low concentrations. Schneider and Trout ( J. Phys. Chem. B 2009 , 113 , 7 ) have reported experimental preferential interaction data for argHCl (up to 0.7 m), and their study raised several interesting questions about the preferential interaction of arginine with proteins. Arginine is attracted to proteins at low concentrations but it was highly excluded at high concentrations. Furthermore, the preferential interaction coefficient values were found to vary as a square of the concentration, which is different from commonly observed linear relationship for other cosolutes like urea, glycerol, guanidinium hydrochloride, etc. In this study, preferential interaction coefficients of argHCl have been estimated computationally for two proteins (lysozyme and \u03b1-chymotripsinogen A) for a large concentration range (up to 2.8 m). On the basis of these results, the molecular level interactions responsible for the nonlinear exclusion of arginine from the protein surface are identified.", "author" : [ { "dropping-particle" : "", "family" : "Shukla", "given" : "D", "non-dropping-particle" : "", "parse-names" : false, "suffix" : "" }, { "dropping-particle" : "", "family" : "Trout", "given" : "B L", "non-dropping-particle" : "", "parse-names" : false, "suffix" : "" } ], "container-title" : "Journal of Physical Chemistry B", "id" : "ITEM-2", "issued" : { "date-parts" : [ [ "2011", "2", "10" ] ] }, "page" : "1243-1253", "publisher" : "American Chemical Society", "title" : "Preferential interaction coefficients of proteins in aqueous arginine solutions and their molecular origins", "type" : "article-journal", "volume" : "115" }, "uris" : [ "http://www.mendeley.com/documents/?uuid=a81e5778-ff76-4fd8-a37b-129997e8d378" ] } ], "mendeley" : { "formattedCitation" : "(Shukla &amp; Trout 2010; Shukla &amp; Trout 2011a)", "plainTextFormattedCitation" : "(Shukla &amp; Trout 2010; Shukla &amp; Trout 2011a)", "previouslyFormattedCitation" : "(Shukla &amp; Trout 2010; Shukla &amp; Trout 2011a)" }, "properties" : { "noteIndex" : 0 }, "schema" : "https://github.com/citation-style-language/schema/raw/master/csl-citation.json" }</w:instrText>
      </w:r>
      <w:r>
        <w:fldChar w:fldCharType="separate"/>
      </w:r>
      <w:r w:rsidRPr="001C4BE7">
        <w:rPr>
          <w:noProof/>
        </w:rPr>
        <w:t>(Shukla &amp; Trout 2010; Shukla &amp; Trout 2011a)</w:t>
      </w:r>
      <w:r>
        <w:fldChar w:fldCharType="end"/>
      </w:r>
      <w:r>
        <w:t>.</w:t>
      </w:r>
      <w:r w:rsidR="00DA1119">
        <w:t xml:space="preserve"> Most of the evidence comes from molecular dynamics simulations rather than experimental data, and the interactions that occur between arginine molecules are not clear. Crystal structure and light scattering d</w:t>
      </w:r>
      <w:r w:rsidR="00BD2BFF">
        <w:t>ata of arginine in solution indicate</w:t>
      </w:r>
      <w:r w:rsidR="00DA1119">
        <w:t xml:space="preserve"> head-to-tail stacking </w:t>
      </w:r>
      <w:r w:rsidR="00BD2BFF">
        <w:t xml:space="preserve">via hydrophobic interactions between the aliphatic carbon chain, resulting in a large hydrophobic surface that masks hydrophobic surfaces on the protein therefore preventing aggregation </w:t>
      </w:r>
      <w:r w:rsidR="00BD2BFF">
        <w:fldChar w:fldCharType="begin" w:fldLock="1"/>
      </w:r>
      <w:r w:rsidR="00BD2BFF">
        <w:instrText>ADDIN CSL_CITATION { "citationItems" : [ { "id" : "ITEM-1", "itemData" : { "DOI" : "10.1371/journal.pone.0001176", "ISSN" : "1932-6203", "PMID" : "18000547", "abstract" : "BACKGROUND: Aggregation of unfolded proteins occurs mainly through the exposed hydrophobic surfaces. Any mechanism of inhibition of this aggregation should explain the prevention of these hydrophobic interactions. Though arginine is prevalently used as an aggregation suppressor, its mechanism of action is not clearly understood. We propose a mechanism based on the hydrophobic interactions of arginine. METHODOLOGY: We have analyzed arginine solution for its hydrotropic effect by pyrene solubility and the presence of hydrophobic environment by 1-anilino-8-naphthalene sulfonic acid fluorescence. Mass spectroscopic analyses show that arginine forms molecular clusters in the gas phase and the cluster composition is dependent on the solution conditions. Light scattering studies indicate that arginine exists as clusters in solution. In the presence of arginine, the reverse phase chromatographic elution profile of Alzheimer's amyloid beta 1-42 (Abeta(1-42)) peptide is modified. Changes in the hydrodynamic volume of Abeta(1-42) in the presence of arginine measured by size exclusion chromatography show that arginine binds to Abeta(1-42). Arginine increases the solubility of Abeta(1-42) peptide in aqueous medium. It decreases the aggregation of Abeta(1-42) as observed by atomic force microscopy. CONCLUSIONS: Based on our experimental results we propose that molecular clusters of arginine in aqueous solutions display a hydrophobic surface by the alignment of its three methylene groups. The hydrophobic surfaces present on the proteins interact with the hydrophobic surface presented by the arginine clusters. The masking of hydrophobic surface inhibits protein-protein aggregation. This mechanism is also responsible for the hydrotropic effect of arginine on various compounds. It is also explained why other amino acids fail to inhibit the protein aggregation.", "author" : [ { "dropping-particle" : "", "family" : "Das", "given" : "U", "non-dropping-particle" : "", "parse-names" : false, "suffix" : "" }, { "dropping-particle" : "", "family" : "Hariprasad", "given" : "G", "non-dropping-particle" : "", "parse-names" : false, "suffix" : "" }, { "dropping-particle" : "", "family" : "Ethayathulla", "given" : "A S", "non-dropping-particle" : "", "parse-names" : false, "suffix" : "" }, { "dropping-particle" : "", "family" : "Manral", "given" : "P", "non-dropping-particle" : "", "parse-names" : false, "suffix" : "" }, { "dropping-particle" : "", "family" : "Das", "given" : "T K", "non-dropping-particle" : "", "parse-names" : false, "suffix" : "" }, { "dropping-particle" : "", "family" : "Pasha", "given" : "S", "non-dropping-particle" : "", "parse-names" : false, "suffix" : "" }, { "dropping-particle" : "", "family" : "Mann", "given" : "A", "non-dropping-particle" : "", "parse-names" : false, "suffix" : "" }, { "dropping-particle" : "", "family" : "Ganguli", "given" : "M", "non-dropping-particle" : "", "parse-names" : false, "suffix" : "" }, { "dropping-particle" : "", "family" : "Verma", "given" : "A K", "non-dropping-particle" : "", "parse-names" : false, "suffix" : "" }, { "dropping-particle" : "", "family" : "Bhat", "given" : "R", "non-dropping-particle" : "", "parse-names" : false, "suffix" : "" }, { "dropping-particle" : "", "family" : "Chandrayan", "given" : "S K", "non-dropping-particle" : "", "parse-names" : false, "suffix" : "" }, { "dropping-particle" : "", "family" : "Ahmed", "given" : "S", "non-dropping-particle" : "", "parse-names" : false, "suffix" : "" }, { "dropping-particle" : "", "family" : "Sharma", "given" : "S", "non-dropping-particle" : "", "parse-names" : false, "suffix" : "" }, { "dropping-particle" : "", "family" : "Kaur", "given" : "P", "non-dropping-particle" : "", "parse-names" : false, "suffix" : "" }, { "dropping-particle" : "", "family" : "Singh", "given" : "T P", "non-dropping-particle" : "", "parse-names" : false, "suffix" : "" }, { "dropping-particle" : "", "family" : "Srinivasan", "given" : "A", "non-dropping-particle" : "", "parse-names" : false, "suffix" : "" } ], "container-title" : "PloS One", "id" : "ITEM-1", "issued" : { "date-parts" : [ [ "2007", "1" ] ] }, "note" : "Experimental evidence of arginine forming molecular clusters displaying a hydrophobic surface by alignment of three methylene groups. Inhibition of aggregation caused by this hydrophobic surface interacting with hydrophobic surface on protein. Explains why other amino acids don't inhibit aggregation", "page" : "e1176", "title" : "Inhibition of protein aggregation: Supramolecular assemblies of arginine hold the key", "type" : "article-journal", "volume" : "2" }, "uris" : [ "http://www.mendeley.com/documents/?uuid=e4e8db8b-5276-44cd-91e1-05cdc67dc926" ] } ], "mendeley" : { "formattedCitation" : "(Das et al. 2007)", "plainTextFormattedCitation" : "(Das et al. 2007)", "previouslyFormattedCitation" : "(Das et al. 2007)" }, "properties" : { "noteIndex" : 0 }, "schema" : "https://github.com/citation-style-language/schema/raw/master/csl-citation.json" }</w:instrText>
      </w:r>
      <w:r w:rsidR="00BD2BFF">
        <w:fldChar w:fldCharType="separate"/>
      </w:r>
      <w:r w:rsidR="00BD2BFF" w:rsidRPr="00BD2BFF">
        <w:rPr>
          <w:noProof/>
        </w:rPr>
        <w:t>(Das et al. 2007)</w:t>
      </w:r>
      <w:r w:rsidR="00BD2BFF">
        <w:fldChar w:fldCharType="end"/>
      </w:r>
      <w:r w:rsidR="00BD2BFF">
        <w:t xml:space="preserve">. </w:t>
      </w:r>
    </w:p>
    <w:p w14:paraId="39139329" w14:textId="77777777" w:rsidR="001C4BE7" w:rsidRPr="00C461B0" w:rsidRDefault="00BD2BFF" w:rsidP="00C461B0">
      <w:r>
        <w:t xml:space="preserve">However, molecular dynamics simulations do not support the presence of a large hydrophobic surface, but do suggest head-to-tail stacking via hydrogen bonding </w:t>
      </w:r>
      <w:r>
        <w:lastRenderedPageBreak/>
        <w:t xml:space="preserve">between the carboxylate group and the guanidinium group </w:t>
      </w:r>
      <w:r>
        <w:fldChar w:fldCharType="begin" w:fldLock="1"/>
      </w:r>
      <w:r w:rsidR="00E11F61">
        <w:instrText>ADDIN CSL_CITATION { "citationItems" : [ { "id" : "ITEM-1", "itemData" : { "DOI" : "10.1021/jp108399g", "ISSN" : "1520-5207", "PMID" : "20925358", "abstract" : "Aqueous arginine solutions are used extensively for inhibiting protein aggregation. There are several theories proposed to explain the effect of arginine on protein stability, but the exact mechanism is still not clear. To understand the mechanism of protein cosolvent interaction, the intraprotein, protein-solvent, and intrasolvent interactions have to be understood. Molecular dynamics simulations of aqueous arginine solutions were carried out for experimentally accessible concentrations and temperature ranges to study the structure of the solution and its energetic properties and obtain insight into the mechanism by which arginine inhibits protein aggregation. Simulations of proteins (\u03b1-chymotrypsinogen A and melittin) were performed. Structurally, the most striking feature of the aqueous arginine solutions is the self-association of arginine molecules. Arginine shows a marked tendency to form clusters with head to tail hydrogen bonding. Due to the presence of the three charged groups, there are several possible configurations in which arginine molecules interact. At relatively high concentrations, these arginine clusters associate with other clusters and monomeric arginine molecules to form large clusters. The hydrogen bonds between arginine molecules were found to be stronger than those between arginine and water, which makes the process of self-association enthalpically favorable. From the simulation of the proteins in aqueous arginine solution, arginine is found to interact with the aromatic and charged side chains of surface residues. A probable mechanism of the effect of arginine on protein stability consistent with our findings is proposed. In particular, arginine interacts with aromatic and charged residues due to cation-\u03c0 interaction and salt-bridge formation, respectively, to stabilize the partially unfolded intermediates. The self-interaction of arginine leads to the formation of clusters which, due to their size, crowd out the protein-protein interaction. The mechanisms proposed in the literature are analyzed on the basis of the simulation results reported in this paper and recent experimental data.", "author" : [ { "dropping-particle" : "", "family" : "Shukla", "given" : "D", "non-dropping-particle" : "", "parse-names" : false, "suffix" : "" }, { "dropping-particle" : "", "family" : "Trout", "given" : "B L", "non-dropping-particle" : "", "parse-names" : false, "suffix" : "" } ], "container-title" : "Journal of Physical Chemistry B", "id" : "ITEM-1", "issued" : { "date-parts" : [ [ "2010", "10", "28" ] ] }, "page" : "13426-13438", "title" : "Interaction of arginine with proteins and the mechanism by which it inhibits aggregation", "type" : "article-journal", "volume" : "114" }, "uris" : [ "http://www.mendeley.com/documents/?uuid=dbec9b1d-1c9e-4add-bea5-97fc49a049c2" ] }, { "id" : "ITEM-2", "itemData" : { "DOI" : "10.1021/jp108586b", "ISSN" : "1520-5207", "PMID" : "21186800", "abstract" : "Preferential interaction coefficients provide a thermodynamic measure to quantify the interactions between cosolutes and a protein. Preferential interactions of cosolutes can be measured experimentally using dialysis/densimetry and vapor pressure osmometry (VPO) techniques. The cosolute arginine is a widely used aggregation suppressor with a seemingly unique behavior. Its role in protein aggregation has been studied extensively, although a complete mechanistic understanding of its behavior is lacking. Moreover, due to experimental limitations, experimental preferential interaction data for arginine has only been reported at low concentrations. Schneider and Trout ( J. Phys. Chem. B 2009 , 113 , 7 ) have reported experimental preferential interaction data for argHCl (up to 0.7 m), and their study raised several interesting questions about the preferential interaction of arginine with proteins. Arginine is attracted to proteins at low concentrations but it was highly excluded at high concentrations. Furthermore, the preferential interaction coefficient values were found to vary as a square of the concentration, which is different from commonly observed linear relationship for other cosolutes like urea, glycerol, guanidinium hydrochloride, etc. In this study, preferential interaction coefficients of argHCl have been estimated computationally for two proteins (lysozyme and \u03b1-chymotripsinogen A) for a large concentration range (up to 2.8 m). On the basis of these results, the molecular level interactions responsible for the nonlinear exclusion of arginine from the protein surface are identified.", "author" : [ { "dropping-particle" : "", "family" : "Shukla", "given" : "D", "non-dropping-particle" : "", "parse-names" : false, "suffix" : "" }, { "dropping-particle" : "", "family" : "Trout", "given" : "B L", "non-dropping-particle" : "", "parse-names" : false, "suffix" : "" } ], "container-title" : "Journal of Physical Chemistry B", "id" : "ITEM-2", "issued" : { "date-parts" : [ [ "2011", "2", "10" ] ] }, "page" : "1243-1253", "publisher" : "American Chemical Society", "title" : "Preferential interaction coefficients of proteins in aqueous arginine solutions and their molecular origins", "type" : "article-journal", "volume" : "115" }, "uris" : [ "http://www.mendeley.com/documents/?uuid=a81e5778-ff76-4fd8-a37b-129997e8d378" ] } ], "mendeley" : { "formattedCitation" : "(Shukla &amp; Trout 2010; Shukla &amp; Trout 2011a)", "plainTextFormattedCitation" : "(Shukla &amp; Trout 2010; Shukla &amp; Trout 2011a)", "previouslyFormattedCitation" : "(Shukla &amp; Trout 2010; Shukla &amp; Trout 2011a)" }, "properties" : { "noteIndex" : 0 }, "schema" : "https://github.com/citation-style-language/schema/raw/master/csl-citation.json" }</w:instrText>
      </w:r>
      <w:r>
        <w:fldChar w:fldCharType="separate"/>
      </w:r>
      <w:r w:rsidRPr="00BD2BFF">
        <w:rPr>
          <w:noProof/>
        </w:rPr>
        <w:t>(Shukla &amp; Trout 2010; Shukla &amp; Trout 2011a)</w:t>
      </w:r>
      <w:r>
        <w:fldChar w:fldCharType="end"/>
      </w:r>
      <w:r>
        <w:t xml:space="preserve">. There is also evidence to suggest that arginine stacks in solution via electrostatics-defying guanidinium-guanidinium interactions </w:t>
      </w:r>
      <w:r>
        <w:fldChar w:fldCharType="begin" w:fldLock="1"/>
      </w:r>
      <w:r w:rsidR="00E11F61">
        <w:instrText>ADDIN CSL_CITATION { "citationItems" : [ { "id" : "ITEM-1", "itemData" : { "DOI" : "10.1021/jp902377q", "ISSN" : "1520-6106", "PMID" : "19354258", "abstract" : "Molecular dynamics simulations show significant like-charge pairing of guanidinium side chains in aqueous poly-arginine, while this effect is absent in aqueous poly-lysine containing ammonium-terminated side chains. This behavior of the guanidinium group is revealed also by protein database searches, having important biochemical implications. Combination of molecular dynamics simulations with explicit solvent and ab initio calculations employing a polarizable continuum model of water allows one to rationalize the formation of contact ion pairs between guanidinium cations in terms of individual interactions at the molecular level.", "author" : [ { "dropping-particle" : "", "family" : "Vondr\u00e1sek", "given" : "J", "non-dropping-particle" : "", "parse-names" : false, "suffix" : "" }, { "dropping-particle" : "", "family" : "Mason", "given" : "P E", "non-dropping-particle" : "", "parse-names" : false, "suffix" : "" }, { "dropping-particle" : "", "family" : "Heyda", "given" : "J", "non-dropping-particle" : "", "parse-names" : false, "suffix" : "" }, { "dropping-particle" : "", "family" : "Collins", "given" : "K D", "non-dropping-particle" : "", "parse-names" : false, "suffix" : "" }, { "dropping-particle" : "", "family" : "Jungwirth", "given" : "P", "non-dropping-particle" : "", "parse-names" : false, "suffix" : "" } ], "container-title" : "Journal of Physical Chemistry B Letters", "id" : "ITEM-1", "issued" : { "date-parts" : [ [ "2009", "7", "9" ] ] }, "page" : "9041-9045", "title" : "The molecular origin of like-charge arginine-arginine pairing in water", "type" : "article-journal", "volume" : "113" }, "uris" : [ "http://www.mendeley.com/documents/?uuid=2b4d5602-cb6f-4b2e-9f59-c43b7ae046d8" ] } ], "mendeley" : { "formattedCitation" : "(Vondr\u00e1sek et al. 2009)", "plainTextFormattedCitation" : "(Vondr\u00e1sek et al. 2009)", "previouslyFormattedCitation" : "(Vondr\u00e1sek et al. 2009)" }, "properties" : { "noteIndex" : 0 }, "schema" : "https://github.com/citation-style-language/schema/raw/master/csl-citation.json" }</w:instrText>
      </w:r>
      <w:r>
        <w:fldChar w:fldCharType="separate"/>
      </w:r>
      <w:r w:rsidRPr="00BD2BFF">
        <w:rPr>
          <w:noProof/>
        </w:rPr>
        <w:t>(Vondrásek et al. 2009)</w:t>
      </w:r>
      <w:r>
        <w:fldChar w:fldCharType="end"/>
      </w:r>
      <w:r>
        <w:t xml:space="preserve">. This is supported by the fact that arginine residue association is thought to play an important role in protein-protein interactions </w:t>
      </w:r>
      <w:r>
        <w:fldChar w:fldCharType="begin" w:fldLock="1"/>
      </w:r>
      <w:r w:rsidR="00924827">
        <w:instrText>ADDIN CSL_CITATION { "citationItems" : [ { "id" : "ITEM-1", "itemData" : { "DOI" : "10.1039/c3cp00160a", "ISBN" : "1463-9084 (Electronic) 1463-9076 (Linking)", "ISSN" : "1463-9084", "PMID" : "23486862", "abstract" : "Close stacking of arginine residues are often observed in protein structures despite the highly repulsive nature of the close like-charged groups. Physical factors stabilizing the close guanidinium ions of arginine side-chains have been previously studied in water and in protein-like environments, and the hydration free energy has been emphasized to be an important factor. However, how close arginine pairs are stabilized in real proteins has not been fully understood yet. In this paper, we show that arginine pairs are more frequently found in the protein interior than expected from the frequency of unpaired arginines buried inside protein through a statistical analysis of the protein structure database. We then confirm that 4 selected arginine pairs buried in the protein are indeed positively charged rather than neutralized, by molecular dynamics simulations and pKa estimation with molecular mechanics-Poisson-Boltzmann calculations. Further energy decomposition analysis shows that the hydration free energy may not be strong enough to overcome the repulsive Coulomb interaction between the positively charged arginine residues buried inside the protein. Instead, a highly polar interaction network is identified around each buried arginine pair, and the electrostatic interactions within such network are strong enough to stabilize the repulsive interaction of the buried arginine pair for the 4 selected cases. The polar interaction network is highly conserved evolutionarily in some proteins, implicating their roles in protein stabilization or biochemical function.", "author" : [ { "dropping-particle" : "", "family" : "Lee", "given" : "D", "non-dropping-particle" : "", "parse-names" : false, "suffix" : "" }, { "dropping-particle" : "", "family" : "Lee", "given" : "J", "non-dropping-particle" : "", "parse-names" : false, "suffix" : "" }, { "dropping-particle" : "", "family" : "Seok", "given" : "C", "non-dropping-particle" : "", "parse-names" : false, "suffix" : "" } ], "container-title" : "Physical Chemistry &amp; Chemical Physics", "id" : "ITEM-1", "issued" : { "date-parts" : [ [ "2013" ] ] }, "page" : "5844-5853", "title" : "What stabilizes close arginine pairing in proteins?", "type" : "article-journal", "volume" : "15" }, "uris" : [ "http://www.mendeley.com/documents/?uuid=eeccdbc5-9b96-4471-a5bc-dabe67be6e37" ] }, { "id" : "ITEM-2", "itemData" : { "DOI" : "10.1002/prot.22142", "ISSN" : "1097-0134", "PMID" : "18618701", "abstract" : "Apparent electrostatics-defying clustering of arginines attributed as screening effect of solvent is in this study examined as a possible thermodynamic driving force in protein-protein interaction. A dataset of 266 protein dimers is found to have approximately 22% arginines mutually paired and approximately 17% pairs in interaction across interfaces and thus putative \"hotspots\" of protein-protein interaction. The pairing, uncorrelated with inter or intramolecular context, could be contributing in protein folding as well, and, uncorrelated with solvent access, could be driven by effects that are generic to solvent and protein structures. Mutually stacked at shorter distances but in diverse geometrical modes otherwise, the cations tend to be in gross deficit of hydrogen-bond partners, and contributing electrostatics across protein-protein interface that, on average, is repulsive for protein-protein interaction. Embedded in local environment enriched in polarizable residues, aromatic, aliphatic, and anionic, the arginines may contribute to protein-protein interaction via environmental polarization response to electrostatics of cation clustering, a possible new principle in molecular recognition.", "author" : [ { "dropping-particle" : "", "family" : "Pednekar", "given" : "D", "non-dropping-particle" : "", "parse-names" : false, "suffix" : "" }, { "dropping-particle" : "", "family" : "Tendulkar", "given" : "A", "non-dropping-particle" : "", "parse-names" : false, "suffix" : "" }, { "dropping-particle" : "", "family" : "Durani", "given" : "S", "non-dropping-particle" : "", "parse-names" : false, "suffix" : "" } ], "container-title" : "Proteins", "id" : "ITEM-2", "issued" : { "date-parts" : [ [ "2009", "1" ] ] }, "page" : "155-163", "title" : "Electrostatics-defying interaction between arginine termini as a thermodynamic driving force in protein-protein interaction", "type" : "article-journal", "volume" : "74" }, "uris" : [ "http://www.mendeley.com/documents/?uuid=55305678-0513-4a2a-8f44-80c6072fc12d" ] } ], "mendeley" : { "formattedCitation" : "(Lee et al. 2013; Pednekar et al. 2009)", "plainTextFormattedCitation" : "(Lee et al. 2013; Pednekar et al. 2009)", "previouslyFormattedCitation" : "(Lee et al. 2013; Pednekar et al. 2009)" }, "properties" : { "noteIndex" : 0 }, "schema" : "https://github.com/citation-style-language/schema/raw/master/csl-citation.json" }</w:instrText>
      </w:r>
      <w:r>
        <w:fldChar w:fldCharType="separate"/>
      </w:r>
      <w:r w:rsidRPr="00BD2BFF">
        <w:rPr>
          <w:noProof/>
        </w:rPr>
        <w:t>(Lee et al. 2013; Pednekar et al. 2009)</w:t>
      </w:r>
      <w:r>
        <w:fldChar w:fldCharType="end"/>
      </w:r>
      <w:r>
        <w:t xml:space="preserve">. Molecular dynamics simulation indicated that these large arginine clusters also associate with arginine residues on the protein </w:t>
      </w:r>
      <w:r w:rsidR="00E521B5">
        <w:t xml:space="preserve">via a similar </w:t>
      </w:r>
      <w:r w:rsidR="002913D1">
        <w:t xml:space="preserve">guanidinium-based </w:t>
      </w:r>
      <w:r w:rsidR="00E521B5">
        <w:t xml:space="preserve">interaction and exerted their effects on protein solubility and stability via this clustering mechanism </w:t>
      </w:r>
      <w:r w:rsidR="00E521B5">
        <w:fldChar w:fldCharType="begin" w:fldLock="1"/>
      </w:r>
      <w:r w:rsidR="00A539CF">
        <w:instrText>ADDIN CSL_CITATION { "citationItems" : [ { "id" : "ITEM-1", "itemData" : { "DOI" : "10.1021/cb300440x", "ISSN" : "15548929", "PMID" : "23138654", "abstract" : "Arginine is one of the most prominent residues in protein interactions, and arginine hydrochloride is widely used as an additive in protein solutions because of its exceptional effects on protein association and folding. The molecular origins of arginine effects on protein processes remain, however, controversial, and little is known about the molecular interactions between arginine cations and protein surfaces in aqueous arginine solutions. In this study, we report a unique biochemical phenomenon whereby clusters of arginine cations (Arg(+)) are associated with a protein surface. The formation of protein-associated Arg(+) clusters is initiated by Arg(+) ions that associate with specific protein surface loci through cooperative interactions with protein guanidinium and carboxyl groups. Molecular dynamics simulations indicate that protein-associated Arg(+) ions subsequently attract other Arg(+) ions and form dynamic cation clusters that extend further than 10 \u00c5 from the protein surface. The effects of arginine on the thermal stability and size of lysozyme and ovalbumin are measured over a wide concentration range (0 to 2 M), and we find that the formation of protein-associated Arg(+) clusters consistently explains the complex effects of arginine on protein stability and size. This study elucidates the molecular mechanisms and implications of cluster formation of Arg(+) ions at a protein surface, and the findings of this study may be used to manipulate synthetic and biological systems through arginine-derived groups.", "author" : [ { "dropping-particle" : "", "family" : "Vagenende", "given" : "V", "non-dropping-particle" : "", "parse-names" : false, "suffix" : "" }, { "dropping-particle" : "", "family" : "Han", "given" : "A X", "non-dropping-particle" : "", "parse-names" : false, "suffix" : "" }, { "dropping-particle" : "", "family" : "Mueller", "given" : "M", "non-dropping-particle" : "", "parse-names" : false, "suffix" : "" }, { "dropping-particle" : "", "family" : "Trout", "given" : "B L", "non-dropping-particle" : "", "parse-names" : false, "suffix" : "" } ], "container-title" : "ACS Chemical Biology", "id" : "ITEM-1", "issued" : { "date-parts" : [ [ "2013" ] ] }, "page" : "416-422", "title" : "Protein-associated cation clusters in aqueous arginine solutions and their effects on protein stability and size", "type" : "article-journal", "volume" : "8" }, "uris" : [ "http://www.mendeley.com/documents/?uuid=1b8af2ac-8920-4412-a424-6595a3d7e71c" ] } ], "mendeley" : { "formattedCitation" : "(Vagenende et al. 2013)", "plainTextFormattedCitation" : "(Vagenende et al. 2013)", "previouslyFormattedCitation" : "(Vagenende et al. 2013)" }, "properties" : { "noteIndex" : 0 }, "schema" : "https://github.com/citation-style-language/schema/raw/master/csl-citation.json" }</w:instrText>
      </w:r>
      <w:r w:rsidR="00E521B5">
        <w:fldChar w:fldCharType="separate"/>
      </w:r>
      <w:r w:rsidR="00E521B5" w:rsidRPr="00E521B5">
        <w:rPr>
          <w:noProof/>
        </w:rPr>
        <w:t>(Vagenende et al. 2013)</w:t>
      </w:r>
      <w:r w:rsidR="00E521B5">
        <w:fldChar w:fldCharType="end"/>
      </w:r>
      <w:r w:rsidR="00E521B5">
        <w:t xml:space="preserve">. </w:t>
      </w:r>
      <w:r w:rsidR="00E521B5">
        <w:rPr>
          <w:szCs w:val="24"/>
        </w:rPr>
        <w:t>W</w:t>
      </w:r>
      <w:r w:rsidR="00E521B5" w:rsidRPr="0064662B">
        <w:rPr>
          <w:szCs w:val="24"/>
        </w:rPr>
        <w:t>ith the lack of further experimental data supporting this theory,</w:t>
      </w:r>
      <w:r w:rsidR="00E521B5">
        <w:rPr>
          <w:szCs w:val="24"/>
        </w:rPr>
        <w:t xml:space="preserve"> and disagreement on the mechanism of arginine self-association</w:t>
      </w:r>
      <w:r w:rsidR="003E2B77">
        <w:rPr>
          <w:szCs w:val="24"/>
        </w:rPr>
        <w:t>,</w:t>
      </w:r>
      <w:r w:rsidR="00E521B5" w:rsidRPr="0064662B">
        <w:rPr>
          <w:szCs w:val="24"/>
        </w:rPr>
        <w:t xml:space="preserve"> it is difficult to know whether the formation of arginine clusters makes a significant contribution to the mechanisms governing </w:t>
      </w:r>
      <w:r w:rsidR="002913D1">
        <w:rPr>
          <w:szCs w:val="24"/>
        </w:rPr>
        <w:t xml:space="preserve">its effect on </w:t>
      </w:r>
      <w:r w:rsidR="00E521B5" w:rsidRPr="0064662B">
        <w:rPr>
          <w:szCs w:val="24"/>
        </w:rPr>
        <w:t>protein stability.</w:t>
      </w:r>
    </w:p>
    <w:p w14:paraId="3F016549" w14:textId="77777777" w:rsidR="005644BD" w:rsidRDefault="005644BD" w:rsidP="005644BD">
      <w:pPr>
        <w:pStyle w:val="Heading3"/>
      </w:pPr>
      <w:bookmarkStart w:id="122" w:name="_Toc485712765"/>
      <w:r>
        <w:t>Glycine</w:t>
      </w:r>
      <w:bookmarkEnd w:id="122"/>
    </w:p>
    <w:p w14:paraId="33976FBF" w14:textId="7B49F5E9" w:rsidR="000364D0" w:rsidRPr="000364D0" w:rsidRDefault="0072300B" w:rsidP="000364D0">
      <w:r>
        <w:t>Glycine is the most structurally simple of the amino acids, with a hydrogen side chain (</w:t>
      </w:r>
      <w:r>
        <w:fldChar w:fldCharType="begin"/>
      </w:r>
      <w:r>
        <w:instrText xml:space="preserve"> REF _Ref459985587 \h </w:instrText>
      </w:r>
      <w:r>
        <w:fldChar w:fldCharType="separate"/>
      </w:r>
      <w:r w:rsidR="00AA6926">
        <w:t xml:space="preserve">Figure </w:t>
      </w:r>
      <w:r w:rsidR="00AA6926">
        <w:rPr>
          <w:noProof/>
        </w:rPr>
        <w:t>1</w:t>
      </w:r>
      <w:r w:rsidR="00AA6926">
        <w:noBreakHyphen/>
      </w:r>
      <w:r w:rsidR="00AA6926">
        <w:rPr>
          <w:noProof/>
        </w:rPr>
        <w:t>12</w:t>
      </w:r>
      <w:r>
        <w:fldChar w:fldCharType="end"/>
      </w:r>
      <w:r>
        <w:t xml:space="preserve">). It is </w:t>
      </w:r>
      <w:r w:rsidR="00222FDD">
        <w:t xml:space="preserve">zwitterionic and small compared to other stabilising cosolutes. It is commonly </w:t>
      </w:r>
      <w:r w:rsidR="00053A8C">
        <w:t>occurring in</w:t>
      </w:r>
      <w:r w:rsidR="00222FDD">
        <w:t xml:space="preserve"> cells as an osmolyte (see section </w:t>
      </w:r>
      <w:r w:rsidR="00222FDD">
        <w:fldChar w:fldCharType="begin"/>
      </w:r>
      <w:r w:rsidR="00222FDD">
        <w:instrText xml:space="preserve"> REF _Ref459985865 \r \h </w:instrText>
      </w:r>
      <w:r w:rsidR="00222FDD">
        <w:fldChar w:fldCharType="separate"/>
      </w:r>
      <w:r w:rsidR="00AA6926">
        <w:t>1.3.3.1</w:t>
      </w:r>
      <w:r w:rsidR="00222FDD">
        <w:fldChar w:fldCharType="end"/>
      </w:r>
      <w:r w:rsidR="00222FDD">
        <w:t xml:space="preserve">) and </w:t>
      </w:r>
      <w:r w:rsidR="000B1254">
        <w:t xml:space="preserve">used </w:t>
      </w:r>
      <w:r w:rsidR="00222FDD">
        <w:t>b</w:t>
      </w:r>
      <w:r w:rsidR="002913D1">
        <w:t>y pharmaceutical companies as a stabilising</w:t>
      </w:r>
      <w:r w:rsidR="00222FDD">
        <w:t xml:space="preserve"> excipient (see </w:t>
      </w:r>
      <w:commentRangeStart w:id="123"/>
      <w:r w:rsidR="00222FDD">
        <w:t>section</w:t>
      </w:r>
      <w:r w:rsidR="004A1680">
        <w:t xml:space="preserve"> 1.3.3.3</w:t>
      </w:r>
      <w:r w:rsidR="00222FDD">
        <w:t>)</w:t>
      </w:r>
      <w:commentRangeEnd w:id="123"/>
      <w:r w:rsidR="004A1680">
        <w:rPr>
          <w:rStyle w:val="CommentReference"/>
        </w:rPr>
        <w:commentReference w:id="123"/>
      </w:r>
      <w:r w:rsidR="00222FDD">
        <w:t>. Its stabilising properties are well established (</w:t>
      </w:r>
      <w:r w:rsidR="00222FDD">
        <w:fldChar w:fldCharType="begin"/>
      </w:r>
      <w:r w:rsidR="00222FDD">
        <w:instrText xml:space="preserve"> REF _Ref453339849 \h </w:instrText>
      </w:r>
      <w:r w:rsidR="00222FDD">
        <w:fldChar w:fldCharType="separate"/>
      </w:r>
      <w:r w:rsidR="00AA6926">
        <w:t xml:space="preserve">Table </w:t>
      </w:r>
      <w:r w:rsidR="00AA6926">
        <w:rPr>
          <w:noProof/>
        </w:rPr>
        <w:t>1</w:t>
      </w:r>
      <w:r w:rsidR="00AA6926">
        <w:noBreakHyphen/>
      </w:r>
      <w:r w:rsidR="00AA6926">
        <w:rPr>
          <w:noProof/>
        </w:rPr>
        <w:t>4</w:t>
      </w:r>
      <w:r w:rsidR="00222FDD">
        <w:fldChar w:fldCharType="end"/>
      </w:r>
      <w:r w:rsidR="00222FDD">
        <w:t xml:space="preserve">) and </w:t>
      </w:r>
      <w:r w:rsidR="002913D1">
        <w:t xml:space="preserve">glycine </w:t>
      </w:r>
      <w:r w:rsidR="00222FDD">
        <w:t xml:space="preserve">demonstrates expected properties of a stabilising cosolute, including strong hydration </w:t>
      </w:r>
      <w:r w:rsidR="00222FDD">
        <w:fldChar w:fldCharType="begin" w:fldLock="1"/>
      </w:r>
      <w:r w:rsidR="00E11F61">
        <w:instrText>ADDIN CSL_CITATION { "citationItems" : [ { "id" : "ITEM-1", "itemData" : { "DOI" : "10.1063/1.3481576", "ISBN" : "0021-9606", "ISSN" : "00219606", "PMID" : "20866146", "abstract" : "An aqueous glycine solution is studied with ab initio molecular dynamics to investigate the structural aspects of the different solvation shells within the zwitterion and their impact on the infrared spectrum. The individual contributions to the total IR spectrum from glycine and solvation water are decomposed systematically using the standard schemes in terms of maximally localized Wannier orbitals to define approximate molecular dipole moments in solution. The IR spectra of the aqueous solution and of the solvated zwitterionic glycine molecule itself are compared to those stemming from neutral glycine in the gas phase and a virtual \"isolated\" zwitterionic glycine molecule vertically transferred from solution into vacuum. Furthermore, electronic polarization effects due to solute-solvent coupling are discussed in detail for the solute and for the interfacial solvent molecules based on dipole moment distribution functions.", "author" : [ { "dropping-particle" : "", "family" : "Sun", "given" : "J", "non-dropping-particle" : "", "parse-names" : false, "suffix" : "" }, { "dropping-particle" : "", "family" : "Bousquet", "given" : "D", "non-dropping-particle" : "", "parse-names" : false, "suffix" : "" }, { "dropping-particle" : "", "family" : "Forbert", "given" : "H", "non-dropping-particle" : "", "parse-names" : false, "suffix" : "" }, { "dropping-particle" : "", "family" : "Marx", "given" : "D", "non-dropping-particle" : "", "parse-names" : false, "suffix" : "" } ], "container-title" : "Journal of Chemical Physics", "id" : "ITEM-1", "issued" : { "date-parts" : [ [ "2010" ] ] }, "page" : "e114508", "title" : "Glycine in aqueous solution: Solvation shells, interfacial water, and vibrational spectroscopy from ab initio molecular dynamics", "type" : "article-journal", "volume" : "133" }, "uris" : [ "http://www.mendeley.com/documents/?uuid=eb995fb6-58d1-4a2d-98d3-d4dabef0513f" ] }, { "id" : "ITEM-2", "itemData" : { "DOI" : "10.1021/ja4129857", "ISBN" : "1520-5126 (Electronic)\\r0002-7863 (Linking)", "ISSN" : "15205126", "PMID" : "24606118", "abstract" : "THz spectroscopy of aqueous solutions has been established as of recently to be a valuable and complementary experimental tool to provide direct insights into the solute-solvent coupling due to hydrogen-bond dynamics involving interfacial water. Despite much experimental progress, understanding THz spectra in terms of molecular motions, akin to mid-infrared spectra, still remains elusive. Here, using the osmoprotectant glycine as a showcase, we demonstrate how this can be achieved by combining THz absorption spectroscopy and ab initio molecular dynamics. The experimental THz spectrum is characterized by broad yet clearly discernible peaks. Based on substantial extensions of available mode-specific decomposition schemes, the experimental spectrum can be reproduced by theory and assigned on an essentially quantitative level. This joint effort reveals an unexpectedly clear picture of the individual contributions of molecular motion to the THz absorption spectrum in terms of distinct modes stemming from intramolecular vibrations, rigid-body-like hindered rotational and translational motion, and specific couplings to interfacial water molecules. The assignment is confirmed by the peak shifts observed in the THz spectrum of deuterated glycine in heavy water, which allow us to separate the distinct modes experimentally.", "author" : [ { "dropping-particle" : "", "family" : "Sun", "given" : "J", "non-dropping-particle" : "", "parse-names" : false, "suffix" : "" }, { "dropping-particle" : "", "family" : "Niehues", "given" : "G", "non-dropping-particle" : "", "parse-names" : false, "suffix" : "" }, { "dropping-particle" : "", "family" : "Forbert", "given" : "H", "non-dropping-particle" : "", "parse-names" : false, "suffix" : "" }, { "dropping-particle" : "", "family" : "Decka", "given" : "D", "non-dropping-particle" : "", "parse-names" : false, "suffix" : "" }, { "dropping-particle" : "", "family" : "Schwaab", "given" : "G", "non-dropping-particle" : "", "parse-names" : false, "suffix" : "" }, { "dropping-particle" : "", "family" : "Marx", "given" : "D", "non-dropping-particle" : "", "parse-names" : false, "suffix" : "" }, { "dropping-particle" : "", "family" : "Havenith", "given" : "M", "non-dropping-particle" : "", "parse-names" : false, "suffix" : "" } ], "container-title" : "Journal of the American Chemical Society", "id" : "ITEM-2", "issued" : { "date-parts" : [ [ "2014" ] ] }, "page" : "5031-5038", "title" : "Understanding THz spectra of aqueous solutions: Glycine in light and heavy water", "type" : "article-journal", "volume" : "136" }, "uris" : [ "http://www.mendeley.com/documents/?uuid=63c3740d-a1a3-41a3-8524-faff5d883f93" ] }, { "id" : "ITEM-3", "itemData" : { "DOI" : "10.1063/1.2352756", "ISBN" : "0021-9606", "ISSN" : "00219606", "PMID" : "16999494", "abstract" : "A classical molecular dynamics method was used to study the modifications of the solution structure and the properties of glycine zwitterion in aqueous solution due to the increase of glycine zwitterion concentration and the incorporation of Na(+) and Cl(-) ions to the solution. The glycine zwitterion had fundamentally a hydrophilic behavior at infinite dilution, establishing around six hydrogen bonds with the water molecules that surrounded it, which formed a strong hydration layer. Because of the increase of glycine zwitterion concentration, the hydration structure became more compact and the quantity of water molecules bound to this molecule decreased. The Na(+) ion bound to the CO(2) group of glycine, while the Cl(-) ion bound mainly to the NH(3) group of this molecule. The integration of the ions to the hydration layer of the glycine zwitterion produced modifications in the orientational correlation between atoms of glycine zwitterion and water that surrounded them and an increase of the approaches between the glycine zwitterion molecules. The incorporation of ions to the solution also produced changes in the water-water orientational correlation. Decreases of the water-water hydrogen bonds and diffusion coefficient of all molecules were observed when the glycine zwitterion concentration increased and when the ions were incorporated to the solution.", "author" : [ { "dropping-particle" : "", "family" : "Campo", "given" : "M G", "non-dropping-particle" : "", "parse-names" : false, "suffix" : "" } ], "container-title" : "Journal of Chemical Physics", "id" : "ITEM-3", "issued" : { "date-parts" : [ [ "2006" ] ] }, "page" : "114511", "title" : "Molecular dynamics simulation of glycine zwitterion in aqueous solution", "type" : "article-journal", "volume" : "125" }, "uris" : [ "http://www.mendeley.com/documents/?uuid=516defaa-43ce-4c5d-802d-cd17ef68bb54" ] } ], "mendeley" : { "formattedCitation" : "(Sun et al. 2010; Sun et al. 2014; Campo 2006)", "plainTextFormattedCitation" : "(Sun et al. 2010; Sun et al. 2014; Campo 2006)", "previouslyFormattedCitation" : "(Sun et al. 2010; Sun et al. 2014; Campo 2006)" }, "properties" : { "noteIndex" : 0 }, "schema" : "https://github.com/citation-style-language/schema/raw/master/csl-citation.json" }</w:instrText>
      </w:r>
      <w:r w:rsidR="00222FDD">
        <w:fldChar w:fldCharType="separate"/>
      </w:r>
      <w:r w:rsidR="00886999" w:rsidRPr="00886999">
        <w:rPr>
          <w:noProof/>
        </w:rPr>
        <w:t>(Sun et al. 2010; Sun et al. 2014; Campo 2006)</w:t>
      </w:r>
      <w:r w:rsidR="00222FDD">
        <w:fldChar w:fldCharType="end"/>
      </w:r>
      <w:r w:rsidR="00222FDD">
        <w:t xml:space="preserve">, </w:t>
      </w:r>
      <w:r w:rsidR="00886999">
        <w:t xml:space="preserve">and </w:t>
      </w:r>
      <w:r w:rsidR="00222FDD">
        <w:t xml:space="preserve">preferential exclusion from proteins </w:t>
      </w:r>
      <w:r w:rsidR="00222FDD">
        <w:fldChar w:fldCharType="begin" w:fldLock="1"/>
      </w:r>
      <w:r w:rsidR="00886999">
        <w:instrText>ADDIN CSL_CITATION { "citationItems" : [ { "id" : "ITEM-1", "itemData" : { "DOI" : "10.1016/S0006-3495(85)83932-1", "ISSN" : "0006-3495", "PMID" : "3978211", "abstract" : "The preferential interactions of lysozyme with solvent components and the effects of solvent additives on its stability were examined for several neutral osmolytes: L-proline, L-serine, gamma-aminobutyric acid, sarcosine, taurine, alpha-alanine, beta-alanine, glycine, betaine, and trimethylamine N-oxide. It was shown that all these substances stabilize the protein structure against thermal denaturation and (except for trimethylamine N-oxide for which interaction measurements could not be made) are strongly excluded from the protein domain, rendering unlikely their direct binding to proteins. On the other hand, valine, not known as an osmolyte, had no stabilizing effect, although it induced a large protein-preferential hydration. A possible explanation is given for the use of these substances as osmotic-pressure-regulating agents in organisms living under high osmotic pressure.", "author" : [ { "dropping-particle" : "", "family" : "Arakawa", "given" : "T", "non-dropping-particle" : "", "parse-names" : false, "suffix" : "" }, { "dropping-particle" : "", "family" : "Timasheff", "given" : "S N", "non-dropping-particle" : "", "parse-names" : false, "suffix" : "" } ], "container-title" : "Biophysical Journal", "id" : "ITEM-1", "issued" : { "date-parts" : [ [ "1985", "3" ] ] }, "page" : "411-414", "title" : "The stabilization of proteins by osmolytes", "type" : "article-journal", "volume" : "47" }, "uris" : [ "http://www.mendeley.com/documents/?uuid=a1e19a58-b0d0-4a61-ada1-8d4bd546989a" ] } ], "mendeley" : { "formattedCitation" : "(Arakawa &amp; Timasheff 1985)", "plainTextFormattedCitation" : "(Arakawa &amp; Timasheff 1985)", "previouslyFormattedCitation" : "(Arakawa &amp; Timasheff 1985)" }, "properties" : { "noteIndex" : 0 }, "schema" : "https://github.com/citation-style-language/schema/raw/master/csl-citation.json" }</w:instrText>
      </w:r>
      <w:r w:rsidR="00222FDD">
        <w:fldChar w:fldCharType="separate"/>
      </w:r>
      <w:r w:rsidR="00222FDD" w:rsidRPr="00222FDD">
        <w:rPr>
          <w:noProof/>
        </w:rPr>
        <w:t>(Arakawa &amp; Timasheff 1985)</w:t>
      </w:r>
      <w:r w:rsidR="00222FDD">
        <w:fldChar w:fldCharType="end"/>
      </w:r>
      <w:r w:rsidR="00886999">
        <w:t>.</w:t>
      </w:r>
    </w:p>
    <w:p w14:paraId="53A6BE23" w14:textId="77777777" w:rsidR="000364D0" w:rsidRDefault="000364D0" w:rsidP="000364D0">
      <w:pPr>
        <w:keepNext/>
      </w:pPr>
      <w:r>
        <w:object w:dxaOrig="1560" w:dyaOrig="825" w14:anchorId="0A8885DB">
          <v:shape id="_x0000_i1032" type="#_x0000_t75" style="width:231pt;height:122.25pt" o:ole="">
            <v:imagedata r:id="rId30" o:title=""/>
          </v:shape>
          <o:OLEObject Type="Embed" ProgID="ACD.ChemSketch.20" ShapeID="_x0000_i1032" DrawAspect="Content" ObjectID="_1559454686" r:id="rId31"/>
        </w:object>
      </w:r>
    </w:p>
    <w:p w14:paraId="3ED9370E" w14:textId="77777777" w:rsidR="000364D0" w:rsidRPr="000364D0" w:rsidRDefault="000364D0" w:rsidP="000364D0">
      <w:pPr>
        <w:pStyle w:val="Caption"/>
        <w:jc w:val="left"/>
      </w:pPr>
      <w:bookmarkStart w:id="124" w:name="_Ref459985587"/>
      <w:bookmarkStart w:id="125" w:name="_Toc482633170"/>
      <w:r>
        <w:t xml:space="preserve">Figure </w:t>
      </w:r>
      <w:fldSimple w:instr=" STYLEREF 1 \s ">
        <w:r w:rsidR="00AA6926">
          <w:rPr>
            <w:noProof/>
          </w:rPr>
          <w:t>1</w:t>
        </w:r>
      </w:fldSimple>
      <w:r w:rsidR="00BA082C">
        <w:noBreakHyphen/>
      </w:r>
      <w:fldSimple w:instr=" SEQ Figure \* ARABIC \s 1 ">
        <w:r w:rsidR="00AA6926">
          <w:rPr>
            <w:noProof/>
          </w:rPr>
          <w:t>12</w:t>
        </w:r>
      </w:fldSimple>
      <w:bookmarkEnd w:id="124"/>
      <w:r>
        <w:t>. Structure of glycine</w:t>
      </w:r>
      <w:bookmarkEnd w:id="125"/>
    </w:p>
    <w:p w14:paraId="2E21F4F8" w14:textId="77777777" w:rsidR="005644BD" w:rsidRDefault="00F9500C" w:rsidP="005644BD">
      <w:pPr>
        <w:pStyle w:val="Heading3"/>
      </w:pPr>
      <w:bookmarkStart w:id="126" w:name="_Ref459908879"/>
      <w:bookmarkStart w:id="127" w:name="_Ref459983808"/>
      <w:bookmarkStart w:id="128" w:name="_Toc485712766"/>
      <w:r>
        <w:lastRenderedPageBreak/>
        <w:t>Guanidine</w:t>
      </w:r>
      <w:r w:rsidR="005644BD">
        <w:t xml:space="preserve"> </w:t>
      </w:r>
      <w:bookmarkEnd w:id="126"/>
      <w:r w:rsidR="00A539CF">
        <w:t>hydrochloride</w:t>
      </w:r>
      <w:bookmarkEnd w:id="127"/>
      <w:bookmarkEnd w:id="128"/>
    </w:p>
    <w:p w14:paraId="67BFA29C" w14:textId="77777777" w:rsidR="00F87DF7" w:rsidRPr="00F87DF7" w:rsidRDefault="00F9500C" w:rsidP="00F87DF7">
      <w:pPr>
        <w:rPr>
          <w:color w:val="FF0000"/>
        </w:rPr>
      </w:pPr>
      <w:r>
        <w:t>Guanidine</w:t>
      </w:r>
      <w:r w:rsidR="00A539CF">
        <w:t xml:space="preserve"> hydrochloride </w:t>
      </w:r>
      <w:r w:rsidR="005079B6">
        <w:t xml:space="preserve">(GdnHCl) </w:t>
      </w:r>
      <w:r w:rsidR="00557131">
        <w:t xml:space="preserve">(see section </w:t>
      </w:r>
      <w:r w:rsidR="00557131">
        <w:fldChar w:fldCharType="begin"/>
      </w:r>
      <w:r w:rsidR="00557131">
        <w:instrText xml:space="preserve"> REF _Ref456105943 \r \h </w:instrText>
      </w:r>
      <w:r w:rsidR="00557131">
        <w:fldChar w:fldCharType="separate"/>
      </w:r>
      <w:r w:rsidR="00AA6926">
        <w:t>1.4.3.4</w:t>
      </w:r>
      <w:r w:rsidR="00557131">
        <w:fldChar w:fldCharType="end"/>
      </w:r>
      <w:r w:rsidR="00557131">
        <w:t xml:space="preserve"> and </w:t>
      </w:r>
      <w:r w:rsidR="00557131">
        <w:fldChar w:fldCharType="begin"/>
      </w:r>
      <w:r w:rsidR="00557131">
        <w:instrText xml:space="preserve"> REF _Ref459983926 \h </w:instrText>
      </w:r>
      <w:r w:rsidR="00557131">
        <w:fldChar w:fldCharType="separate"/>
      </w:r>
      <w:r w:rsidR="00AA6926">
        <w:t xml:space="preserve">Figure </w:t>
      </w:r>
      <w:r w:rsidR="00AA6926">
        <w:rPr>
          <w:noProof/>
        </w:rPr>
        <w:t>1</w:t>
      </w:r>
      <w:r w:rsidR="00AA6926">
        <w:noBreakHyphen/>
      </w:r>
      <w:r w:rsidR="00AA6926">
        <w:rPr>
          <w:noProof/>
        </w:rPr>
        <w:t>4</w:t>
      </w:r>
      <w:r w:rsidR="00557131">
        <w:fldChar w:fldCharType="end"/>
      </w:r>
      <w:r w:rsidR="00557131">
        <w:t xml:space="preserve">) </w:t>
      </w:r>
      <w:r w:rsidR="00A539CF">
        <w:t>i</w:t>
      </w:r>
      <w:r w:rsidR="005079B6">
        <w:t>s a ‘chaotropic salt’</w:t>
      </w:r>
      <w:r w:rsidR="00A539CF">
        <w:t xml:space="preserve"> often used to chemically denature or thermally destabilise proteins for structural studies, and can be used as a first step in solubilisation of inclusion bodies </w:t>
      </w:r>
      <w:r w:rsidR="00A539CF">
        <w:fldChar w:fldCharType="begin" w:fldLock="1"/>
      </w:r>
      <w:r w:rsidR="00E11F61">
        <w:instrText>ADDIN CSL_CITATION { "citationItems" : [ { "id" : "ITEM-1", "itemData" : { "ISBN" : "1510705562", "ISSN" : "0378-5173", "PMID" : "10460913", "abstract" : "One of the most challenging tasks in the development of protein pharmaceuticals is to deal with physical and chemical instabilities of proteins. Protein instability is one of the major reasons why protein pharmaceuticals are administered traditionally through injection rather than taken orally like most small chemical drugs. Protein pharmaceuticals usually have to be stored under cold conditions or freeze-dried to achieve an acceptable shelf life. To understand and maximize the stability of protein pharmaceuticals or any other usable proteins such as catalytic enzymes, many studies have been conducted, especially in the past two decades. These studies have covered many areas such as protein folding and unfolding/denaturation, mechanisms of chemical and physical instabilities of proteins, and various means of stabilizing proteins in aqueous or solid state and under various processing conditions such as freeze-thawing and drying. This article reviews these investigations and achievements in recent years and discusses the basic behavior of proteins, their instabilities, and stabilization in aqueous state in relation to the development of liquid protein pharmaceuticals.", "author" : [ { "dropping-particle" : "", "family" : "Wang", "given" : "W", "non-dropping-particle" : "", "parse-names" : false, "suffix" : "" } ], "container-title" : "International Journal of Pharmaceutics", "id" : "ITEM-1", "issued" : { "date-parts" : [ [ "1999", "8", "20" ] ] }, "page" : "129-188", "title" : "Instability, stabilization, and formulation of liquid protein pharmaceuticals", "type" : "article-journal", "volume" : "185" }, "uris" : [ "http://www.mendeley.com/documents/?uuid=80058346-4f46-4e3f-a862-e87324564bb0" ] } ], "mendeley" : { "formattedCitation" : "(Wang 1999)", "plainTextFormattedCitation" : "(Wang 1999)", "previouslyFormattedCitation" : "(Wang 1999)" }, "properties" : { "noteIndex" : 0 }, "schema" : "https://github.com/citation-style-language/schema/raw/master/csl-citation.json" }</w:instrText>
      </w:r>
      <w:r w:rsidR="00A539CF">
        <w:fldChar w:fldCharType="separate"/>
      </w:r>
      <w:r w:rsidR="00A539CF" w:rsidRPr="00A539CF">
        <w:rPr>
          <w:noProof/>
        </w:rPr>
        <w:t>(Wang 1999)</w:t>
      </w:r>
      <w:r w:rsidR="00A539CF">
        <w:fldChar w:fldCharType="end"/>
      </w:r>
      <w:r w:rsidR="005079B6">
        <w:t>. It has a planar structure</w:t>
      </w:r>
      <w:r w:rsidR="002913D1">
        <w:t xml:space="preserve"> and low charge density</w:t>
      </w:r>
      <w:r w:rsidR="005079B6">
        <w:t xml:space="preserve"> and as such has been found to be one of the most weakly hydrated salts </w:t>
      </w:r>
      <w:r w:rsidR="005079B6">
        <w:fldChar w:fldCharType="begin" w:fldLock="1"/>
      </w:r>
      <w:r w:rsidR="00FF6FB8">
        <w:instrText>ADDIN CSL_CITATION { "citationItems" : [ { "id" : "ITEM-1", "itemData" : { "DOI" : "10.1073/pnas.0735920100", "ISBN" : "0027-8424", "ISSN" : "0027-8424", "PMID" : "12684536", "abstract" : "Neutron diffraction experiments were carried out on aqueous solutions containing either guanidinium or thiocyanate ions. The first-order difference method of neutron diffraction and isotopic substitution was applied, and the hydration structures of two of nature's strongest denaturant ions were determined. Each ion is shown to interact weakly with water: Guanidinium has no recognizable hydration shell and is one of the most weakly hydrated cations yet characterized. Hydration of thiocyanate is characterized by a low coordination number involving around one hydrogen-bonded water molecule and approximately two water molecules weakly interacting through \"hydration bonds.\" The weak hydration of these denaturant ions strongly supports suggestions that a major contribution to the denaturant effect is the preferential interaction of the denaturant with the protein surface. By contrast, solute species such as many sugars and related polyols that stabilize proteins are strongly hydrated and are thus preferentially retained in the bulk solvent and excluded from the protein surface.", "author" : [ { "dropping-particle" : "", "family" : "Mason", "given" : "P E", "non-dropping-particle" : "", "parse-names" : false, "suffix" : "" }, { "dropping-particle" : "", "family" : "Neilson", "given" : "G W", "non-dropping-particle" : "", "parse-names" : false, "suffix" : "" }, { "dropping-particle" : "", "family" : "Dempsey", "given" : "C E", "non-dropping-particle" : "", "parse-names" : false, "suffix" : "" }, { "dropping-particle" : "", "family" : "Barnes", "given" : "a C", "non-dropping-particle" : "", "parse-names" : false, "suffix" : "" }, { "dropping-particle" : "", "family" : "Cruickshank", "given" : "J M", "non-dropping-particle" : "", "parse-names" : false, "suffix" : "" } ], "container-title" : "Proceedings of the National Academy of Sciences of the United States of America", "id" : "ITEM-1", "issued" : { "date-parts" : [ [ "2003" ] ] }, "page" : "4557-4561", "title" : "The hydration structure of guanidinium and thiocyanate ions: implications for protein stability in aqueous solution", "type" : "article-journal", "volume" : "100" }, "uris" : [ "http://www.mendeley.com/documents/?uuid=fccb80eb-7117-4ad4-802b-afe82b067ce7" ] } ], "mendeley" : { "formattedCitation" : "(Mason et al. 2003)", "plainTextFormattedCitation" : "(Mason et al. 2003)", "previouslyFormattedCitation" : "(Mason et al. 2003)" }, "properties" : { "noteIndex" : 0 }, "schema" : "https://github.com/citation-style-language/schema/raw/master/csl-citation.json" }</w:instrText>
      </w:r>
      <w:r w:rsidR="005079B6">
        <w:fldChar w:fldCharType="separate"/>
      </w:r>
      <w:r w:rsidR="005079B6" w:rsidRPr="005079B6">
        <w:rPr>
          <w:noProof/>
        </w:rPr>
        <w:t>(Mason et al. 2003)</w:t>
      </w:r>
      <w:r w:rsidR="005079B6">
        <w:fldChar w:fldCharType="end"/>
      </w:r>
      <w:r w:rsidR="005079B6">
        <w:t xml:space="preserve">, meaning it has a high potential to destabilise proteins via hydrophobic interactions. It has also been shown to self-associate in solution via similar </w:t>
      </w:r>
      <w:r w:rsidR="002913D1">
        <w:t xml:space="preserve">hydrophobic </w:t>
      </w:r>
      <w:r w:rsidR="005079B6">
        <w:t xml:space="preserve">interactions </w:t>
      </w:r>
      <w:r w:rsidR="005079B6">
        <w:fldChar w:fldCharType="begin" w:fldLock="1"/>
      </w:r>
      <w:r w:rsidR="00222FDD">
        <w:instrText>ADDIN CSL_CITATION { "citationItems" : [ { "id" : "ITEM-1", "itemData" : { "DOI" : "10.1021/ja040034x", "author" : [ { "dropping-particle" : "", "family" : "Mason", "given" : "P E", "non-dropping-particle" : "", "parse-names" : false, "suffix" : "" }, { "dropping-particle" : "", "family" : "Neilson", "given" : "G W", "non-dropping-particle" : "", "parse-names" : false, "suffix" : "" }, { "dropping-particle" : "", "family" : "Enderby", "given" : "J E", "non-dropping-particle" : "", "parse-names" : false, "suffix" : "" }, { "dropping-particle" : "", "family" : "Saboungi", "given" : "M L", "non-dropping-particle" : "", "parse-names" : false, "suffix" : "" }, { "dropping-particle" : "", "family" : "Dempsey", "given" : "C E", "non-dropping-particle" : "", "parse-names" : false, "suffix" : "" }, { "dropping-particle" : "", "family" : "Mackerell", "given" : "A D", "non-dropping-particle" : "", "parse-names" : false, "suffix" : "" }, { "dropping-particle" : "", "family" : "Brady", "given" : "J W", "non-dropping-particle" : "", "parse-names" : false, "suffix" : "" } ], "container-title" : "Journal of the American Chemical Society", "id" : "ITEM-1", "issued" : { "date-parts" : [ [ "2004" ] ] }, "page" : "11462-11470", "title" : "The structure of aqueous guanidinium chloride solutions", "type" : "article-journal", "volume" : "126" }, "uris" : [ "http://www.mendeley.com/documents/?uuid=dcd77331-9619-41cd-a08e-15ca0f9e5576" ] } ], "mendeley" : { "formattedCitation" : "(Mason et al. 2004)", "plainTextFormattedCitation" : "(Mason et al. 2004)", "previouslyFormattedCitation" : "(Mason et al. 2004)" }, "properties" : { "noteIndex" : 0 }, "schema" : "https://github.com/citation-style-language/schema/raw/master/csl-citation.json" }</w:instrText>
      </w:r>
      <w:r w:rsidR="005079B6">
        <w:fldChar w:fldCharType="separate"/>
      </w:r>
      <w:r w:rsidR="005079B6" w:rsidRPr="005079B6">
        <w:rPr>
          <w:noProof/>
        </w:rPr>
        <w:t>(Mason et al. 2004)</w:t>
      </w:r>
      <w:r w:rsidR="005079B6">
        <w:fldChar w:fldCharType="end"/>
      </w:r>
      <w:r w:rsidR="005079B6">
        <w:t xml:space="preserve">. The various mechanisms suggested for GdnHCl are discussed in detail in section </w:t>
      </w:r>
      <w:r w:rsidR="005079B6">
        <w:fldChar w:fldCharType="begin"/>
      </w:r>
      <w:r w:rsidR="005079B6">
        <w:instrText xml:space="preserve"> REF _Ref453082183 \r \h </w:instrText>
      </w:r>
      <w:r w:rsidR="005079B6">
        <w:fldChar w:fldCharType="separate"/>
      </w:r>
      <w:r w:rsidR="00AA6926">
        <w:t>1.3.2</w:t>
      </w:r>
      <w:r w:rsidR="005079B6">
        <w:fldChar w:fldCharType="end"/>
      </w:r>
      <w:r w:rsidR="005079B6">
        <w:t xml:space="preserve">. Many of its properties and mechanisms are thought to be responsible for arginine’s action on protein stability and solubility (see section </w:t>
      </w:r>
      <w:r w:rsidR="005079B6">
        <w:fldChar w:fldCharType="begin"/>
      </w:r>
      <w:r w:rsidR="005079B6">
        <w:instrText xml:space="preserve"> REF _Ref453863899 \r \h </w:instrText>
      </w:r>
      <w:r w:rsidR="005079B6">
        <w:fldChar w:fldCharType="separate"/>
      </w:r>
      <w:r w:rsidR="00AA6926">
        <w:t>1.7.1</w:t>
      </w:r>
      <w:r w:rsidR="005079B6">
        <w:fldChar w:fldCharType="end"/>
      </w:r>
      <w:r w:rsidR="005079B6">
        <w:t>).</w:t>
      </w:r>
    </w:p>
    <w:p w14:paraId="3DCE36AE" w14:textId="77777777" w:rsidR="005644BD" w:rsidRDefault="000364D0" w:rsidP="005644BD">
      <w:pPr>
        <w:pStyle w:val="Heading3"/>
      </w:pPr>
      <w:bookmarkStart w:id="129" w:name="_Toc485712767"/>
      <w:r>
        <w:t>Lysine</w:t>
      </w:r>
      <w:bookmarkEnd w:id="129"/>
    </w:p>
    <w:p w14:paraId="2B147C4A" w14:textId="3B4218D8" w:rsidR="00A8130B" w:rsidRDefault="00DB61AF" w:rsidP="00DB61AF">
      <w:r>
        <w:t>Lysine is structurally similar to arginine in that it is a positively charged amino acid with an aliphatic chain in its side chain (</w:t>
      </w:r>
      <w:r>
        <w:fldChar w:fldCharType="begin"/>
      </w:r>
      <w:r>
        <w:instrText xml:space="preserve"> REF _Ref459988435 \h </w:instrText>
      </w:r>
      <w:r>
        <w:fldChar w:fldCharType="separate"/>
      </w:r>
      <w:r w:rsidR="00AA6926">
        <w:t xml:space="preserve">Figure </w:t>
      </w:r>
      <w:r w:rsidR="00AA6926">
        <w:rPr>
          <w:noProof/>
        </w:rPr>
        <w:t>1</w:t>
      </w:r>
      <w:r w:rsidR="00AA6926">
        <w:noBreakHyphen/>
      </w:r>
      <w:r w:rsidR="00AA6926">
        <w:rPr>
          <w:noProof/>
        </w:rPr>
        <w:t>13</w:t>
      </w:r>
      <w:r>
        <w:fldChar w:fldCharType="end"/>
      </w:r>
      <w:r>
        <w:t>).</w:t>
      </w:r>
      <w:r w:rsidR="000A0AAC">
        <w:t xml:space="preserve"> It differs to arginine in that it has a longer aliphatic chain capped with an ammonium group rather than a guanidinium group. As explained earlier in the literature review it is commonly used in therapeutic protein formulations as a stabilising excipient, but is not naturally present as an osmolyte in cells (see </w:t>
      </w:r>
      <w:commentRangeStart w:id="130"/>
      <w:r w:rsidR="000A0AAC">
        <w:t>section</w:t>
      </w:r>
      <w:r w:rsidR="004A1680">
        <w:t xml:space="preserve"> 1.3.3.1</w:t>
      </w:r>
      <w:commentRangeEnd w:id="130"/>
      <w:r w:rsidR="004A1680">
        <w:rPr>
          <w:rStyle w:val="CommentReference"/>
        </w:rPr>
        <w:commentReference w:id="130"/>
      </w:r>
      <w:r w:rsidR="000A0AAC">
        <w:t xml:space="preserve">). This is similar to the situation for arginine, and its lack of use in cells brings to question whether it stabilises proteins. In the literature there are data to suggest it stabilises and data to suggest it destabilises (see </w:t>
      </w:r>
      <w:r w:rsidR="000A0AAC">
        <w:fldChar w:fldCharType="begin"/>
      </w:r>
      <w:r w:rsidR="000A0AAC">
        <w:instrText xml:space="preserve"> REF _Ref453339849 \h </w:instrText>
      </w:r>
      <w:r w:rsidR="000A0AAC">
        <w:fldChar w:fldCharType="separate"/>
      </w:r>
      <w:r w:rsidR="00AA6926">
        <w:t xml:space="preserve">Table </w:t>
      </w:r>
      <w:r w:rsidR="00AA6926">
        <w:rPr>
          <w:noProof/>
        </w:rPr>
        <w:t>1</w:t>
      </w:r>
      <w:r w:rsidR="00AA6926">
        <w:noBreakHyphen/>
      </w:r>
      <w:r w:rsidR="00AA6926">
        <w:rPr>
          <w:noProof/>
        </w:rPr>
        <w:t>4</w:t>
      </w:r>
      <w:r w:rsidR="000A0AAC">
        <w:fldChar w:fldCharType="end"/>
      </w:r>
      <w:r w:rsidR="000A0AAC">
        <w:t xml:space="preserve">). </w:t>
      </w:r>
    </w:p>
    <w:p w14:paraId="4BF0FCDF" w14:textId="77777777" w:rsidR="00DB61AF" w:rsidRDefault="00DB61AF" w:rsidP="00DB61AF">
      <w:pPr>
        <w:keepNext/>
      </w:pPr>
      <w:r>
        <w:object w:dxaOrig="2941" w:dyaOrig="1276" w14:anchorId="3283D9B5">
          <v:shape id="_x0000_i1033" type="#_x0000_t75" style="width:290.25pt;height:126pt" o:ole="">
            <v:imagedata r:id="rId32" o:title=""/>
          </v:shape>
          <o:OLEObject Type="Embed" ProgID="ACD.ChemSketch.20" ShapeID="_x0000_i1033" DrawAspect="Content" ObjectID="_1559454687" r:id="rId33"/>
        </w:object>
      </w:r>
    </w:p>
    <w:p w14:paraId="7721D69E" w14:textId="77777777" w:rsidR="00DB61AF" w:rsidRDefault="00DB61AF" w:rsidP="00DB61AF">
      <w:pPr>
        <w:pStyle w:val="Caption"/>
        <w:jc w:val="left"/>
      </w:pPr>
      <w:bookmarkStart w:id="131" w:name="_Ref459988435"/>
      <w:bookmarkStart w:id="132" w:name="_Toc482633171"/>
      <w:r>
        <w:t xml:space="preserve">Figure </w:t>
      </w:r>
      <w:fldSimple w:instr=" STYLEREF 1 \s ">
        <w:r w:rsidR="00AA6926">
          <w:rPr>
            <w:noProof/>
          </w:rPr>
          <w:t>1</w:t>
        </w:r>
      </w:fldSimple>
      <w:r w:rsidR="00BA082C">
        <w:noBreakHyphen/>
      </w:r>
      <w:fldSimple w:instr=" SEQ Figure \* ARABIC \s 1 ">
        <w:r w:rsidR="00AA6926">
          <w:rPr>
            <w:noProof/>
          </w:rPr>
          <w:t>13</w:t>
        </w:r>
      </w:fldSimple>
      <w:bookmarkEnd w:id="131"/>
      <w:r>
        <w:t>. Structure of lysine</w:t>
      </w:r>
      <w:bookmarkEnd w:id="132"/>
    </w:p>
    <w:p w14:paraId="683362E8" w14:textId="77777777" w:rsidR="00A8130B" w:rsidRPr="00A8130B" w:rsidRDefault="00676FD7" w:rsidP="00A8130B">
      <w:r>
        <w:lastRenderedPageBreak/>
        <w:t>The protein-</w:t>
      </w:r>
      <w:r w:rsidR="00A8130B">
        <w:t xml:space="preserve">specific effects of lysine are supported </w:t>
      </w:r>
      <w:r w:rsidR="009B02CC">
        <w:t>by</w:t>
      </w:r>
      <w:r w:rsidR="00A8130B">
        <w:t xml:space="preserve"> the fact that it is preferentially excluded from certain proteins, but demonstrates neutral preferential interaction coefficients for others </w:t>
      </w:r>
      <w:r w:rsidR="00A8130B">
        <w:fldChar w:fldCharType="begin" w:fldLock="1"/>
      </w:r>
      <w:r w:rsidR="00A8130B">
        <w:instrText>ADDIN CSL_CITATION { "citationItems" : [ { "id" : "ITEM-1", "itemData" : { "ISBN" : "0021-9258", "ISSN" : "00219258", "PMID" : "6325414", "abstract" : "Preferential interaction measurements between proteins and monosodium glutamate were carried out to arrive at an understanding of the mechanism of its strong effect on tubulin stability and self-assembly into microtubules. For all proteins studied, i.e. bovine serum albumin, lysozyme, beta-lactoglobulin, and calf brain tubulin, the protein showed a large preferential hydration in the presence of monosodium glutamate. The enhancement of tubulin self-association by monosodium glutamate can be interpreted in terms of the large unfavorable free energy of interaction between the additive and the protein. Preferential interactions were also examined for lysine hydrochloride, which also gave a preferential hydration of the proteins, except for tubulin. The dependence of the preferential hydration parameter on proteins was different for the two additives, suggesting the importance of net electrostatic charges of proteins in their interaction with glutamate anions and lysinium cations. The zero preferential interaction of lysine hydrochloride with tubulin indicates an affinity of the lysine cation for the protein. Both additives increased the transition temperature of proteins. This can be understood in terms of the unfavorable free energy of interaction between the additive and the protein surface, which should be even more unfavorable when the denaturation causes an increase in the surface area.", "author" : [ { "dropping-particle" : "", "family" : "Arakawa", "given" : "T", "non-dropping-particle" : "", "parse-names" : false, "suffix" : "" }, { "dropping-particle" : "", "family" : "Timasheff", "given" : "S N", "non-dropping-particle" : "", "parse-names" : false, "suffix" : "" } ], "container-title" : "Journal of Biological Chemistry", "id" : "ITEM-1", "issued" : { "date-parts" : [ [ "1984" ] ] }, "page" : "4979-4986", "title" : "The mechanism of action of Na glutamate, lysine HCl, and piperazine-N,N'-bis(2-ethanesulfonic acid) in the stabilization of tubulin and microtubule formation", "type" : "article-journal", "volume" : "259" }, "uris" : [ "http://www.mendeley.com/documents/?uuid=75a30318-d51a-44cc-bb18-bd53c36e6017" ] } ], "mendeley" : { "formattedCitation" : "(Arakawa &amp; Timasheff 1984b)", "plainTextFormattedCitation" : "(Arakawa &amp; Timasheff 1984b)", "previouslyFormattedCitation" : "(Arakawa &amp; Timasheff 1984b)" }, "properties" : { "noteIndex" : 0 }, "schema" : "https://github.com/citation-style-language/schema/raw/master/csl-citation.json" }</w:instrText>
      </w:r>
      <w:r w:rsidR="00A8130B">
        <w:fldChar w:fldCharType="separate"/>
      </w:r>
      <w:r w:rsidR="00A8130B" w:rsidRPr="000A0AAC">
        <w:rPr>
          <w:noProof/>
        </w:rPr>
        <w:t>(Arakawa &amp; Timasheff 1984b)</w:t>
      </w:r>
      <w:r w:rsidR="00A8130B">
        <w:fldChar w:fldCharType="end"/>
      </w:r>
      <w:r w:rsidR="00A8130B">
        <w:t>. Due to the lack of t</w:t>
      </w:r>
      <w:r w:rsidR="009B02CC">
        <w:t xml:space="preserve">he guanidinium group, lysine </w:t>
      </w:r>
      <w:r w:rsidR="00A8130B">
        <w:t>form</w:t>
      </w:r>
      <w:r w:rsidR="009B02CC">
        <w:t>s</w:t>
      </w:r>
      <w:r w:rsidR="00A8130B">
        <w:t xml:space="preserve"> less cation-π interactions with aromatic residues on proteins</w:t>
      </w:r>
      <w:r w:rsidR="002913D1">
        <w:t xml:space="preserve"> than arginine despite </w:t>
      </w:r>
      <w:r w:rsidR="000D0C74">
        <w:t xml:space="preserve">having a </w:t>
      </w:r>
      <w:r w:rsidR="002913D1">
        <w:t>positively charged</w:t>
      </w:r>
      <w:r w:rsidR="00A8130B">
        <w:t xml:space="preserve"> </w:t>
      </w:r>
      <w:r w:rsidR="000D0C74">
        <w:t xml:space="preserve">side chain at pH 7 </w:t>
      </w:r>
      <w:r w:rsidR="00A8130B">
        <w:fldChar w:fldCharType="begin" w:fldLock="1"/>
      </w:r>
      <w:r w:rsidR="00E11F61">
        <w:instrText>ADDIN CSL_CITATION { "citationItems" : [ { "id" : "ITEM-1", "itemData" : { "DOI" : "10.1080/07391102.2015.1013158", "ISSN" : "1538-0254", "PMID" : "25730443", "abstract" : "Additives are widely used to suppress aggregation of therapeutic proteins. However, the molecular mechanisms of effect of additives to stabilize proteins are still unclear. To understand this, we herein perform molecular dynamics simulations of lysozyme in the presence of three commonly used additives: arginine, lysine, and guanidine. These additives have different effects on stability of proteins and have different structures with some similarities; arginine and lysine have aliphatic side chain, while arginine has a guanidinium group. We analyze atomic contact frequencies to study the interactions of the additives with individual residues of lysozyme. Contact coefficient, quantified from contact frequencies, is helpful in analyzing the interactions with the guanidine groups as well as aliphatic side chains of arginine and lysine. Strong preference for contacts to the additives (over water) is seen for the acidic followed by polar and the aromatic residues. Further analysis suggests that the hydration layer around the protein surface is depleted more in the presence of arginine, followed by lysine and guanidine. Molecular dynamics simulations also reveal that the internal dynamics of protein, as indicated by the lifetimes of the hydrogen bonds within the protein, changes depending on the additives. Particularly, we note that the side-chain hydrogen-bonding patterns within the protein differ with the additives, with several side-chain hydrogen bonds missing in the presence of guanidine. These results collectively indicate that the aliphatic chain of arginine and lysine plays a critical role in the stabilization of the protein.", "author" : [ { "dropping-particle" : "", "family" : "Shah", "given" : "D", "non-dropping-particle" : "", "parse-names" : false, "suffix" : "" }, { "dropping-particle" : "", "family" : "Shaikh", "given" : "A R", "non-dropping-particle" : "", "parse-names" : false, "suffix" : "" } ], "container-title" : "Journal of Biomolecular Structure &amp; Dynamics", "id" : "ITEM-1", "issued" : { "date-parts" : [ [ "2015" ] ] }, "page" : "1-11", "title" : "Interaction of arginine, lysine, and guanidine with surface residues of lysozyme: Implication to protein stability", "type" : "article-journal", "volume" : "1102" }, "uris" : [ "http://www.mendeley.com/documents/?uuid=18886b5b-34f4-44e6-9865-8cd4dac1f253" ] }, { "id" : "ITEM-2", "itemData" : { "DOI" : "10.1002/prot.20417", "ISSN" : "08873585", "PMID" : "15726638", "author" : [ { "dropping-particle" : "", "family" : "Crowley", "given" : "P B", "non-dropping-particle" : "", "parse-names" : false, "suffix" : "" }, { "dropping-particle" : "", "family" : "Golovin", "given" : "A", "non-dropping-particle" : "", "parse-names" : false, "suffix" : "" } ], "container-title" : "Proteins", "id" : "ITEM-2", "issued" : { "date-parts" : [ [ "2005" ] ] }, "page" : "231-239", "title" : "Cation-\u03c0 interactions in protein-protein interfaces", "type" : "article-journal", "volume" : "59" }, "uris" : [ "http://www.mendeley.com/documents/?uuid=cef29d05-cc87-481f-b692-6a1cb2dec1f1" ] } ], "mendeley" : { "formattedCitation" : "(Shah &amp; Shaikh 2015; Crowley &amp; Golovin 2005)", "plainTextFormattedCitation" : "(Shah &amp; Shaikh 2015; Crowley &amp; Golovin 2005)", "previouslyFormattedCitation" : "(Shah &amp; Shaikh 2015; Crowley &amp; Golovin 2005)" }, "properties" : { "noteIndex" : 0 }, "schema" : "https://github.com/citation-style-language/schema/raw/master/csl-citation.json" }</w:instrText>
      </w:r>
      <w:r w:rsidR="00A8130B">
        <w:fldChar w:fldCharType="separate"/>
      </w:r>
      <w:r w:rsidR="00A8130B" w:rsidRPr="000A0AAC">
        <w:rPr>
          <w:noProof/>
        </w:rPr>
        <w:t>(Shah &amp; Shaikh 2015; Crowley &amp; Golovin 2005)</w:t>
      </w:r>
      <w:r w:rsidR="00A8130B">
        <w:fldChar w:fldCharType="end"/>
      </w:r>
      <w:r w:rsidR="00A8130B">
        <w:t xml:space="preserve">. Lysine has also shown </w:t>
      </w:r>
      <w:r w:rsidR="009B02CC">
        <w:t>a lack of self-association</w:t>
      </w:r>
      <w:r w:rsidR="00A8130B">
        <w:t xml:space="preserve"> in solution, giving support to the hypothesis that arginine stacks in solution via guanidinium-guanidinium interactions </w:t>
      </w:r>
      <w:r w:rsidR="00A8130B">
        <w:fldChar w:fldCharType="begin" w:fldLock="1"/>
      </w:r>
      <w:r w:rsidR="00E11F61">
        <w:instrText>ADDIN CSL_CITATION { "citationItems" : [ { "id" : "ITEM-1", "itemData" : { "DOI" : "10.1021/jp902377q", "ISSN" : "1520-6106", "PMID" : "19354258", "abstract" : "Molecular dynamics simulations show significant like-charge pairing of guanidinium side chains in aqueous poly-arginine, while this effect is absent in aqueous poly-lysine containing ammonium-terminated side chains. This behavior of the guanidinium group is revealed also by protein database searches, having important biochemical implications. Combination of molecular dynamics simulations with explicit solvent and ab initio calculations employing a polarizable continuum model of water allows one to rationalize the formation of contact ion pairs between guanidinium cations in terms of individual interactions at the molecular level.", "author" : [ { "dropping-particle" : "", "family" : "Vondr\u00e1sek", "given" : "J", "non-dropping-particle" : "", "parse-names" : false, "suffix" : "" }, { "dropping-particle" : "", "family" : "Mason", "given" : "P E", "non-dropping-particle" : "", "parse-names" : false, "suffix" : "" }, { "dropping-particle" : "", "family" : "Heyda", "given" : "J", "non-dropping-particle" : "", "parse-names" : false, "suffix" : "" }, { "dropping-particle" : "", "family" : "Collins", "given" : "K D", "non-dropping-particle" : "", "parse-names" : false, "suffix" : "" }, { "dropping-particle" : "", "family" : "Jungwirth", "given" : "P", "non-dropping-particle" : "", "parse-names" : false, "suffix" : "" } ], "container-title" : "Journal of Physical Chemistry B Letters", "id" : "ITEM-1", "issued" : { "date-parts" : [ [ "2009", "7", "9" ] ] }, "page" : "9041-9045", "title" : "The molecular origin of like-charge arginine-arginine pairing in water", "type" : "article-journal", "volume" : "113" }, "uris" : [ "http://www.mendeley.com/documents/?uuid=2b4d5602-cb6f-4b2e-9f59-c43b7ae046d8" ] } ], "mendeley" : { "formattedCitation" : "(Vondr\u00e1sek et al. 2009)", "plainTextFormattedCitation" : "(Vondr\u00e1sek et al. 2009)", "previouslyFormattedCitation" : "(Vondr\u00e1sek et al. 2009)" }, "properties" : { "noteIndex" : 0 }, "schema" : "https://github.com/citation-style-language/schema/raw/master/csl-citation.json" }</w:instrText>
      </w:r>
      <w:r w:rsidR="00A8130B">
        <w:fldChar w:fldCharType="separate"/>
      </w:r>
      <w:r w:rsidR="00A8130B" w:rsidRPr="000A0AAC">
        <w:rPr>
          <w:noProof/>
        </w:rPr>
        <w:t>(Vondrásek et al. 2009)</w:t>
      </w:r>
      <w:r w:rsidR="00A8130B">
        <w:fldChar w:fldCharType="end"/>
      </w:r>
      <w:r w:rsidR="00A8130B">
        <w:t>.</w:t>
      </w:r>
    </w:p>
    <w:p w14:paraId="166653B2" w14:textId="77777777" w:rsidR="005644BD" w:rsidRDefault="000364D0" w:rsidP="005644BD">
      <w:pPr>
        <w:pStyle w:val="Heading3"/>
      </w:pPr>
      <w:bookmarkStart w:id="133" w:name="_Toc485712768"/>
      <w:r>
        <w:t>Histidine &amp;</w:t>
      </w:r>
      <w:r w:rsidR="005644BD">
        <w:t xml:space="preserve"> Imidazole</w:t>
      </w:r>
      <w:bookmarkEnd w:id="133"/>
    </w:p>
    <w:p w14:paraId="6EA59F57" w14:textId="77777777" w:rsidR="00395AF6" w:rsidRPr="00395AF6" w:rsidRDefault="00395AF6" w:rsidP="00395AF6">
      <w:r>
        <w:t>Histidine is the third positively charge</w:t>
      </w:r>
      <w:r w:rsidR="002913D1">
        <w:t xml:space="preserve">d amino acid, with an imidazole-based </w:t>
      </w:r>
      <w:r>
        <w:t>side chain (</w:t>
      </w:r>
      <w:r>
        <w:fldChar w:fldCharType="begin"/>
      </w:r>
      <w:r>
        <w:instrText xml:space="preserve"> REF _Ref460074169 \h </w:instrText>
      </w:r>
      <w:r>
        <w:fldChar w:fldCharType="separate"/>
      </w:r>
      <w:r w:rsidR="00AA6926">
        <w:t xml:space="preserve">Figure </w:t>
      </w:r>
      <w:r w:rsidR="00AA6926">
        <w:rPr>
          <w:noProof/>
        </w:rPr>
        <w:t>1</w:t>
      </w:r>
      <w:r w:rsidR="00AA6926">
        <w:noBreakHyphen/>
      </w:r>
      <w:r w:rsidR="00AA6926">
        <w:rPr>
          <w:noProof/>
        </w:rPr>
        <w:t>14</w:t>
      </w:r>
      <w:r>
        <w:fldChar w:fldCharType="end"/>
      </w:r>
      <w:r>
        <w:t>). It has three ionisation sites and as such is commonly used as a buffer at pH 5.5-6.5</w:t>
      </w:r>
      <w:r w:rsidR="00277E7E">
        <w:t>, as well as occasionally being used as a stabilising excipient</w:t>
      </w:r>
      <w:r>
        <w:t xml:space="preserve"> </w:t>
      </w:r>
      <w:r>
        <w:fldChar w:fldCharType="begin" w:fldLock="1"/>
      </w:r>
      <w:r w:rsidR="00E83975">
        <w:instrText>ADDIN CSL_CITATION { "citationItems" : [ { "id" : "ITEM-1", "itemData" : { "DOI" : "10.1517/17425240903199143", "ISSN" : "1744-7593", "PMID" : "19678792", "abstract" : "In the area of peptide and protein pharmaceuticals, both the physical and chemical stability of biopharmaceuticals are critical and need to be optimised when formulating a drug product, in order to optimise the outcome after processing and storage. This review focuses on the effects on the stability from various types of excipient and the choices that have to be made during formulation of drug products containing peptides or proteins. It is illustrated, through examples, how the choice of one excipient over another can affect the stability of a protein drug formulation, along with other problems linked to this choice. The excipients used in pharmaceutical preparations are limited and from an academic point of view there is a clear requirement for new excipients.", "author" : [ { "dropping-particle" : "", "family" : "Jorgensen", "given" : "L", "non-dropping-particle" : "", "parse-names" : false, "suffix" : "" }, { "dropping-particle" : "", "family" : "Hostrup", "given" : "S", "non-dropping-particle" : "", "parse-names" : false, "suffix" : "" }, { "dropping-particle" : "", "family" : "Moeller", "given" : "E H", "non-dropping-particle" : "", "parse-names" : false, "suffix" : "" }, { "dropping-particle" : "", "family" : "Grohganz", "given" : "H", "non-dropping-particle" : "", "parse-names" : false, "suffix" : "" } ], "container-title" : "Expert Opinion on Drug Delivery", "id" : "ITEM-1", "issued" : { "date-parts" : [ [ "2009", "11" ] ] }, "page" : "1219-1230", "title" : "Recent trends in stabilising peptides and proteins in pharmaceutical formulation - considerations in the choice of excipients", "type" : "article-journal", "volume" : "6" }, "uris" : [ "http://www.mendeley.com/documents/?uuid=8bf98923-ee81-40e1-a96a-6352403ea5bb" ] } ], "mendeley" : { "formattedCitation" : "(Jorgensen et al. 2009)", "plainTextFormattedCitation" : "(Jorgensen et al. 2009)", "previouslyFormattedCitation" : "(Jorgensen et al. 2009)" }, "properties" : { "noteIndex" : 0 }, "schema" : "https://github.com/citation-style-language/schema/raw/master/csl-citation.json" }</w:instrText>
      </w:r>
      <w:r>
        <w:fldChar w:fldCharType="separate"/>
      </w:r>
      <w:r w:rsidRPr="00395AF6">
        <w:rPr>
          <w:noProof/>
        </w:rPr>
        <w:t>(Jorgensen et al. 2009)</w:t>
      </w:r>
      <w:r>
        <w:fldChar w:fldCharType="end"/>
      </w:r>
      <w:r>
        <w:t xml:space="preserve">. </w:t>
      </w:r>
      <w:r w:rsidR="00E83975">
        <w:t>Most experimental data suggests that histidine destabilises proteins (</w:t>
      </w:r>
      <w:r w:rsidR="00E83975">
        <w:fldChar w:fldCharType="begin"/>
      </w:r>
      <w:r w:rsidR="00E83975">
        <w:instrText xml:space="preserve"> REF _Ref453339849 \h </w:instrText>
      </w:r>
      <w:r w:rsidR="00E83975">
        <w:fldChar w:fldCharType="separate"/>
      </w:r>
      <w:r w:rsidR="00AA6926">
        <w:t xml:space="preserve">Table </w:t>
      </w:r>
      <w:r w:rsidR="00AA6926">
        <w:rPr>
          <w:noProof/>
        </w:rPr>
        <w:t>1</w:t>
      </w:r>
      <w:r w:rsidR="00AA6926">
        <w:noBreakHyphen/>
      </w:r>
      <w:r w:rsidR="00AA6926">
        <w:rPr>
          <w:noProof/>
        </w:rPr>
        <w:t>4</w:t>
      </w:r>
      <w:r w:rsidR="00E83975">
        <w:fldChar w:fldCharType="end"/>
      </w:r>
      <w:r w:rsidR="00E83975">
        <w:t xml:space="preserve">), but there are specific examples of stabilisation of </w:t>
      </w:r>
      <w:r w:rsidR="00277E7E">
        <w:t xml:space="preserve">monoclonal </w:t>
      </w:r>
      <w:r w:rsidR="00E83975">
        <w:t xml:space="preserve">antibodies by histidine </w:t>
      </w:r>
      <w:r w:rsidR="00E83975">
        <w:fldChar w:fldCharType="begin" w:fldLock="1"/>
      </w:r>
      <w:r w:rsidR="00924827">
        <w:instrText>ADDIN CSL_CITATION { "citationItems" : [ { "id" : "ITEM-1", "itemData" : { "DOI" : "10.1002/jctb.2657", "ISSN" : "02682575", "author" : [ { "dropping-particle" : "", "family" : "Falconer", "given" : "R J", "non-dropping-particle" : "", "parse-names" : false, "suffix" : "" }, { "dropping-particle" : "", "family" : "Chan", "given" : "C", "non-dropping-particle" : "", "parse-names" : false, "suffix" : "" }, { "dropping-particle" : "", "family" : "Hughes", "given" : "K", "non-dropping-particle" : "", "parse-names" : false, "suffix" : "" }, { "dropping-particle" : "", "family" : "Munro", "given" : "T P", "non-dropping-particle" : "", "parse-names" : false, "suffix" : "" } ], "container-title" : "Journal of Chemical Technology &amp; Biotechnology", "id" : "ITEM-1", "issued" : { "date-parts" : [ [ "2011", "7", "7" ] ] }, "page" : "942-948", "title" : "Stabilization of a monoclonal antibody during purification and formulation by addition of basic amino acid excipients", "type" : "article-journal", "volume" : "86" }, "uris" : [ "http://www.mendeley.com/documents/?uuid=0fd7d4b0-b0a9-40ec-8c2a-8ec42fa3572d" ] }, { "id" : "ITEM-2", "itemData" : { "PMID" : "14725359", "abstract" : "PURPOSE: The aim of the study was to investigate the effect of histidine on the stability and physical properties of a fully human anti-IL8 monoclonal antibody (ABX-IL8) in aqueous and solid forms. METHODS: Using a fractional factorial design, we tested many excipients, including histidine, sucrose, and other commonly used excipients, on the stability and physical properties of the antibody in both liquid and lyophilized forms. Antibody stability and physical properties were evaluated using size-exclusion high-performance liquid chromatography (SEC-HPLC), sodium dodecyl sulfate-polyacrylamide gel electrophoresis (SDS-PAGE), and a viscometer. Residual moisture content was determined by coulometric Karl Fischer titrator. Differential scanning calorimetry (DSC) was used to detect the glass transition temperatures (Tg) of the solid cakes and melting temperatures (Tm) of the antibody in liquid formulations. Fourier-transform infrared (FTIR) spectroscopy was used to examine the overall secondary structure. RESULTS: Increasing the histidine concentration in the bulk solution inhibited the increases of high-molecular-weight (HMW) species and aggregates upon lyophilization and storage. In addition, histidine bulk enhanced solution stability of the antibody under freezing and thermal stress conditions, as evidenced by the lower levels of aggregates. Furthermore, histidine reduced viscosity of the antibody solution, which is desirable for the manufacture of the dosage form. However, high concentrations of histidine in liquid formulations led to coloration of the solution and high levels of aggregates on storage at elevated temperature (40 degrees C) after the formulations were exposed to stainless steel containers during bulk freezing-thawing. CONCLUSIONS: Histidine enhanced the stability of ABX-IL8 in both aqueous and lyophilized forms. Histidine also improved the physical properties such as reducing the solution viscosity. Liquid formulations containing high concentrations of histidine should not be stored in stainless steel tanks at elevated temperatures.", "author" : [ { "dropping-particle" : "", "family" : "Chen", "given" : "B", "non-dropping-particle" : "", "parse-names" : false, "suffix" : "" }, { "dropping-particle" : "", "family" : "Bautista", "given" : "R", "non-dropping-particle" : "", "parse-names" : false, "suffix" : "" }, { "dropping-particle" : "", "family" : "Yu", "given" : "K", "non-dropping-particle" : "", "parse-names" : false, "suffix" : "" }, { "dropping-particle" : "", "family" : "Zapata", "given" : "G A", "non-dropping-particle" : "", "parse-names" : false, "suffix" : "" }, { "dropping-particle" : "", "family" : "Mulkerrin", "given" : "M G", "non-dropping-particle" : "", "parse-names" : false, "suffix" : "" }, { "dropping-particle" : "", "family" : "Chamow", "given" : "S M", "non-dropping-particle" : "", "parse-names" : false, "suffix" : "" } ], "container-title" : "Pharmaceutical Research", "id" : "ITEM-2", "issued" : { "date-parts" : [ [ "2003" ] ] }, "page" : "1952-1960", "title" : "Influence of histidine on the stability and physical properties of a fully human antibody in aqueous and solid forms", "type" : "article-journal", "volume" : "20" }, "uris" : [ "http://www.mendeley.com/documents/?uuid=a9eccf94-ea9d-4c9c-9b96-808b2dc70012" ] } ], "mendeley" : { "formattedCitation" : "(Falconer et al. 2011; Chen et al. 2003)", "plainTextFormattedCitation" : "(Falconer et al. 2011; Chen et al. 2003)", "previouslyFormattedCitation" : "(Falconer et al. 2011; Chen et al. 2003)" }, "properties" : { "noteIndex" : 0 }, "schema" : "https://github.com/citation-style-language/schema/raw/master/csl-citation.json" }</w:instrText>
      </w:r>
      <w:r w:rsidR="00E83975">
        <w:fldChar w:fldCharType="separate"/>
      </w:r>
      <w:r w:rsidR="00E83975" w:rsidRPr="00E83975">
        <w:rPr>
          <w:noProof/>
        </w:rPr>
        <w:t>(Falconer et al. 2011; Chen et al. 2003)</w:t>
      </w:r>
      <w:r w:rsidR="00E83975">
        <w:fldChar w:fldCharType="end"/>
      </w:r>
      <w:r w:rsidR="00277E7E">
        <w:t>. Specific mechanisms for the action of histidine on protein stability have yet to be investigated.</w:t>
      </w:r>
    </w:p>
    <w:p w14:paraId="62DEB7FA" w14:textId="77777777" w:rsidR="00A8130B" w:rsidRDefault="00A8130B" w:rsidP="00A8130B">
      <w:pPr>
        <w:keepNext/>
      </w:pPr>
      <w:r w:rsidRPr="00A8130B">
        <w:rPr>
          <w:noProof/>
          <w:lang w:eastAsia="en-GB"/>
        </w:rPr>
        <w:drawing>
          <wp:inline distT="0" distB="0" distL="0" distR="0" wp14:anchorId="0743C29C" wp14:editId="4D8D8395">
            <wp:extent cx="3168352" cy="2146302"/>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8352" cy="214630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1544D6E7" w14:textId="77777777" w:rsidR="00A8130B" w:rsidRDefault="00A8130B" w:rsidP="00A8130B">
      <w:pPr>
        <w:pStyle w:val="Caption"/>
        <w:jc w:val="left"/>
      </w:pPr>
      <w:bookmarkStart w:id="134" w:name="_Ref460074169"/>
      <w:bookmarkStart w:id="135" w:name="_Toc482633172"/>
      <w:r>
        <w:t xml:space="preserve">Figure </w:t>
      </w:r>
      <w:fldSimple w:instr=" STYLEREF 1 \s ">
        <w:r w:rsidR="00AA6926">
          <w:rPr>
            <w:noProof/>
          </w:rPr>
          <w:t>1</w:t>
        </w:r>
      </w:fldSimple>
      <w:r w:rsidR="00BA082C">
        <w:noBreakHyphen/>
      </w:r>
      <w:fldSimple w:instr=" SEQ Figure \* ARABIC \s 1 ">
        <w:r w:rsidR="00AA6926">
          <w:rPr>
            <w:noProof/>
          </w:rPr>
          <w:t>14</w:t>
        </w:r>
      </w:fldSimple>
      <w:bookmarkEnd w:id="134"/>
      <w:r>
        <w:t>. Structure of histidine</w:t>
      </w:r>
      <w:bookmarkEnd w:id="135"/>
    </w:p>
    <w:p w14:paraId="0CF510AC" w14:textId="77777777" w:rsidR="00277E7E" w:rsidRPr="00277E7E" w:rsidRDefault="00277E7E" w:rsidP="00277E7E">
      <w:r>
        <w:t xml:space="preserve">Imidazole itself is used by the pharmaceutical industry to purify his-tagged proteins, and potentially also stabilise and solubilise them </w:t>
      </w:r>
      <w:r>
        <w:fldChar w:fldCharType="begin" w:fldLock="1"/>
      </w:r>
      <w:r w:rsidR="009863DE">
        <w:instrText>ADDIN CSL_CITATION { "citationItems" : [ { "id" : "ITEM-1", "itemData" : { "DOI" : "10.1089/153685903771797048", "ISBN" : "1536-8599 (Print)\\n1536-8599 (Linking)", "ISSN" : "1536-8599", "PMID" : "14683594", "abstract" : "A number of studies have demonstrated the limited solubility of single-chain Fv antibody fragments and its improvement by genetic engineering. This limits the stability of recombinant protein upon storage and the efficiency of chemical modification. The RAFT3 scFv used in the present work is specific for melanoma-associated proteoglycan and an attractive candidate for clinical radioimaging studies because of its unusual radiolabelling properties. However, when expressed with a c-terminal his(6) IMAC purification tag, the recombinant protein starts to precipitate after column elution and dialysis against PBS and reaches a concentration of soluble protein of approximately 150 microg/mL within a few days upon storage at 4 degrees C. We tested several commonly used buffer modifications (addition of detergents, high salt, amino acids) to improve the solubility and stability of the protein but without any major improvement. However, we found that, when the final dialysis step was omitted and the protein left in IMAC column elution buffer (PBS containing imidazole), it remained soluble. Furthermore, several months old and precipitated protein could be redissolved in this buffer without loss of antigen binding. This observation and the largely pH-independent nature of protein solubility suggest that neither salt bridges formed by the his(6) tail nor cross-linking of his(6) tails mediated by metal ions leached from the column during elution are responsible for the limited solubility of the protein in the absence of imidazole. The presence of imidazole did not interfere with radiolabelling and in vivo tumor targeting in a mouse model. The solubilizing and stabilizing effect of imidazole could be of use for his(6) tagged and poorly soluble recombinant proteins other than scFvs.", "author" : [ { "dropping-particle" : "", "family" : "Hamilton", "given" : "S", "non-dropping-particle" : "", "parse-names" : false, "suffix" : "" }, { "dropping-particle" : "", "family" : "Odili", "given" : "J", "non-dropping-particle" : "", "parse-names" : false, "suffix" : "" }, { "dropping-particle" : "", "family" : "Pacifico", "given" : "M D", "non-dropping-particle" : "", "parse-names" : false, "suffix" : "" }, { "dropping-particle" : "", "family" : "Wilson", "given" : "G D", "non-dropping-particle" : "", "parse-names" : false, "suffix" : "" }, { "dropping-particle" : "", "family" : "Kupsch", "given" : "J M", "non-dropping-particle" : "", "parse-names" : false, "suffix" : "" } ], "container-title" : "Hybridoma and Hybridomics", "id" : "ITEM-1", "issued" : { "date-parts" : [ [ "2003" ] ] }, "page" : "347-355", "title" : "Effect of imidazole on the solubility of a his-tagged antibody fragment", "type" : "article-journal", "volume" : "22" }, "uris" : [ "http://www.mendeley.com/documents/?uuid=c77dcd01-1a36-41fb-bc98-8e5b680c8513" ] } ], "mendeley" : { "formattedCitation" : "(Hamilton et al. 2003)", "plainTextFormattedCitation" : "(Hamilton et al. 2003)", "previouslyFormattedCitation" : "(Hamilton et al. 2003)" }, "properties" : { "noteIndex" : 0 }, "schema" : "https://github.com/citation-style-language/schema/raw/master/csl-citation.json" }</w:instrText>
      </w:r>
      <w:r>
        <w:fldChar w:fldCharType="separate"/>
      </w:r>
      <w:r w:rsidRPr="00277E7E">
        <w:rPr>
          <w:noProof/>
        </w:rPr>
        <w:t>(Hamilton et al. 2003)</w:t>
      </w:r>
      <w:r>
        <w:fldChar w:fldCharType="end"/>
      </w:r>
      <w:r>
        <w:t xml:space="preserve">. Imidazole is a </w:t>
      </w:r>
      <w:r>
        <w:lastRenderedPageBreak/>
        <w:t>planar ring structure that is weakly hydrated (</w:t>
      </w:r>
      <w:r>
        <w:fldChar w:fldCharType="begin"/>
      </w:r>
      <w:r>
        <w:instrText xml:space="preserve"> REF _Ref460075401 \h </w:instrText>
      </w:r>
      <w:r>
        <w:fldChar w:fldCharType="separate"/>
      </w:r>
      <w:r w:rsidR="00AA6926">
        <w:t xml:space="preserve">Figure </w:t>
      </w:r>
      <w:r w:rsidR="00AA6926">
        <w:rPr>
          <w:noProof/>
        </w:rPr>
        <w:t>1</w:t>
      </w:r>
      <w:r w:rsidR="00AA6926">
        <w:noBreakHyphen/>
      </w:r>
      <w:r w:rsidR="00AA6926">
        <w:rPr>
          <w:noProof/>
        </w:rPr>
        <w:t>15</w:t>
      </w:r>
      <w:r>
        <w:fldChar w:fldCharType="end"/>
      </w:r>
      <w:r>
        <w:t>)</w:t>
      </w:r>
      <w:r w:rsidR="009863DE">
        <w:t xml:space="preserve">, and has been shown through molecular dynamics simulations to self-associate in solution due to its hydrophobicity </w:t>
      </w:r>
      <w:r w:rsidR="009863DE">
        <w:fldChar w:fldCharType="begin" w:fldLock="1"/>
      </w:r>
      <w:r w:rsidR="00422ABA">
        <w:instrText>ADDIN CSL_CITATION { "citationItems" : [ { "id" : "ITEM-1", "itemData" : { "DOI" : "10.1016/j.carres.2011.12.008", "ISBN" : "0008-6215", "ISSN" : "00086215", "PMID" : "22248861", "abstract" : "Molecular dynamics simulations were carried out on a concentrated system of \u03b2-d-glucopyranose and imidazole molecules in a periodic box of water at 298 K. The purpose of the simulations was to determine whether or not there was any tendency for these two solutes to associate in an aqueous environment, as has previously been observed for other planar functional groups from amino acid side chains, such as the indole group of tryptophan or the phenolic group of tyrosine. A weak stacking interaction between \u03b2-d-glucopyranose, as a model for cellulose, and imidazole was indeed observed, with an energy of \u223c0.25 kcal/mol per pair, less than kT. Somewhat surprisingly, considerable imidazole self-association into small aggregates (dimers and trimers) was also observed, with binding energies of \u223c0.4 kcal/mol per pair, although still less than kT. Considerable non-stacked interactions between glucose and imidazole through hydrogen bonding were also found. These hydrogen bonds primarily involved the N3 atom of imidazole, because the N-H group of N1 was insufficiently polar to compete for water hydrogen bond partners. \u00a9 2011 Elsevier Ltd. All rights reserved.", "author" : [ { "dropping-particle" : "", "family" : "Chen", "given" : "M", "non-dropping-particle" : "", "parse-names" : false, "suffix" : "" }, { "dropping-particle" : "", "family" : "Bomble", "given" : "Y J", "non-dropping-particle" : "", "parse-names" : false, "suffix" : "" }, { "dropping-particle" : "", "family" : "Himmel", "given" : "M E", "non-dropping-particle" : "", "parse-names" : false, "suffix" : "" }, { "dropping-particle" : "", "family" : "Brady", "given" : "J W", "non-dropping-particle" : "", "parse-names" : false, "suffix" : "" } ], "container-title" : "Carbohydrate Research", "id" : "ITEM-1", "issued" : { "date-parts" : [ [ "2012" ] ] }, "page" : "73-77", "publisher" : "Elsevier Ltd", "title" : "Molecular dynamics simulations of the interaction of glucose with imidazole in aqueous solution", "type" : "article-journal", "volume" : "349" }, "uris" : [ "http://www.mendeley.com/documents/?uuid=d620d969-dfed-4cc2-99a1-684de378eb6f" ] } ], "mendeley" : { "formattedCitation" : "(Chen et al. 2012)", "plainTextFormattedCitation" : "(Chen et al. 2012)", "previouslyFormattedCitation" : "(Chen et al. 2012)" }, "properties" : { "noteIndex" : 0 }, "schema" : "https://github.com/citation-style-language/schema/raw/master/csl-citation.json" }</w:instrText>
      </w:r>
      <w:r w:rsidR="009863DE">
        <w:fldChar w:fldCharType="separate"/>
      </w:r>
      <w:r w:rsidR="009863DE" w:rsidRPr="009863DE">
        <w:rPr>
          <w:noProof/>
        </w:rPr>
        <w:t>(Chen et al. 2012)</w:t>
      </w:r>
      <w:r w:rsidR="009863DE">
        <w:fldChar w:fldCharType="end"/>
      </w:r>
      <w:r w:rsidR="009863DE">
        <w:t>.</w:t>
      </w:r>
    </w:p>
    <w:p w14:paraId="308D452A" w14:textId="77777777" w:rsidR="00A8130B" w:rsidRDefault="00A8130B" w:rsidP="00A8130B">
      <w:pPr>
        <w:keepNext/>
      </w:pPr>
      <w:r w:rsidRPr="00A8130B">
        <w:rPr>
          <w:noProof/>
          <w:lang w:eastAsia="en-GB"/>
        </w:rPr>
        <w:drawing>
          <wp:inline distT="0" distB="0" distL="0" distR="0" wp14:anchorId="48FDCBB6" wp14:editId="4B7CE420">
            <wp:extent cx="1128783" cy="1498203"/>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8783" cy="149820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6A33C51" w14:textId="77777777" w:rsidR="00A8130B" w:rsidRPr="00A8130B" w:rsidRDefault="00A8130B" w:rsidP="00A8130B">
      <w:pPr>
        <w:pStyle w:val="Caption"/>
        <w:jc w:val="left"/>
      </w:pPr>
      <w:bookmarkStart w:id="136" w:name="_Ref460075401"/>
      <w:bookmarkStart w:id="137" w:name="_Ref460075386"/>
      <w:bookmarkStart w:id="138" w:name="_Toc482633173"/>
      <w:r>
        <w:t xml:space="preserve">Figure </w:t>
      </w:r>
      <w:fldSimple w:instr=" STYLEREF 1 \s ">
        <w:r w:rsidR="00AA6926">
          <w:rPr>
            <w:noProof/>
          </w:rPr>
          <w:t>1</w:t>
        </w:r>
      </w:fldSimple>
      <w:r w:rsidR="00BA082C">
        <w:noBreakHyphen/>
      </w:r>
      <w:fldSimple w:instr=" SEQ Figure \* ARABIC \s 1 ">
        <w:r w:rsidR="00AA6926">
          <w:rPr>
            <w:noProof/>
          </w:rPr>
          <w:t>15</w:t>
        </w:r>
      </w:fldSimple>
      <w:bookmarkEnd w:id="136"/>
      <w:r>
        <w:t>. Structure of imidazole</w:t>
      </w:r>
      <w:bookmarkEnd w:id="137"/>
      <w:bookmarkEnd w:id="138"/>
    </w:p>
    <w:p w14:paraId="2F4DC405" w14:textId="77777777" w:rsidR="00FD13D2" w:rsidRDefault="00F45FAF" w:rsidP="000A3469">
      <w:pPr>
        <w:pStyle w:val="Heading2"/>
      </w:pPr>
      <w:bookmarkStart w:id="139" w:name="_Toc485712769"/>
      <w:r>
        <w:t xml:space="preserve">Aims </w:t>
      </w:r>
      <w:r w:rsidR="009863DE">
        <w:t>of this thesis</w:t>
      </w:r>
      <w:bookmarkEnd w:id="139"/>
    </w:p>
    <w:p w14:paraId="5565D06D" w14:textId="77777777" w:rsidR="009863DE" w:rsidRDefault="009863DE" w:rsidP="009863DE">
      <w:r>
        <w:t xml:space="preserve">The aim of this thesis is to quantify the effects of the positively charged amino acids on protein stability and elucidate the mechanisms by which the positively charged amino acids, particularly arginine, </w:t>
      </w:r>
      <w:r w:rsidR="002913D1">
        <w:t>exert these effects</w:t>
      </w:r>
      <w:r>
        <w:t xml:space="preserve">. Detailed thermal stability data of model proteins in the presence of multiple concentrations of the three positively charged amino acids will be collected by Differential Scanning Calorimetry (DSC) experiments, and the trends observed will help to elucidate the mechanisms. The effects of arginine, lysine and histidine on thermal stability of proteins will be compared to those of glycine and their respective side chain functional groups, in order to challenge the hypothesis that the positively charged amino acids’ effects on protein stability are governed by a combination of their functional moieties. </w:t>
      </w:r>
      <w:r w:rsidR="0004478E">
        <w:t>No salt-containing buffers will be used so as to avoid screening of any potential interactions between cosolute and protein, and there will be a focus on detailed data at low concentrations of cosolute, in order to avoid assumptions on the relationship between protein stability and concentration of cosolute.</w:t>
      </w:r>
      <w:r w:rsidR="00D67A02">
        <w:t xml:space="preserve"> The buffering capacity of the protein itself will be used to control the pH.</w:t>
      </w:r>
      <w:r w:rsidR="0004478E">
        <w:t xml:space="preserve"> If this hypothesis proves to be correct, there is great potential for using cosolute mixtures of functional groups </w:t>
      </w:r>
      <w:r w:rsidR="002913D1">
        <w:t>at</w:t>
      </w:r>
      <w:r w:rsidR="0004478E">
        <w:t xml:space="preserve"> bespoke ratios for desired characteristics i</w:t>
      </w:r>
      <w:r w:rsidR="002913D1">
        <w:t>n formulations.</w:t>
      </w:r>
    </w:p>
    <w:p w14:paraId="3DF9D2EB" w14:textId="77777777" w:rsidR="009863DE" w:rsidRDefault="009863DE" w:rsidP="009863DE">
      <w:r>
        <w:lastRenderedPageBreak/>
        <w:t>This thesis also aims to prove or disprove the occurrence of argini</w:t>
      </w:r>
      <w:r w:rsidR="00557131">
        <w:t xml:space="preserve">ne self-association in solution </w:t>
      </w:r>
      <w:r>
        <w:t xml:space="preserve">through experimental </w:t>
      </w:r>
      <w:r w:rsidR="0004478E">
        <w:t>data obtained from Nanoparticle Tracking Analysis (NTA), and to explore the mechanisms by which this clustering might occur.</w:t>
      </w:r>
    </w:p>
    <w:p w14:paraId="341D5BBC" w14:textId="77777777" w:rsidR="00C82B9F" w:rsidRDefault="00C56CFB" w:rsidP="00927F73">
      <w:pPr>
        <w:pStyle w:val="Heading1"/>
      </w:pPr>
      <w:bookmarkStart w:id="140" w:name="_Toc485712770"/>
      <w:r>
        <w:lastRenderedPageBreak/>
        <w:t xml:space="preserve">Theory and methodology of </w:t>
      </w:r>
      <w:r w:rsidRPr="00C56CFB">
        <w:t>experimental</w:t>
      </w:r>
      <w:r>
        <w:t xml:space="preserve"> techniques</w:t>
      </w:r>
      <w:bookmarkEnd w:id="140"/>
    </w:p>
    <w:p w14:paraId="65551762" w14:textId="77777777" w:rsidR="00C56CFB" w:rsidRPr="00927F73" w:rsidRDefault="00C82B9F" w:rsidP="006B7D09">
      <w:pPr>
        <w:pStyle w:val="Heading2"/>
        <w:rPr>
          <w:sz w:val="40"/>
        </w:rPr>
      </w:pPr>
      <w:r>
        <w:br w:type="page"/>
      </w:r>
      <w:bookmarkStart w:id="141" w:name="_Toc485712771"/>
      <w:r w:rsidR="00C56CFB">
        <w:lastRenderedPageBreak/>
        <w:t>Differential Scanning Calorimetry</w:t>
      </w:r>
      <w:bookmarkEnd w:id="141"/>
    </w:p>
    <w:p w14:paraId="0C6EED83" w14:textId="77777777" w:rsidR="00C56CFB" w:rsidRDefault="00C552F2" w:rsidP="00C56CFB">
      <w:pPr>
        <w:pStyle w:val="Heading3"/>
      </w:pPr>
      <w:bookmarkStart w:id="142" w:name="_Toc485712772"/>
      <w:r>
        <w:t>Introduction &amp; i</w:t>
      </w:r>
      <w:r w:rsidR="00C56CFB">
        <w:t>nstrumentation</w:t>
      </w:r>
      <w:bookmarkEnd w:id="142"/>
    </w:p>
    <w:p w14:paraId="169A6514" w14:textId="77777777" w:rsidR="00C56CFB" w:rsidRDefault="00C56CFB" w:rsidP="00C56CFB">
      <w:r>
        <w:t xml:space="preserve">Differential scanning calorimetry (DSC) is a technique that measures the difference in energy uptake between a sample and a reference at a constant rate of temperature increase, which corresponds to a difference in heat capacity. Its utility lies in monitoring thermally induced transitions of macromolecules, such as proteins. It has advantages over other techniques as it </w:t>
      </w:r>
      <w:r w:rsidR="006B7D09">
        <w:t xml:space="preserve">is </w:t>
      </w:r>
      <w:r>
        <w:t xml:space="preserve">a direct measurement of the thermodynamics of the system, does not require modifications of the protein, and buffer solutions do not interfere with the signal as can be the case in spectroscopic analysis </w:t>
      </w:r>
      <w:r>
        <w:fldChar w:fldCharType="begin" w:fldLock="1"/>
      </w:r>
      <w:r>
        <w:instrText>ADDIN CSL_CITATION { "citationItems" : [ { "id" : "ITEM-1", "itemData" : { "DOI" : "10.1016/j.bpc.2005.06.012", "ISBN" : "9780199637461", "ISSN" : "0301-4622", "PMID" : "16055258", "abstract" : "In Protein ligand interactions: hydrodynamics and calorimetry paper", "author" : [ { "dropping-particle" : "", "family" : "Cooper", "given" : "A", "non-dropping-particle" : "", "parse-names" : false, "suffix" : "" }, { "dropping-particle" : "", "family" : "Nutley", "given" : "M A", "non-dropping-particle" : "", "parse-names" : false, "suffix" : "" }, { "dropping-particle" : "", "family" : "Wadood", "given" : "A", "non-dropping-particle" : "", "parse-names" : false, "suffix" : "" } ], "container-title" : "Protein-Ligand Interactions: hydrodynamics and calorimetry", "id" : "ITEM-1", "issued" : { "date-parts" : [ [ "2000" ] ] }, "page" : "287-318", "title" : "Differential scanning microcalorimetry", "type" : "chapter" }, "uris" : [ "http://www.mendeley.com/documents/?uuid=7aab60a0-f9bb-4bdd-990c-01e7c0dbaeb4" ] } ], "mendeley" : { "formattedCitation" : "(Cooper et al. 2000)", "plainTextFormattedCitation" : "(Cooper et al. 2000)", "previouslyFormattedCitation" : "(Cooper et al. 2000)" }, "properties" : { "noteIndex" : 0 }, "schema" : "https://github.com/citation-style-language/schema/raw/master/csl-citation.json" }</w:instrText>
      </w:r>
      <w:r>
        <w:fldChar w:fldCharType="separate"/>
      </w:r>
      <w:r w:rsidRPr="00A400C6">
        <w:rPr>
          <w:noProof/>
        </w:rPr>
        <w:t>(Cooper et al. 2000)</w:t>
      </w:r>
      <w:r>
        <w:fldChar w:fldCharType="end"/>
      </w:r>
      <w:r>
        <w:t>. In this case the protein in buffer solution is placed in the sample cell and the buffer solution alone in the reference cell. Due to protein unfolding being endothermic the sample will require a much larger energy input during the unfol</w:t>
      </w:r>
      <w:r w:rsidR="006B7D09">
        <w:t>ding event to heat it at an identical rate</w:t>
      </w:r>
      <w:r>
        <w:t xml:space="preserve"> to the reference cell, which is recorded by the DSC. From this many thermodynamic values of protein unfolding can be obtained. Multiple scans done of the same protein under different condition can be directly compared. This is particularly true of different concentrations of ligand, which can give detailed information on the various interactions occurring between protein and ligand </w:t>
      </w:r>
      <w:r>
        <w:fldChar w:fldCharType="begin" w:fldLock="1"/>
      </w:r>
      <w:r w:rsidR="002764B5">
        <w:instrText>ADDIN CSL_CITATION { "citationItems" : [ { "id" : "ITEM-1", "itemData" : { "author" : [ { "dropping-particle" : "", "family" : "Malvern Instruments Limited", "given" : "", "non-dropping-particle" : "", "parse-names" : false, "suffix" : "" } ], "container-title" : "Retrieved from: www.malvern.com", "id" : "ITEM-1", "issued" : { "date-parts" : [ [ "2015" ] ] }, "title" : "Differential scanning calorimetry (DSC): Theory and practice", "type" : "webpage" }, "uris" : [ "http://www.mendeley.com/documents/?uuid=c529c847-d1ba-4972-9919-6bf14b3f687a" ] } ], "mendeley" : { "formattedCitation" : "(Malvern Instruments Limited 2015b)", "plainTextFormattedCitation" : "(Malvern Instruments Limited 2015b)", "previouslyFormattedCitation" : "(Malvern Instruments Limited 2015b)" }, "properties" : { "noteIndex" : 0 }, "schema" : "https://github.com/citation-style-language/schema/raw/master/csl-citation.json" }</w:instrText>
      </w:r>
      <w:r>
        <w:fldChar w:fldCharType="separate"/>
      </w:r>
      <w:r w:rsidRPr="00972DE4">
        <w:rPr>
          <w:noProof/>
        </w:rPr>
        <w:t>(Malvern Instruments Limited 2015b)</w:t>
      </w:r>
      <w:r>
        <w:fldChar w:fldCharType="end"/>
      </w:r>
      <w:r>
        <w:t>.</w:t>
      </w:r>
    </w:p>
    <w:p w14:paraId="3C24635E" w14:textId="77777777" w:rsidR="00C56CFB" w:rsidRPr="00B35D41" w:rsidRDefault="00C56CFB" w:rsidP="00C56CFB">
      <w:r>
        <w:t>The DSC instrument used for the experiments condu</w:t>
      </w:r>
      <w:r w:rsidR="00676FD7">
        <w:t>cted in this thesis is the Nano-</w:t>
      </w:r>
      <w:r>
        <w:t>DSC (TA Instruments, New Castle, DE, USA) (</w:t>
      </w:r>
      <w:r>
        <w:fldChar w:fldCharType="begin"/>
      </w:r>
      <w:r>
        <w:instrText xml:space="preserve"> REF _Ref462151504 \h </w:instrText>
      </w:r>
      <w:r>
        <w:fldChar w:fldCharType="separate"/>
      </w:r>
      <w:r w:rsidR="00AA6926" w:rsidRPr="0031108A">
        <w:t xml:space="preserve">Figure </w:t>
      </w:r>
      <w:r w:rsidR="00AA6926">
        <w:rPr>
          <w:noProof/>
        </w:rPr>
        <w:t>2</w:t>
      </w:r>
      <w:r w:rsidR="00AA6926">
        <w:noBreakHyphen/>
      </w:r>
      <w:r w:rsidR="00AA6926">
        <w:rPr>
          <w:noProof/>
        </w:rPr>
        <w:t>1</w:t>
      </w:r>
      <w:r>
        <w:fldChar w:fldCharType="end"/>
      </w:r>
      <w:r>
        <w:t xml:space="preserve">). This instrument has capillary cells, rather than disc-shaped cells, which give much more sensitive measurements and delay aggregation of proteins until after the unfolding event </w:t>
      </w:r>
      <w:r>
        <w:fldChar w:fldCharType="begin" w:fldLock="1"/>
      </w:r>
      <w:r w:rsidR="00FF6FB8">
        <w:instrText>ADDIN CSL_CITATION { "citationItems" : [ { "id" : "ITEM-1", "itemData" : { "author" : [ { "dropping-particle" : "", "family" : "TA Instruments", "given" : "", "non-dropping-particle" : "", "parse-names" : false, "suffix" : "" } ], "container-title" : "Retrieved from: www.tainstruments.com", "id" : "ITEM-1", "issued" : { "date-parts" : [ [ "2010" ] ] }, "title" : "Advantages of using a Nano DSC when studying proteins that aggregate and precipitate when denatured", "type" : "article-journal" }, "uris" : [ "http://www.mendeley.com/documents/?uuid=4c36e618-1f37-4df7-9378-602ff4a3dabc" ] } ], "mendeley" : { "formattedCitation" : "(TA Instruments 2010)", "plainTextFormattedCitation" : "(TA Instruments 2010)", "previouslyFormattedCitation" : "(TA Instruments 2010)" }, "properties" : { "noteIndex" : 0 }, "schema" : "https://github.com/citation-style-language/schema/raw/master/csl-citation.json" }</w:instrText>
      </w:r>
      <w:r>
        <w:fldChar w:fldCharType="separate"/>
      </w:r>
      <w:r w:rsidRPr="00E10B38">
        <w:rPr>
          <w:noProof/>
        </w:rPr>
        <w:t>(TA Instruments 2010)</w:t>
      </w:r>
      <w:r>
        <w:fldChar w:fldCharType="end"/>
      </w:r>
      <w:r>
        <w:t xml:space="preserve">. Due to the sensitivity of the instrument this also means lower protein concentrations are required for reliable results and so aggregation is also reduced again. The capillary cells are made of inert platinum, in order to minimise any interference between the solutions and the surface of the cell. </w:t>
      </w:r>
    </w:p>
    <w:bookmarkStart w:id="143" w:name="_MON_1535874471"/>
    <w:bookmarkEnd w:id="143"/>
    <w:p w14:paraId="5B04E257" w14:textId="77777777" w:rsidR="00C56CFB" w:rsidRDefault="00C56CFB" w:rsidP="00C56CFB">
      <w:pPr>
        <w:keepNext/>
      </w:pPr>
      <w:r>
        <w:object w:dxaOrig="9521" w:dyaOrig="6872" w14:anchorId="114885C1">
          <v:shape id="_x0000_i1034" type="#_x0000_t75" style="width:476.25pt;height:343.5pt" o:ole="">
            <v:imagedata r:id="rId36" o:title=""/>
          </v:shape>
          <o:OLEObject Type="Embed" ProgID="Word.Document.12" ShapeID="_x0000_i1034" DrawAspect="Content" ObjectID="_1559454688" r:id="rId37">
            <o:FieldCodes>\s</o:FieldCodes>
          </o:OLEObject>
        </w:object>
      </w:r>
    </w:p>
    <w:p w14:paraId="656C1199" w14:textId="77777777" w:rsidR="00C56CFB" w:rsidRDefault="00C56CFB" w:rsidP="006B257F">
      <w:pPr>
        <w:pStyle w:val="Caption"/>
        <w:jc w:val="left"/>
      </w:pPr>
      <w:bookmarkStart w:id="144" w:name="_Ref462151504"/>
      <w:bookmarkStart w:id="145" w:name="_Toc482633174"/>
      <w:r w:rsidRPr="0031108A">
        <w:t xml:space="preserve">Figure </w:t>
      </w:r>
      <w:fldSimple w:instr=" STYLEREF 1 \s ">
        <w:r w:rsidR="00AA6926">
          <w:rPr>
            <w:noProof/>
          </w:rPr>
          <w:t>2</w:t>
        </w:r>
      </w:fldSimple>
      <w:r w:rsidR="00BA082C">
        <w:noBreakHyphen/>
      </w:r>
      <w:fldSimple w:instr=" SEQ Figure \* ARABIC \s 1 ">
        <w:r w:rsidR="00AA6926">
          <w:rPr>
            <w:noProof/>
          </w:rPr>
          <w:t>1</w:t>
        </w:r>
      </w:fldSimple>
      <w:bookmarkEnd w:id="144"/>
      <w:r w:rsidRPr="0031108A">
        <w:t>. Schematic of a Differential Scanning Calorimeter instrument with capillary cell design</w:t>
      </w:r>
      <w:bookmarkEnd w:id="145"/>
    </w:p>
    <w:p w14:paraId="7DEC0D4B" w14:textId="77777777" w:rsidR="00C56CFB" w:rsidRPr="0031108A" w:rsidRDefault="00C56CFB" w:rsidP="00C56CFB"/>
    <w:p w14:paraId="63C6F9F8" w14:textId="77777777" w:rsidR="00C56CFB" w:rsidRPr="0031108A" w:rsidRDefault="00C56CFB" w:rsidP="00C56CFB"/>
    <w:p w14:paraId="63708585" w14:textId="77777777" w:rsidR="00C56CFB" w:rsidRDefault="00C56CFB" w:rsidP="00C56CFB">
      <w:pPr>
        <w:pStyle w:val="Heading3"/>
      </w:pPr>
      <w:bookmarkStart w:id="146" w:name="_Toc485712773"/>
      <w:r>
        <w:t>Theory</w:t>
      </w:r>
      <w:bookmarkEnd w:id="146"/>
    </w:p>
    <w:p w14:paraId="6EBF24C4" w14:textId="77777777" w:rsidR="00C56CFB" w:rsidRPr="00E8601D" w:rsidRDefault="00C56CFB" w:rsidP="00C56CFB">
      <w:r>
        <w:t>A single DSC experiment of a protein under certain conditions that undergoes a two-state transition from native to denatured state will give a thermogram clearly showing an endothermic peak. After baseline correction through subtraction of a buffer-buffer scan and concentration normalisation using Nanoanalyze software provided with the DSC instrument the relative heat capacity of unfolding can be plotted. Thermodynamic values of melting temperature (</w:t>
      </w:r>
      <w:r w:rsidRPr="00114340">
        <w:rPr>
          <w:i/>
        </w:rPr>
        <w:t>T</w:t>
      </w:r>
      <w:r w:rsidRPr="00114340">
        <w:rPr>
          <w:vertAlign w:val="subscript"/>
        </w:rPr>
        <w:t>m</w:t>
      </w:r>
      <w:r>
        <w:t>), change in calorimetric enthalpy of unfolding (Δ</w:t>
      </w:r>
      <w:r w:rsidRPr="00EF74A6">
        <w:rPr>
          <w:i/>
        </w:rPr>
        <w:t>H</w:t>
      </w:r>
      <w:r>
        <w:t>), and change in heat capacity (Δ</w:t>
      </w:r>
      <w:r w:rsidRPr="00EF74A6">
        <w:rPr>
          <w:i/>
        </w:rPr>
        <w:t>C</w:t>
      </w:r>
      <w:r w:rsidRPr="00EF74A6">
        <w:rPr>
          <w:i/>
          <w:vertAlign w:val="subscript"/>
        </w:rPr>
        <w:t>p</w:t>
      </w:r>
      <w:r>
        <w:t>) can be directly calculated from this data (</w:t>
      </w:r>
      <w:r>
        <w:fldChar w:fldCharType="begin"/>
      </w:r>
      <w:r>
        <w:instrText xml:space="preserve"> REF _Ref462154403 \h </w:instrText>
      </w:r>
      <w:r>
        <w:fldChar w:fldCharType="separate"/>
      </w:r>
      <w:r w:rsidR="00AA6926">
        <w:t xml:space="preserve">Figure </w:t>
      </w:r>
      <w:r w:rsidR="00AA6926">
        <w:rPr>
          <w:noProof/>
        </w:rPr>
        <w:t>2</w:t>
      </w:r>
      <w:r w:rsidR="00AA6926">
        <w:noBreakHyphen/>
      </w:r>
      <w:r w:rsidR="00AA6926">
        <w:rPr>
          <w:noProof/>
        </w:rPr>
        <w:t>2</w:t>
      </w:r>
      <w:r>
        <w:fldChar w:fldCharType="end"/>
      </w:r>
      <w:r>
        <w:t xml:space="preserve">). </w:t>
      </w:r>
    </w:p>
    <w:p w14:paraId="35F27129" w14:textId="77777777" w:rsidR="00C56CFB" w:rsidRDefault="00C56CFB" w:rsidP="00C56CFB">
      <w:pPr>
        <w:keepNext/>
      </w:pPr>
      <w:r>
        <w:object w:dxaOrig="7180" w:dyaOrig="5390" w14:anchorId="264006B2">
          <v:shape id="_x0000_i1035" type="#_x0000_t75" style="width:472.5pt;height:354.75pt" o:ole="">
            <v:imagedata r:id="rId38" o:title=""/>
          </v:shape>
          <o:OLEObject Type="Embed" ProgID="PowerPoint.Show.12" ShapeID="_x0000_i1035" DrawAspect="Content" ObjectID="_1559454689" r:id="rId39"/>
        </w:object>
      </w:r>
    </w:p>
    <w:p w14:paraId="30EBF269" w14:textId="77777777" w:rsidR="00C56CFB" w:rsidRDefault="00C56CFB" w:rsidP="00C56CFB">
      <w:pPr>
        <w:pStyle w:val="Caption"/>
        <w:jc w:val="left"/>
      </w:pPr>
      <w:bookmarkStart w:id="147" w:name="_Ref462154403"/>
      <w:bookmarkStart w:id="148" w:name="_Toc482633175"/>
      <w:r>
        <w:t xml:space="preserve">Figure </w:t>
      </w:r>
      <w:fldSimple w:instr=" STYLEREF 1 \s ">
        <w:r w:rsidR="00AA6926">
          <w:rPr>
            <w:noProof/>
          </w:rPr>
          <w:t>2</w:t>
        </w:r>
      </w:fldSimple>
      <w:r w:rsidR="00BA082C">
        <w:noBreakHyphen/>
      </w:r>
      <w:fldSimple w:instr=" SEQ Figure \* ARABIC \s 1 ">
        <w:r w:rsidR="00AA6926">
          <w:rPr>
            <w:noProof/>
          </w:rPr>
          <w:t>2</w:t>
        </w:r>
      </w:fldSimple>
      <w:bookmarkEnd w:id="147"/>
      <w:r>
        <w:t>. Example of analysed DSC thermogram of 1 g/L BSA at pH 7 in 10 mM sodium octanoate HPLC-grade water and the thermodynamic values that can be directly obtained from the thermogram</w:t>
      </w:r>
      <w:bookmarkEnd w:id="148"/>
    </w:p>
    <w:p w14:paraId="66BF68AE" w14:textId="77777777" w:rsidR="00C56CFB" w:rsidRDefault="00C56CFB" w:rsidP="00C56CFB">
      <w:r>
        <w:t>The melting temperature, or midpoint of unfolding (</w:t>
      </w:r>
      <w:r w:rsidRPr="00540CE8">
        <w:rPr>
          <w:i/>
        </w:rPr>
        <w:t>T</w:t>
      </w:r>
      <w:r w:rsidRPr="00540CE8">
        <w:rPr>
          <w:vertAlign w:val="subscript"/>
        </w:rPr>
        <w:t>m</w:t>
      </w:r>
      <w:r>
        <w:t>) is obtained from the thermogram as the point of maximum relative heat capacity. This is one of the most useful values obtained from DSC experiments as it is a direct measure of the thermal stability of the protein under the specified conditions. The more stable the protein, the higher the melting temperature. Due to the fact that this thermodynamic value encompasses the totality of interactions involved in the protein unfolding event, direct comparison of the protein’s melting temperature under differing conditions can provide important information on the</w:t>
      </w:r>
      <w:r w:rsidRPr="00540CE8">
        <w:t xml:space="preserve"> </w:t>
      </w:r>
      <w:r>
        <w:t>governing complex interactions controlling protein stability. In this thesis this is the major thermodynamic value used to elucidate the mechanisms governing the effects of different concentrations of cosolutes on protein stability (</w:t>
      </w:r>
      <w:r w:rsidR="00690A5A">
        <w:fldChar w:fldCharType="begin"/>
      </w:r>
      <w:r w:rsidR="00690A5A">
        <w:instrText xml:space="preserve"> REF _Ref465689471 \h </w:instrText>
      </w:r>
      <w:r w:rsidR="00690A5A">
        <w:fldChar w:fldCharType="separate"/>
      </w:r>
      <w:r w:rsidR="00AA6926">
        <w:t xml:space="preserve">Equation </w:t>
      </w:r>
      <w:r w:rsidR="00AA6926">
        <w:rPr>
          <w:noProof/>
        </w:rPr>
        <w:t>2</w:t>
      </w:r>
      <w:r w:rsidR="00AA6926">
        <w:noBreakHyphen/>
      </w:r>
      <w:r w:rsidR="00AA6926">
        <w:rPr>
          <w:noProof/>
        </w:rPr>
        <w:t>1</w:t>
      </w:r>
      <w:r w:rsidR="00690A5A">
        <w:fldChar w:fldCharType="end"/>
      </w:r>
      <w:r>
        <w:t>).</w:t>
      </w:r>
    </w:p>
    <w:p w14:paraId="581FC070" w14:textId="77777777" w:rsidR="00C56CFB" w:rsidRDefault="00C56CFB" w:rsidP="00C56CFB">
      <w:pPr>
        <w:keepNext/>
      </w:pPr>
      <m:oMathPara>
        <m:oMath>
          <m:r>
            <w:rPr>
              <w:rFonts w:ascii="Cambria Math" w:hAnsi="Cambria Math"/>
            </w:rPr>
            <w:lastRenderedPageBreak/>
            <m:t>∆</m:t>
          </m:r>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m</m:t>
              </m:r>
            </m:sub>
            <m:sup>
              <m:r>
                <w:rPr>
                  <w:rFonts w:ascii="Cambria Math" w:hAnsi="Cambria Math"/>
                </w:rPr>
                <m:t>reference</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m</m:t>
              </m:r>
            </m:sub>
            <m:sup>
              <m:r>
                <w:rPr>
                  <w:rFonts w:ascii="Cambria Math" w:hAnsi="Cambria Math"/>
                </w:rPr>
                <m:t>[cosolute]</m:t>
              </m:r>
            </m:sup>
          </m:sSubSup>
        </m:oMath>
      </m:oMathPara>
    </w:p>
    <w:p w14:paraId="552671BC" w14:textId="77777777" w:rsidR="00C56CFB" w:rsidRPr="00AA5CF3" w:rsidRDefault="00C56CFB" w:rsidP="00C56CFB">
      <w:pPr>
        <w:pStyle w:val="Caption"/>
        <w:jc w:val="left"/>
        <w:rPr>
          <w:rFonts w:eastAsiaTheme="minorEastAsia"/>
        </w:rPr>
      </w:pPr>
      <w:bookmarkStart w:id="149" w:name="_Ref465689471"/>
      <w:r>
        <w:t xml:space="preserve">Equation </w:t>
      </w:r>
      <w:fldSimple w:instr=" STYLEREF 1 \s ">
        <w:r w:rsidR="00AA6926">
          <w:rPr>
            <w:noProof/>
          </w:rPr>
          <w:t>2</w:t>
        </w:r>
      </w:fldSimple>
      <w:r w:rsidR="00FE5536">
        <w:noBreakHyphen/>
      </w:r>
      <w:fldSimple w:instr=" SEQ Equation \* ARABIC \s 1 ">
        <w:r w:rsidR="00AA6926">
          <w:rPr>
            <w:noProof/>
          </w:rPr>
          <w:t>1</w:t>
        </w:r>
      </w:fldSimple>
      <w:bookmarkEnd w:id="149"/>
      <w:r>
        <w:t xml:space="preserve">. </w:t>
      </w:r>
      <w:r w:rsidRPr="009D14CE">
        <w:t>The thermodynamic value of change in melting temperature is obtained through multiple scans of the protein under varying concentrations of cosolute, which is then subtracted from the melting temperature of the protein under reference conditions (i.e. n</w:t>
      </w:r>
      <w:r>
        <w:t>o cosolute, only buffer)</w:t>
      </w:r>
    </w:p>
    <w:p w14:paraId="3EE62C76" w14:textId="77777777" w:rsidR="00C56CFB" w:rsidRDefault="00C56CFB" w:rsidP="00C56CFB">
      <w:r>
        <w:t>The change in enthalpy of unfolding (Δ</w:t>
      </w:r>
      <w:r w:rsidRPr="00EF74A6">
        <w:rPr>
          <w:i/>
        </w:rPr>
        <w:t>H</w:t>
      </w:r>
      <w:r>
        <w:t>) and the change in heat capacity of unfolding (Δ</w:t>
      </w:r>
      <w:r w:rsidRPr="00EF74A6">
        <w:rPr>
          <w:i/>
        </w:rPr>
        <w:t>C</w:t>
      </w:r>
      <w:r w:rsidRPr="00EF74A6">
        <w:rPr>
          <w:i/>
          <w:vertAlign w:val="subscript"/>
        </w:rPr>
        <w:t>p</w:t>
      </w:r>
      <w:r>
        <w:t>) can also be directly calculated from the thermogram by integration of the area und</w:t>
      </w:r>
      <w:r w:rsidR="006D59B8">
        <w:t xml:space="preserve">er the thermal transition peak </w:t>
      </w:r>
      <w:r w:rsidR="006D59B8">
        <w:fldChar w:fldCharType="begin" w:fldLock="1"/>
      </w:r>
      <w:r w:rsidR="006D59B8">
        <w:instrText>ADDIN CSL_CITATION { "citationItems" : [ { "id" : "ITEM-1", "itemData" : { "author" : [ { "dropping-particle" : "", "family" : "TA Instruments", "given" : "", "non-dropping-particle" : "", "parse-names" : false, "suffix" : "" } ], "container-title" : "Retrieved from: www.tainstruments.com", "id" : "ITEM-1", "issued" : { "date-parts" : [ [ "2010" ] ] }, "title" : "Advantages of using a Nano DSC when studying proteins that aggregate and precipitate when denatured", "type" : "article-journal" }, "uris" : [ "http://www.mendeley.com/documents/?uuid=4c36e618-1f37-4df7-9378-602ff4a3dabc" ] } ], "mendeley" : { "formattedCitation" : "(TA Instruments 2010)", "plainTextFormattedCitation" : "(TA Instruments 2010)" }, "properties" : { "noteIndex" : 0 }, "schema" : "https://github.com/citation-style-language/schema/raw/master/csl-citation.json" }</w:instrText>
      </w:r>
      <w:r w:rsidR="006D59B8">
        <w:fldChar w:fldCharType="separate"/>
      </w:r>
      <w:r w:rsidR="006D59B8" w:rsidRPr="006D59B8">
        <w:rPr>
          <w:noProof/>
        </w:rPr>
        <w:t>(TA Instruments 2010)</w:t>
      </w:r>
      <w:r w:rsidR="006D59B8">
        <w:fldChar w:fldCharType="end"/>
      </w:r>
      <w:r>
        <w:t xml:space="preserve">, and subtracting the heat capacity of the post-transition baseline from that of the pre-transition baseline </w:t>
      </w:r>
      <w:r w:rsidR="00690A5A">
        <w:t>(</w:t>
      </w:r>
      <w:r w:rsidR="00690A5A">
        <w:fldChar w:fldCharType="begin"/>
      </w:r>
      <w:r w:rsidR="00690A5A">
        <w:instrText xml:space="preserve"> REF _Ref465689537 \h </w:instrText>
      </w:r>
      <w:r w:rsidR="00690A5A">
        <w:fldChar w:fldCharType="separate"/>
      </w:r>
      <w:r w:rsidR="00AA6926">
        <w:t xml:space="preserve">Equation </w:t>
      </w:r>
      <w:r w:rsidR="00AA6926">
        <w:rPr>
          <w:noProof/>
        </w:rPr>
        <w:t>2</w:t>
      </w:r>
      <w:r w:rsidR="00AA6926">
        <w:noBreakHyphen/>
      </w:r>
      <w:r w:rsidR="00AA6926">
        <w:rPr>
          <w:noProof/>
        </w:rPr>
        <w:t>3</w:t>
      </w:r>
      <w:r w:rsidR="00690A5A">
        <w:fldChar w:fldCharType="end"/>
      </w:r>
      <w:r w:rsidR="00690A5A">
        <w:t xml:space="preserve">) </w:t>
      </w:r>
      <w:r>
        <w:t>respectively. The change in entropy of unfolding (Δ</w:t>
      </w:r>
      <w:r w:rsidRPr="00EF74A6">
        <w:rPr>
          <w:i/>
        </w:rPr>
        <w:t>S</w:t>
      </w:r>
      <w:r>
        <w:t>) is also calculated from these values using the Nanoanalyze software. Once these values have all been determined the Gibbs free energy of unfolding (Δ</w:t>
      </w:r>
      <w:r w:rsidRPr="00EF74A6">
        <w:rPr>
          <w:i/>
        </w:rPr>
        <w:t>G</w:t>
      </w:r>
      <w:r>
        <w:t xml:space="preserve">) can also be calculated using a modified Gibbs-Helmholtz equation </w:t>
      </w:r>
      <w:r>
        <w:fldChar w:fldCharType="begin" w:fldLock="1"/>
      </w:r>
      <w:r>
        <w:instrText>ADDIN CSL_CITATION { "citationItems" : [ { "id" : "ITEM-1", "itemData" : { "ISSN" : "0006-3002", "PMID" : "10606769", "abstract" : "This study led to the conclusion that naturally occurring osmolytes which are known to protect proteins against denaturing stresses, do not perturb the Gibbs energy of stabilization of proteins at 25 degrees C (DeltaG(D) degrees ) which has been shown to control the in vivo rate of degradative protein turnover (Pace et al., Acta Biol. Med. Germ 40 (1981) 1385-1392). This conclusion has been reached from our studies of heat-induced denaturation of lysozyme, ribonuclease A, cytochrome c and myoglobin in the presence of different concentrations of osmolytes, namely, glycine, proline, sarcosine and glycine-betaine. At a fixed concentration of osmolyte a heat-induced denaturation curve measured by following changes in the molar absorption coefficient of the protein, was analyzed for T(m), the midpoint of the denaturation and DeltaH(m), the enthalpy change of denaturation at T(m). Values of DeltaG(D) degrees were determined with Gibbs-Helmoltz equation using known values of T(m), DeltaH(m) and DeltaC(p), the constant-pressure heat capacity change. It has been observed that T(m) increases with the osmolyte concentration, whereas DeltaG(D) degrees remains unaffected in the presence of the osmolyte. This observation on DeltaG(D) degrees in the presence of osmolytes has been considered in the physiological context.", "author" : [ { "dropping-particle" : "", "family" : "Anjum", "given" : "F", "non-dropping-particle" : "", "parse-names" : false, "suffix" : "" }, { "dropping-particle" : "", "family" : "Rishi", "given" : "V", "non-dropping-particle" : "", "parse-names" : false, "suffix" : "" }, { "dropping-particle" : "", "family" : "Ahmad", "given" : "F", "non-dropping-particle" : "", "parse-names" : false, "suffix" : "" } ], "container-title" : "Biochimica et Biophysica Acta", "id" : "ITEM-1", "issued" : { "date-parts" : [ [ "2000", "1", "3" ] ] }, "page" : "75-84", "title" : "Compatibility of osmolytes with Gibbs energy of stabilization of proteins", "type" : "article-journal", "volume" : "1476" }, "uris" : [ "http://www.mendeley.com/documents/?uuid=8a05ac24-5e07-4e9b-acee-ac88d5345d17" ] }, { "id" : "ITEM-2", "itemData" : { "ISSN" : "0006-2960", "PMID" : "1376620", "abstract" : "Organisms and cellular systems which have adapted to stresses such as high temperature, desiccation, and urea-concentrating environments have responded by concentrating particular organic solutes known as osmolytes. These osmolytes are believed to confer protection to enzyme and other macromolecular systems against such denaturing stresses. Differential scanning calorimetric (DSC) experiments were performed on ribonuclease A and hen egg white lysozyme in the presence of varying concentrations of the osmolytes glycine, sarcosine, N,N-dimethylglycine, and betaine. Solutions containing up to several molar concentrations of these solutes were found to result in considerable increases in the thermal unfolding transition temperature (Tm) for these proteins. DSC scans of ribonuclease A in the presence of up to 8.2 M sarcosine resulted in reversible two-state unfolding transitions with Tm increases of up to 22 degrees C and unfolding enthalpy changes which were independent of Tm. On the basis of the thermodynamic parameters observed, 8.2 M sarcosine results in a stabilization free energy increase of 7.2 kcal/mol for ribonuclease A at 65 degrees C. This translates into more than a 45,000-fold increase in stability of the native form of ribonuclease A over that in the absence of sarcosine at this temperature. Catalytic activity measurements in the presence of 4 M sarcosine give kcat and Km values that are largely unchanged from those in the absence of sarcosine. DSC of lysozyme unfolding in the presence of these osmolytes also results in Tm increases of up to 23 degrees C; however, significant irreversibly occurs with this protein.(ABSTRACT TRUNCATED AT 250 WORDS)", "author" : [ { "dropping-particle" : "", "family" : "Santoro", "given" : "M M", "non-dropping-particle" : "", "parse-names" : false, "suffix" : "" }, { "dropping-particle" : "", "family" : "Liu", "given" : "Y", "non-dropping-particle" : "", "parse-names" : false, "suffix" : "" }, { "dropping-particle" : "", "family" : "Khan", "given" : "S M A", "non-dropping-particle" : "", "parse-names" : false, "suffix" : "" }, { "dropping-particle" : "", "family" : "Hou", "given" : "L X", "non-dropping-particle" : "", "parse-names" : false, "suffix" : "" }, { "dropping-particle" : "", "family" : "Bolen", "given" : "D W", "non-dropping-particle" : "", "parse-names" : false, "suffix" : "" } ], "container-title" : "Biochemistry", "id" : "ITEM-2", "issued" : { "date-parts" : [ [ "1992", "6", "16" ] ] }, "page" : "5278-5283", "title" : "Increased thermal stability of proteins in the presence of naturally occurring osmolytes", "type" : "article-journal", "volume" : "31" }, "uris" : [ "http://www.mendeley.com/documents/?uuid=43f8c6ce-f911-44c3-88ac-ffd899b1fb4f" ] }, { "id" : "ITEM-3", "itemData" : { "DOI" : "10.1002/pro.2355", "ISSN" : "1469-896X", "PMID" : "24038575", "abstract" : "Anion and cation effects on the structural stability of lysozyme were investigated using differential scanning calorimetry. At low concentrations (&lt;5 mM) anions and cations alter the stability of lysozyme but they do not follow the Hofmeister (or inverse Hofmeister) series. At higher concentrations protein stabilization follows the well-established Hofmeister series. Our hypothesis is that there are three mechanisms at work. At low concentrations the anions interact with charged side chains where the presence of the ion can alter the structural stability of the protein. At higher concentrations the low charge density anions perchlorate and iodide interact weakly with the protein. Their presence however reduces the Gibbs free energy required to hydrate the core of the protein that is exposed during unfolding therefore destabilizing the structure. At higher concentrations the high charge density anions phosphate and sulfate compete for water with the protein as it unfolds increasing the Gibbs free energy required to hydrate the newly exposed core of the protein therefore stabilizing the structure.", "author" : [ { "dropping-particle" : "", "family" : "Bye", "given" : "J W", "non-dropping-particle" : "", "parse-names" : false, "suffix" : "" }, { "dropping-particle" : "", "family" : "Falconer", "given" : "R J", "non-dropping-particle" : "", "parse-names" : false, "suffix" : "" } ], "container-title" : "Protein Science", "id" : "ITEM-3", "issued" : { "date-parts" : [ [ "2013", "11" ] ] }, "page" : "1563-1570", "title" : "Thermal stability of lysozyme as a function of ion concentration: A reappraisal of the relationship between the Hofmeister series and protein stability", "type" : "article-journal", "volume" : "22" }, "uris" : [ "http://www.mendeley.com/documents/?uuid=cdce46dc-4ab2-44de-8184-be6984bc4e9d" ] } ], "mendeley" : { "formattedCitation" : "(Anjum et al. 2000; Santoro et al. 1992; Bye &amp; Falconer 2013)", "plainTextFormattedCitation" : "(Anjum et al. 2000; Santoro et al. 1992; Bye &amp; Falconer 2013)", "previouslyFormattedCitation" : "(Anjum et al. 2000; Santoro et al. 1992; Bye &amp; Falconer 2013)" }, "properties" : { "noteIndex" : 0 }, "schema" : "https://github.com/citation-style-language/schema/raw/master/csl-citation.json" }</w:instrText>
      </w:r>
      <w:r>
        <w:fldChar w:fldCharType="separate"/>
      </w:r>
      <w:r w:rsidRPr="00C513F0">
        <w:rPr>
          <w:noProof/>
        </w:rPr>
        <w:t>(Anjum et al. 2000; Santoro et al. 1992; Bye &amp; Falconer 2013)</w:t>
      </w:r>
      <w:r>
        <w:fldChar w:fldCharType="end"/>
      </w:r>
      <w:r>
        <w:t>.</w:t>
      </w:r>
    </w:p>
    <w:p w14:paraId="1F448BAD" w14:textId="77777777" w:rsidR="00C56CFB" w:rsidRDefault="00C56CFB" w:rsidP="00C56CFB">
      <w:pPr>
        <w:keepNext/>
      </w:pPr>
      <m:oMathPara>
        <m:oMath>
          <m:r>
            <w:rPr>
              <w:rFonts w:ascii="Cambria Math" w:hAnsi="Cambria Math"/>
            </w:rPr>
            <m:t>∆H=</m:t>
          </m:r>
          <m:nary>
            <m:naryPr>
              <m:limLoc m:val="subSup"/>
              <m:ctrlPr>
                <w:rPr>
                  <w:rFonts w:ascii="Cambria Math" w:hAnsi="Cambria Math"/>
                  <w:i/>
                </w:rPr>
              </m:ctrlPr>
            </m:naryPr>
            <m:sub>
              <m:r>
                <w:rPr>
                  <w:rFonts w:ascii="Cambria Math" w:hAnsi="Cambria Math"/>
                </w:rPr>
                <m:t>T1</m:t>
              </m:r>
            </m:sub>
            <m:sup>
              <m:r>
                <w:rPr>
                  <w:rFonts w:ascii="Cambria Math" w:hAnsi="Cambria Math"/>
                </w:rPr>
                <m:t>T2</m:t>
              </m:r>
            </m:sup>
            <m:e>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dT</m:t>
              </m:r>
            </m:e>
          </m:nary>
        </m:oMath>
      </m:oMathPara>
    </w:p>
    <w:p w14:paraId="23AF3967" w14:textId="77777777" w:rsidR="00C56CFB" w:rsidRPr="003F5953" w:rsidRDefault="00C56CFB" w:rsidP="00C56CFB">
      <w:pPr>
        <w:pStyle w:val="Caption"/>
        <w:jc w:val="left"/>
        <w:rPr>
          <w:rFonts w:eastAsiaTheme="minorEastAsia"/>
        </w:rPr>
      </w:pPr>
      <w:bookmarkStart w:id="150" w:name="_Ref465689489"/>
      <w:r>
        <w:t xml:space="preserve">Equation </w:t>
      </w:r>
      <w:fldSimple w:instr=" STYLEREF 1 \s ">
        <w:r w:rsidR="00AA6926">
          <w:rPr>
            <w:noProof/>
          </w:rPr>
          <w:t>2</w:t>
        </w:r>
      </w:fldSimple>
      <w:r w:rsidR="00FE5536">
        <w:noBreakHyphen/>
      </w:r>
      <w:fldSimple w:instr=" SEQ Equation \* ARABIC \s 1 ">
        <w:r w:rsidR="00AA6926">
          <w:rPr>
            <w:noProof/>
          </w:rPr>
          <w:t>2</w:t>
        </w:r>
      </w:fldSimple>
      <w:bookmarkEnd w:id="150"/>
      <w:r>
        <w:t xml:space="preserve">. </w:t>
      </w:r>
      <w:r w:rsidRPr="008D5D93">
        <w:t xml:space="preserve">Calculation of change in calorimetric enthalpy of unfolding </w:t>
      </w:r>
      <w:r w:rsidR="006B7D09">
        <w:t>by</w:t>
      </w:r>
      <w:r w:rsidRPr="008D5D93">
        <w:t xml:space="preserve"> Nanoanalyze software on DSC thermogram</w:t>
      </w:r>
    </w:p>
    <w:p w14:paraId="1439D7D2" w14:textId="77777777" w:rsidR="00C56CFB" w:rsidRDefault="00C56CFB" w:rsidP="00C56CFB">
      <w:pPr>
        <w:keepNext/>
      </w:pPr>
      <m:oMathPara>
        <m:oMath>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p</m:t>
                  </m:r>
                </m:sub>
              </m:sSub>
            </m:e>
            <m:sup>
              <m:r>
                <w:rPr>
                  <w:rFonts w:ascii="Cambria Math" w:hAnsi="Cambria Math"/>
                </w:rPr>
                <m:t>post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p</m:t>
                  </m:r>
                </m:sub>
              </m:sSub>
            </m:e>
            <m:sup>
              <m:r>
                <w:rPr>
                  <w:rFonts w:ascii="Cambria Math" w:hAnsi="Cambria Math"/>
                </w:rPr>
                <m:t>pre</m:t>
              </m:r>
            </m:sup>
          </m:sSup>
        </m:oMath>
      </m:oMathPara>
    </w:p>
    <w:p w14:paraId="0A195DFF" w14:textId="6CC9E4CD" w:rsidR="00C56CFB" w:rsidRPr="00C513F0" w:rsidRDefault="00C56CFB" w:rsidP="00C56CFB">
      <w:pPr>
        <w:pStyle w:val="Caption"/>
        <w:jc w:val="left"/>
        <w:rPr>
          <w:rFonts w:eastAsiaTheme="minorEastAsia"/>
        </w:rPr>
      </w:pPr>
      <w:bookmarkStart w:id="151" w:name="_Ref465689537"/>
      <w:r>
        <w:t xml:space="preserve">Equation </w:t>
      </w:r>
      <w:fldSimple w:instr=" STYLEREF 1 \s ">
        <w:r w:rsidR="00AA6926">
          <w:rPr>
            <w:noProof/>
          </w:rPr>
          <w:t>2</w:t>
        </w:r>
      </w:fldSimple>
      <w:r w:rsidR="00FE5536">
        <w:noBreakHyphen/>
      </w:r>
      <w:fldSimple w:instr=" SEQ Equation \* ARABIC \s 1 ">
        <w:r w:rsidR="00AA6926">
          <w:rPr>
            <w:noProof/>
          </w:rPr>
          <w:t>3</w:t>
        </w:r>
      </w:fldSimple>
      <w:bookmarkEnd w:id="151"/>
      <w:r>
        <w:t xml:space="preserve">. </w:t>
      </w:r>
      <w:commentRangeStart w:id="152"/>
      <w:r w:rsidRPr="000A4A42">
        <w:t xml:space="preserve">Calculation of change </w:t>
      </w:r>
      <w:r w:rsidR="00341DA1">
        <w:t>in heat capacity between the protein states pre-unfolding and post-unfolding</w:t>
      </w:r>
      <w:commentRangeEnd w:id="152"/>
      <w:r w:rsidR="00341DA1">
        <w:rPr>
          <w:rStyle w:val="CommentReference"/>
          <w:b w:val="0"/>
          <w:bCs w:val="0"/>
        </w:rPr>
        <w:commentReference w:id="152"/>
      </w:r>
    </w:p>
    <w:p w14:paraId="0A37B6CA" w14:textId="77777777" w:rsidR="00C56CFB" w:rsidRDefault="00C56CFB" w:rsidP="00C56CFB">
      <w:pPr>
        <w:rPr>
          <w:rFonts w:eastAsiaTheme="minorEastAsia"/>
        </w:rPr>
      </w:pPr>
      <w:r>
        <w:rPr>
          <w:rFonts w:eastAsiaTheme="minorEastAsia"/>
        </w:rPr>
        <w:t>The accurate calculation of these thermodynamic values relies on the thermal unfolding of the protein being a completely reversible two-state transition from native to the denatured state:</w:t>
      </w:r>
    </w:p>
    <w:p w14:paraId="166C0ADF" w14:textId="77777777" w:rsidR="00C56CFB" w:rsidRPr="00C513F0" w:rsidRDefault="00C56CFB" w:rsidP="00C56CFB">
      <w:pPr>
        <w:rPr>
          <w:rFonts w:eastAsiaTheme="minorEastAsia"/>
        </w:rPr>
      </w:pPr>
      <m:oMathPara>
        <m:oMath>
          <m:r>
            <w:rPr>
              <w:rFonts w:ascii="Cambria Math" w:eastAsiaTheme="minorEastAsia" w:hAnsi="Cambria Math"/>
            </w:rPr>
            <m:t>N ↔D</m:t>
          </m:r>
        </m:oMath>
      </m:oMathPara>
    </w:p>
    <w:p w14:paraId="49E9DC49" w14:textId="77777777" w:rsidR="00C56CFB" w:rsidRDefault="00C56CFB" w:rsidP="00C56CFB">
      <w:pPr>
        <w:rPr>
          <w:rFonts w:eastAsiaTheme="minorEastAsia"/>
        </w:rPr>
      </w:pPr>
      <w:r>
        <w:rPr>
          <w:rFonts w:eastAsiaTheme="minorEastAsia"/>
        </w:rPr>
        <w:t>However, in reality many proteins are prone to at least some irreversible aggregation of the denatured state, which will shift the equilibrium of native to denatured state:</w:t>
      </w:r>
    </w:p>
    <w:p w14:paraId="2BB4BD1B" w14:textId="77777777" w:rsidR="00C56CFB" w:rsidRPr="00C513F0" w:rsidRDefault="00C56CFB" w:rsidP="00C56CFB">
      <w:pPr>
        <w:rPr>
          <w:rFonts w:eastAsiaTheme="minorEastAsia"/>
        </w:rPr>
      </w:pPr>
      <m:oMathPara>
        <m:oMath>
          <m:r>
            <w:rPr>
              <w:rFonts w:ascii="Cambria Math" w:eastAsiaTheme="minorEastAsia" w:hAnsi="Cambria Math"/>
            </w:rPr>
            <w:lastRenderedPageBreak/>
            <m:t>N ↔D →A</m:t>
          </m:r>
        </m:oMath>
      </m:oMathPara>
    </w:p>
    <w:p w14:paraId="4FC76D74" w14:textId="77777777" w:rsidR="00C56CFB" w:rsidRDefault="00C56CFB" w:rsidP="00C56CFB">
      <w:pPr>
        <w:rPr>
          <w:rFonts w:eastAsiaTheme="minorEastAsia"/>
        </w:rPr>
      </w:pPr>
      <w:r>
        <w:rPr>
          <w:rFonts w:eastAsiaTheme="minorEastAsia"/>
        </w:rPr>
        <w:t xml:space="preserve">If this is the case, although the change in enthalpy and entropy may be inaccurate, the melting temperature can still be used if aggregation only occurs after the protein has completely unfolded </w:t>
      </w:r>
      <w:r>
        <w:rPr>
          <w:rFonts w:eastAsiaTheme="minorEastAsia"/>
        </w:rPr>
        <w:fldChar w:fldCharType="begin" w:fldLock="1"/>
      </w:r>
      <w:r>
        <w:rPr>
          <w:rFonts w:eastAsiaTheme="minorEastAsia"/>
        </w:rPr>
        <w:instrText>ADDIN CSL_CITATION { "citationItems" : [ { "id" : "ITEM-1", "itemData" : { "ISSN" : "0929-8673", "PMID" : "16101501", "abstract" : "All biological phenomena depend on molecular recognition, which is either intermolecular like in ligand binding to a macromolecule or intramolecular like in protein folding. As a result, understanding the relationship between the structure of proteins and the energetics of their stability and binding with others (bio)molecules is a very interesting point in biochemistry and biotechnology. It is essential to the engineering of stable proteins and to the structure-based design of pharmaceutical ligands. The parameter generally used to characterize the stability of a system (the folded and unfolded state of the protein for example) is the equilibrium constant (K) or the free energy (deltaG(o)), which is the sum of enthalpic (deltaH(o)) and entropic (deltaS(o)) terms. These parameters are temperature dependent through the heat capacity change (deltaCp). The thermodynamic parameters deltaH(o) and deltaCp can be derived from spectroscopic experiments, using the van't Hoff method, or measured directly using calorimetry. Along with isothermal titration calorimetry (ITC), differential scanning calorimetry (DSC) is a powerful method, less described than ITC, for measuring directly the thermodynamic parameters which characterize biomolecules. In this article, we summarize the principal thermodynamics parameters, describe the DSC approach and review some systems to which it has been applied. DSC is much used for the study of the stability and the folding of biomolecules, but it can also be applied in order to understand biomolecular interactions and can thus be an interesting technique in the process of drug design.", "author" : [ { "dropping-particle" : "", "family" : "Bruylants", "given" : "G", "non-dropping-particle" : "", "parse-names" : false, "suffix" : "" }, { "dropping-particle" : "", "family" : "Wouters", "given" : "J", "non-dropping-particle" : "", "parse-names" : false, "suffix" : "" }, { "dropping-particle" : "", "family" : "Michaux", "given" : "C", "non-dropping-particle" : "", "parse-names" : false, "suffix" : "" } ], "container-title" : "Current Medicinal Chemistry", "id" : "ITEM-1", "issued" : { "date-parts" : [ [ "2005", "1" ] ] }, "page" : "2011-2020", "title" : "Differential scanning calorimetry in life science: Thermodynamics, stability, molecular recognition and application in drug design", "type" : "article-journal", "volume" : "12" }, "uris" : [ "http://www.mendeley.com/documents/?uuid=02c1de92-9426-45d7-ab30-4128ed8c6819" ] } ], "mendeley" : { "formattedCitation" : "(Bruylants et al. 2005)", "plainTextFormattedCitation" : "(Bruylants et al. 2005)", "previouslyFormattedCitation" : "(Bruylants et al. 2005)" }, "properties" : { "noteIndex" : 0 }, "schema" : "https://github.com/citation-style-language/schema/raw/master/csl-citation.json" }</w:instrText>
      </w:r>
      <w:r>
        <w:rPr>
          <w:rFonts w:eastAsiaTheme="minorEastAsia"/>
        </w:rPr>
        <w:fldChar w:fldCharType="separate"/>
      </w:r>
      <w:r w:rsidRPr="0075034F">
        <w:rPr>
          <w:rFonts w:eastAsiaTheme="minorEastAsia"/>
          <w:noProof/>
        </w:rPr>
        <w:t>(Bruylants et al. 2005)</w:t>
      </w:r>
      <w:r>
        <w:rPr>
          <w:rFonts w:eastAsiaTheme="minorEastAsia"/>
        </w:rPr>
        <w:fldChar w:fldCharType="end"/>
      </w:r>
      <w:r>
        <w:rPr>
          <w:rFonts w:eastAsiaTheme="minorEastAsia"/>
        </w:rPr>
        <w:t>.</w:t>
      </w:r>
    </w:p>
    <w:p w14:paraId="30BEE145" w14:textId="77777777" w:rsidR="00C56CFB" w:rsidRPr="00BA0E52" w:rsidRDefault="00C56CFB" w:rsidP="00C56CFB">
      <w:pPr>
        <w:rPr>
          <w:rFonts w:eastAsiaTheme="minorEastAsia"/>
        </w:rPr>
      </w:pPr>
      <w:r>
        <w:t>As described above, accurate calculation of the thermodynamic values of unfolding from a DSC thermogram relies on the protein unfolding in a two-state transition without any aggregation. This can be proven or disproven through a number of different ways. First of all if a large amount of aggregation of the unfolded protein occurs there will be a distinctive decrease in heat capacity in the post-transition baseline (</w:t>
      </w:r>
      <w:r>
        <w:fldChar w:fldCharType="begin"/>
      </w:r>
      <w:r>
        <w:instrText xml:space="preserve"> REF _Ref462220112 \h </w:instrText>
      </w:r>
      <w:r>
        <w:fldChar w:fldCharType="separate"/>
      </w:r>
      <w:r w:rsidR="00AA6926">
        <w:t xml:space="preserve">Figure </w:t>
      </w:r>
      <w:r w:rsidR="00AA6926">
        <w:rPr>
          <w:noProof/>
        </w:rPr>
        <w:t>2</w:t>
      </w:r>
      <w:r w:rsidR="00AA6926">
        <w:noBreakHyphen/>
      </w:r>
      <w:r w:rsidR="00AA6926">
        <w:rPr>
          <w:noProof/>
        </w:rPr>
        <w:t>3</w:t>
      </w:r>
      <w:r>
        <w:fldChar w:fldCharType="end"/>
      </w:r>
      <w:r>
        <w:t>).</w:t>
      </w:r>
    </w:p>
    <w:commentRangeStart w:id="153"/>
    <w:p w14:paraId="25D4DDA6" w14:textId="2D078B61" w:rsidR="00C56CFB" w:rsidRDefault="00587FB7" w:rsidP="00C56CFB">
      <w:pPr>
        <w:keepNext/>
        <w:framePr w:w="7903" w:hSpace="180" w:wrap="around" w:vAnchor="text" w:hAnchor="text" w:x="1" w:y="1"/>
      </w:pPr>
      <w:r>
        <w:object w:dxaOrig="7200" w:dyaOrig="5390" w14:anchorId="531A5B67">
          <v:shape id="_x0000_i1036" type="#_x0000_t75" style="width:401.25pt;height:300pt" o:ole="">
            <v:imagedata r:id="rId40" o:title=""/>
          </v:shape>
          <o:OLEObject Type="Embed" ProgID="PowerPoint.Show.12" ShapeID="_x0000_i1036" DrawAspect="Content" ObjectID="_1559454690" r:id="rId41"/>
        </w:object>
      </w:r>
    </w:p>
    <w:p w14:paraId="7247EB04" w14:textId="5104836D" w:rsidR="00C56CFB" w:rsidRPr="00700417" w:rsidRDefault="00C56CFB" w:rsidP="00C56CFB">
      <w:pPr>
        <w:pStyle w:val="Caption"/>
        <w:framePr w:w="7903" w:hSpace="180" w:wrap="around" w:vAnchor="text" w:hAnchor="text" w:x="1" w:y="1"/>
        <w:jc w:val="left"/>
      </w:pPr>
      <w:bookmarkStart w:id="154" w:name="_Ref462220112"/>
      <w:bookmarkStart w:id="155" w:name="_Toc482633176"/>
      <w:r>
        <w:t xml:space="preserve">Figure </w:t>
      </w:r>
      <w:fldSimple w:instr=" STYLEREF 1 \s ">
        <w:r w:rsidR="00AA6926">
          <w:rPr>
            <w:noProof/>
          </w:rPr>
          <w:t>2</w:t>
        </w:r>
      </w:fldSimple>
      <w:r w:rsidR="00BA082C">
        <w:noBreakHyphen/>
      </w:r>
      <w:fldSimple w:instr=" SEQ Figure \* ARABIC \s 1 ">
        <w:r w:rsidR="00AA6926">
          <w:rPr>
            <w:noProof/>
          </w:rPr>
          <w:t>3</w:t>
        </w:r>
      </w:fldSimple>
      <w:bookmarkEnd w:id="154"/>
      <w:r>
        <w:t xml:space="preserve">. </w:t>
      </w:r>
      <w:r w:rsidRPr="005921F9">
        <w:t>Example DSC thermogram of a protein that has aggregated post-denaturation</w:t>
      </w:r>
      <w:r w:rsidR="00EB6004">
        <w:t>. Red arrow indicates the characteristic drop in relative heat capacity indicative of aggregation.</w:t>
      </w:r>
      <w:commentRangeEnd w:id="153"/>
      <w:r w:rsidR="00EB6004">
        <w:rPr>
          <w:rStyle w:val="CommentReference"/>
          <w:b w:val="0"/>
          <w:bCs w:val="0"/>
        </w:rPr>
        <w:commentReference w:id="153"/>
      </w:r>
      <w:bookmarkEnd w:id="155"/>
    </w:p>
    <w:p w14:paraId="4C0FDDC1" w14:textId="77777777" w:rsidR="00C56CFB" w:rsidRDefault="00C56CFB" w:rsidP="00C56CFB">
      <w:r>
        <w:lastRenderedPageBreak/>
        <w:t xml:space="preserve">Similarly by simply allowing a protein sample to cool after denaturation and heating up a second time it is possible to tell if the sample has irreversibly aggregated. If the two scans are similar then very little or no aggregation has occurred. This has been done for lysozyme previously, which was shown to unfold reversibly </w:t>
      </w:r>
      <w:r>
        <w:fldChar w:fldCharType="begin" w:fldLock="1"/>
      </w:r>
      <w:r w:rsidR="002764B5">
        <w:instrText>ADDIN CSL_CITATION { "citationItems" : [ { "id" : "ITEM-1", "itemData" : { "author" : [ { "dropping-particle" : "", "family" : "Bye", "given" : "J W", "non-dropping-particle" : "", "parse-names" : false, "suffix" : "" } ], "container-title" : "The University of Sheffield, UK", "id" : "ITEM-1", "issued" : { "date-parts" : [ [ "2014" ] ] }, "title" : "Interaction between macromolecules, inorganic salts and small organic molecules. PhD Thesis.", "type" : "article-journal" }, "uris" : [ "http://www.mendeley.com/documents/?uuid=0abc5be5-9dff-4345-99a6-df3283972433" ] } ], "mendeley" : { "formattedCitation" : "(Bye 2014)", "plainTextFormattedCitation" : "(Bye 2014)", "previouslyFormattedCitation" : "(Bye 2014)" }, "properties" : { "noteIndex" : 0 }, "schema" : "https://github.com/citation-style-language/schema/raw/master/csl-citation.json" }</w:instrText>
      </w:r>
      <w:r>
        <w:fldChar w:fldCharType="separate"/>
      </w:r>
      <w:r w:rsidRPr="00700417">
        <w:rPr>
          <w:noProof/>
        </w:rPr>
        <w:t>(Bye 2014)</w:t>
      </w:r>
      <w:r>
        <w:fldChar w:fldCharType="end"/>
      </w:r>
      <w:r>
        <w:t>.</w:t>
      </w:r>
    </w:p>
    <w:p w14:paraId="17BB2522" w14:textId="45F71EF7" w:rsidR="00567098" w:rsidRDefault="00C56CFB" w:rsidP="00C56CFB">
      <w:r>
        <w:t>In order to establish whether a two-state transition has occurred between native and denatured states the calorimetric enthalpy can be compared to the van’t Hoff enthalpy, both of which are calculated by the Nanoanalyze software. The calorimetric enthalpy (Δ</w:t>
      </w:r>
      <w:r w:rsidRPr="00EF74A6">
        <w:rPr>
          <w:i/>
        </w:rPr>
        <w:t>H</w:t>
      </w:r>
      <w:r w:rsidRPr="00EF74A6">
        <w:rPr>
          <w:i/>
          <w:vertAlign w:val="subscript"/>
        </w:rPr>
        <w:t>cal</w:t>
      </w:r>
      <w:r>
        <w:t>) describes the energy per mol of protein, whilst the van’t Hoff enthalpy (Δ</w:t>
      </w:r>
      <w:r w:rsidRPr="00EF74A6">
        <w:rPr>
          <w:i/>
        </w:rPr>
        <w:t>H</w:t>
      </w:r>
      <w:r w:rsidRPr="00EF74A6">
        <w:rPr>
          <w:i/>
          <w:vertAlign w:val="subscript"/>
        </w:rPr>
        <w:t>VH</w:t>
      </w:r>
      <w:r>
        <w:t xml:space="preserve">) describes the energy per mol of cooperative unit in equilibrium </w:t>
      </w:r>
      <w:r>
        <w:fldChar w:fldCharType="begin" w:fldLock="1"/>
      </w:r>
      <w:r w:rsidR="002764B5">
        <w:instrText>ADDIN CSL_CITATION { "citationItems" : [ { "id" : "ITEM-1", "itemData" : { "author" : [ { "dropping-particle" : "", "family" : "Malvern Instruments Limited", "given" : "", "non-dropping-particle" : "", "parse-names" : false, "suffix" : "" } ], "container-title" : "Retrieved from: www.malvern.com", "id" : "ITEM-1", "issued" : { "date-parts" : [ [ "2015" ] ] }, "title" : "Differential scanning calorimetry (DSC): Theory and practice", "type" : "webpage" }, "uris" : [ "http://www.mendeley.com/documents/?uuid=c529c847-d1ba-4972-9919-6bf14b3f687a" ] } ], "mendeley" : { "formattedCitation" : "(Malvern Instruments Limited 2015b)", "plainTextFormattedCitation" : "(Malvern Instruments Limited 2015b)", "previouslyFormattedCitation" : "(Malvern Instruments Limited 2015b)" }, "properties" : { "noteIndex" : 0 }, "schema" : "https://github.com/citation-style-language/schema/raw/master/csl-citation.json" }</w:instrText>
      </w:r>
      <w:r>
        <w:fldChar w:fldCharType="separate"/>
      </w:r>
      <w:r w:rsidRPr="00972DE4">
        <w:rPr>
          <w:noProof/>
        </w:rPr>
        <w:t>(Malvern Instruments Limited 2015b)</w:t>
      </w:r>
      <w:r>
        <w:fldChar w:fldCharType="end"/>
      </w:r>
      <w:r>
        <w:t>, so Δ</w:t>
      </w:r>
      <w:r w:rsidRPr="00EF74A6">
        <w:rPr>
          <w:i/>
        </w:rPr>
        <w:t>H</w:t>
      </w:r>
      <w:r w:rsidRPr="00EF74A6">
        <w:rPr>
          <w:i/>
          <w:vertAlign w:val="subscript"/>
        </w:rPr>
        <w:t>cal</w:t>
      </w:r>
      <w:r>
        <w:t xml:space="preserve"> describes the area under the endothermic peak of the thermogram, whereas Δ</w:t>
      </w:r>
      <w:r w:rsidRPr="00EF74A6">
        <w:rPr>
          <w:i/>
        </w:rPr>
        <w:t>H</w:t>
      </w:r>
      <w:r w:rsidRPr="00EF74A6">
        <w:rPr>
          <w:i/>
          <w:vertAlign w:val="subscript"/>
        </w:rPr>
        <w:t>VH</w:t>
      </w:r>
      <w:r>
        <w:t xml:space="preserve"> describes the shape of the peak; a broader transition will give a lower Δ</w:t>
      </w:r>
      <w:r w:rsidRPr="00EF74A6">
        <w:rPr>
          <w:i/>
        </w:rPr>
        <w:t>H</w:t>
      </w:r>
      <w:r w:rsidRPr="00EF74A6">
        <w:rPr>
          <w:i/>
          <w:vertAlign w:val="subscript"/>
        </w:rPr>
        <w:t>VH</w:t>
      </w:r>
      <w:r>
        <w:t xml:space="preserve">. If these two values are equal or very close to equal, the unfolding transition can be considered </w:t>
      </w:r>
      <w:r w:rsidR="006B7D09">
        <w:t>as</w:t>
      </w:r>
      <w:r>
        <w:t xml:space="preserve"> two-state. If Δ</w:t>
      </w:r>
      <w:r w:rsidRPr="00EF74A6">
        <w:rPr>
          <w:i/>
        </w:rPr>
        <w:t>H</w:t>
      </w:r>
      <w:r w:rsidRPr="00EF74A6">
        <w:rPr>
          <w:i/>
          <w:vertAlign w:val="subscript"/>
        </w:rPr>
        <w:t>VH</w:t>
      </w:r>
      <w:r>
        <w:rPr>
          <w:vertAlign w:val="subscript"/>
        </w:rPr>
        <w:t xml:space="preserve"> </w:t>
      </w:r>
      <w:r>
        <w:t>is smaller than Δ</w:t>
      </w:r>
      <w:r w:rsidRPr="00EF74A6">
        <w:rPr>
          <w:i/>
        </w:rPr>
        <w:t>H</w:t>
      </w:r>
      <w:r w:rsidRPr="00EF74A6">
        <w:rPr>
          <w:i/>
          <w:vertAlign w:val="subscript"/>
        </w:rPr>
        <w:t>cal</w:t>
      </w:r>
      <w:r>
        <w:t xml:space="preserve"> denaturation involves intermediates and cannot be considered two-state. If Δ</w:t>
      </w:r>
      <w:r w:rsidRPr="00EF74A6">
        <w:rPr>
          <w:i/>
        </w:rPr>
        <w:t>H</w:t>
      </w:r>
      <w:r w:rsidRPr="00EF74A6">
        <w:rPr>
          <w:i/>
          <w:vertAlign w:val="subscript"/>
        </w:rPr>
        <w:t>cal</w:t>
      </w:r>
      <w:r>
        <w:t xml:space="preserve"> is smaller than Δ</w:t>
      </w:r>
      <w:r w:rsidRPr="00EF74A6">
        <w:rPr>
          <w:i/>
        </w:rPr>
        <w:t>H</w:t>
      </w:r>
      <w:r w:rsidRPr="00EF74A6">
        <w:rPr>
          <w:i/>
          <w:vertAlign w:val="subscript"/>
        </w:rPr>
        <w:t>VH</w:t>
      </w:r>
      <w:r>
        <w:t xml:space="preserve">, which happens rarely, the protein is likely forming a dimer or higher order aggregate in the native state </w:t>
      </w:r>
      <w:r>
        <w:fldChar w:fldCharType="begin" w:fldLock="1"/>
      </w:r>
      <w:r>
        <w:instrText>ADDIN CSL_CITATION { "citationItems" : [ { "id" : "ITEM-1", "itemData" : { "DOI" : "10.1016/j.bpc.2005.06.012", "ISBN" : "9780199637461", "ISSN" : "0301-4622", "PMID" : "16055258", "abstract" : "In Protein ligand interactions: hydrodynamics and calorimetry paper", "author" : [ { "dropping-particle" : "", "family" : "Cooper", "given" : "A", "non-dropping-particle" : "", "parse-names" : false, "suffix" : "" }, { "dropping-particle" : "", "family" : "Nutley", "given" : "M A", "non-dropping-particle" : "", "parse-names" : false, "suffix" : "" }, { "dropping-particle" : "", "family" : "Wadood", "given" : "A", "non-dropping-particle" : "", "parse-names" : false, "suffix" : "" } ], "container-title" : "Protein-Ligand Interactions: hydrodynamics and calorimetry", "id" : "ITEM-1", "issued" : { "date-parts" : [ [ "2000" ] ] }, "page" : "287-318", "title" : "Differential scanning microcalorimetry", "type" : "chapter" }, "uris" : [ "http://www.mendeley.com/documents/?uuid=7aab60a0-f9bb-4bdd-990c-01e7c0dbaeb4" ] } ], "mendeley" : { "formattedCitation" : "(Cooper et al. 2000)", "plainTextFormattedCitation" : "(Cooper et al. 2000)", "previouslyFormattedCitation" : "(Cooper et al. 2000)" }, "properties" : { "noteIndex" : 0 }, "schema" : "https://github.com/citation-style-language/schema/raw/master/csl-citation.json" }</w:instrText>
      </w:r>
      <w:r>
        <w:fldChar w:fldCharType="separate"/>
      </w:r>
      <w:r w:rsidRPr="009D4F19">
        <w:rPr>
          <w:noProof/>
        </w:rPr>
        <w:t>(Cooper et al. 2000)</w:t>
      </w:r>
      <w:r>
        <w:fldChar w:fldCharType="end"/>
      </w:r>
      <w:r>
        <w:t>. These values were calculated using the Nanoanalyze software for the three model proteins used in this thesis. Lysozyme was shown to undergo a two-state transition as demonstrated previously (</w:t>
      </w:r>
      <w:r>
        <w:fldChar w:fldCharType="begin"/>
      </w:r>
      <w:r>
        <w:instrText xml:space="preserve"> REF _Ref462221737 \h </w:instrText>
      </w:r>
      <w:r>
        <w:fldChar w:fldCharType="separate"/>
      </w:r>
      <w:r w:rsidR="00AA6926">
        <w:t xml:space="preserve">Table </w:t>
      </w:r>
      <w:r w:rsidR="00AA6926">
        <w:rPr>
          <w:noProof/>
        </w:rPr>
        <w:t>2</w:t>
      </w:r>
      <w:r w:rsidR="00AA6926">
        <w:noBreakHyphen/>
      </w:r>
      <w:r w:rsidR="00AA6926">
        <w:rPr>
          <w:noProof/>
        </w:rPr>
        <w:t>1</w:t>
      </w:r>
      <w:r>
        <w:fldChar w:fldCharType="end"/>
      </w:r>
      <w:r>
        <w:t>). However, both BSA and myoglobin had much higher Δ</w:t>
      </w:r>
      <w:r w:rsidRPr="00EF74A6">
        <w:rPr>
          <w:i/>
        </w:rPr>
        <w:t>H</w:t>
      </w:r>
      <w:r w:rsidRPr="00EF74A6">
        <w:rPr>
          <w:i/>
          <w:vertAlign w:val="subscript"/>
        </w:rPr>
        <w:t>cal</w:t>
      </w:r>
      <w:r w:rsidRPr="00EF74A6">
        <w:rPr>
          <w:i/>
        </w:rPr>
        <w:t xml:space="preserve"> </w:t>
      </w:r>
      <w:r>
        <w:t>values than Δ</w:t>
      </w:r>
      <w:r w:rsidRPr="00EF74A6">
        <w:rPr>
          <w:i/>
        </w:rPr>
        <w:t>H</w:t>
      </w:r>
      <w:r w:rsidRPr="00EF74A6">
        <w:rPr>
          <w:i/>
          <w:vertAlign w:val="subscript"/>
        </w:rPr>
        <w:t>VH</w:t>
      </w:r>
      <w:r w:rsidRPr="00EF74A6">
        <w:rPr>
          <w:i/>
        </w:rPr>
        <w:t xml:space="preserve"> </w:t>
      </w:r>
      <w:r>
        <w:t>values, which show that there are possibly unfolding intermediates during denaturation (</w:t>
      </w:r>
      <w:r w:rsidR="00567098">
        <w:t>Table 2-1</w:t>
      </w:r>
      <w:r>
        <w:t>). Due to this, enthalpy and entropy values have not been used in analysis, but the melting temperatures still give useful information and are shown to be highly replicable.</w:t>
      </w:r>
    </w:p>
    <w:p w14:paraId="3C55137F" w14:textId="7AACD191" w:rsidR="00C56CFB" w:rsidRPr="009D4F19" w:rsidRDefault="00567098" w:rsidP="00567098">
      <w:pPr>
        <w:spacing w:before="0" w:after="200" w:line="276" w:lineRule="auto"/>
      </w:pPr>
      <w:r>
        <w:br w:type="page"/>
      </w:r>
    </w:p>
    <w:p w14:paraId="018C5209" w14:textId="7E0D6777" w:rsidR="00C56CFB" w:rsidRDefault="00C56CFB" w:rsidP="006B257F">
      <w:pPr>
        <w:pStyle w:val="Caption"/>
        <w:keepNext/>
        <w:jc w:val="left"/>
      </w:pPr>
      <w:bookmarkStart w:id="156" w:name="_Ref462221737"/>
      <w:r>
        <w:lastRenderedPageBreak/>
        <w:t xml:space="preserve">Table </w:t>
      </w:r>
      <w:fldSimple w:instr=" STYLEREF 1 \s ">
        <w:r w:rsidR="00AA6926">
          <w:rPr>
            <w:noProof/>
          </w:rPr>
          <w:t>2</w:t>
        </w:r>
      </w:fldSimple>
      <w:r>
        <w:noBreakHyphen/>
      </w:r>
      <w:fldSimple w:instr=" SEQ Table \* ARABIC \s 1 ">
        <w:r w:rsidR="00AA6926">
          <w:rPr>
            <w:noProof/>
          </w:rPr>
          <w:t>1</w:t>
        </w:r>
      </w:fldSimple>
      <w:bookmarkEnd w:id="156"/>
      <w:r>
        <w:t xml:space="preserve">. </w:t>
      </w:r>
      <w:r w:rsidR="00567098">
        <w:t>DSC data of</w:t>
      </w:r>
      <w:r>
        <w:t xml:space="preserve"> melting temperatures, calorimetric and van't Hoff change in enthalpies</w:t>
      </w:r>
      <w:r w:rsidR="00567098">
        <w:t xml:space="preserve"> of 1 g/L lysozyme pH 7 in HPLC-grade water, </w:t>
      </w:r>
      <w:r w:rsidR="00567098" w:rsidRPr="00E47701">
        <w:t>1 g/L BSA pH 7 in 10 mM sodium octanoate &amp; HPLC-grade water</w:t>
      </w:r>
      <w:r w:rsidR="00567098">
        <w:t xml:space="preserve"> &amp; </w:t>
      </w:r>
      <w:r w:rsidR="00567098" w:rsidRPr="00075AC2">
        <w:t>0.5 g/L myoglobin at pH 8 in HPLC-grade water</w:t>
      </w:r>
    </w:p>
    <w:tbl>
      <w:tblPr>
        <w:tblStyle w:val="LightShading"/>
        <w:tblW w:w="0" w:type="auto"/>
        <w:tblLook w:val="04A0" w:firstRow="1" w:lastRow="0" w:firstColumn="1" w:lastColumn="0" w:noHBand="0" w:noVBand="1"/>
      </w:tblPr>
      <w:tblGrid>
        <w:gridCol w:w="1363"/>
        <w:gridCol w:w="1308"/>
        <w:gridCol w:w="1300"/>
        <w:gridCol w:w="1181"/>
        <w:gridCol w:w="35"/>
        <w:gridCol w:w="1212"/>
        <w:gridCol w:w="1147"/>
        <w:gridCol w:w="1174"/>
      </w:tblGrid>
      <w:tr w:rsidR="00386E02" w:rsidRPr="00C643FE" w14:paraId="0A54054A" w14:textId="2F54F66A" w:rsidTr="00567098">
        <w:trPr>
          <w:cnfStyle w:val="100000000000" w:firstRow="1" w:lastRow="0" w:firstColumn="0" w:lastColumn="0" w:oddVBand="0" w:evenVBand="0" w:oddHBand="0"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1365" w:type="dxa"/>
            <w:vMerge w:val="restart"/>
          </w:tcPr>
          <w:p w14:paraId="490BE131" w14:textId="6C3BB70A" w:rsidR="00386E02" w:rsidRDefault="00386E02" w:rsidP="00C56CFB">
            <w:pPr>
              <w:spacing w:before="0" w:after="0"/>
            </w:pPr>
            <w:commentRangeStart w:id="157"/>
            <w:r>
              <w:t>Protein</w:t>
            </w:r>
          </w:p>
        </w:tc>
        <w:tc>
          <w:tcPr>
            <w:tcW w:w="2623" w:type="dxa"/>
            <w:gridSpan w:val="2"/>
            <w:shd w:val="clear" w:color="auto" w:fill="auto"/>
          </w:tcPr>
          <w:p w14:paraId="41762016" w14:textId="58DB66B6" w:rsidR="00386E02" w:rsidRDefault="00386E02" w:rsidP="00C56CFB">
            <w:pPr>
              <w:spacing w:before="0" w:after="0"/>
              <w:cnfStyle w:val="100000000000" w:firstRow="1" w:lastRow="0" w:firstColumn="0" w:lastColumn="0" w:oddVBand="0" w:evenVBand="0" w:oddHBand="0" w:evenHBand="0" w:firstRowFirstColumn="0" w:firstRowLastColumn="0" w:lastRowFirstColumn="0" w:lastRowLastColumn="0"/>
            </w:pPr>
            <w:r>
              <w:t>Melting temperature (</w:t>
            </w:r>
            <w:r>
              <w:rPr>
                <w:i/>
              </w:rPr>
              <w:t>T</w:t>
            </w:r>
            <w:r w:rsidRPr="0060788E">
              <w:rPr>
                <w:vertAlign w:val="subscript"/>
              </w:rPr>
              <w:t>m</w:t>
            </w:r>
            <w:r>
              <w:t>)</w:t>
            </w:r>
          </w:p>
        </w:tc>
        <w:tc>
          <w:tcPr>
            <w:tcW w:w="2440" w:type="dxa"/>
            <w:gridSpan w:val="3"/>
            <w:shd w:val="clear" w:color="auto" w:fill="auto"/>
          </w:tcPr>
          <w:p w14:paraId="68CEE8F2" w14:textId="7A2D10E5" w:rsidR="00386E02" w:rsidRPr="00E3274E" w:rsidRDefault="00386E02" w:rsidP="00C56CFB">
            <w:pPr>
              <w:spacing w:before="0" w:after="0"/>
              <w:cnfStyle w:val="100000000000" w:firstRow="1" w:lastRow="0" w:firstColumn="0" w:lastColumn="0" w:oddVBand="0" w:evenVBand="0" w:oddHBand="0" w:evenHBand="0" w:firstRowFirstColumn="0" w:firstRowLastColumn="0" w:lastRowFirstColumn="0" w:lastRowLastColumn="0"/>
              <w:rPr>
                <w:lang w:val="de-DE"/>
              </w:rPr>
            </w:pPr>
            <w:r>
              <w:t>Calorimetric change in enthalpy (Δ</w:t>
            </w:r>
            <w:r w:rsidRPr="00EF74A6">
              <w:rPr>
                <w:i/>
              </w:rPr>
              <w:t>H</w:t>
            </w:r>
            <w:r w:rsidRPr="00EF74A6">
              <w:rPr>
                <w:i/>
                <w:vertAlign w:val="subscript"/>
              </w:rPr>
              <w:t>cal</w:t>
            </w:r>
            <w:r>
              <w:t>)</w:t>
            </w:r>
          </w:p>
        </w:tc>
        <w:tc>
          <w:tcPr>
            <w:tcW w:w="2292" w:type="dxa"/>
            <w:gridSpan w:val="2"/>
            <w:shd w:val="clear" w:color="auto" w:fill="auto"/>
          </w:tcPr>
          <w:p w14:paraId="697E1DCB" w14:textId="2274024A" w:rsidR="00386E02" w:rsidRPr="00E3274E" w:rsidRDefault="00386E02" w:rsidP="00C56CFB">
            <w:pPr>
              <w:spacing w:before="0" w:after="0"/>
              <w:cnfStyle w:val="100000000000" w:firstRow="1" w:lastRow="0" w:firstColumn="0" w:lastColumn="0" w:oddVBand="0" w:evenVBand="0" w:oddHBand="0" w:evenHBand="0" w:firstRowFirstColumn="0" w:firstRowLastColumn="0" w:lastRowFirstColumn="0" w:lastRowLastColumn="0"/>
              <w:rPr>
                <w:lang w:val="de-DE"/>
              </w:rPr>
            </w:pPr>
            <w:r w:rsidRPr="00E3274E">
              <w:rPr>
                <w:lang w:val="de-DE"/>
              </w:rPr>
              <w:t>Van’t Hoff change in enthalpy (</w:t>
            </w:r>
            <w:r>
              <w:t>Δ</w:t>
            </w:r>
            <w:r w:rsidRPr="00E3274E">
              <w:rPr>
                <w:i/>
                <w:lang w:val="de-DE"/>
              </w:rPr>
              <w:t>H</w:t>
            </w:r>
            <w:r w:rsidRPr="00E3274E">
              <w:rPr>
                <w:i/>
                <w:vertAlign w:val="subscript"/>
                <w:lang w:val="de-DE"/>
              </w:rPr>
              <w:t>VH</w:t>
            </w:r>
            <w:r w:rsidRPr="00E3274E">
              <w:rPr>
                <w:lang w:val="de-DE"/>
              </w:rPr>
              <w:t>)</w:t>
            </w:r>
          </w:p>
        </w:tc>
      </w:tr>
      <w:tr w:rsidR="00386E02" w:rsidRPr="00E3274E" w14:paraId="4A1AF717" w14:textId="77777777" w:rsidTr="00567098">
        <w:trPr>
          <w:cnfStyle w:val="000000100000" w:firstRow="0" w:lastRow="0" w:firstColumn="0" w:lastColumn="0" w:oddVBand="0" w:evenVBand="0" w:oddHBand="1" w:evenHBand="0" w:firstRowFirstColumn="0" w:firstRowLastColumn="0" w:lastRowFirstColumn="0" w:lastRowLastColumn="0"/>
          <w:trHeight w:val="877"/>
        </w:trPr>
        <w:tc>
          <w:tcPr>
            <w:cnfStyle w:val="001000000000" w:firstRow="0" w:lastRow="0" w:firstColumn="1" w:lastColumn="0" w:oddVBand="0" w:evenVBand="0" w:oddHBand="0" w:evenHBand="0" w:firstRowFirstColumn="0" w:firstRowLastColumn="0" w:lastRowFirstColumn="0" w:lastRowLastColumn="0"/>
            <w:tcW w:w="1365" w:type="dxa"/>
            <w:vMerge/>
            <w:tcBorders>
              <w:bottom w:val="single" w:sz="8" w:space="0" w:color="000000" w:themeColor="text1"/>
            </w:tcBorders>
          </w:tcPr>
          <w:p w14:paraId="55401892" w14:textId="77777777" w:rsidR="00386E02" w:rsidRPr="004A1680" w:rsidRDefault="00386E02" w:rsidP="00C56CFB">
            <w:pPr>
              <w:spacing w:before="0" w:after="0"/>
              <w:rPr>
                <w:lang w:val="de-DE"/>
              </w:rPr>
            </w:pPr>
          </w:p>
        </w:tc>
        <w:tc>
          <w:tcPr>
            <w:tcW w:w="1313" w:type="dxa"/>
            <w:tcBorders>
              <w:top w:val="single" w:sz="8" w:space="0" w:color="000000" w:themeColor="text1"/>
              <w:bottom w:val="single" w:sz="8" w:space="0" w:color="000000" w:themeColor="text1"/>
            </w:tcBorders>
            <w:shd w:val="clear" w:color="auto" w:fill="auto"/>
          </w:tcPr>
          <w:p w14:paraId="3572AA5F" w14:textId="0AFED44F" w:rsidR="00386E02" w:rsidRDefault="00386E02" w:rsidP="00C56CFB">
            <w:pPr>
              <w:spacing w:before="0" w:after="0"/>
              <w:cnfStyle w:val="000000100000" w:firstRow="0" w:lastRow="0" w:firstColumn="0" w:lastColumn="0" w:oddVBand="0" w:evenVBand="0" w:oddHBand="1" w:evenHBand="0" w:firstRowFirstColumn="0" w:firstRowLastColumn="0" w:lastRowFirstColumn="0" w:lastRowLastColumn="0"/>
            </w:pPr>
            <w:r>
              <w:t>Average</w:t>
            </w:r>
          </w:p>
        </w:tc>
        <w:tc>
          <w:tcPr>
            <w:tcW w:w="1310" w:type="dxa"/>
            <w:tcBorders>
              <w:top w:val="single" w:sz="8" w:space="0" w:color="000000" w:themeColor="text1"/>
              <w:bottom w:val="single" w:sz="8" w:space="0" w:color="000000" w:themeColor="text1"/>
            </w:tcBorders>
            <w:shd w:val="clear" w:color="auto" w:fill="auto"/>
          </w:tcPr>
          <w:p w14:paraId="16FB69D1" w14:textId="6D238D59" w:rsidR="00386E02" w:rsidRDefault="00386E02" w:rsidP="00C56CFB">
            <w:pPr>
              <w:spacing w:before="0" w:after="0"/>
              <w:cnfStyle w:val="000000100000" w:firstRow="0" w:lastRow="0" w:firstColumn="0" w:lastColumn="0" w:oddVBand="0" w:evenVBand="0" w:oddHBand="1" w:evenHBand="0" w:firstRowFirstColumn="0" w:firstRowLastColumn="0" w:lastRowFirstColumn="0" w:lastRowLastColumn="0"/>
            </w:pPr>
            <w:r>
              <w:t>SE</w:t>
            </w:r>
          </w:p>
        </w:tc>
        <w:tc>
          <w:tcPr>
            <w:tcW w:w="1184" w:type="dxa"/>
            <w:tcBorders>
              <w:bottom w:val="single" w:sz="8" w:space="0" w:color="000000" w:themeColor="text1"/>
            </w:tcBorders>
            <w:shd w:val="clear" w:color="auto" w:fill="auto"/>
          </w:tcPr>
          <w:p w14:paraId="268A4C36" w14:textId="229A7ACD" w:rsidR="00386E02" w:rsidRPr="00E3274E" w:rsidRDefault="00386E02" w:rsidP="00C56CFB">
            <w:pPr>
              <w:spacing w:before="0" w:after="0"/>
              <w:cnfStyle w:val="000000100000" w:firstRow="0" w:lastRow="0" w:firstColumn="0" w:lastColumn="0" w:oddVBand="0" w:evenVBand="0" w:oddHBand="1" w:evenHBand="0" w:firstRowFirstColumn="0" w:firstRowLastColumn="0" w:lastRowFirstColumn="0" w:lastRowLastColumn="0"/>
              <w:rPr>
                <w:lang w:val="de-DE"/>
              </w:rPr>
            </w:pPr>
            <w:r>
              <w:rPr>
                <w:lang w:val="de-DE"/>
              </w:rPr>
              <w:t>Average</w:t>
            </w:r>
          </w:p>
        </w:tc>
        <w:tc>
          <w:tcPr>
            <w:tcW w:w="1256" w:type="dxa"/>
            <w:gridSpan w:val="2"/>
            <w:tcBorders>
              <w:bottom w:val="single" w:sz="8" w:space="0" w:color="000000" w:themeColor="text1"/>
            </w:tcBorders>
            <w:shd w:val="clear" w:color="auto" w:fill="auto"/>
          </w:tcPr>
          <w:p w14:paraId="00A8CFC5" w14:textId="1B65D361" w:rsidR="00386E02" w:rsidRPr="00E3274E" w:rsidRDefault="00386E02" w:rsidP="00C56CFB">
            <w:pPr>
              <w:spacing w:before="0" w:after="0"/>
              <w:cnfStyle w:val="000000100000" w:firstRow="0" w:lastRow="0" w:firstColumn="0" w:lastColumn="0" w:oddVBand="0" w:evenVBand="0" w:oddHBand="1" w:evenHBand="0" w:firstRowFirstColumn="0" w:firstRowLastColumn="0" w:lastRowFirstColumn="0" w:lastRowLastColumn="0"/>
              <w:rPr>
                <w:lang w:val="de-DE"/>
              </w:rPr>
            </w:pPr>
            <w:r>
              <w:rPr>
                <w:lang w:val="de-DE"/>
              </w:rPr>
              <w:t>SE</w:t>
            </w:r>
          </w:p>
        </w:tc>
        <w:tc>
          <w:tcPr>
            <w:tcW w:w="1149" w:type="dxa"/>
            <w:tcBorders>
              <w:bottom w:val="single" w:sz="8" w:space="0" w:color="000000" w:themeColor="text1"/>
            </w:tcBorders>
            <w:shd w:val="clear" w:color="auto" w:fill="auto"/>
          </w:tcPr>
          <w:p w14:paraId="45FC395D" w14:textId="78318F55" w:rsidR="00386E02" w:rsidRPr="00E3274E" w:rsidRDefault="00386E02" w:rsidP="00C56CFB">
            <w:pPr>
              <w:spacing w:before="0" w:after="0"/>
              <w:cnfStyle w:val="000000100000" w:firstRow="0" w:lastRow="0" w:firstColumn="0" w:lastColumn="0" w:oddVBand="0" w:evenVBand="0" w:oddHBand="1" w:evenHBand="0" w:firstRowFirstColumn="0" w:firstRowLastColumn="0" w:lastRowFirstColumn="0" w:lastRowLastColumn="0"/>
              <w:rPr>
                <w:lang w:val="de-DE"/>
              </w:rPr>
            </w:pPr>
            <w:r>
              <w:rPr>
                <w:lang w:val="de-DE"/>
              </w:rPr>
              <w:t>Average</w:t>
            </w:r>
          </w:p>
        </w:tc>
        <w:tc>
          <w:tcPr>
            <w:tcW w:w="1143" w:type="dxa"/>
            <w:tcBorders>
              <w:bottom w:val="single" w:sz="8" w:space="0" w:color="000000" w:themeColor="text1"/>
            </w:tcBorders>
            <w:shd w:val="clear" w:color="auto" w:fill="auto"/>
          </w:tcPr>
          <w:p w14:paraId="516FD3BE" w14:textId="205494F6" w:rsidR="00386E02" w:rsidRPr="00E3274E" w:rsidRDefault="00386E02" w:rsidP="00C56CFB">
            <w:pPr>
              <w:spacing w:before="0" w:after="0"/>
              <w:cnfStyle w:val="000000100000" w:firstRow="0" w:lastRow="0" w:firstColumn="0" w:lastColumn="0" w:oddVBand="0" w:evenVBand="0" w:oddHBand="1" w:evenHBand="0" w:firstRowFirstColumn="0" w:firstRowLastColumn="0" w:lastRowFirstColumn="0" w:lastRowLastColumn="0"/>
              <w:rPr>
                <w:lang w:val="de-DE"/>
              </w:rPr>
            </w:pPr>
            <w:r>
              <w:rPr>
                <w:lang w:val="de-DE"/>
              </w:rPr>
              <w:t>SE</w:t>
            </w:r>
          </w:p>
        </w:tc>
      </w:tr>
      <w:tr w:rsidR="00D05263" w14:paraId="087A2E22" w14:textId="2649D40F" w:rsidTr="00567098">
        <w:tc>
          <w:tcPr>
            <w:cnfStyle w:val="001000000000" w:firstRow="0" w:lastRow="0" w:firstColumn="1" w:lastColumn="0" w:oddVBand="0" w:evenVBand="0" w:oddHBand="0" w:evenHBand="0" w:firstRowFirstColumn="0" w:firstRowLastColumn="0" w:lastRowFirstColumn="0" w:lastRowLastColumn="0"/>
            <w:tcW w:w="1365" w:type="dxa"/>
          </w:tcPr>
          <w:p w14:paraId="6E8842E1" w14:textId="67E35631" w:rsidR="00D05263" w:rsidRDefault="00D05263" w:rsidP="00C56CFB">
            <w:pPr>
              <w:spacing w:before="0" w:after="0"/>
            </w:pPr>
            <w:r>
              <w:t>Lysozyme</w:t>
            </w:r>
          </w:p>
        </w:tc>
        <w:tc>
          <w:tcPr>
            <w:tcW w:w="1313" w:type="dxa"/>
            <w:shd w:val="clear" w:color="auto" w:fill="auto"/>
          </w:tcPr>
          <w:p w14:paraId="1ADC59DA" w14:textId="77777777" w:rsidR="00D05263" w:rsidRDefault="00D05263" w:rsidP="00D05263">
            <w:pPr>
              <w:spacing w:before="0" w:after="0"/>
              <w:cnfStyle w:val="000000000000" w:firstRow="0" w:lastRow="0" w:firstColumn="0" w:lastColumn="0" w:oddVBand="0" w:evenVBand="0" w:oddHBand="0" w:evenHBand="0" w:firstRowFirstColumn="0" w:firstRowLastColumn="0" w:lastRowFirstColumn="0" w:lastRowLastColumn="0"/>
            </w:pPr>
            <w:r>
              <w:t>73.71</w:t>
            </w:r>
          </w:p>
        </w:tc>
        <w:tc>
          <w:tcPr>
            <w:tcW w:w="1310" w:type="dxa"/>
            <w:shd w:val="clear" w:color="auto" w:fill="auto"/>
          </w:tcPr>
          <w:p w14:paraId="518846CF" w14:textId="449B74CB" w:rsidR="00D05263" w:rsidRDefault="00D05263" w:rsidP="00D05263">
            <w:pPr>
              <w:spacing w:before="0" w:after="0"/>
              <w:jc w:val="both"/>
              <w:cnfStyle w:val="000000000000" w:firstRow="0" w:lastRow="0" w:firstColumn="0" w:lastColumn="0" w:oddVBand="0" w:evenVBand="0" w:oddHBand="0" w:evenHBand="0" w:firstRowFirstColumn="0" w:firstRowLastColumn="0" w:lastRowFirstColumn="0" w:lastRowLastColumn="0"/>
            </w:pPr>
            <w:r>
              <w:t>0.035</w:t>
            </w:r>
          </w:p>
        </w:tc>
        <w:tc>
          <w:tcPr>
            <w:tcW w:w="1184" w:type="dxa"/>
            <w:shd w:val="clear" w:color="auto" w:fill="auto"/>
          </w:tcPr>
          <w:p w14:paraId="5C076D7B" w14:textId="77777777" w:rsidR="00D05263" w:rsidRDefault="00D05263" w:rsidP="00D05263">
            <w:pPr>
              <w:spacing w:before="0" w:after="0"/>
              <w:cnfStyle w:val="000000000000" w:firstRow="0" w:lastRow="0" w:firstColumn="0" w:lastColumn="0" w:oddVBand="0" w:evenVBand="0" w:oddHBand="0" w:evenHBand="0" w:firstRowFirstColumn="0" w:firstRowLastColumn="0" w:lastRowFirstColumn="0" w:lastRowLastColumn="0"/>
            </w:pPr>
            <w:r>
              <w:t>437.37</w:t>
            </w:r>
          </w:p>
        </w:tc>
        <w:tc>
          <w:tcPr>
            <w:tcW w:w="1256" w:type="dxa"/>
            <w:gridSpan w:val="2"/>
            <w:shd w:val="clear" w:color="auto" w:fill="auto"/>
          </w:tcPr>
          <w:p w14:paraId="6E277F73" w14:textId="66300A49" w:rsidR="00D05263" w:rsidRDefault="00D05263" w:rsidP="00D05263">
            <w:pPr>
              <w:spacing w:before="0" w:after="0"/>
              <w:cnfStyle w:val="000000000000" w:firstRow="0" w:lastRow="0" w:firstColumn="0" w:lastColumn="0" w:oddVBand="0" w:evenVBand="0" w:oddHBand="0" w:evenHBand="0" w:firstRowFirstColumn="0" w:firstRowLastColumn="0" w:lastRowFirstColumn="0" w:lastRowLastColumn="0"/>
            </w:pPr>
            <w:r>
              <w:t>8.33</w:t>
            </w:r>
          </w:p>
        </w:tc>
        <w:tc>
          <w:tcPr>
            <w:tcW w:w="1149" w:type="dxa"/>
            <w:shd w:val="clear" w:color="auto" w:fill="auto"/>
          </w:tcPr>
          <w:p w14:paraId="358B1180" w14:textId="77777777" w:rsidR="00D05263" w:rsidRDefault="00D05263" w:rsidP="00D05263">
            <w:pPr>
              <w:spacing w:before="0" w:after="0"/>
              <w:cnfStyle w:val="000000000000" w:firstRow="0" w:lastRow="0" w:firstColumn="0" w:lastColumn="0" w:oddVBand="0" w:evenVBand="0" w:oddHBand="0" w:evenHBand="0" w:firstRowFirstColumn="0" w:firstRowLastColumn="0" w:lastRowFirstColumn="0" w:lastRowLastColumn="0"/>
            </w:pPr>
            <w:r>
              <w:t>472.07</w:t>
            </w:r>
          </w:p>
        </w:tc>
        <w:tc>
          <w:tcPr>
            <w:tcW w:w="1143" w:type="dxa"/>
            <w:shd w:val="clear" w:color="auto" w:fill="auto"/>
          </w:tcPr>
          <w:p w14:paraId="7958F8B8" w14:textId="01C67535" w:rsidR="00D05263" w:rsidRDefault="00D05263" w:rsidP="00D05263">
            <w:pPr>
              <w:spacing w:before="0" w:after="0"/>
              <w:cnfStyle w:val="000000000000" w:firstRow="0" w:lastRow="0" w:firstColumn="0" w:lastColumn="0" w:oddVBand="0" w:evenVBand="0" w:oddHBand="0" w:evenHBand="0" w:firstRowFirstColumn="0" w:firstRowLastColumn="0" w:lastRowFirstColumn="0" w:lastRowLastColumn="0"/>
            </w:pPr>
            <w:r>
              <w:t>4.24</w:t>
            </w:r>
          </w:p>
        </w:tc>
      </w:tr>
      <w:tr w:rsidR="00567098" w14:paraId="0755BC44" w14:textId="654AB0AA" w:rsidTr="00567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shd w:val="clear" w:color="auto" w:fill="auto"/>
          </w:tcPr>
          <w:p w14:paraId="062988D8" w14:textId="176E71D1" w:rsidR="00567098" w:rsidRDefault="00567098" w:rsidP="00C56CFB">
            <w:pPr>
              <w:spacing w:before="0" w:after="0"/>
            </w:pPr>
            <w:r>
              <w:t>BSA</w:t>
            </w:r>
          </w:p>
        </w:tc>
        <w:tc>
          <w:tcPr>
            <w:tcW w:w="1313" w:type="dxa"/>
            <w:shd w:val="clear" w:color="auto" w:fill="auto"/>
          </w:tcPr>
          <w:p w14:paraId="5CA6C12E" w14:textId="77777777" w:rsidR="00567098" w:rsidRDefault="00567098" w:rsidP="00C56CFB">
            <w:pPr>
              <w:spacing w:before="0" w:after="0"/>
              <w:cnfStyle w:val="000000100000" w:firstRow="0" w:lastRow="0" w:firstColumn="0" w:lastColumn="0" w:oddVBand="0" w:evenVBand="0" w:oddHBand="1" w:evenHBand="0" w:firstRowFirstColumn="0" w:firstRowLastColumn="0" w:lastRowFirstColumn="0" w:lastRowLastColumn="0"/>
            </w:pPr>
            <w:r>
              <w:t>83.51</w:t>
            </w:r>
          </w:p>
        </w:tc>
        <w:tc>
          <w:tcPr>
            <w:tcW w:w="1310" w:type="dxa"/>
            <w:shd w:val="clear" w:color="auto" w:fill="auto"/>
          </w:tcPr>
          <w:p w14:paraId="569D0C1D" w14:textId="0CBD7E66" w:rsidR="00567098" w:rsidRDefault="00567098" w:rsidP="00C56CFB">
            <w:pPr>
              <w:spacing w:before="0" w:after="0"/>
              <w:cnfStyle w:val="000000100000" w:firstRow="0" w:lastRow="0" w:firstColumn="0" w:lastColumn="0" w:oddVBand="0" w:evenVBand="0" w:oddHBand="1" w:evenHBand="0" w:firstRowFirstColumn="0" w:firstRowLastColumn="0" w:lastRowFirstColumn="0" w:lastRowLastColumn="0"/>
            </w:pPr>
            <w:r>
              <w:t>0.023</w:t>
            </w:r>
          </w:p>
        </w:tc>
        <w:tc>
          <w:tcPr>
            <w:tcW w:w="1220" w:type="dxa"/>
            <w:gridSpan w:val="2"/>
            <w:shd w:val="clear" w:color="auto" w:fill="auto"/>
          </w:tcPr>
          <w:p w14:paraId="082C5D7F" w14:textId="77777777" w:rsidR="00567098" w:rsidRDefault="00567098" w:rsidP="00C56CFB">
            <w:pPr>
              <w:spacing w:before="0" w:after="0"/>
              <w:cnfStyle w:val="000000100000" w:firstRow="0" w:lastRow="0" w:firstColumn="0" w:lastColumn="0" w:oddVBand="0" w:evenVBand="0" w:oddHBand="1" w:evenHBand="0" w:firstRowFirstColumn="0" w:firstRowLastColumn="0" w:lastRowFirstColumn="0" w:lastRowLastColumn="0"/>
            </w:pPr>
            <w:r>
              <w:t>1209.89</w:t>
            </w:r>
          </w:p>
        </w:tc>
        <w:tc>
          <w:tcPr>
            <w:tcW w:w="1220" w:type="dxa"/>
            <w:shd w:val="clear" w:color="auto" w:fill="auto"/>
          </w:tcPr>
          <w:p w14:paraId="56D2AAA8" w14:textId="22ED6445" w:rsidR="00567098" w:rsidRDefault="00567098" w:rsidP="00C56CFB">
            <w:pPr>
              <w:spacing w:before="0" w:after="0"/>
              <w:cnfStyle w:val="000000100000" w:firstRow="0" w:lastRow="0" w:firstColumn="0" w:lastColumn="0" w:oddVBand="0" w:evenVBand="0" w:oddHBand="1" w:evenHBand="0" w:firstRowFirstColumn="0" w:firstRowLastColumn="0" w:lastRowFirstColumn="0" w:lastRowLastColumn="0"/>
            </w:pPr>
            <w:r>
              <w:t>19.98</w:t>
            </w:r>
          </w:p>
        </w:tc>
        <w:tc>
          <w:tcPr>
            <w:tcW w:w="1149" w:type="dxa"/>
            <w:shd w:val="clear" w:color="auto" w:fill="auto"/>
          </w:tcPr>
          <w:p w14:paraId="362CA45F" w14:textId="77777777" w:rsidR="00567098" w:rsidRDefault="00567098" w:rsidP="00C56CFB">
            <w:pPr>
              <w:spacing w:before="0" w:after="0"/>
              <w:cnfStyle w:val="000000100000" w:firstRow="0" w:lastRow="0" w:firstColumn="0" w:lastColumn="0" w:oddVBand="0" w:evenVBand="0" w:oddHBand="1" w:evenHBand="0" w:firstRowFirstColumn="0" w:firstRowLastColumn="0" w:lastRowFirstColumn="0" w:lastRowLastColumn="0"/>
            </w:pPr>
            <w:r>
              <w:t>721.17</w:t>
            </w:r>
          </w:p>
        </w:tc>
        <w:tc>
          <w:tcPr>
            <w:tcW w:w="1143" w:type="dxa"/>
            <w:shd w:val="clear" w:color="auto" w:fill="auto"/>
          </w:tcPr>
          <w:p w14:paraId="7D685354" w14:textId="257FE2CD" w:rsidR="00567098" w:rsidRDefault="00567098" w:rsidP="00C56CFB">
            <w:pPr>
              <w:spacing w:before="0" w:after="0"/>
              <w:cnfStyle w:val="000000100000" w:firstRow="0" w:lastRow="0" w:firstColumn="0" w:lastColumn="0" w:oddVBand="0" w:evenVBand="0" w:oddHBand="1" w:evenHBand="0" w:firstRowFirstColumn="0" w:firstRowLastColumn="0" w:lastRowFirstColumn="0" w:lastRowLastColumn="0"/>
            </w:pPr>
            <w:r>
              <w:t>19.79</w:t>
            </w:r>
          </w:p>
        </w:tc>
      </w:tr>
      <w:tr w:rsidR="00567098" w14:paraId="5B135A9E" w14:textId="2651BB19" w:rsidTr="004A1680">
        <w:tc>
          <w:tcPr>
            <w:cnfStyle w:val="001000000000" w:firstRow="0" w:lastRow="0" w:firstColumn="1" w:lastColumn="0" w:oddVBand="0" w:evenVBand="0" w:oddHBand="0" w:evenHBand="0" w:firstRowFirstColumn="0" w:firstRowLastColumn="0" w:lastRowFirstColumn="0" w:lastRowLastColumn="0"/>
            <w:tcW w:w="1365" w:type="dxa"/>
          </w:tcPr>
          <w:p w14:paraId="2364C73A" w14:textId="03111481" w:rsidR="00567098" w:rsidRDefault="00567098" w:rsidP="00C56CFB">
            <w:pPr>
              <w:spacing w:before="0" w:after="0"/>
            </w:pPr>
            <w:r>
              <w:t>Myoglobin</w:t>
            </w:r>
          </w:p>
        </w:tc>
        <w:tc>
          <w:tcPr>
            <w:tcW w:w="1313" w:type="dxa"/>
            <w:shd w:val="clear" w:color="auto" w:fill="auto"/>
          </w:tcPr>
          <w:p w14:paraId="043E23AB" w14:textId="77777777" w:rsidR="00567098" w:rsidRDefault="00567098" w:rsidP="00C56CFB">
            <w:pPr>
              <w:spacing w:before="0" w:after="0"/>
              <w:cnfStyle w:val="000000000000" w:firstRow="0" w:lastRow="0" w:firstColumn="0" w:lastColumn="0" w:oddVBand="0" w:evenVBand="0" w:oddHBand="0" w:evenHBand="0" w:firstRowFirstColumn="0" w:firstRowLastColumn="0" w:lastRowFirstColumn="0" w:lastRowLastColumn="0"/>
            </w:pPr>
            <w:r>
              <w:t>81.30</w:t>
            </w:r>
          </w:p>
        </w:tc>
        <w:tc>
          <w:tcPr>
            <w:tcW w:w="1310" w:type="dxa"/>
            <w:shd w:val="clear" w:color="auto" w:fill="auto"/>
          </w:tcPr>
          <w:p w14:paraId="67C529F4" w14:textId="576CCE96" w:rsidR="00567098" w:rsidRDefault="00567098" w:rsidP="00C56CFB">
            <w:pPr>
              <w:spacing w:before="0" w:after="0"/>
              <w:cnfStyle w:val="000000000000" w:firstRow="0" w:lastRow="0" w:firstColumn="0" w:lastColumn="0" w:oddVBand="0" w:evenVBand="0" w:oddHBand="0" w:evenHBand="0" w:firstRowFirstColumn="0" w:firstRowLastColumn="0" w:lastRowFirstColumn="0" w:lastRowLastColumn="0"/>
            </w:pPr>
            <w:r>
              <w:t>0.09</w:t>
            </w:r>
          </w:p>
        </w:tc>
        <w:tc>
          <w:tcPr>
            <w:tcW w:w="1220" w:type="dxa"/>
            <w:gridSpan w:val="2"/>
            <w:shd w:val="clear" w:color="auto" w:fill="auto"/>
          </w:tcPr>
          <w:p w14:paraId="50CDC9BE" w14:textId="77777777" w:rsidR="00567098" w:rsidRDefault="00567098" w:rsidP="00C56CFB">
            <w:pPr>
              <w:spacing w:before="0" w:after="0"/>
              <w:cnfStyle w:val="000000000000" w:firstRow="0" w:lastRow="0" w:firstColumn="0" w:lastColumn="0" w:oddVBand="0" w:evenVBand="0" w:oddHBand="0" w:evenHBand="0" w:firstRowFirstColumn="0" w:firstRowLastColumn="0" w:lastRowFirstColumn="0" w:lastRowLastColumn="0"/>
            </w:pPr>
            <w:r>
              <w:t>989.55</w:t>
            </w:r>
          </w:p>
        </w:tc>
        <w:tc>
          <w:tcPr>
            <w:tcW w:w="1220" w:type="dxa"/>
            <w:shd w:val="clear" w:color="auto" w:fill="auto"/>
          </w:tcPr>
          <w:p w14:paraId="270DD633" w14:textId="0E3CE299" w:rsidR="00567098" w:rsidRDefault="00567098" w:rsidP="00C56CFB">
            <w:pPr>
              <w:spacing w:before="0" w:after="0"/>
              <w:cnfStyle w:val="000000000000" w:firstRow="0" w:lastRow="0" w:firstColumn="0" w:lastColumn="0" w:oddVBand="0" w:evenVBand="0" w:oddHBand="0" w:evenHBand="0" w:firstRowFirstColumn="0" w:firstRowLastColumn="0" w:lastRowFirstColumn="0" w:lastRowLastColumn="0"/>
            </w:pPr>
            <w:r>
              <w:t>6.29</w:t>
            </w:r>
          </w:p>
        </w:tc>
        <w:tc>
          <w:tcPr>
            <w:tcW w:w="1146" w:type="dxa"/>
            <w:shd w:val="clear" w:color="auto" w:fill="auto"/>
          </w:tcPr>
          <w:p w14:paraId="52A3C43F" w14:textId="77777777" w:rsidR="00567098" w:rsidRDefault="00567098" w:rsidP="00C56CFB">
            <w:pPr>
              <w:spacing w:before="0" w:after="0"/>
              <w:cnfStyle w:val="000000000000" w:firstRow="0" w:lastRow="0" w:firstColumn="0" w:lastColumn="0" w:oddVBand="0" w:evenVBand="0" w:oddHBand="0" w:evenHBand="0" w:firstRowFirstColumn="0" w:firstRowLastColumn="0" w:lastRowFirstColumn="0" w:lastRowLastColumn="0"/>
            </w:pPr>
            <w:r>
              <w:t>601.70</w:t>
            </w:r>
          </w:p>
        </w:tc>
        <w:tc>
          <w:tcPr>
            <w:tcW w:w="1146" w:type="dxa"/>
            <w:shd w:val="clear" w:color="auto" w:fill="auto"/>
          </w:tcPr>
          <w:p w14:paraId="2883720B" w14:textId="7F6EA458" w:rsidR="00567098" w:rsidRDefault="00567098" w:rsidP="00C56CFB">
            <w:pPr>
              <w:spacing w:before="0" w:after="0"/>
              <w:cnfStyle w:val="000000000000" w:firstRow="0" w:lastRow="0" w:firstColumn="0" w:lastColumn="0" w:oddVBand="0" w:evenVBand="0" w:oddHBand="0" w:evenHBand="0" w:firstRowFirstColumn="0" w:firstRowLastColumn="0" w:lastRowFirstColumn="0" w:lastRowLastColumn="0"/>
            </w:pPr>
            <w:r>
              <w:t>53.12</w:t>
            </w:r>
            <w:commentRangeEnd w:id="157"/>
            <w:r>
              <w:rPr>
                <w:rStyle w:val="CommentReference"/>
                <w:color w:val="auto"/>
              </w:rPr>
              <w:commentReference w:id="157"/>
            </w:r>
          </w:p>
        </w:tc>
      </w:tr>
    </w:tbl>
    <w:p w14:paraId="07574A69" w14:textId="00155A9C" w:rsidR="00386E02" w:rsidRDefault="00386E02" w:rsidP="00567098">
      <w:pPr>
        <w:pStyle w:val="Caption"/>
        <w:keepNext/>
        <w:jc w:val="left"/>
      </w:pPr>
    </w:p>
    <w:p w14:paraId="57F99E31" w14:textId="77777777" w:rsidR="00C56CFB" w:rsidRDefault="00C56CFB" w:rsidP="00C56CFB">
      <w:pPr>
        <w:pStyle w:val="Heading3"/>
      </w:pPr>
      <w:bookmarkStart w:id="158" w:name="_Toc485712774"/>
      <w:r>
        <w:t>Experimental design</w:t>
      </w:r>
      <w:bookmarkEnd w:id="158"/>
    </w:p>
    <w:p w14:paraId="1E36A68E" w14:textId="77777777" w:rsidR="00C56CFB" w:rsidRDefault="00C56CFB" w:rsidP="00C56CFB">
      <w:r>
        <w:t xml:space="preserve">In order to obtain accurate results from DSC experiments there are a number of parameters that need to be considered. Generally DSC experiments are conducted at 30-100 °C with a scan rate of 1.5 °C/min. 30 °C is chosen as a starting temperature as it is slightly above room temperature so easy to equilibrate but not high enough that </w:t>
      </w:r>
      <w:r w:rsidR="006B7D09">
        <w:t>the protein</w:t>
      </w:r>
      <w:r>
        <w:t xml:space="preserve"> will have started to unfold. By 100 °C most proteins will have fully undergone thermal denaturation. Scan rate is important to consider as a fast scan rate is likely to increase the amount of irreversible aggregation and so make the calculation of thermodynamic values inaccurate; this includes melting temperature if aggregation begins to take place before denaturation has fully occurred </w:t>
      </w:r>
      <w:r>
        <w:fldChar w:fldCharType="begin" w:fldLock="1"/>
      </w:r>
      <w:r w:rsidR="00E11F61">
        <w:instrText>ADDIN CSL_CITATION { "citationItems" : [ { "id" : "ITEM-1", "itemData" : { "DOI" : "10.1016/j.bpc.2005.06.012", "ISBN" : "9780199637461", "ISSN" : "0301-4622", "PMID" : "16055258", "abstract" : "In Protein ligand interactions: hydrodynamics and calorimetry paper", "author" : [ { "dropping-particle" : "", "family" : "Cooper", "given" : "A", "non-dropping-particle" : "", "parse-names" : false, "suffix" : "" }, { "dropping-particle" : "", "family" : "Nutley", "given" : "M A", "non-dropping-particle" : "", "parse-names" : false, "suffix" : "" }, { "dropping-particle" : "", "family" : "Wadood", "given" : "A", "non-dropping-particle" : "", "parse-names" : false, "suffix" : "" } ], "container-title" : "Protein-Ligand Interactions: hydrodynamics and calorimetry", "id" : "ITEM-1", "issued" : { "date-parts" : [ [ "2000" ] ] }, "page" : "287-318", "title" : "Differential scanning microcalorimetry", "type" : "chapter" }, "uris" : [ "http://www.mendeley.com/documents/?uuid=7aab60a0-f9bb-4bdd-990c-01e7c0dbaeb4" ] }, { "id" : "ITEM-2", "itemData" : { "DOI" : "10.1021/bi00405a039", "ISBN" : "0006-2960 (Print)\\r0006-2960 (Linking)", "ISSN" : "0006-2960", "PMID" : "3365417", "abstract" : "A differential scanning calorimetry study of the thermal denaturation of Bacillus thermoproteolyticus rokko thermolysin was carried out. The calorimetric traces were found to be irreversible and highly scan-rate dependent. The shape of the thermograms, as well as their scan-rate dependence, can be explained by assuming that the thermal denaturation takes place according to the kinetic scheme N k----D, where k is a first-order kinetic constant that changes with temperature, as given by the Arrhenius equation, N the native state, and D the unfolded state or, more probably, a final state, irreversibly arrived at from the unfolded one. On the basis of this model, the value of the rate constant as a function of temperature and the activation energy have been calculated. It is shown that the proposed model may be considered as being one particular case of that proposed by Lumry and Eyring [Lumry, R., &amp; Eyring, H. (1954) J. Phys. Chem. 58, 110] N in equilibrium D----I, where N is the native state, D the unfolded one, and I a final state, irreversibly arrived at from D. Lastly, some comments are made on the use of the scan-rate effect on the calorimetric traces as an equilibrium criterion in differential scanning calorimetry.", "author" : [ { "dropping-particle" : "", "family" : "S\u00e1nchez-Ruiz", "given" : "J M", "non-dropping-particle" : "", "parse-names" : false, "suffix" : "" }, { "dropping-particle" : "", "family" : "L\u00f3pez-Lacomba", "given" : "J L", "non-dropping-particle" : "", "parse-names" : false, "suffix" : "" }, { "dropping-particle" : "", "family" : "Cortijo", "given" : "M", "non-dropping-particle" : "", "parse-names" : false, "suffix" : "" }, { "dropping-particle" : "", "family" : "Mateo", "given" : "P L", "non-dropping-particle" : "", "parse-names" : false, "suffix" : "" } ], "container-title" : "Biochemistry", "id" : "ITEM-2", "issued" : { "date-parts" : [ [ "1988" ] ] }, "page" : "1648-1652", "title" : "Differential scanning calorimetry of the irreversible thermal denaturation of thermolysin", "type" : "article-journal", "volume" : "27" }, "uris" : [ "http://www.mendeley.com/documents/?uuid=2f70d3d5-11a5-4562-a7a2-cfbb3e3579c0" ] } ], "mendeley" : { "formattedCitation" : "(Cooper et al. 2000; S\u00e1nchez-Ruiz et al. 1988)", "plainTextFormattedCitation" : "(Cooper et al. 2000; S\u00e1nchez-Ruiz et al. 1988)", "previouslyFormattedCitation" : "(Cooper et al. 2000; S\u00e1nchez-Ruiz et al. 1988)" }, "properties" : { "noteIndex" : 0 }, "schema" : "https://github.com/citation-style-language/schema/raw/master/csl-citation.json" }</w:instrText>
      </w:r>
      <w:r>
        <w:fldChar w:fldCharType="separate"/>
      </w:r>
      <w:r w:rsidRPr="00C0696B">
        <w:rPr>
          <w:noProof/>
        </w:rPr>
        <w:t>(Cooper et al. 2000; Sánchez-Ruiz et al. 1988)</w:t>
      </w:r>
      <w:r>
        <w:fldChar w:fldCharType="end"/>
      </w:r>
      <w:r>
        <w:t>.</w:t>
      </w:r>
    </w:p>
    <w:p w14:paraId="31A04684" w14:textId="77777777" w:rsidR="00C56CFB" w:rsidRDefault="00C56CFB" w:rsidP="00C56CFB">
      <w:r>
        <w:t>Prevention of bubble formation of the cells is also important. The shape of the capillary cells help</w:t>
      </w:r>
      <w:r w:rsidR="00690A5A">
        <w:t>s</w:t>
      </w:r>
      <w:r>
        <w:t xml:space="preserve"> with this, but degassing of samples prior to DSC experiments is also necessary. The experiment is usually conducted under pressure at 3 atmospheres in order to prevent bubble formation and boiling of the solution </w:t>
      </w:r>
      <w:r>
        <w:fldChar w:fldCharType="begin" w:fldLock="1"/>
      </w:r>
      <w:r w:rsidR="002764B5">
        <w:instrText>ADDIN CSL_CITATION { "citationItems" : [ { "id" : "ITEM-1", "itemData" : { "author" : [ { "dropping-particle" : "", "family" : "Malvern Instruments Limited", "given" : "", "non-dropping-particle" : "", "parse-names" : false, "suffix" : "" } ], "container-title" : "Retrieved from: www.malvern.com", "id" : "ITEM-1", "issued" : { "date-parts" : [ [ "2015" ] ] }, "title" : "Differential scanning calorimetry (DSC): Theory and practice", "type" : "webpage" }, "uris" : [ "http://www.mendeley.com/documents/?uuid=c529c847-d1ba-4972-9919-6bf14b3f687a" ] } ], "mendeley" : { "formattedCitation" : "(Malvern Instruments Limited 2015b)", "plainTextFormattedCitation" : "(Malvern Instruments Limited 2015b)", "previouslyFormattedCitation" : "(Malvern Instruments Limited 2015b)" }, "properties" : { "noteIndex" : 0 }, "schema" : "https://github.com/citation-style-language/schema/raw/master/csl-citation.json" }</w:instrText>
      </w:r>
      <w:r>
        <w:fldChar w:fldCharType="separate"/>
      </w:r>
      <w:r w:rsidRPr="00972DE4">
        <w:rPr>
          <w:noProof/>
        </w:rPr>
        <w:t>(Malvern Instruments Limited 2015b)</w:t>
      </w:r>
      <w:r>
        <w:fldChar w:fldCharType="end"/>
      </w:r>
      <w:r>
        <w:t xml:space="preserve">. Presence of a bubble within either the sample or reference cell will result in a large narrow peak on the thermogram, which will appear to be exothermic or endothermic depending on which cell it occurs in. If this occurs within the transition </w:t>
      </w:r>
      <w:r>
        <w:lastRenderedPageBreak/>
        <w:t>region it will result in inaccurate calculation of both enthalpy and entropy. If it happens close to the melting temperature and results in a higher heat capacity than the melting temperature peak, this will also result in an inaccurate melting temperature value.</w:t>
      </w:r>
    </w:p>
    <w:p w14:paraId="6CBE00E1" w14:textId="77777777" w:rsidR="00C56CFB" w:rsidRDefault="00C56CFB" w:rsidP="00C56CFB">
      <w:r>
        <w:t xml:space="preserve">Choice of protein concentration is also an important factor. Fortunately the Nano-DSC requires only fairly low concentrations of protein (around 0.5-1 g/L) to give a reliable thermogram </w:t>
      </w:r>
      <w:r>
        <w:fldChar w:fldCharType="begin" w:fldLock="1"/>
      </w:r>
      <w:r w:rsidR="00FF6FB8">
        <w:instrText>ADDIN CSL_CITATION { "citationItems" : [ { "id" : "ITEM-1", "itemData" : { "author" : [ { "dropping-particle" : "", "family" : "TA Instruments", "given" : "", "non-dropping-particle" : "", "parse-names" : false, "suffix" : "" } ], "container-title" : "Retrieved from: www.tainstruments.com", "id" : "ITEM-1", "issued" : { "date-parts" : [ [ "2010" ] ] }, "title" : "Advantages of using a Nano DSC when studying proteins that aggregate and precipitate when denatured", "type" : "article-journal" }, "uris" : [ "http://www.mendeley.com/documents/?uuid=4c36e618-1f37-4df7-9378-602ff4a3dabc" ] } ], "mendeley" : { "formattedCitation" : "(TA Instruments 2010)", "plainTextFormattedCitation" : "(TA Instruments 2010)", "previouslyFormattedCitation" : "(TA Instruments 2010)" }, "properties" : { "noteIndex" : 0 }, "schema" : "https://github.com/citation-style-language/schema/raw/master/csl-citation.json" }</w:instrText>
      </w:r>
      <w:r>
        <w:fldChar w:fldCharType="separate"/>
      </w:r>
      <w:r w:rsidRPr="00E10B38">
        <w:rPr>
          <w:noProof/>
        </w:rPr>
        <w:t>(TA Instruments 2010)</w:t>
      </w:r>
      <w:r>
        <w:fldChar w:fldCharType="end"/>
      </w:r>
      <w:r w:rsidR="006B7D09">
        <w:t>. H</w:t>
      </w:r>
      <w:r>
        <w:t>igher concentrations of protein can result in irreversible aggregation or precipitation that will give inaccurate thermodynamic data as outlined above.</w:t>
      </w:r>
    </w:p>
    <w:p w14:paraId="5034AA27" w14:textId="77777777" w:rsidR="00C56CFB" w:rsidRPr="00E9227D" w:rsidRDefault="00C56CFB" w:rsidP="00C56CFB">
      <w:r>
        <w:t xml:space="preserve">Most buffers are compatible with DSC instruments. The only consideration to make here is to choose a buffer whose pH doesn’t change drastically with a temperature increase, as this in itself can affect protein stability </w:t>
      </w:r>
      <w:r>
        <w:fldChar w:fldCharType="begin" w:fldLock="1"/>
      </w:r>
      <w:r w:rsidR="00FF6FB8">
        <w:instrText>ADDIN CSL_CITATION { "citationItems" : [ { "id" : "ITEM-1", "itemData" : { "author" : [ { "dropping-particle" : "", "family" : "Quinn", "given" : "C", "non-dropping-particle" : "", "parse-names" : false, "suffix" : "" } ], "container-title" : "Retrieved from: www.tainstruments.com", "id" : "ITEM-1", "issued" : { "date-parts" : [ [ "2011" ] ] }, "title" : "Buffer compatibility with Nano DSC (TA Instruments Technical Note)", "type" : "article-journal" }, "uris" : [ "http://www.mendeley.com/documents/?uuid=aabf10ae-ecf5-479e-88e6-3ed220f6e4ed" ] } ], "mendeley" : { "formattedCitation" : "(Quinn 2011)", "plainTextFormattedCitation" : "(Quinn 2011)", "previouslyFormattedCitation" : "(Quinn 2011)" }, "properties" : { "noteIndex" : 0 }, "schema" : "https://github.com/citation-style-language/schema/raw/master/csl-citation.json" }</w:instrText>
      </w:r>
      <w:r>
        <w:fldChar w:fldCharType="separate"/>
      </w:r>
      <w:r w:rsidRPr="00465814">
        <w:rPr>
          <w:noProof/>
        </w:rPr>
        <w:t>(Quinn 2011)</w:t>
      </w:r>
      <w:r>
        <w:fldChar w:fldCharType="end"/>
      </w:r>
      <w:r>
        <w:t xml:space="preserve">. The capillary cells should also be coated with the buffer before any protein scans are conducted in order to eliminate any signal in the thermogram from interactions with the cell itself </w:t>
      </w:r>
      <w:r>
        <w:fldChar w:fldCharType="begin" w:fldLock="1"/>
      </w:r>
      <w:r w:rsidR="00E11F61">
        <w:instrText>ADDIN CSL_CITATION { "citationItems" : [ { "id" : "ITEM-1", "itemData" : { "ISBN" : "2021102130", "author" : [ { "dropping-particle" : "", "family" : "Calorimetry Sciences Corporation", "given" : "", "non-dropping-particle" : "", "parse-names" : false, "suffix" : "" } ], "container-title" : "Life Sciences Application Note", "id" : "ITEM-1", "issued" : { "date-parts" : [ [ "2006" ] ] }, "page" : "20211021306", "title" : "Characterizing Protein Stability by DSC", "type" : "webpage" }, "uris" : [ "http://www.mendeley.com/documents/?uuid=cdfbfb8d-b95b-4668-9461-e288caf1dad9" ] } ], "mendeley" : { "formattedCitation" : "(Calorimetry Sciences Corporation 2006)", "plainTextFormattedCitation" : "(Calorimetry Sciences Corporation 2006)", "previouslyFormattedCitation" : "(Calorimetry Sciences Corporation 2006)" }, "properties" : { "noteIndex" : 0 }, "schema" : "https://github.com/citation-style-language/schema/raw/master/csl-citation.json" }</w:instrText>
      </w:r>
      <w:r>
        <w:fldChar w:fldCharType="separate"/>
      </w:r>
      <w:r w:rsidRPr="00E10B38">
        <w:rPr>
          <w:noProof/>
        </w:rPr>
        <w:t>(Calorimetry Sciences Corporation 2006)</w:t>
      </w:r>
      <w:r>
        <w:fldChar w:fldCharType="end"/>
      </w:r>
      <w:r>
        <w:t>.</w:t>
      </w:r>
    </w:p>
    <w:p w14:paraId="0F708219" w14:textId="77777777" w:rsidR="00C56CFB" w:rsidRDefault="00C56CFB" w:rsidP="000A3469">
      <w:pPr>
        <w:pStyle w:val="Heading2"/>
      </w:pPr>
      <w:bookmarkStart w:id="159" w:name="_Toc485712775"/>
      <w:r>
        <w:t>Nanoparticle Tracking Analysis</w:t>
      </w:r>
      <w:bookmarkEnd w:id="159"/>
    </w:p>
    <w:p w14:paraId="6A3BAA15" w14:textId="77777777" w:rsidR="00C56CFB" w:rsidRDefault="00C552F2" w:rsidP="00C56CFB">
      <w:pPr>
        <w:pStyle w:val="Heading3"/>
      </w:pPr>
      <w:bookmarkStart w:id="160" w:name="_Toc485712776"/>
      <w:r>
        <w:t>Introduction &amp; i</w:t>
      </w:r>
      <w:r w:rsidR="00C56CFB">
        <w:t>nstrumentation</w:t>
      </w:r>
      <w:bookmarkEnd w:id="160"/>
    </w:p>
    <w:p w14:paraId="0DF8DFE4" w14:textId="77777777" w:rsidR="00C56CFB" w:rsidRDefault="00C56CFB" w:rsidP="00C56CFB">
      <w:r>
        <w:t xml:space="preserve">Nanoparticle Tracking Analysis (NTA) is a relatively new technique that uses light scattering and Brownian motion to measure the hydrodynamic diameter of nanometre-size particles in solution. The size detection limitation of the instrument differs depending on the refractive index of the molecules in question (and in comparison to the refractive index of the solvent). For biological material NTA is capable of tracking particles of around 40 nm – 1000 nm </w:t>
      </w:r>
      <w:r>
        <w:fldChar w:fldCharType="begin" w:fldLock="1"/>
      </w:r>
      <w:r w:rsidR="002764B5">
        <w:instrText>ADDIN CSL_CITATION { "citationItems" : [ { "id" : "ITEM-1", "itemData" : { "author" : [ { "dropping-particle" : "", "family" : "Malvern Instruments Limited", "given" : "", "non-dropping-particle" : "", "parse-names" : false, "suffix" : "" } ], "container-title" : "Retrieved from: www.malvern.com", "id" : "ITEM-1", "issued" : { "date-parts" : [ [ "2015" ] ] }, "title" : "Nanoscale material characterization: A review of the use of nanoparticle tracking analysis (NTA)", "type" : "webpage" }, "uris" : [ "http://www.mendeley.com/documents/?uuid=c87d1696-597f-4e84-9028-55dcdd342b94" ] } ], "mendeley" : { "formattedCitation" : "(Malvern Instruments Limited 2015c)", "plainTextFormattedCitation" : "(Malvern Instruments Limited 2015c)", "previouslyFormattedCitation" : "(Malvern Instruments Limited 2015c)" }, "properties" : { "noteIndex" : 0 }, "schema" : "https://github.com/citation-style-language/schema/raw/master/csl-citation.json" }</w:instrText>
      </w:r>
      <w:r>
        <w:fldChar w:fldCharType="separate"/>
      </w:r>
      <w:r w:rsidRPr="00972DE4">
        <w:rPr>
          <w:noProof/>
        </w:rPr>
        <w:t>(Malvern Instruments Limited 2015c)</w:t>
      </w:r>
      <w:r>
        <w:fldChar w:fldCharType="end"/>
      </w:r>
      <w:r>
        <w:t xml:space="preserve">; the upper limit being determined by Brownian motion detection limits. It has found wide application in the measure of protein aggregation and formation of other nanometre-size biological molecules such as liposomes and biological drug delivery vectors </w:t>
      </w:r>
      <w:r>
        <w:fldChar w:fldCharType="begin" w:fldLock="1"/>
      </w:r>
      <w:r w:rsidR="002764B5">
        <w:instrText>ADDIN CSL_CITATION { "citationItems" : [ { "id" : "ITEM-1", "itemData" : { "author" : [ { "dropping-particle" : "", "family" : "Malvern Instruments Limited", "given" : "", "non-dropping-particle" : "", "parse-names" : false, "suffix" : "" } ], "container-title" : "Retrieved from: www.malvern.com", "id" : "ITEM-1", "issued" : { "date-parts" : [ [ "2015" ] ] }, "title" : "NTA: Industrial applications", "type" : "webpage" }, "uris" : [ "http://www.mendeley.com/documents/?uuid=630b5a9a-eddf-4f11-acc9-b702b70f7b72" ] }, { "id" : "ITEM-2", "itemData" : { "author" : [ { "dropping-particle" : "", "family" : "Malvern Instruments Limited", "given" : "", "non-dropping-particle" : "", "parse-names" : false, "suffix" : "" } ], "container-title" : "Retrieved from: www.malvern.com", "id" : "ITEM-2", "issued" : { "date-parts" : [ [ "2015" ] ] }, "title" : "NTA: Protein aggregation", "type" : "webpage" }, "uris" : [ "http://www.mendeley.com/documents/?uuid=a52baa4f-c712-4a1a-a754-de4c78c3a7e4" ] } ], "mendeley" : { "formattedCitation" : "(Malvern Instruments Limited 2015d; Malvern Instruments Limited 2015f)", "plainTextFormattedCitation" : "(Malvern Instruments Limited 2015d; Malvern Instruments Limited 2015f)", "previouslyFormattedCitation" : "(Malvern Instruments Limited 2015d; Malvern Instruments Limited 2015f)" }, "properties" : { "noteIndex" : 0 }, "schema" : "https://github.com/citation-style-language/schema/raw/master/csl-citation.json" }</w:instrText>
      </w:r>
      <w:r>
        <w:fldChar w:fldCharType="separate"/>
      </w:r>
      <w:r w:rsidRPr="00972DE4">
        <w:rPr>
          <w:noProof/>
        </w:rPr>
        <w:t>(Malvern Instruments Limited 2015d; Malvern Instruments Limited 2015f)</w:t>
      </w:r>
      <w:r>
        <w:fldChar w:fldCharType="end"/>
      </w:r>
      <w:r>
        <w:t>.</w:t>
      </w:r>
    </w:p>
    <w:p w14:paraId="1FB1F5C3" w14:textId="77777777" w:rsidR="00C56CFB" w:rsidRDefault="00C56CFB" w:rsidP="00C56CFB">
      <w:r>
        <w:lastRenderedPageBreak/>
        <w:t>The equipment used in this thesis is a Nanosight LM10 with a Nanosight LM 14 viewing unit used for temperature control (NanoSight Ltd., Amesbury, UK) (</w:t>
      </w:r>
      <w:r>
        <w:fldChar w:fldCharType="begin"/>
      </w:r>
      <w:r>
        <w:instrText xml:space="preserve"> REF _Ref462323264 \h </w:instrText>
      </w:r>
      <w:r>
        <w:fldChar w:fldCharType="separate"/>
      </w:r>
      <w:r w:rsidR="00AA6926">
        <w:t xml:space="preserve">Figure </w:t>
      </w:r>
      <w:r w:rsidR="00AA6926">
        <w:rPr>
          <w:noProof/>
        </w:rPr>
        <w:t>2</w:t>
      </w:r>
      <w:r w:rsidR="00AA6926">
        <w:noBreakHyphen/>
      </w:r>
      <w:r w:rsidR="00AA6926">
        <w:rPr>
          <w:noProof/>
        </w:rPr>
        <w:t>4</w:t>
      </w:r>
      <w:r>
        <w:fldChar w:fldCharType="end"/>
      </w:r>
      <w:r>
        <w:t xml:space="preserve">). In the setup of this system a laser passes through an optical element and refracts to a high power density beam through a sample chamber containing the solution. Nanoparticles contained within the sample will scatter light from the beam, which can be visualised at 90° using a x20 magnification optical microscope. A charge-coupled device (CCD) video camera attached to the microscope captures a video of these light-scattering particles moving under Brownian motion at 30 frames per second (fps). The field of view of the video capture is approximately 100 µm x 80 µm x 10 µm </w:t>
      </w:r>
      <w:r>
        <w:fldChar w:fldCharType="begin" w:fldLock="1"/>
      </w:r>
      <w:r w:rsidR="002764B5">
        <w:instrText>ADDIN CSL_CITATION { "citationItems" : [ { "id" : "ITEM-1", "itemData" : { "author" : [ { "dropping-particle" : "", "family" : "Malvern Instruments Limited", "given" : "", "non-dropping-particle" : "", "parse-names" : false, "suffix" : "" } ], "container-title" : "Retrieved from: www.malvern.com", "id" : "ITEM-1", "issued" : { "date-parts" : [ [ "2015" ] ] }, "title" : "NTA: Principles and methodology", "type" : "webpage" }, "uris" : [ "http://www.mendeley.com/documents/?uuid=83d3b549-ebbd-4c81-8124-b17e721ea450" ] } ], "mendeley" : { "formattedCitation" : "(Malvern Instruments Limited 2015e)", "plainTextFormattedCitation" : "(Malvern Instruments Limited 2015e)", "previouslyFormattedCitation" : "(Malvern Instruments Limited 2015e)" }, "properties" : { "noteIndex" : 0 }, "schema" : "https://github.com/citation-style-language/schema/raw/master/csl-citation.json" }</w:instrText>
      </w:r>
      <w:r>
        <w:fldChar w:fldCharType="separate"/>
      </w:r>
      <w:r w:rsidRPr="00972DE4">
        <w:rPr>
          <w:noProof/>
        </w:rPr>
        <w:t>(Malvern Instruments Limited 2015e)</w:t>
      </w:r>
      <w:r>
        <w:fldChar w:fldCharType="end"/>
      </w:r>
      <w:r>
        <w:t>, which can be used to calculate the concentration of particles within the solution as the volume will be known.</w:t>
      </w:r>
    </w:p>
    <w:p w14:paraId="092DFBB5" w14:textId="77777777" w:rsidR="00C56CFB" w:rsidRDefault="00C56CFB" w:rsidP="00C56CFB">
      <w:pPr>
        <w:keepNext/>
      </w:pPr>
      <w:r>
        <w:object w:dxaOrig="7180" w:dyaOrig="5390" w14:anchorId="1974F42E">
          <v:shape id="_x0000_i1037" type="#_x0000_t75" style="width:458.25pt;height:343.5pt" o:ole="">
            <v:imagedata r:id="rId42" o:title=""/>
          </v:shape>
          <o:OLEObject Type="Embed" ProgID="PowerPoint.Show.12" ShapeID="_x0000_i1037" DrawAspect="Content" ObjectID="_1559454691" r:id="rId43"/>
        </w:object>
      </w:r>
    </w:p>
    <w:p w14:paraId="441DF544" w14:textId="6C97D159" w:rsidR="00C56CFB" w:rsidRPr="003B6476" w:rsidRDefault="00C56CFB" w:rsidP="00C56CFB">
      <w:pPr>
        <w:pStyle w:val="Caption"/>
        <w:jc w:val="left"/>
      </w:pPr>
      <w:bookmarkStart w:id="161" w:name="_Ref462323264"/>
      <w:bookmarkStart w:id="162" w:name="_Toc482633177"/>
      <w:r>
        <w:t xml:space="preserve">Figure </w:t>
      </w:r>
      <w:fldSimple w:instr=" STYLEREF 1 \s ">
        <w:r w:rsidR="00AA6926">
          <w:rPr>
            <w:noProof/>
          </w:rPr>
          <w:t>2</w:t>
        </w:r>
      </w:fldSimple>
      <w:r w:rsidR="00BA082C">
        <w:noBreakHyphen/>
      </w:r>
      <w:fldSimple w:instr=" SEQ Figure \* ARABIC \s 1 ">
        <w:r w:rsidR="00AA6926">
          <w:rPr>
            <w:noProof/>
          </w:rPr>
          <w:t>4</w:t>
        </w:r>
      </w:fldSimple>
      <w:bookmarkEnd w:id="161"/>
      <w:r>
        <w:t>. Schematic of the Nanosight LM10 Nanoparticle Tracking Analysis (NTA) instrument. Adapted from</w:t>
      </w:r>
      <w:r w:rsidRPr="008D1A9D">
        <w:t xml:space="preserve"> </w:t>
      </w:r>
      <w:r w:rsidRPr="00AD18EB">
        <w:fldChar w:fldCharType="begin" w:fldLock="1"/>
      </w:r>
      <w:r w:rsidR="002764B5">
        <w:instrText>ADDIN CSL_CITATION { "citationItems" : [ { "id" : "ITEM-1", "itemData" : { "author" : [ { "dropping-particle" : "", "family" : "Malvern Instruments Limited", "given" : "", "non-dropping-particle" : "", "parse-names" : false, "suffix" : "" } ], "container-title" : "Retrieved from: www.malvern.com", "id" : "ITEM-1", "issued" : { "date-parts" : [ [ "2015" ] ] }, "title" : "NTA: Principles and methodology", "type" : "webpage" }, "uris" : [ "http://www.mendeley.com/documents/?uuid=83d3b549-ebbd-4c81-8124-b17e721ea450" ] } ], "mendeley" : { "formattedCitation" : "(Malvern Instruments Limited 2015e)", "plainTextFormattedCitation" : "(Malvern Instruments Limited 2015e)", "previouslyFormattedCitation" : "(Malvern Instruments Limited 2015e)" }, "properties" : { "noteIndex" : 0 }, "schema" : "https://github.com/citation-style-language/schema/raw/master/csl-citation.json" }</w:instrText>
      </w:r>
      <w:r w:rsidRPr="00AD18EB">
        <w:fldChar w:fldCharType="separate"/>
      </w:r>
      <w:r w:rsidRPr="00AD18EB">
        <w:rPr>
          <w:noProof/>
        </w:rPr>
        <w:t xml:space="preserve">Malvern Instruments Limited </w:t>
      </w:r>
      <w:r w:rsidR="00B50EA5">
        <w:rPr>
          <w:noProof/>
        </w:rPr>
        <w:t>(</w:t>
      </w:r>
      <w:r w:rsidRPr="00AD18EB">
        <w:rPr>
          <w:noProof/>
        </w:rPr>
        <w:t>2015e)</w:t>
      </w:r>
      <w:bookmarkEnd w:id="162"/>
      <w:r w:rsidRPr="00AD18EB">
        <w:fldChar w:fldCharType="end"/>
      </w:r>
    </w:p>
    <w:p w14:paraId="4C57197A" w14:textId="77777777" w:rsidR="00C56CFB" w:rsidRDefault="00C56CFB" w:rsidP="00C56CFB">
      <w:pPr>
        <w:pStyle w:val="Heading3"/>
      </w:pPr>
      <w:bookmarkStart w:id="163" w:name="_Toc485712777"/>
      <w:r>
        <w:lastRenderedPageBreak/>
        <w:t>Theory</w:t>
      </w:r>
      <w:bookmarkEnd w:id="163"/>
    </w:p>
    <w:p w14:paraId="44794D1D" w14:textId="77777777" w:rsidR="00C56CFB" w:rsidRDefault="00C56CFB" w:rsidP="00C56CFB">
      <w:pPr>
        <w:rPr>
          <w:rFonts w:eastAsiaTheme="minorEastAsia"/>
        </w:rPr>
      </w:pPr>
      <w:r>
        <w:rPr>
          <w:rFonts w:eastAsiaTheme="minorEastAsia"/>
        </w:rPr>
        <w:t>NTA establishes the size (in terms of spherical equivalent hydrodynamic diameter) of nanoparticles in solution directly as the speed at which a nanoparticle moves under Brownian motion is related to its size. During a set time period all nanoparticles within a solution are tracked separately and simultaneously (</w:t>
      </w:r>
      <w:r>
        <w:rPr>
          <w:rFonts w:eastAsiaTheme="minorEastAsia"/>
        </w:rPr>
        <w:fldChar w:fldCharType="begin"/>
      </w:r>
      <w:r>
        <w:rPr>
          <w:rFonts w:eastAsiaTheme="minorEastAsia"/>
        </w:rPr>
        <w:instrText xml:space="preserve"> REF _Ref462393664 \h </w:instrText>
      </w:r>
      <w:r>
        <w:rPr>
          <w:rFonts w:eastAsiaTheme="minorEastAsia"/>
        </w:rPr>
      </w:r>
      <w:r>
        <w:rPr>
          <w:rFonts w:eastAsiaTheme="minorEastAsia"/>
        </w:rPr>
        <w:fldChar w:fldCharType="separate"/>
      </w:r>
      <w:r w:rsidR="00AA6926">
        <w:t xml:space="preserve">Figure </w:t>
      </w:r>
      <w:r w:rsidR="00AA6926">
        <w:rPr>
          <w:noProof/>
        </w:rPr>
        <w:t>2</w:t>
      </w:r>
      <w:r w:rsidR="00AA6926">
        <w:noBreakHyphen/>
      </w:r>
      <w:r w:rsidR="00AA6926">
        <w:rPr>
          <w:noProof/>
        </w:rPr>
        <w:t>5</w:t>
      </w:r>
      <w:r>
        <w:rPr>
          <w:rFonts w:eastAsiaTheme="minorEastAsia"/>
        </w:rPr>
        <w:fldChar w:fldCharType="end"/>
      </w:r>
      <w:r>
        <w:rPr>
          <w:rFonts w:eastAsiaTheme="minorEastAsia"/>
        </w:rPr>
        <w:t>) to establish their diffusion coefficients in terms of mean square displacement in 2 dimensions (</w:t>
      </w:r>
      <w:r w:rsidR="006131D0">
        <w:rPr>
          <w:rFonts w:eastAsiaTheme="minorEastAsia"/>
        </w:rPr>
        <w:fldChar w:fldCharType="begin"/>
      </w:r>
      <w:r w:rsidR="006131D0">
        <w:rPr>
          <w:rFonts w:eastAsiaTheme="minorEastAsia"/>
        </w:rPr>
        <w:instrText xml:space="preserve"> REF _Ref465689792 \h </w:instrText>
      </w:r>
      <w:r w:rsidR="006131D0">
        <w:rPr>
          <w:rFonts w:eastAsiaTheme="minorEastAsia"/>
        </w:rPr>
      </w:r>
      <w:r w:rsidR="006131D0">
        <w:rPr>
          <w:rFonts w:eastAsiaTheme="minorEastAsia"/>
        </w:rPr>
        <w:fldChar w:fldCharType="separate"/>
      </w:r>
      <w:r w:rsidR="00AA6926">
        <w:t xml:space="preserve">Equation </w:t>
      </w:r>
      <w:r w:rsidR="00AA6926">
        <w:rPr>
          <w:noProof/>
        </w:rPr>
        <w:t>2</w:t>
      </w:r>
      <w:r w:rsidR="00AA6926">
        <w:noBreakHyphen/>
      </w:r>
      <w:r w:rsidR="00AA6926">
        <w:rPr>
          <w:noProof/>
        </w:rPr>
        <w:t>4</w:t>
      </w:r>
      <w:r w:rsidR="006131D0">
        <w:rPr>
          <w:rFonts w:eastAsiaTheme="minorEastAsia"/>
        </w:rPr>
        <w:fldChar w:fldCharType="end"/>
      </w:r>
      <w:r>
        <w:rPr>
          <w:rFonts w:eastAsiaTheme="minorEastAsia"/>
        </w:rPr>
        <w:t>). The NTA software is able to detect and subtract any non-Brownian drift occurring in the samples.</w:t>
      </w:r>
    </w:p>
    <w:p w14:paraId="7C902BAC" w14:textId="77777777" w:rsidR="00C56CFB" w:rsidRDefault="00C56CFB" w:rsidP="00C56CFB">
      <w:r>
        <w:br w:type="page"/>
      </w:r>
    </w:p>
    <w:p w14:paraId="41E85308" w14:textId="77777777" w:rsidR="00C56CFB" w:rsidRDefault="00C56CFB" w:rsidP="00C56CFB">
      <w:pPr>
        <w:rPr>
          <w:rFonts w:eastAsiaTheme="minorEastAsia"/>
        </w:rPr>
      </w:pPr>
      <w:r>
        <w:rPr>
          <w:rFonts w:eastAsiaTheme="minorEastAsia"/>
        </w:rPr>
        <w:object w:dxaOrig="7180" w:dyaOrig="5390" w14:anchorId="36C8525E">
          <v:shape id="_x0000_i1038" type="#_x0000_t75" style="width:377.25pt;height:282.75pt" o:ole="">
            <v:imagedata r:id="rId44" o:title=""/>
          </v:shape>
          <o:OLEObject Type="Embed" ProgID="PowerPoint.Show.12" ShapeID="_x0000_i1038" DrawAspect="Content" ObjectID="_1559454692" r:id="rId45"/>
        </w:object>
      </w:r>
    </w:p>
    <w:p w14:paraId="08C622F7" w14:textId="77777777" w:rsidR="00C56CFB" w:rsidRDefault="00C56CFB" w:rsidP="00C56CFB">
      <w:pPr>
        <w:keepNext/>
      </w:pPr>
      <w:r>
        <w:rPr>
          <w:rFonts w:eastAsiaTheme="minorEastAsia"/>
        </w:rPr>
        <w:object w:dxaOrig="7180" w:dyaOrig="5390" w14:anchorId="3E0CB455">
          <v:shape id="_x0000_i1039" type="#_x0000_t75" style="width:382.5pt;height:286.5pt" o:ole="">
            <v:imagedata r:id="rId46" o:title=""/>
          </v:shape>
          <o:OLEObject Type="Embed" ProgID="PowerPoint.Show.12" ShapeID="_x0000_i1039" DrawAspect="Content" ObjectID="_1559454693" r:id="rId47"/>
        </w:object>
      </w:r>
    </w:p>
    <w:p w14:paraId="34381507" w14:textId="77777777" w:rsidR="00C56CFB" w:rsidRPr="003F5953" w:rsidRDefault="00C56CFB" w:rsidP="00C56CFB">
      <w:pPr>
        <w:pStyle w:val="Caption"/>
        <w:jc w:val="left"/>
        <w:rPr>
          <w:rFonts w:eastAsiaTheme="minorEastAsia"/>
        </w:rPr>
      </w:pPr>
      <w:bookmarkStart w:id="164" w:name="_Ref462393664"/>
      <w:bookmarkStart w:id="165" w:name="_Toc482633178"/>
      <w:r>
        <w:t xml:space="preserve">Figure </w:t>
      </w:r>
      <w:fldSimple w:instr=" STYLEREF 1 \s ">
        <w:r w:rsidR="00AA6926">
          <w:rPr>
            <w:noProof/>
          </w:rPr>
          <w:t>2</w:t>
        </w:r>
      </w:fldSimple>
      <w:r w:rsidR="00BA082C">
        <w:noBreakHyphen/>
      </w:r>
      <w:fldSimple w:instr=" SEQ Figure \* ARABIC \s 1 ">
        <w:r w:rsidR="00AA6926">
          <w:rPr>
            <w:noProof/>
          </w:rPr>
          <w:t>5</w:t>
        </w:r>
      </w:fldSimple>
      <w:bookmarkEnd w:id="164"/>
      <w:r>
        <w:t>. Example of Nanoparticle Tracking Analysis track. Top image shows the scattered nanoparticles detected by the instrument in a single frame with a red cross. Bottom image shows the tracks of each particle over a set time. This is used to establish the diffusion coefficient of each particle, which can then be used to calculate the size of each particle using the Stokes-Einstein equation.</w:t>
      </w:r>
      <w:bookmarkEnd w:id="165"/>
    </w:p>
    <w:p w14:paraId="668B8954" w14:textId="271ECA54" w:rsidR="00C56CFB" w:rsidRDefault="00C643FE" w:rsidP="00C56CFB">
      <w:pPr>
        <w:keepNext/>
      </w:pPr>
      <m:oMathPara>
        <m:oMath>
          <m:f>
            <m:fPr>
              <m:ctrlPr>
                <w:rPr>
                  <w:rFonts w:ascii="Cambria Math" w:eastAsiaTheme="minorEastAsia" w:hAnsi="Cambria Math"/>
                  <w:i/>
                </w:rPr>
              </m:ctrlPr>
            </m:fPr>
            <m:num>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 xml:space="preserve"> </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x,y</m:t>
                          </m:r>
                        </m:e>
                      </m:d>
                    </m:e>
                    <m:sup>
                      <m:r>
                        <w:rPr>
                          <w:rFonts w:ascii="Cambria Math" w:eastAsiaTheme="minorEastAsia" w:hAnsi="Cambria Math"/>
                        </w:rPr>
                        <m:t>2</m:t>
                      </m:r>
                    </m:sup>
                  </m:sSup>
                </m:den>
              </m:f>
            </m:num>
            <m:den>
              <m:r>
                <w:rPr>
                  <w:rFonts w:ascii="Cambria Math" w:eastAsiaTheme="minorEastAsia" w:hAnsi="Cambria Math"/>
                </w:rPr>
                <m:t>4</m:t>
              </m:r>
            </m:den>
          </m:f>
          <m:r>
            <w:rPr>
              <w:rFonts w:ascii="Cambria Math" w:eastAsiaTheme="minorEastAsia" w:hAnsi="Cambria Math"/>
            </w:rPr>
            <m:t>=</m:t>
          </m:r>
          <m:r>
            <m:rPr>
              <m:sty m:val="p"/>
            </m:rPr>
            <w:rPr>
              <w:rStyle w:val="CommentReference"/>
            </w:rPr>
            <w:commentReference w:id="166"/>
          </m:r>
          <m:r>
            <w:rPr>
              <w:rFonts w:ascii="Cambria Math" w:eastAsiaTheme="minorEastAsia" w:hAnsi="Cambria Math"/>
            </w:rPr>
            <m:t>Dt</m:t>
          </m:r>
        </m:oMath>
      </m:oMathPara>
    </w:p>
    <w:p w14:paraId="122048EA" w14:textId="77777777" w:rsidR="00C56CFB" w:rsidRDefault="00C56CFB" w:rsidP="00C56CFB">
      <w:pPr>
        <w:pStyle w:val="Caption"/>
        <w:jc w:val="left"/>
        <w:rPr>
          <w:rFonts w:eastAsiaTheme="minorEastAsia"/>
        </w:rPr>
      </w:pPr>
      <w:bookmarkStart w:id="167" w:name="_Ref465689792"/>
      <w:r>
        <w:t xml:space="preserve">Equation </w:t>
      </w:r>
      <w:fldSimple w:instr=" STYLEREF 1 \s ">
        <w:r w:rsidR="00AA6926">
          <w:rPr>
            <w:noProof/>
          </w:rPr>
          <w:t>2</w:t>
        </w:r>
      </w:fldSimple>
      <w:r w:rsidR="00FE5536">
        <w:noBreakHyphen/>
      </w:r>
      <w:fldSimple w:instr=" SEQ Equation \* ARABIC \s 1 ">
        <w:r w:rsidR="00AA6926">
          <w:rPr>
            <w:noProof/>
          </w:rPr>
          <w:t>4</w:t>
        </w:r>
      </w:fldSimple>
      <w:bookmarkEnd w:id="167"/>
      <w:r>
        <w:t xml:space="preserve">. </w:t>
      </w:r>
      <w:r w:rsidRPr="00425950">
        <w:t>NTA calculation of nanoparticle diffusion coefficient through mean square displacement in two dimensions</w:t>
      </w:r>
    </w:p>
    <w:p w14:paraId="7B99F3F9" w14:textId="77777777" w:rsidR="00C56CFB" w:rsidRPr="003F5953" w:rsidRDefault="00C56CFB" w:rsidP="00C56CFB">
      <w:pPr>
        <w:rPr>
          <w:rFonts w:eastAsiaTheme="minorEastAsia"/>
        </w:rPr>
      </w:pPr>
      <w:r>
        <w:rPr>
          <w:rFonts w:eastAsiaTheme="minorEastAsia"/>
        </w:rPr>
        <w:t>The size of the nanoparticles is then calculated by the NTA software using the Stokes-Einstein equation as the temperature and viscosity are known (</w:t>
      </w:r>
      <w:r w:rsidR="00603AF1">
        <w:rPr>
          <w:rFonts w:eastAsiaTheme="minorEastAsia"/>
        </w:rPr>
        <w:fldChar w:fldCharType="begin"/>
      </w:r>
      <w:r w:rsidR="00603AF1">
        <w:rPr>
          <w:rFonts w:eastAsiaTheme="minorEastAsia"/>
        </w:rPr>
        <w:instrText xml:space="preserve"> REF _Ref465689818 \h </w:instrText>
      </w:r>
      <w:r w:rsidR="00603AF1">
        <w:rPr>
          <w:rFonts w:eastAsiaTheme="minorEastAsia"/>
        </w:rPr>
      </w:r>
      <w:r w:rsidR="00603AF1">
        <w:rPr>
          <w:rFonts w:eastAsiaTheme="minorEastAsia"/>
        </w:rPr>
        <w:fldChar w:fldCharType="separate"/>
      </w:r>
      <w:r w:rsidR="00AA6926">
        <w:t xml:space="preserve">Equation </w:t>
      </w:r>
      <w:r w:rsidR="00AA6926">
        <w:rPr>
          <w:noProof/>
        </w:rPr>
        <w:t>2</w:t>
      </w:r>
      <w:r w:rsidR="00AA6926">
        <w:noBreakHyphen/>
      </w:r>
      <w:r w:rsidR="00AA6926">
        <w:rPr>
          <w:noProof/>
        </w:rPr>
        <w:t>5</w:t>
      </w:r>
      <w:r w:rsidR="00603AF1">
        <w:rPr>
          <w:rFonts w:eastAsiaTheme="minorEastAsia"/>
        </w:rPr>
        <w:fldChar w:fldCharType="end"/>
      </w:r>
      <w:r w:rsidR="00603AF1">
        <w:rPr>
          <w:rFonts w:eastAsiaTheme="minorEastAsia"/>
        </w:rPr>
        <w:t xml:space="preserve">). </w:t>
      </w:r>
      <w:r>
        <w:rPr>
          <w:rFonts w:eastAsiaTheme="minorEastAsia"/>
        </w:rPr>
        <w:t xml:space="preserve">Note that the input of accurate viscosity measurements of the solution is required for reliable size data. The sphere-equivalent hydrodynamic diameter, which is the size measurement calculated, includes the particle itself plus any tightly bound hydration shell. It calculates the particle as a sphere, which functions accurately for molecules with an asymmetry aspect ratio of up to 3 </w:t>
      </w:r>
      <w:r>
        <w:rPr>
          <w:rFonts w:eastAsiaTheme="minorEastAsia"/>
        </w:rPr>
        <w:fldChar w:fldCharType="begin" w:fldLock="1"/>
      </w:r>
      <w:r w:rsidR="00FF6FB8">
        <w:rPr>
          <w:rFonts w:eastAsiaTheme="minorEastAsia"/>
        </w:rPr>
        <w:instrText>ADDIN CSL_CITATION { "citationItems" : [ { "id" : "ITEM-1", "itemData" : { "author" : [ { "dropping-particle" : "", "family" : "Nanosight Ltd", "given" : "", "non-dropping-particle" : "", "parse-names" : false, "suffix" : "" } ], "container-title" : "Retrieved from: www.malvern.com", "id" : "ITEM-1", "issued" : { "date-parts" : [ [ "2010" ] ] }, "title" : "NanoSight NTA 2.1 Analytical Software Operating Manual version 1.0", "type" : "article-journal" }, "uris" : [ "http://www.mendeley.com/documents/?uuid=fbb3a3da-5053-4123-a162-eb2d15496d26" ] } ], "mendeley" : { "formattedCitation" : "(Nanosight Ltd 2010)", "plainTextFormattedCitation" : "(Nanosight Ltd 2010)", "previouslyFormattedCitation" : "(Nanosight Ltd 2010)" }, "properties" : { "noteIndex" : 0 }, "schema" : "https://github.com/citation-style-language/schema/raw/master/csl-citation.json" }</w:instrText>
      </w:r>
      <w:r>
        <w:rPr>
          <w:rFonts w:eastAsiaTheme="minorEastAsia"/>
        </w:rPr>
        <w:fldChar w:fldCharType="separate"/>
      </w:r>
      <w:r w:rsidRPr="00166C44">
        <w:rPr>
          <w:rFonts w:eastAsiaTheme="minorEastAsia"/>
          <w:noProof/>
        </w:rPr>
        <w:t>(Nanosight Ltd 2010)</w:t>
      </w:r>
      <w:r>
        <w:rPr>
          <w:rFonts w:eastAsiaTheme="minorEastAsia"/>
        </w:rPr>
        <w:fldChar w:fldCharType="end"/>
      </w:r>
      <w:r>
        <w:rPr>
          <w:rFonts w:eastAsiaTheme="minorEastAsia"/>
        </w:rPr>
        <w:t>.</w:t>
      </w:r>
    </w:p>
    <w:p w14:paraId="5C3195C9" w14:textId="608D7D4B" w:rsidR="00C56CFB" w:rsidRDefault="00C643FE" w:rsidP="00C56CFB">
      <w:pPr>
        <w:keepNext/>
      </w:pPr>
      <m:oMathPara>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T</m:t>
              </m:r>
              <m:sSub>
                <m:sSubPr>
                  <m:ctrlPr>
                    <w:rPr>
                      <w:rFonts w:ascii="Cambria Math" w:hAnsi="Cambria Math"/>
                      <w:i/>
                    </w:rPr>
                  </m:ctrlPr>
                </m:sSubPr>
                <m:e>
                  <m:r>
                    <w:rPr>
                      <w:rFonts w:ascii="Cambria Math" w:hAnsi="Cambria Math"/>
                    </w:rPr>
                    <m:t>k</m:t>
                  </m:r>
                </m:e>
                <m:sub>
                  <m:r>
                    <w:rPr>
                      <w:rFonts w:ascii="Cambria Math" w:hAnsi="Cambria Math"/>
                    </w:rPr>
                    <m:t>B</m:t>
                  </m:r>
                </m:sub>
              </m:sSub>
            </m:num>
            <m:den>
              <m:r>
                <w:rPr>
                  <w:rFonts w:ascii="Cambria Math" w:hAnsi="Cambria Math"/>
                </w:rPr>
                <m:t>3πηd</m:t>
              </m:r>
              <m:r>
                <m:rPr>
                  <m:sty m:val="p"/>
                </m:rPr>
                <w:rPr>
                  <w:rStyle w:val="CommentReference"/>
                </w:rPr>
                <w:commentReference w:id="168"/>
              </m:r>
            </m:den>
          </m:f>
        </m:oMath>
      </m:oMathPara>
    </w:p>
    <w:p w14:paraId="754C2372" w14:textId="77777777" w:rsidR="00C56CFB" w:rsidRPr="001F7DC9" w:rsidRDefault="00C56CFB" w:rsidP="00C56CFB">
      <w:pPr>
        <w:pStyle w:val="Caption"/>
        <w:jc w:val="left"/>
        <w:rPr>
          <w:rFonts w:eastAsiaTheme="minorEastAsia"/>
        </w:rPr>
      </w:pPr>
      <w:bookmarkStart w:id="169" w:name="_Ref465689818"/>
      <w:r>
        <w:t xml:space="preserve">Equation </w:t>
      </w:r>
      <w:fldSimple w:instr=" STYLEREF 1 \s ">
        <w:r w:rsidR="00AA6926">
          <w:rPr>
            <w:noProof/>
          </w:rPr>
          <w:t>2</w:t>
        </w:r>
      </w:fldSimple>
      <w:r w:rsidR="00FE5536">
        <w:noBreakHyphen/>
      </w:r>
      <w:fldSimple w:instr=" SEQ Equation \* ARABIC \s 1 ">
        <w:r w:rsidR="00AA6926">
          <w:rPr>
            <w:noProof/>
          </w:rPr>
          <w:t>5</w:t>
        </w:r>
      </w:fldSimple>
      <w:bookmarkEnd w:id="169"/>
      <w:r>
        <w:t xml:space="preserve">. </w:t>
      </w:r>
      <w:r w:rsidRPr="00AD38FF">
        <w:t>Stokes-Einstein equation. Sphere equivalent hydrodynamic diameter of nanoparticle can be established from diffusion coefficient if temperature and viscosity of solution are known. T is temperature, kB is Boltzmann’s constant, η is viscosity and d is hy</w:t>
      </w:r>
      <w:r>
        <w:t>drodynamic diameter</w:t>
      </w:r>
    </w:p>
    <w:p w14:paraId="04F8CE0B" w14:textId="77777777" w:rsidR="00C56CFB" w:rsidRDefault="00C56CFB" w:rsidP="00C56CFB">
      <w:pPr>
        <w:rPr>
          <w:rFonts w:eastAsiaTheme="minorEastAsia"/>
        </w:rPr>
      </w:pPr>
      <w:r>
        <w:rPr>
          <w:rFonts w:eastAsiaTheme="minorEastAsia"/>
        </w:rPr>
        <w:t>Within a sample all nanoparticles, which may be in the thousands, are tracked over a certain time period and all of their individual sizes are calculated. This results in a size distribution profile for each sample investigated. Only sufficiently long tracks (at least 5-10 frames) are included for size analysis to ensure statistical accuracy of the diffusion coefficient calculations. Similarly, measurement</w:t>
      </w:r>
      <w:r w:rsidR="001C16EC">
        <w:rPr>
          <w:rFonts w:eastAsiaTheme="minorEastAsia"/>
        </w:rPr>
        <w:t>s</w:t>
      </w:r>
      <w:r>
        <w:rPr>
          <w:rFonts w:eastAsiaTheme="minorEastAsia"/>
        </w:rPr>
        <w:t xml:space="preserve"> of tracks which cross one another are ignored.</w:t>
      </w:r>
    </w:p>
    <w:p w14:paraId="580538C3" w14:textId="77777777" w:rsidR="00C56CFB" w:rsidRDefault="00C56CFB" w:rsidP="00C56CFB">
      <w:pPr>
        <w:rPr>
          <w:rFonts w:eastAsiaTheme="minorEastAsia"/>
        </w:rPr>
      </w:pPr>
      <w:r>
        <w:rPr>
          <w:rFonts w:eastAsiaTheme="minorEastAsia"/>
        </w:rPr>
        <w:t xml:space="preserve">As the volume of the sample that is scattering light is known, concentration of nanoparticles can also be calculated. This is achieved by a rolling average concentration for each frame captured in the video, which eliminates the risk of counting the same nanoparticle multiple times </w:t>
      </w:r>
      <w:r>
        <w:rPr>
          <w:rFonts w:eastAsiaTheme="minorEastAsia"/>
        </w:rPr>
        <w:fldChar w:fldCharType="begin" w:fldLock="1"/>
      </w:r>
      <w:r w:rsidR="002764B5">
        <w:rPr>
          <w:rFonts w:eastAsiaTheme="minorEastAsia"/>
        </w:rPr>
        <w:instrText>ADDIN CSL_CITATION { "citationItems" : [ { "id" : "ITEM-1", "itemData" : { "author" : [ { "dropping-particle" : "", "family" : "Malvern Instruments Limited", "given" : "", "non-dropping-particle" : "", "parse-names" : false, "suffix" : "" } ], "container-title" : "Retrieved from: www.malvern.com", "id" : "ITEM-1", "issued" : { "date-parts" : [ [ "2015" ] ] }, "title" : "Nanoscale material characterization: A review of the use of nanoparticle tracking analysis (NTA)", "type" : "webpage" }, "uris" : [ "http://www.mendeley.com/documents/?uuid=c87d1696-597f-4e84-9028-55dcdd342b94" ] } ], "mendeley" : { "formattedCitation" : "(Malvern Instruments Limited 2015c)", "plainTextFormattedCitation" : "(Malvern Instruments Limited 2015c)", "previouslyFormattedCitation" : "(Malvern Instruments Limited 2015c)" }, "properties" : { "noteIndex" : 0 }, "schema" : "https://github.com/citation-style-language/schema/raw/master/csl-citation.json" }</w:instrText>
      </w:r>
      <w:r>
        <w:rPr>
          <w:rFonts w:eastAsiaTheme="minorEastAsia"/>
        </w:rPr>
        <w:fldChar w:fldCharType="separate"/>
      </w:r>
      <w:r w:rsidRPr="00972DE4">
        <w:rPr>
          <w:rFonts w:eastAsiaTheme="minorEastAsia"/>
          <w:noProof/>
        </w:rPr>
        <w:t>(Malvern Instruments Limited 2015c)</w:t>
      </w:r>
      <w:r>
        <w:rPr>
          <w:rFonts w:eastAsiaTheme="minorEastAsia"/>
        </w:rPr>
        <w:fldChar w:fldCharType="end"/>
      </w:r>
      <w:r>
        <w:rPr>
          <w:rFonts w:eastAsiaTheme="minorEastAsia"/>
        </w:rPr>
        <w:t>.</w:t>
      </w:r>
    </w:p>
    <w:p w14:paraId="5B5F7697" w14:textId="77777777" w:rsidR="00C56CFB" w:rsidRPr="00FA5C5E" w:rsidRDefault="00C56CFB" w:rsidP="00C56CFB">
      <w:pPr>
        <w:rPr>
          <w:rFonts w:eastAsiaTheme="minorEastAsia"/>
        </w:rPr>
      </w:pPr>
      <w:r>
        <w:rPr>
          <w:rFonts w:eastAsiaTheme="minorEastAsia"/>
        </w:rPr>
        <w:lastRenderedPageBreak/>
        <w:t xml:space="preserve">Dynamic Light Scattering (DLS) is a more widely used technique for analysing nanoparticles in solution </w:t>
      </w:r>
      <w:r>
        <w:rPr>
          <w:rFonts w:eastAsiaTheme="minorEastAsia"/>
        </w:rPr>
        <w:fldChar w:fldCharType="begin" w:fldLock="1"/>
      </w:r>
      <w:r>
        <w:rPr>
          <w:rFonts w:eastAsiaTheme="minorEastAsia"/>
        </w:rPr>
        <w:instrText>ADDIN CSL_CITATION { "citationItems" : [ { "id" : "ITEM-1", "itemData" : { "DOI" : "10.1007/s11095-010-0073-2", "ISBN" : "0724-8741", "ISSN" : "07248741", "PMID" : "20204471", "abstract" : "PURPOSE: To evaluate the nanoparticle tracking analysis (NTA) technique, compare it with dynamic light scattering (DLS) and test its performance in characterizing drug delivery nanoparticles and protein aggregates. METHODS: Standard polystyrene beads of sizes ranging from 60 to 1,000 nm and physical mixtures thereof were analyzed with NTA and DLS. The influence of different ratios of particle populations was tested. Drug delivery nanoparticles and protein aggregates were analyzed by NTA and DLS. Live monitoring of heat-induced protein aggregation was performed with NTA. RESULTS: NTA was shown to accurately analyze the size distribution of monodisperse and polydisperse samples. Sample visualization and individual particle tracking are features that enable a thorough size distribution analysis. The presence of small amounts of large (1,000 nm) particles generally does not compromise the accuracy of NTA measurements, and a broad range of population ratios can easily be detected and accurately sized. NTA proved to be suitable to characterize drug delivery nanoparticles and protein aggregates, complementing DLS. Live monitoring of heat-induced protein aggregation provides information about aggregation kinetics and size of submicron aggregates. CONCLUSION: NTA is a powerful characterization technique that complements DLS and is particularly valuable for analyzing polydisperse nanosized particles and protein aggregates.", "author" : [ { "dropping-particle" : "", "family" : "Filipe", "given" : "V", "non-dropping-particle" : "", "parse-names" : false, "suffix" : "" }, { "dropping-particle" : "", "family" : "Hawe", "given" : "A", "non-dropping-particle" : "", "parse-names" : false, "suffix" : "" }, { "dropping-particle" : "", "family" : "Jiskoot", "given" : "W", "non-dropping-particle" : "", "parse-names" : false, "suffix" : "" } ], "container-title" : "Pharmaceutical Research", "id" : "ITEM-1", "issued" : { "date-parts" : [ [ "2010" ] ] }, "page" : "796-810", "title" : "Critical evaluation of nanoparticle tracking analysis (NTA) by NanoSight for the measurement of nanoparticles and protein aggregates", "type" : "article-journal", "volume" : "27" }, "uris" : [ "http://www.mendeley.com/documents/?uuid=fd31ee9c-be8c-4f68-8319-ad7fc72d54ad" ] } ], "mendeley" : { "formattedCitation" : "(Filipe et al. 2010)", "plainTextFormattedCitation" : "(Filipe et al. 2010)", "previouslyFormattedCitation" : "(Filipe et al. 2010)" }, "properties" : { "noteIndex" : 0 }, "schema" : "https://github.com/citation-style-language/schema/raw/master/csl-citation.json" }</w:instrText>
      </w:r>
      <w:r>
        <w:rPr>
          <w:rFonts w:eastAsiaTheme="minorEastAsia"/>
        </w:rPr>
        <w:fldChar w:fldCharType="separate"/>
      </w:r>
      <w:r w:rsidRPr="003C208B">
        <w:rPr>
          <w:rFonts w:eastAsiaTheme="minorEastAsia"/>
          <w:noProof/>
        </w:rPr>
        <w:t>(Filipe et al. 2010)</w:t>
      </w:r>
      <w:r>
        <w:rPr>
          <w:rFonts w:eastAsiaTheme="minorEastAsia"/>
        </w:rPr>
        <w:fldChar w:fldCharType="end"/>
      </w:r>
      <w:r>
        <w:rPr>
          <w:rFonts w:eastAsiaTheme="minorEastAsia"/>
        </w:rPr>
        <w:t xml:space="preserve">, but NTA has a number of advantages over DLS due to the fact that it tracks each nanoparticle separately, whereas DLS is an ensemble technique. DLS uses intensity of light scattering to determine nanoparticle size whereas NTA dynamically tracks the paths taken of each nanoparticle due to Brownian motion over a set time period and therefore is able to calculate the size of each individual particle. NTA does still measure the intensity of light scattered by each particle, meaning that particles that are the same size but different composition can be differentiated. The major advantage of NTA is for the measurement of polydispersed samples, i.e. those that contain nanoparticles of various sizes. DLS only calculates an average particle size and as such is skewed by a small number of larger particles. DLS is capable of measuring much smaller particles, and as such can be useful for the measurement of smaller protein aggregates that are monodisperse. Furthermore DLS is unable to calculate the concentration of nanoparticles as it detects intensity rather than absolute number of nanoparticles. NTA also has a better size resolution </w:t>
      </w:r>
      <w:r>
        <w:rPr>
          <w:rFonts w:eastAsiaTheme="minorEastAsia"/>
        </w:rPr>
        <w:fldChar w:fldCharType="begin" w:fldLock="1"/>
      </w:r>
      <w:r w:rsidR="002764B5">
        <w:rPr>
          <w:rFonts w:eastAsiaTheme="minorEastAsia"/>
        </w:rPr>
        <w:instrText>ADDIN CSL_CITATION { "citationItems" : [ { "id" : "ITEM-1", "itemData" : { "author" : [ { "dropping-particle" : "", "family" : "Malvern Instruments Limited", "given" : "", "non-dropping-particle" : "", "parse-names" : false, "suffix" : "" } ], "container-title" : "Retrieved from: www.malvern.com", "id" : "ITEM-1", "issued" : { "date-parts" : [ [ "2015" ] ] }, "title" : "Comparison of statistical measures reported by NTA and DLS techniques", "type" : "webpage" }, "uris" : [ "http://www.mendeley.com/documents/?uuid=37afb00d-5828-478a-bd3d-6887cba1ea7e" ] }, { "id" : "ITEM-2", "itemData" : { "DOI" : "10.1007/s11095-010-0073-2", "ISBN" : "0724-8741", "ISSN" : "07248741", "PMID" : "20204471", "abstract" : "PURPOSE: To evaluate the nanoparticle tracking analysis (NTA) technique, compare it with dynamic light scattering (DLS) and test its performance in characterizing drug delivery nanoparticles and protein aggregates. METHODS: Standard polystyrene beads of sizes ranging from 60 to 1,000 nm and physical mixtures thereof were analyzed with NTA and DLS. The influence of different ratios of particle populations was tested. Drug delivery nanoparticles and protein aggregates were analyzed by NTA and DLS. Live monitoring of heat-induced protein aggregation was performed with NTA. RESULTS: NTA was shown to accurately analyze the size distribution of monodisperse and polydisperse samples. Sample visualization and individual particle tracking are features that enable a thorough size distribution analysis. The presence of small amounts of large (1,000 nm) particles generally does not compromise the accuracy of NTA measurements, and a broad range of population ratios can easily be detected and accurately sized. NTA proved to be suitable to characterize drug delivery nanoparticles and protein aggregates, complementing DLS. Live monitoring of heat-induced protein aggregation provides information about aggregation kinetics and size of submicron aggregates. CONCLUSION: NTA is a powerful characterization technique that complements DLS and is particularly valuable for analyzing polydisperse nanosized particles and protein aggregates.", "author" : [ { "dropping-particle" : "", "family" : "Filipe", "given" : "V", "non-dropping-particle" : "", "parse-names" : false, "suffix" : "" }, { "dropping-particle" : "", "family" : "Hawe", "given" : "A", "non-dropping-particle" : "", "parse-names" : false, "suffix" : "" }, { "dropping-particle" : "", "family" : "Jiskoot", "given" : "W", "non-dropping-particle" : "", "parse-names" : false, "suffix" : "" } ], "container-title" : "Pharmaceutical Research", "id" : "ITEM-2", "issued" : { "date-parts" : [ [ "2010" ] ] }, "page" : "796-810", "title" : "Critical evaluation of nanoparticle tracking analysis (NTA) by NanoSight for the measurement of nanoparticles and protein aggregates", "type" : "article-journal", "volume" : "27" }, "uris" : [ "http://www.mendeley.com/documents/?uuid=fd31ee9c-be8c-4f68-8319-ad7fc72d54ad" ] } ], "mendeley" : { "formattedCitation" : "(Malvern Instruments Limited 2015a; Filipe et al. 2010)", "plainTextFormattedCitation" : "(Malvern Instruments Limited 2015a; Filipe et al. 2010)", "previouslyFormattedCitation" : "(Malvern Instruments Limited 2015a; Filipe et al. 2010)" }, "properties" : { "noteIndex" : 0 }, "schema" : "https://github.com/citation-style-language/schema/raw/master/csl-citation.json" }</w:instrText>
      </w:r>
      <w:r>
        <w:rPr>
          <w:rFonts w:eastAsiaTheme="minorEastAsia"/>
        </w:rPr>
        <w:fldChar w:fldCharType="separate"/>
      </w:r>
      <w:r w:rsidRPr="00972DE4">
        <w:rPr>
          <w:rFonts w:eastAsiaTheme="minorEastAsia"/>
          <w:noProof/>
        </w:rPr>
        <w:t>(Malvern Instruments Limited 2015a; Filipe et al. 2010)</w:t>
      </w:r>
      <w:r>
        <w:rPr>
          <w:rFonts w:eastAsiaTheme="minorEastAsia"/>
        </w:rPr>
        <w:fldChar w:fldCharType="end"/>
      </w:r>
      <w:r>
        <w:rPr>
          <w:rFonts w:eastAsiaTheme="minorEastAsia"/>
        </w:rPr>
        <w:t>. Due to the ability of NTA to directly visualise nanoparticles it is a preferable technique for probing systems that are not well understood.</w:t>
      </w:r>
    </w:p>
    <w:p w14:paraId="78557251" w14:textId="77777777" w:rsidR="00C56CFB" w:rsidRDefault="00C56CFB" w:rsidP="00C56CFB">
      <w:pPr>
        <w:pStyle w:val="Heading3"/>
      </w:pPr>
      <w:bookmarkStart w:id="170" w:name="_Toc485712778"/>
      <w:r>
        <w:t>Experimental design</w:t>
      </w:r>
      <w:bookmarkEnd w:id="170"/>
    </w:p>
    <w:p w14:paraId="010F8A1C" w14:textId="77777777" w:rsidR="00C56CFB" w:rsidRDefault="00C56CFB" w:rsidP="00C56CFB">
      <w:r>
        <w:t xml:space="preserve">An advantage to NTA experiments is that there is very little sample preparation needed in order to achieve reliable results. If large particles are present in solution (&gt; 10 µm diameter) it is advised to eliminate them either through centrifugation or filtration </w:t>
      </w:r>
      <w:r>
        <w:fldChar w:fldCharType="begin" w:fldLock="1"/>
      </w:r>
      <w:r w:rsidR="002764B5">
        <w:instrText>ADDIN CSL_CITATION { "citationItems" : [ { "id" : "ITEM-1", "itemData" : { "author" : [ { "dropping-particle" : "", "family" : "Malvern Instruments Limited", "given" : "", "non-dropping-particle" : "", "parse-names" : false, "suffix" : "" } ], "container-title" : "Retrieved from: www.malvern.com", "id" : "ITEM-1", "issued" : { "date-parts" : [ [ "2015" ] ] }, "title" : "Nanoscale material characterization: A review of the use of nanoparticle tracking analysis (NTA)", "type" : "webpage" }, "uris" : [ "http://www.mendeley.com/documents/?uuid=c87d1696-597f-4e84-9028-55dcdd342b94" ] } ], "mendeley" : { "formattedCitation" : "(Malvern Instruments Limited 2015c)", "plainTextFormattedCitation" : "(Malvern Instruments Limited 2015c)", "previouslyFormattedCitation" : "(Malvern Instruments Limited 2015c)" }, "properties" : { "noteIndex" : 0 }, "schema" : "https://github.com/citation-style-language/schema/raw/master/csl-citation.json" }</w:instrText>
      </w:r>
      <w:r>
        <w:fldChar w:fldCharType="separate"/>
      </w:r>
      <w:r w:rsidRPr="00F35A13">
        <w:rPr>
          <w:noProof/>
        </w:rPr>
        <w:t>(Malvern Instruments Limited 2015c)</w:t>
      </w:r>
      <w:r>
        <w:fldChar w:fldCharType="end"/>
      </w:r>
      <w:r>
        <w:t xml:space="preserve">. Gentle agitation of solution is all that is necessary if dispersion is required before analysis. No calibration of the instrument is required due to particle tracking being an absolute measurement, although significant user training is needed due to the number of parameters that should be altered to ensure results are accurate </w:t>
      </w:r>
      <w:r>
        <w:fldChar w:fldCharType="begin" w:fldLock="1"/>
      </w:r>
      <w:r>
        <w:instrText>ADDIN CSL_CITATION { "citationItems" : [ { "id" : "ITEM-1", "itemData" : { "DOI" : "10.1007/s11095-010-0073-2", "ISBN" : "0724-8741", "ISSN" : "07248741", "PMID" : "20204471", "abstract" : "PURPOSE: To evaluate the nanoparticle tracking analysis (NTA) technique, compare it with dynamic light scattering (DLS) and test its performance in characterizing drug delivery nanoparticles and protein aggregates. METHODS: Standard polystyrene beads of sizes ranging from 60 to 1,000 nm and physical mixtures thereof were analyzed with NTA and DLS. The influence of different ratios of particle populations was tested. Drug delivery nanoparticles and protein aggregates were analyzed by NTA and DLS. Live monitoring of heat-induced protein aggregation was performed with NTA. RESULTS: NTA was shown to accurately analyze the size distribution of monodisperse and polydisperse samples. Sample visualization and individual particle tracking are features that enable a thorough size distribution analysis. The presence of small amounts of large (1,000 nm) particles generally does not compromise the accuracy of NTA measurements, and a broad range of population ratios can easily be detected and accurately sized. NTA proved to be suitable to characterize drug delivery nanoparticles and protein aggregates, complementing DLS. Live monitoring of heat-induced protein aggregation provides information about aggregation kinetics and size of submicron aggregates. CONCLUSION: NTA is a powerful characterization technique that complements DLS and is particularly valuable for analyzing polydisperse nanosized particles and protein aggregates.", "author" : [ { "dropping-particle" : "", "family" : "Filipe", "given" : "V", "non-dropping-particle" : "", "parse-names" : false, "suffix" : "" }, { "dropping-particle" : "", "family" : "Hawe", "given" : "A", "non-dropping-particle" : "", "parse-names" : false, "suffix" : "" }, { "dropping-particle" : "", "family" : "Jiskoot", "given" : "W", "non-dropping-particle" : "", "parse-names" : false, "suffix" : "" } ], "container-title" : "Pharmaceutical Research", "id" : "ITEM-1", "issued" : { "date-parts" : [ [ "2010" ] ] }, "page" : "796-810", "title" : "Critical evaluation of nanoparticle tracking analysis (NTA) by NanoSight for the measurement of nanoparticles and protein aggregates", "type" : "article-journal", "volume" : "27" }, "uris" : [ "http://www.mendeley.com/documents/?uuid=fd31ee9c-be8c-4f68-8319-ad7fc72d54ad" ] } ], "mendeley" : { "formattedCitation" : "(Filipe et al. 2010)", "plainTextFormattedCitation" : "(Filipe et al. 2010)", "previouslyFormattedCitation" : "(Filipe et al. 2010)" }, "properties" : { "noteIndex" : 0 }, "schema" : "https://github.com/citation-style-language/schema/raw/master/csl-citation.json" }</w:instrText>
      </w:r>
      <w:r>
        <w:fldChar w:fldCharType="separate"/>
      </w:r>
      <w:r w:rsidRPr="00F35A13">
        <w:rPr>
          <w:noProof/>
        </w:rPr>
        <w:t>(Filipe et al. 2010)</w:t>
      </w:r>
      <w:r>
        <w:fldChar w:fldCharType="end"/>
      </w:r>
      <w:r>
        <w:t>.</w:t>
      </w:r>
    </w:p>
    <w:p w14:paraId="4C32113D" w14:textId="77777777" w:rsidR="00C56CFB" w:rsidRDefault="00C56CFB" w:rsidP="00C56CFB">
      <w:r>
        <w:t xml:space="preserve">It is advised that dilutions of the nanoparticle-containing solutions be done until the concentration is between </w:t>
      </w:r>
      <w:r w:rsidR="001C16EC">
        <w:t>5x</w:t>
      </w:r>
      <w:r>
        <w:t>10</w:t>
      </w:r>
      <w:r w:rsidRPr="00820F7A">
        <w:rPr>
          <w:vertAlign w:val="superscript"/>
        </w:rPr>
        <w:t>7</w:t>
      </w:r>
      <w:r w:rsidR="00603AF1">
        <w:t xml:space="preserve"> – 5x</w:t>
      </w:r>
      <w:r>
        <w:t>10</w:t>
      </w:r>
      <w:r w:rsidRPr="00820F7A">
        <w:rPr>
          <w:vertAlign w:val="superscript"/>
        </w:rPr>
        <w:t>9</w:t>
      </w:r>
      <w:r>
        <w:t xml:space="preserve"> particles per mL for optimum particle </w:t>
      </w:r>
      <w:r>
        <w:lastRenderedPageBreak/>
        <w:t xml:space="preserve">concentration determination </w:t>
      </w:r>
      <w:r>
        <w:fldChar w:fldCharType="begin" w:fldLock="1"/>
      </w:r>
      <w:r w:rsidR="002764B5">
        <w:instrText>ADDIN CSL_CITATION { "citationItems" : [ { "id" : "ITEM-1", "itemData" : { "author" : [ { "dropping-particle" : "", "family" : "Malvern Instruments Limited", "given" : "", "non-dropping-particle" : "", "parse-names" : false, "suffix" : "" } ], "container-title" : "Retrieved from: www.malvern.com", "id" : "ITEM-1", "issued" : { "date-parts" : [ [ "2015" ] ] }, "title" : "NTA: Principles and methodology", "type" : "webpage" }, "uris" : [ "http://www.mendeley.com/documents/?uuid=83d3b549-ebbd-4c81-8124-b17e721ea450" ] } ], "mendeley" : { "formattedCitation" : "(Malvern Instruments Limited 2015e)", "plainTextFormattedCitation" : "(Malvern Instruments Limited 2015e)", "previouslyFormattedCitation" : "(Malvern Instruments Limited 2015e)" }, "properties" : { "noteIndex" : 0 }, "schema" : "https://github.com/citation-style-language/schema/raw/master/csl-citation.json" }</w:instrText>
      </w:r>
      <w:r>
        <w:fldChar w:fldCharType="separate"/>
      </w:r>
      <w:r w:rsidRPr="00344710">
        <w:rPr>
          <w:noProof/>
        </w:rPr>
        <w:t>(Malvern Instruments Limited 2015e)</w:t>
      </w:r>
      <w:r>
        <w:fldChar w:fldCharType="end"/>
      </w:r>
      <w:r>
        <w:t>. Below this concentration there are too few tracks achieved in the time period to give a statistically reliable result. Above this concentration there is too much crossing of nanoparticles to track them successfully.</w:t>
      </w:r>
    </w:p>
    <w:p w14:paraId="37CC2C6D" w14:textId="77777777" w:rsidR="00C56CFB" w:rsidRDefault="00C56CFB" w:rsidP="00C56CFB">
      <w:r>
        <w:t xml:space="preserve">There are a number of pre-capture settings that should be optimised in the Nanosight software </w:t>
      </w:r>
      <w:r>
        <w:fldChar w:fldCharType="begin" w:fldLock="1"/>
      </w:r>
      <w:r w:rsidR="00FF6FB8">
        <w:instrText>ADDIN CSL_CITATION { "citationItems" : [ { "id" : "ITEM-1", "itemData" : { "author" : [ { "dropping-particle" : "", "family" : "Nanosight Ltd", "given" : "", "non-dropping-particle" : "", "parse-names" : false, "suffix" : "" } ], "container-title" : "Retrieved from: www.malvern.com", "id" : "ITEM-1", "issued" : { "date-parts" : [ [ "2010" ] ] }, "title" : "NanoSight NTA 2.1 Analytical Software Operating Manual version 1.0", "type" : "article-journal" }, "uris" : [ "http://www.mendeley.com/documents/?uuid=fbb3a3da-5053-4123-a162-eb2d15496d26" ] } ], "mendeley" : { "formattedCitation" : "(Nanosight Ltd 2010)", "plainTextFormattedCitation" : "(Nanosight Ltd 2010)", "previouslyFormattedCitation" : "(Nanosight Ltd 2010)" }, "properties" : { "noteIndex" : 0 }, "schema" : "https://github.com/citation-style-language/schema/raw/master/csl-citation.json" }</w:instrText>
      </w:r>
      <w:r>
        <w:fldChar w:fldCharType="separate"/>
      </w:r>
      <w:r w:rsidRPr="00344710">
        <w:rPr>
          <w:noProof/>
        </w:rPr>
        <w:t>(Nanosight Ltd 2010)</w:t>
      </w:r>
      <w:r>
        <w:fldChar w:fldCharType="end"/>
      </w:r>
      <w:r>
        <w:t>. First the camera level should be set. An arbitrary scale is given which incorporates both shutter and gain of the image to determine the brightness. It is advised that for each sample the camera level should be increased to maximum to see all particles present, and then gradually decrease until the smallest particles present are only just visible. Secondly the capture duration time should be selected for adequate statistical analysis. This depends on concentration, polydispersity and repeatability; for a low concentration polydispersed sample 90 seconds is generally sufficient. Shorter durations of 30-60 seconds can be used for high concentration monodisperse samples.</w:t>
      </w:r>
    </w:p>
    <w:p w14:paraId="2ED119AE" w14:textId="77777777" w:rsidR="00C56CFB" w:rsidRDefault="00C56CFB" w:rsidP="00C56CFB">
      <w:r>
        <w:t xml:space="preserve">During analysis again a number of parameters can be set for optimum results </w:t>
      </w:r>
      <w:r>
        <w:fldChar w:fldCharType="begin" w:fldLock="1"/>
      </w:r>
      <w:r w:rsidR="00FF6FB8">
        <w:instrText>ADDIN CSL_CITATION { "citationItems" : [ { "id" : "ITEM-1", "itemData" : { "author" : [ { "dropping-particle" : "", "family" : "Nanosight Ltd", "given" : "", "non-dropping-particle" : "", "parse-names" : false, "suffix" : "" } ], "container-title" : "Retrieved from: www.malvern.com", "id" : "ITEM-1", "issued" : { "date-parts" : [ [ "2010" ] ] }, "title" : "NanoSight NTA 2.1 Analytical Software Operating Manual version 1.0", "type" : "article-journal" }, "uris" : [ "http://www.mendeley.com/documents/?uuid=fbb3a3da-5053-4123-a162-eb2d15496d26" ] } ], "mendeley" : { "formattedCitation" : "(Nanosight Ltd 2010)", "plainTextFormattedCitation" : "(Nanosight Ltd 2010)", "previouslyFormattedCitation" : "(Nanosight Ltd 2010)" }, "properties" : { "noteIndex" : 0 }, "schema" : "https://github.com/citation-style-language/schema/raw/master/csl-citation.json" }</w:instrText>
      </w:r>
      <w:r>
        <w:fldChar w:fldCharType="separate"/>
      </w:r>
      <w:r w:rsidRPr="00344710">
        <w:rPr>
          <w:noProof/>
        </w:rPr>
        <w:t>(Nanosight Ltd 2010)</w:t>
      </w:r>
      <w:r>
        <w:fldChar w:fldCharType="end"/>
      </w:r>
      <w:r>
        <w:t>. It is worth noting that the Nanosight software automatically subtracts the background from the video and corrects for any drift that may be caused by bubble formation, leakage or convection. Detection threshold can be set similar to camera level in the pre-capture settings; it has an arbitrary scale, which determines the minimum grey scale value for a ‘blob’ to qualify as a particle. The particle will then be marked with a red cross for analysis (</w:t>
      </w:r>
      <w:r>
        <w:fldChar w:fldCharType="begin"/>
      </w:r>
      <w:r>
        <w:instrText xml:space="preserve"> REF _Ref462393664 \h </w:instrText>
      </w:r>
      <w:r>
        <w:fldChar w:fldCharType="separate"/>
      </w:r>
      <w:r w:rsidR="00AA6926">
        <w:t xml:space="preserve">Figure </w:t>
      </w:r>
      <w:r w:rsidR="00AA6926">
        <w:rPr>
          <w:noProof/>
        </w:rPr>
        <w:t>2</w:t>
      </w:r>
      <w:r w:rsidR="00AA6926">
        <w:noBreakHyphen/>
      </w:r>
      <w:r w:rsidR="00AA6926">
        <w:rPr>
          <w:noProof/>
        </w:rPr>
        <w:t>5</w:t>
      </w:r>
      <w:r>
        <w:fldChar w:fldCharType="end"/>
      </w:r>
      <w:r>
        <w:t xml:space="preserve">). The minimum expected particle size determines the maximum distance that a particle can jump per frame. This area will also form an exclusion zone around the nanoparticle and said particle will be excluded from analysis if another particle enters within that frame. If the minimum expected particle size is known for the sample it can be entered manually, or an automatic function can predict this by analysing the first few frames of the video a number of times. Viscosity and temperature can also be entered manually, but will be set at the viscosity of water at the temperature reading from the temperature control LM 14 unit unless altered. </w:t>
      </w:r>
    </w:p>
    <w:p w14:paraId="26D2F803" w14:textId="77777777" w:rsidR="00C56CFB" w:rsidRDefault="00C56CFB" w:rsidP="00C56CFB">
      <w:r>
        <w:lastRenderedPageBreak/>
        <w:t xml:space="preserve">It is necessary to capture videos of blanks of the solvent used to create the nanoparticle solution, and any other solvent used for dilution, in order to check for any nanoparticle contamination that will affect the size distribution profiles of the samples. Due to the short time periods and small volumes observed of samples it is usually necessary to complete 3 technical repeats of a sample by pushing the sample further through the viewing unit using the syringe in order to better visualise the full sample and ensure nanoparticle sizes that have very low concentrations are included in the analysis </w:t>
      </w:r>
      <w:r>
        <w:fldChar w:fldCharType="begin" w:fldLock="1"/>
      </w:r>
      <w:r w:rsidR="002764B5">
        <w:instrText>ADDIN CSL_CITATION { "citationItems" : [ { "id" : "ITEM-1", "itemData" : { "author" : [ { "dropping-particle" : "", "family" : "Malvern Instruments Limited", "given" : "", "non-dropping-particle" : "", "parse-names" : false, "suffix" : "" } ], "container-title" : "Retrieved from: www.malvern.com", "id" : "ITEM-1", "issued" : { "date-parts" : [ [ "2015" ] ] }, "title" : "NTA: Principles and methodology", "type" : "webpage" }, "uris" : [ "http://www.mendeley.com/documents/?uuid=83d3b549-ebbd-4c81-8124-b17e721ea450" ] } ], "mendeley" : { "formattedCitation" : "(Malvern Instruments Limited 2015e)", "plainTextFormattedCitation" : "(Malvern Instruments Limited 2015e)", "previouslyFormattedCitation" : "(Malvern Instruments Limited 2015e)" }, "properties" : { "noteIndex" : 0 }, "schema" : "https://github.com/citation-style-language/schema/raw/master/csl-citation.json" }</w:instrText>
      </w:r>
      <w:r>
        <w:fldChar w:fldCharType="separate"/>
      </w:r>
      <w:r w:rsidRPr="00344710">
        <w:rPr>
          <w:noProof/>
        </w:rPr>
        <w:t>(Malvern Instruments Limited 2015e)</w:t>
      </w:r>
      <w:r>
        <w:fldChar w:fldCharType="end"/>
      </w:r>
      <w:r>
        <w:t>.</w:t>
      </w:r>
    </w:p>
    <w:p w14:paraId="06814FBA" w14:textId="77777777" w:rsidR="00C56CFB" w:rsidRDefault="00C56CFB" w:rsidP="00C56CFB">
      <w:r>
        <w:br w:type="page"/>
      </w:r>
    </w:p>
    <w:p w14:paraId="29DC54BC" w14:textId="77777777" w:rsidR="00C82B9F" w:rsidRDefault="00C56CFB" w:rsidP="00C82B9F">
      <w:pPr>
        <w:pStyle w:val="Heading1"/>
      </w:pPr>
      <w:bookmarkStart w:id="171" w:name="_Toc485712779"/>
      <w:r>
        <w:lastRenderedPageBreak/>
        <w:t>Mechanisms of arginine action on protein thermal stability: a comparison to its functional groups</w:t>
      </w:r>
      <w:bookmarkEnd w:id="171"/>
    </w:p>
    <w:p w14:paraId="04AB72B0" w14:textId="77777777" w:rsidR="00927F73" w:rsidRDefault="00927F73" w:rsidP="00927F73"/>
    <w:p w14:paraId="405B7ADE" w14:textId="77777777" w:rsidR="00927F73" w:rsidRDefault="00927F73" w:rsidP="00927F73"/>
    <w:p w14:paraId="10856194" w14:textId="77777777" w:rsidR="00927F73" w:rsidRPr="00927F73" w:rsidRDefault="00927F73" w:rsidP="00927F73"/>
    <w:p w14:paraId="67FD36D1" w14:textId="77777777" w:rsidR="00927F73" w:rsidRDefault="00927F73" w:rsidP="00927F73">
      <w:pPr>
        <w:jc w:val="center"/>
        <w:rPr>
          <w:b/>
          <w:szCs w:val="24"/>
        </w:rPr>
      </w:pPr>
      <w:r>
        <w:rPr>
          <w:b/>
          <w:szCs w:val="24"/>
        </w:rPr>
        <w:t>Parts of this chapter were published in:</w:t>
      </w:r>
    </w:p>
    <w:p w14:paraId="782CD7C6" w14:textId="77777777" w:rsidR="00927F73" w:rsidRDefault="00927F73" w:rsidP="00927F73">
      <w:pPr>
        <w:jc w:val="center"/>
        <w:rPr>
          <w:szCs w:val="24"/>
        </w:rPr>
      </w:pPr>
      <w:r w:rsidRPr="002E22AC">
        <w:rPr>
          <w:b/>
          <w:szCs w:val="24"/>
        </w:rPr>
        <w:t>Platts L</w:t>
      </w:r>
      <w:r>
        <w:rPr>
          <w:szCs w:val="24"/>
        </w:rPr>
        <w:t xml:space="preserve">, Falconer RJ (2015) Controlling protein stability: mechanisms revealed using formulations of arginine, glycine and guanidinium HCl with three globular proteins. </w:t>
      </w:r>
      <w:r>
        <w:rPr>
          <w:i/>
          <w:szCs w:val="24"/>
        </w:rPr>
        <w:t xml:space="preserve">International Journal of Pharmaceutics. </w:t>
      </w:r>
      <w:r>
        <w:rPr>
          <w:b/>
          <w:szCs w:val="24"/>
        </w:rPr>
        <w:t xml:space="preserve">486, </w:t>
      </w:r>
      <w:r>
        <w:rPr>
          <w:szCs w:val="24"/>
        </w:rPr>
        <w:t>131-135.</w:t>
      </w:r>
    </w:p>
    <w:p w14:paraId="6B5EBDB0" w14:textId="77777777" w:rsidR="00927F73" w:rsidRPr="00927F73" w:rsidRDefault="00927F73" w:rsidP="00927F73"/>
    <w:p w14:paraId="2CA00565" w14:textId="77777777" w:rsidR="00C82B9F" w:rsidRDefault="00C82B9F" w:rsidP="00C82B9F">
      <w:pPr>
        <w:rPr>
          <w:rFonts w:cstheme="majorBidi"/>
          <w:sz w:val="40"/>
          <w:szCs w:val="28"/>
        </w:rPr>
      </w:pPr>
      <w:r>
        <w:br w:type="page"/>
      </w:r>
    </w:p>
    <w:p w14:paraId="11FBC24B" w14:textId="77777777" w:rsidR="00C56CFB" w:rsidRDefault="00C56CFB" w:rsidP="000A3469">
      <w:pPr>
        <w:pStyle w:val="Heading2"/>
      </w:pPr>
      <w:bookmarkStart w:id="172" w:name="_Toc485712780"/>
      <w:r w:rsidRPr="00C166C3">
        <w:lastRenderedPageBreak/>
        <w:t>Introduction</w:t>
      </w:r>
      <w:bookmarkEnd w:id="172"/>
    </w:p>
    <w:p w14:paraId="02597F7B" w14:textId="77777777" w:rsidR="00C56CFB" w:rsidRDefault="00C56CFB" w:rsidP="00C56CFB">
      <w:r>
        <w:t xml:space="preserve">Small organic molecules, such as amino acids, generally fall into one of two categories: those that increase stability, decrease solubility and increase aggregation of proteins, and those that decrease stability, increase solubility and decrease aggregation of proteins </w:t>
      </w:r>
      <w:r>
        <w:fldChar w:fldCharType="begin" w:fldLock="1"/>
      </w:r>
      <w:r>
        <w:instrText>ADDIN CSL_CITATION { "citationItems" : [ { "id" : "ITEM-1", "itemData" : { "DOI" : "10.1016/S0006-3495(85)83932-1", "ISSN" : "0006-3495", "PMID" : "3978211", "abstract" : "The preferential interactions of lysozyme with solvent components and the effects of solvent additives on its stability were examined for several neutral osmolytes: L-proline, L-serine, gamma-aminobutyric acid, sarcosine, taurine, alpha-alanine, beta-alanine, glycine, betaine, and trimethylamine N-oxide. It was shown that all these substances stabilize the protein structure against thermal denaturation and (except for trimethylamine N-oxide for which interaction measurements could not be made) are strongly excluded from the protein domain, rendering unlikely their direct binding to proteins. On the other hand, valine, not known as an osmolyte, had no stabilizing effect, although it induced a large protein-preferential hydration. A possible explanation is given for the use of these substances as osmotic-pressure-regulating agents in organisms living under high osmotic pressure.", "author" : [ { "dropping-particle" : "", "family" : "Arakawa", "given" : "T", "non-dropping-particle" : "", "parse-names" : false, "suffix" : "" }, { "dropping-particle" : "", "family" : "Timasheff", "given" : "S N", "non-dropping-particle" : "", "parse-names" : false, "suffix" : "" } ], "container-title" : "Biophysical Journal", "id" : "ITEM-1", "issued" : { "date-parts" : [ [ "1985", "3" ] ] }, "page" : "411-414", "title" : "The stabilization of proteins by osmolytes", "type" : "article-journal", "volume" : "47" }, "uris" : [ "http://www.mendeley.com/documents/?uuid=a1e19a58-b0d0-4a61-ada1-8d4bd546989a" ] } ], "mendeley" : { "formattedCitation" : "(Arakawa &amp; Timasheff 1985)", "plainTextFormattedCitation" : "(Arakawa &amp; Timasheff 1985)", "previouslyFormattedCitation" : "(Arakawa &amp; Timasheff 1985)" }, "properties" : { "noteIndex" : 0 }, "schema" : "https://github.com/citation-style-language/schema/raw/master/csl-citation.json" }</w:instrText>
      </w:r>
      <w:r>
        <w:fldChar w:fldCharType="separate"/>
      </w:r>
      <w:r w:rsidRPr="00FA4931">
        <w:rPr>
          <w:noProof/>
        </w:rPr>
        <w:t>(Arakawa &amp; Timasheff 1985)</w:t>
      </w:r>
      <w:r>
        <w:fldChar w:fldCharType="end"/>
      </w:r>
      <w:r>
        <w:t xml:space="preserve">. Tradition dictates that these two categories are generally termed kosmotropes and chaotropes respectively, although the theory behind this nomenclature is disputed </w:t>
      </w:r>
      <w:r>
        <w:fldChar w:fldCharType="begin" w:fldLock="1"/>
      </w:r>
      <w:r w:rsidR="00924827">
        <w:instrText>ADDIN CSL_CITATION { "citationItems" : [ { "id" : "ITEM-1", "itemData" : { "DOI" : "10.1021/ja039335h", "ISSN" : "0002-7863", "PMID" : "14971928", "abstract" : "It is of great interest to determine how solutes such as urea, sugars, guanidinium salts, and trimethylamine N-oxide affect the stability, solubility, and solvation of globular proteins. A key hypothesis in this field states that solutes affect protein stability indirectly by making or breaking water structure. We used a new technique, pressure perturbation calorimetry, to measure the temperature dependence of a solute's partial compressibility. Using fundamental thermodynamic relations, we converted these data to the pressure dependence of the partial heat capacity to examine the impact of protein stabilizing and denaturing solutes on water structure by applying the classic two-state mixture model for water. Contrary to widely held expectations, we found no correlation between a solute's impact on water structure and its effect on protein stability. Our results indicate that efforts to explain solute effects should focus on other hypotheses, including those based on preferential interaction and excluded volume.", "author" : [ { "dropping-particle" : "", "family" : "Batchelor", "given" : "J D", "non-dropping-particle" : "", "parse-names" : false, "suffix" : "" }, { "dropping-particle" : "", "family" : "Olteanu", "given" : "A", "non-dropping-particle" : "", "parse-names" : false, "suffix" : "" }, { "dropping-particle" : "", "family" : "Tripathy", "given" : "A", "non-dropping-particle" : "", "parse-names" : false, "suffix" : "" }, { "dropping-particle" : "", "family" : "Pielak", "given" : "G J", "non-dropping-particle" : "", "parse-names" : false, "suffix" : "" } ], "container-title" : "Journal of the American Chemical Society", "id" : "ITEM-1", "issued" : { "date-parts" : [ [ "2004", "2", "25" ] ] }, "page" : "1958-61", "title" : "Impact of protein denaturants and stabilizers on water structure", "type" : "article-journal", "volume" : "126" }, "uris" : [ "http://www.mendeley.com/documents/?uuid=0bc8f594-df11-4d8e-828e-9c47eef7f9cb" ] } ], "mendeley" : { "formattedCitation" : "(Batchelor et al. 2004)", "plainTextFormattedCitation" : "(Batchelor et al. 2004)", "previouslyFormattedCitation" : "(Batchelor et al. 2004)" }, "properties" : { "noteIndex" : 0 }, "schema" : "https://github.com/citation-style-language/schema/raw/master/csl-citation.json" }</w:instrText>
      </w:r>
      <w:r>
        <w:fldChar w:fldCharType="separate"/>
      </w:r>
      <w:r w:rsidRPr="00FA4931">
        <w:rPr>
          <w:noProof/>
        </w:rPr>
        <w:t>(Batchelor et al. 2004)</w:t>
      </w:r>
      <w:r>
        <w:fldChar w:fldCharType="end"/>
      </w:r>
      <w:r>
        <w:t xml:space="preserve"> (</w:t>
      </w:r>
      <w:r w:rsidR="00D65072">
        <w:t xml:space="preserve">see section </w:t>
      </w:r>
      <w:r w:rsidR="00D65072">
        <w:rPr>
          <w:color w:val="FF0000"/>
        </w:rPr>
        <w:fldChar w:fldCharType="begin"/>
      </w:r>
      <w:r w:rsidR="00D65072">
        <w:instrText xml:space="preserve"> REF _Ref462648922 \r \h </w:instrText>
      </w:r>
      <w:r w:rsidR="00D65072">
        <w:rPr>
          <w:color w:val="FF0000"/>
        </w:rPr>
      </w:r>
      <w:r w:rsidR="00D65072">
        <w:rPr>
          <w:color w:val="FF0000"/>
        </w:rPr>
        <w:fldChar w:fldCharType="separate"/>
      </w:r>
      <w:r w:rsidR="00AA6926">
        <w:t>1.4.3.1</w:t>
      </w:r>
      <w:r w:rsidR="00D65072">
        <w:rPr>
          <w:color w:val="FF0000"/>
        </w:rPr>
        <w:fldChar w:fldCharType="end"/>
      </w:r>
      <w:r>
        <w:t xml:space="preserve">). This separation occurs due to kosmotropes favouring protein states that are less exposed to the solvent (i.e. native and aggregated), and vice versa. There is a plethora of research to suggest a multitude of molecular mechanisms governing this categorisation of small organic molecules, which includes preferential hydration or interaction </w:t>
      </w:r>
      <w:r>
        <w:fldChar w:fldCharType="begin" w:fldLock="1"/>
      </w:r>
      <w:r w:rsidR="007228DB">
        <w:instrText>ADDIN CSL_CITATION { "citationItems" : [ { "id" : "ITEM-1", "itemData" : { "author" : [ { "dropping-particle" : "", "family" : "Arakawa", "given" : "T", "non-dropping-particle" : "", "parse-names" : false, "suffix" : "" }, { "dropping-particle" : "", "family" : "Bhat", "given" : "R", "non-dropping-particle" : "", "parse-names" : false, "suffix" : "" }, { "dropping-particle" : "", "family" : "Timasheff", "given" : "S N", "non-dropping-particle" : "", "parse-names" : false, "suffix" : "" } ], "container-title" : "Biochemistry", "id" : "ITEM-1", "issued" : { "date-parts" : [ [ "1990" ] ] }, "page" : "1914-1923", "title" : "Preferential interactions determine protein solubility in three-component solutions: The MgCl2 system", "type" : "article-journal", "volume" : "29" }, "uris" : [ "http://www.mendeley.com/documents/?uuid=6a715dc8-a2f5-4290-98c9-9b1290f2479e" ] }, { "id" : "ITEM-2", "itemData" : { "ISSN" : "0006-2960", "PMID" : "7150574", "abstract" : "The preferential interaction of proteins with solvent components was measured in aqueous lactose and glucose systems by using a high precision densimeter. In all cases, the protein was preferentially hydrated; i.e., addition of these sugars to an aqueous solution of the protein resulted in an unfavorable free-energy change. This effect was shown to increase with an increase in protein surface area, explaining the protein stabilizing action of these sugars and their enhancing effect of protein associations. Correlation of the preferential interaction parameter with the effect of the sugars on the surface tension of water, i.e., their positive surface tension increment, has led to the conclusion that the surface free energy perturbation by sugars plays a predominant role in their preferential interaction with proteins. Other contributing factors are the exclusion volume of the sugars and the chemical nature of the protein surface.", "author" : [ { "dropping-particle" : "", "family" : "Arakawa", "given" : "T", "non-dropping-particle" : "", "parse-names" : false, "suffix" : "" }, { "dropping-particle" : "", "family" : "Timasheff", "given" : "S N", "non-dropping-particle" : "", "parse-names" : false, "suffix" : "" } ], "container-title" : "Biochemistry", "id" : "ITEM-2", "issued" : { "date-parts" : [ [ "1982", "12", "7" ] ] }, "page" : "6536-6544", "title" : "Stabilization of protein structure by sugars", "type" : "article-journal", "volume" : "21" }, "uris" : [ "http://www.mendeley.com/documents/?uuid=03fc4568-a1d8-45c0-b1b2-88c972ef6ccc" ] }, { "id" : "ITEM-3", "itemData" : { "DOI" : "10.1016/S0006-3495(85)83932-1", "ISSN" : "0006-3495", "PMID" : "3978211", "abstract" : "The preferential interactions of lysozyme with solvent components and the effects of solvent additives on its stability were examined for several neutral osmolytes: L-proline, L-serine, gamma-aminobutyric acid, sarcosine, taurine, alpha-alanine, beta-alanine, glycine, betaine, and trimethylamine N-oxide. It was shown that all these substances stabilize the protein structure against thermal denaturation and (except for trimethylamine N-oxide for which interaction measurements could not be made) are strongly excluded from the protein domain, rendering unlikely their direct binding to proteins. On the other hand, valine, not known as an osmolyte, had no stabilizing effect, although it induced a large protein-preferential hydration. A possible explanation is given for the use of these substances as osmotic-pressure-regulating agents in organisms living under high osmotic pressure.", "author" : [ { "dropping-particle" : "", "family" : "Arakawa", "given" : "T", "non-dropping-particle" : "", "parse-names" : false, "suffix" : "" }, { "dropping-particle" : "", "family" : "Timasheff", "given" : "S N", "non-dropping-particle" : "", "parse-names" : false, "suffix" : "" } ], "container-title" : "Biophysical Journal", "id" : "ITEM-3", "issued" : { "date-parts" : [ [ "1985", "3" ] ] }, "page" : "411-414", "title" : "The stabilization of proteins by osmolytes", "type" : "article-journal", "volume" : "47" }, "uris" : [ "http://www.mendeley.com/documents/?uuid=a1e19a58-b0d0-4a61-ada1-8d4bd546989a" ] }, { "id" : "ITEM-4", "itemData" : { "ISSN" : "0006-2960", "PMID" : "7150575", "abstract" : "The preferential interactions of proteins with solvent components were studied in concentrated salt by densimetric measurements. Proteins were found to be preferentially hydrated in NaCl, NaCH3COO, and Na2SO4. The resulting unfavorable free-energy change was related to the effects of these salts on solubility and stability of the proteins. This unfavorable free-energy change was correlated with the large, positive surface tension increment of these salts, i.e., their perturbation of surface free energy. On the other hand, KSCN, CaCl2, and MgCl2 showed considerable binding to bovine serum albumin, which could be related to their destabilizing and salting-in effects on macromolecules. Since the last two salts have high surface tension increments, it was concluded that this does not necessarily lead to protein preferential hydration and stabilization.", "author" : [ { "dropping-particle" : "", "family" : "Arakawa", "given" : "T", "non-dropping-particle" : "", "parse-names" : false, "suffix" : "" }, { "dropping-particle" : "", "family" : "Timasheff", "given" : "S N", "non-dropping-particle" : "", "parse-names" : false, "suffix" : "" } ], "container-title" : "Biochemistry", "id" : "ITEM-4", "issued" : { "date-parts" : [ [ "1982", "12", "7" ] ] }, "page" : "6545-6552", "title" : "Preferential interactions of proteins with salts in concentrated solutions", "type" : "article-journal", "volume" : "21" }, "uris" : [ "http://www.mendeley.com/documents/?uuid=c01411bd-68f9-4eb7-be30-8bddb7042154" ] } ], "mendeley" : { "formattedCitation" : "(Arakawa et al. 1990a; Arakawa &amp; Timasheff 1982b; Arakawa &amp; Timasheff 1985; Arakawa &amp; Timasheff 1982a)", "plainTextFormattedCitation" : "(Arakawa et al. 1990a; Arakawa &amp; Timasheff 1982b; Arakawa &amp; Timasheff 1985; Arakawa &amp; Timasheff 1982a)", "previouslyFormattedCitation" : "(Arakawa et al. 1990a; Arakawa &amp; Timasheff 1982b; Arakawa &amp; Timasheff 1985; Arakawa &amp; Timasheff 1982a)" }, "properties" : { "noteIndex" : 0 }, "schema" : "https://github.com/citation-style-language/schema/raw/master/csl-citation.json" }</w:instrText>
      </w:r>
      <w:r>
        <w:fldChar w:fldCharType="separate"/>
      </w:r>
      <w:r w:rsidR="0064368A" w:rsidRPr="0064368A">
        <w:rPr>
          <w:noProof/>
        </w:rPr>
        <w:t>(Arakawa et al. 1990a; Arakawa &amp; Timasheff 1982b; Arakawa &amp; Timasheff 1985; Arakawa &amp; Timasheff 1982a)</w:t>
      </w:r>
      <w:r>
        <w:fldChar w:fldCharType="end"/>
      </w:r>
      <w:r>
        <w:t xml:space="preserve">; enhancement or weakening of long-range water structure </w:t>
      </w:r>
      <w:r>
        <w:fldChar w:fldCharType="begin" w:fldLock="1"/>
      </w:r>
      <w:r w:rsidR="00924827">
        <w:instrText>ADDIN CSL_CITATION { "citationItems" : [ { "id" : "ITEM-1", "itemData" : { "DOI" : "10.1017/S0033583500005369", "ISBN" : "0033-5835", "ISSN" : "0033-5835", "PMID" : "3916340", "abstract" : "Starting from known properties of non-specific salt effects on the surface tension at an air-water interface, we propose the first general, detailed qualitative molecular mechanism for the origins of ion-specific (Hofmeister) effects on the surface potential difference at an air-water interface; this mechanism suggests a simple model for the behaviour of water at all interfaces (including water-solute interfaces), regardless of whether the non-aqueous component is neutral or charged, polar or non-polar. Specifically, water near an isolated interface is conceptually divided into three layers, each layer being I water-molecule thick. We propose that the solute determines the behaviour of the adjacent first interfacial water layer (I1); that the bulk solution determines the behaviour of the third interfacial water layer (I3), and that both I1 and I3 compete for hydrogen-bonding interactions with the intervening water layer (I2), which can be thought of as a transition layer. The model requires that a polar kosmotrope (polar water-structure maker) interact with I1 more strongly than would bulk water in its place; that a chaotrope (water-structure breaker) interact with I1 somewhat less strongly than would bulk water in its place; and that a non-polar kosmotrope (non-polar water-structure maker) interact with I1 much less strongly than would bulk water in its place. We introduce two simple new postulates to describe the behaviour of I1 water molecules in aqueous solution. The first, the 'relative competition' postulate, states that an I1 water molecule, in maximizing its free energy (--delta G), will favour those of its highly directional polar (hydrogen-bonding) interactions with its immediate neighbours for which the maximum pairwise enthalpy of interaction (--delta H) is greatest; that is, it will favour the strongest interactions. We describe such behaviour as 'compliant', since an I1 water molecule will continually adjust its position to maximize these strong interactions. Its behaviour towards its remaining immediate neighbours, with whom it interacts relatively weakly (but still favourably), we describe as 'recalcitrant', since it will be unable to adjust its position to maximize simultaneously these interactions.", "author" : [ { "dropping-particle" : "", "family" : "Collins", "given" : "K D", "non-dropping-particle" : "", "parse-names" : false, "suffix" : "" }, { "dropping-particle" : "", "family" : "Washabaugh", "given" : "M W", "non-dropping-particle" : "", "parse-names" : false, "suffix" : "" } ], "container-title" : "Quarterly Review of Biophysics", "id" : "ITEM-1", "issued" : { "date-parts" : [ [ "1985" ] ] }, "page" : "323-422", "title" : "The Hofmeister effect and the behaviour of water at interfaces", "type" : "article-journal", "volume" : "18" }, "uris" : [ "http://www.mendeley.com/documents/?uuid=4be9efad-d471-4baa-833f-5f6c0e09cb72" ] }, { "id" : "ITEM-2", "itemData" : { "ISSN" : "0002-7863", "PMID" : "11841287", "abstract" : "Trimethylamine n-oxide (TMAO) is a naturally occurring osmolyte that stabilizes proteins and offsets the destabilizing effects of urea. To investigate the molecular mechanism of these effects, we have studied the thermodynamics of interaction between TMAO and protein functional groups. The solubilities of a homologous series of cyclic dipeptides were measured by differential refractive index and the dissolution heats were determined calorimetrically as a function of TMAO concentration at 25 degrees C. The transfer free energy of the amide unit (-CONH-) from water to 1 M TMAO is large and positive, indicating an unfavorable interaction between the TMAO solution and the amide unit. This unfavorable interaction is enthalpic in origin. The interaction between TMAO and apolar groups is slightly favorable. The transfer free energy of apolar groups from water to TMAO consists of favorable enthalpic and unfavorable entropic contributions. This is in contrast to the contributions for the interaction between urea and apolar groups. Molecular dynamics simulations were performed to provide a structural framework for the interpretation of these results. The simulations show enhancement of water structure by TMAO in the form of a slight increase in the number of hydrogen bonds per water molecule, stronger water hydrogen bonds, and long-range spatial ordering of the solvent. These findings suggest that TMAO stabilizes proteins via enhancement of water structure, such that interactions with the amide unit are discouraged.", "author" : [ { "dropping-particle" : "", "family" : "Zou", "given" : "Q", "non-dropping-particle" : "", "parse-names" : false, "suffix" : "" }, { "dropping-particle" : "", "family" : "Bennion", "given" : "B J", "non-dropping-particle" : "", "parse-names" : false, "suffix" : "" }, { "dropping-particle" : "", "family" : "Daggett", "given" : "V", "non-dropping-particle" : "", "parse-names" : false, "suffix" : "" }, { "dropping-particle" : "", "family" : "Murphy", "given" : "K P", "non-dropping-particle" : "", "parse-names" : false, "suffix" : "" } ], "container-title" : "Journal of the American Chemical Society", "id" : "ITEM-2", "issued" : { "date-parts" : [ [ "2002", "2", "20" ] ] }, "page" : "1192-1202", "title" : "The molecular mechanism of stabilization of proteins by TMAO and its ability to counteract the effects of urea", "type" : "article-journal", "volume" : "124" }, "uris" : [ "http://www.mendeley.com/documents/?uuid=dc60cbf4-b452-4299-986e-41bb6c52b0aa" ] }, { "id" : "ITEM-3", "itemData" : { "DOI" : "10.1021/ja981529n", "ISSN" : "0002-7863", "author" : [ { "dropping-particle" : "", "family" : "Vanzi", "given" : "F", "non-dropping-particle" : "", "parse-names" : false, "suffix" : "" }, { "dropping-particle" : "", "family" : "Madan", "given" : "B", "non-dropping-particle" : "", "parse-names" : false, "suffix" : "" }, { "dropping-particle" : "", "family" : "Sharp", "given" : "K A", "non-dropping-particle" : "", "parse-names" : false, "suffix" : "" } ], "container-title" : "Journal of the American Chemical Society", "id" : "ITEM-3", "issued" : { "date-parts" : [ [ "1998", "10" ] ] }, "page" : "10748-10753", "title" : "Effect of the protein denaturants urea and guanidinium on water structure: A structural and thermodynamic study", "type" : "article-journal", "volume" : "120" }, "uris" : [ "http://www.mendeley.com/documents/?uuid=5873042b-5233-44fc-bc85-378f26710f4d" ] } ], "mendeley" : { "formattedCitation" : "(Collins &amp; Washabaugh 1985; Zou et al. 2002; Vanzi et al. 1998)", "plainTextFormattedCitation" : "(Collins &amp; Washabaugh 1985; Zou et al. 2002; Vanzi et al. 1998)", "previouslyFormattedCitation" : "(Collins &amp; Washabaugh 1985; Zou et al. 2002; Vanzi et al. 1998)" }, "properties" : { "noteIndex" : 0 }, "schema" : "https://github.com/citation-style-language/schema/raw/master/csl-citation.json" }</w:instrText>
      </w:r>
      <w:r>
        <w:fldChar w:fldCharType="separate"/>
      </w:r>
      <w:r w:rsidRPr="00074F94">
        <w:rPr>
          <w:noProof/>
        </w:rPr>
        <w:t>(Collins &amp; Washabaugh 1985; Zou et al. 2002; Vanzi et al. 1998)</w:t>
      </w:r>
      <w:r>
        <w:fldChar w:fldCharType="end"/>
      </w:r>
      <w:r>
        <w:t xml:space="preserve">; and repulsion or attraction to the peptide backbone </w:t>
      </w:r>
      <w:r>
        <w:fldChar w:fldCharType="begin" w:fldLock="1"/>
      </w:r>
      <w:r w:rsidR="00E11F61">
        <w:instrText>ADDIN CSL_CITATION { "citationItems" : [ { "id" : "ITEM-1", "itemData" : { "ISSN" : "0006-2960", "PMID" : "7548045", "abstract" : "Transfer free energy measurements of amino acids from water to the osmolytes, sucrose and sarcosine, were made as a function of osmolyte concentration. From these data, transfer free energies of the amino acid side chains were obtained, and the transfer free energy of the peptide backbone was determined from solubility measurements of diketopiperazine (DKP). Using static accessible surface evaluations of the native and unfolded states of ribonuclease A, solvent exposed side chain and peptide backbone areas were multiplied by their transfer free energies and summed in order to evaluate the transfer free energy of the native and unfolded states of the protein from water to the osmolyte solutions. The results reproduced the main features of the free energy profile determined for denaturation of proteins in the presence of osmolytes. The side chains were found collectively to favor exposure to the osmolyte in comparison to exposure in water, and in this sense the side chains favor protein unfolding. The major factor which opposes and overrides the side chain preference for denaturation and results in the stabilization of proteins observed in osmolytes is the highly unfavorable exposure of polypeptide backbone on unfolding. Except for urea and guanidine hydrochloride solutions, it is shown that all organic solvents (e.g., dioxane, ethanol, ethylene glycol) and solutes (osmolytes) for which transfer free energy measurements have been determined exhibit unfavorable transfer free energy of the peptide backbone.(ABSTRACT TRUNCATED AT 250 WORDS)", "author" : [ { "dropping-particle" : "", "family" : "Liu", "given" : "Y", "non-dropping-particle" : "", "parse-names" : false, "suffix" : "" }, { "dropping-particle" : "", "family" : "Bolen", "given" : "D W", "non-dropping-particle" : "", "parse-names" : false, "suffix" : "" } ], "container-title" : "Biochemistry", "id" : "ITEM-1", "issued" : { "date-parts" : [ [ "1995", "10", "3" ] ] }, "page" : "12884-12891", "title" : "The peptide backbone plays a dominant role in protein stabilization by naturally occurring osmolytes", "type" : "article-journal", "volume" : "34" }, "uris" : [ "http://www.mendeley.com/documents/?uuid=f2438128-c452-4f69-b9ca-6bf30b770a74" ] }, { "id" : "ITEM-2", "itemData" : { "DOI" : "10.1006/jmbi.2001.4819", "ISSN" : "0022-2836", "PMID" : "11502004", "abstract" : "Intracellular organic osmolytes are present in certain organisms adapted to harsh environments and these osmolytes protect intracellular macromolecules against the denaturing environmental stress. In natural selection of organic osmolytes as protein stabilizers, it appears that the osmolyte property selected for is the unfavorable interaction between the osmolyte and the peptide backbone, a solvophobic thermodynamic force that we call the osmophobic effect. Because the peptide backbone is highly exposed to osmolyte in the denatured state, the osmophobic effect preferentially raises the free energy of the denatured state, shifting the equilibrium in favor of the native state. By focusing the solvophobic force on the denatured state, the native state is left free to function relatively unfettered by the presence of osmolyte. The osmophobic effect is a newly uncovered thermodynamic force in nature that complements the well-recognized hydrophobic interactions, hydrogen bonding, electrostatic and dispersion forces that drive protein folding. In organisms whose survival depends on the intracellular presence of osmolytes that can counteract denaturing stresses, the osmophobic effect is as fundamental to protein folding as these well-recognized forces.", "author" : [ { "dropping-particle" : "", "family" : "Bolen", "given" : "D W", "non-dropping-particle" : "", "parse-names" : false, "suffix" : "" }, { "dropping-particle" : "V", "family" : "Baskakov", "given" : "I", "non-dropping-particle" : "", "parse-names" : false, "suffix" : "" } ], "container-title" : "Journal of Molecular Biology", "id" : "ITEM-2", "issued" : { "date-parts" : [ [ "2001", "7", "27" ] ] }, "page" : "955-963", "title" : "The osmophobic effect: Natural selection of a thermodynamic force in protein folding", "type" : "article-journal", "volume" : "310" }, "uris" : [ "http://www.mendeley.com/documents/?uuid=3c78e1da-09f3-4763-88ea-d97117649a97" ] }, { "id" : "ITEM-3", "itemData" : { "ISSN" : "0027-8424", "PMID" : "9689069", "abstract" : "The Stokes radius characteristics of reduced and carboxamidated ribonuclease A (RCAM RNase) were determined for transfer of this \"random coil\" protein from water to 1 M concentrations of the naturally occurring protecting osmolytes trimethylamine N-oxide, sarcosine, sucrose, and proline and the nonprotecting osmolyte urea. The denatured ensemble of RCAM RNase expands in urea and contracts in protecting osmolytes to extents proportional to the transfer Gibbs energy of the protein from water to osmolyte. This proportionality suggests that the sum of the transfer Gibbs energies of individual parts of the protein is responsible for the dimensional changes in the denatured ensemble. The dominant term in the transfer Gibbs energy of RCAM RNase from water to protecting osmolytes is the unfavorable interaction of the osmolyte with the peptide backbone, whereas the favorable interaction of urea with the backbone dominates in RCAM RNase transfer to urea. The side chains collectively favor transfer to the osmolytes, with some protecting osmolytes solubilizing hydrophobic side chains as well as urea does, a result suggesting there is nothing special about the ability of urea to solubilize hydrophobic groups. Protecting osmolytes stabilize proteins by raising the chemical potential of the denatured ensemble, and the uniform thermodynamic force acting on the peptide backbone causes the collateral effect of contracting the denatured ensemble. The contraction decreases the conformational entropy of the denatured state while increasing the density of hydrophobic groups, two effects that also contribute to the ability of protecting osmolytes to force proteins to fold.", "author" : [ { "dropping-particle" : "", "family" : "Qu", "given" : "Y", "non-dropping-particle" : "", "parse-names" : false, "suffix" : "" }, { "dropping-particle" : "", "family" : "Bolen", "given" : "C L", "non-dropping-particle" : "", "parse-names" : false, "suffix" : "" }, { "dropping-particle" : "", "family" : "Bolen", "given" : "D W", "non-dropping-particle" : "", "parse-names" : false, "suffix" : "" } ], "container-title" : "Proceedings of the National Academy of Sciences of the United States of America", "id" : "ITEM-3", "issued" : { "date-parts" : [ [ "1998", "8", "4" ] ] }, "page" : "9268-9273", "title" : "Osmolyte-driven contraction of a random coil protein", "type" : "article-journal", "volume" : "95" }, "uris" : [ "http://www.mendeley.com/documents/?uuid=adc6db7a-27e2-40ac-810d-a87ed045f79b" ] } ], "mendeley" : { "formattedCitation" : "(Liu &amp; Bolen 1995; Bolen &amp; Baskakov 2001; Qu et al. 1998)", "plainTextFormattedCitation" : "(Liu &amp; Bolen 1995; Bolen &amp; Baskakov 2001; Qu et al. 1998)", "previouslyFormattedCitation" : "(Liu &amp; Bolen 1995; Bolen &amp; Baskakov 2001; Qu et al. 1998)" }, "properties" : { "noteIndex" : 0 }, "schema" : "https://github.com/citation-style-language/schema/raw/master/csl-citation.json" }</w:instrText>
      </w:r>
      <w:r>
        <w:fldChar w:fldCharType="separate"/>
      </w:r>
      <w:r w:rsidRPr="00074F94">
        <w:rPr>
          <w:noProof/>
        </w:rPr>
        <w:t>(Liu &amp; Bolen 1995; Bolen &amp; Baskakov 2001; Qu et al. 1998)</w:t>
      </w:r>
      <w:r>
        <w:fldChar w:fldCharType="end"/>
      </w:r>
      <w:r>
        <w:t xml:space="preserve"> for kosmotropes and chaotropes respectively. Although a topic that is well researched, no singular mechanism has been able to explain why certain small molecules stabilise proteins and others destabilise.</w:t>
      </w:r>
    </w:p>
    <w:p w14:paraId="3E7C490E" w14:textId="77777777" w:rsidR="00C56CFB" w:rsidRDefault="00C56CFB" w:rsidP="00C56CFB">
      <w:r>
        <w:t xml:space="preserve">Arginine, a positively charged amino acid, is unique in that it does not appear to clearly fall into either of the two categories. Instead it is reported to decrease aggregation and increase solubility of proteins without negative effects on protein stability </w:t>
      </w:r>
      <w:r>
        <w:fldChar w:fldCharType="begin" w:fldLock="1"/>
      </w:r>
      <w:r>
        <w:instrText>ADDIN CSL_CITATION { "citationItems" : [ { "id" : "ITEM-1", "itemData" : { "DOI" : "10.1016/S0006-291X(03)00578-3", "ISSN" : "0006291X", "author" : [ { "dropping-particle" : "", "family" : "Arakawa", "given" : "T", "non-dropping-particle" : "", "parse-names" : false, "suffix" : "" }, { "dropping-particle" : "", "family" : "Tsumoto", "given" : "K", "non-dropping-particle" : "", "parse-names" : false, "suffix" : "" } ], "container-title" : "Biochemical and Biophysical Research Communications", "id" : "ITEM-1", "issued" : { "date-parts" : [ [ "2003", "4" ] ] }, "page" : "148-152", "title" : "The effects of arginine on refolding of aggregated proteins: Not facilitate refolding, but suppress aggregation", "type" : "article-journal", "volume" : "304" }, "uris" : [ "http://www.mendeley.com/documents/?uuid=1ec5f6bb-8e7b-444e-9655-b3d9189f70c9" ] } ], "mendeley" : { "formattedCitation" : "(Arakawa &amp; Tsumoto 2003)", "plainTextFormattedCitation" : "(Arakawa &amp; Tsumoto 2003)", "previouslyFormattedCitation" : "(Arakawa &amp; Tsumoto 2003)" }, "properties" : { "noteIndex" : 0 }, "schema" : "https://github.com/citation-style-language/schema/raw/master/csl-citation.json" }</w:instrText>
      </w:r>
      <w:r>
        <w:fldChar w:fldCharType="separate"/>
      </w:r>
      <w:r w:rsidRPr="002763E3">
        <w:rPr>
          <w:noProof/>
        </w:rPr>
        <w:t>(Arakawa &amp; Tsumoto 2003)</w:t>
      </w:r>
      <w:r>
        <w:fldChar w:fldCharType="end"/>
      </w:r>
      <w:r>
        <w:t xml:space="preserve">. This distinctive characteristic means that arginine finds extensive application in the pharmaceutical industry </w:t>
      </w:r>
      <w:r>
        <w:fldChar w:fldCharType="begin" w:fldLock="1"/>
      </w:r>
      <w:r>
        <w:instrText>ADDIN CSL_CITATION { "citationItems" : [ { "id" : "ITEM-1", "itemData" : { "author" : [ { "dropping-particle" : "", "family" : "Ejima", "given" : "D", "non-dropping-particle" : "", "parse-names" : false, "suffix" : "" }, { "dropping-particle" : "", "family" : "Tsumoto", "given" : "K", "non-dropping-particle" : "", "parse-names" : false, "suffix" : "" }, { "dropping-particle" : "", "family" : "Arakawa", "given" : "T", "non-dropping-particle" : "", "parse-names" : false, "suffix" : "" } ], "container-title" : "BioProcess International", "id" : "ITEM-1", "issued" : { "date-parts" : [ [ "2005" ] ] }, "page" : "20-28", "title" : "Biotech applications of arginine. Novel uses in protein production, processing, analysis and formulation", "type" : "article-journal" }, "uris" : [ "http://www.mendeley.com/documents/?uuid=fe1ffa17-3f9f-4d5e-a416-7491260a8e76" ] } ], "mendeley" : { "formattedCitation" : "(Ejima, Tsumoto, et al. 2005)", "plainTextFormattedCitation" : "(Ejima, Tsumoto, et al. 2005)", "previouslyFormattedCitation" : "(Ejima, Tsumoto, et al. 2005)" }, "properties" : { "noteIndex" : 0 }, "schema" : "https://github.com/citation-style-language/schema/raw/master/csl-citation.json" }</w:instrText>
      </w:r>
      <w:r>
        <w:fldChar w:fldCharType="separate"/>
      </w:r>
      <w:r w:rsidRPr="00AE5E52">
        <w:rPr>
          <w:noProof/>
        </w:rPr>
        <w:t>(Ejima, Tsumoto, et al. 2005)</w:t>
      </w:r>
      <w:r>
        <w:fldChar w:fldCharType="end"/>
      </w:r>
      <w:r>
        <w:t xml:space="preserve">. Its common uses include protein refolding </w:t>
      </w:r>
      <w:r>
        <w:fldChar w:fldCharType="begin" w:fldLock="1"/>
      </w:r>
      <w:r w:rsidR="00E11F61">
        <w:instrText>ADDIN CSL_CITATION { "citationItems" : [ { "id" : "ITEM-1", "itemData" : { "DOI" : "10.1021/bp0498793", "ISSN" : "8756-7938", "PMID" : "15458311", "abstract" : "Recombinant proteins are often expressed in the form of insoluble inclusion bodies in bacteria. To facilitate refolding of recombinant proteins obtained from inclusion bodies, 0.1 to 1 M arginine is customarily included in solvents used for refolding the proteins by dialysis or dilution. In addition, arginine at higher concentrations, e.g., 0.5-2 M, can be used to extract active, folded proteins from insoluble pellets obtained after lysing Escherichia coli cells. Moreover, arginine increases the yield of proteins secreted to the periplasm, enhances elution of antibodies from Protein-A columns, and stabilizes proteins during storage. All these arginine effects are apparently due to suppression of protein aggregation. Little is known, however, about the mechanism. Various effects of solvent additives on proteins have been attributed to their preferential interaction with the protein, effects on surface tension, or effects on amino acid solubility. The suppression of protein aggregation by arginine cannot be readily explained by either surface tension effects or preferential interactions. In this review we show that interactions between the guanidinium group of arginine and tryptophan side chains may be responsible for suppression of protein aggregation by arginine.", "author" : [ { "dropping-particle" : "", "family" : "Tsumoto", "given" : "K", "non-dropping-particle" : "", "parse-names" : false, "suffix" : "" }, { "dropping-particle" : "", "family" : "Umetsu", "given" : "M", "non-dropping-particle" : "", "parse-names" : false, "suffix" : "" }, { "dropping-particle" : "", "family" : "Kumagai", "given" : "I", "non-dropping-particle" : "", "parse-names" : false, "suffix" : "" }, { "dropping-particle" : "", "family" : "Ejima", "given" : "D", "non-dropping-particle" : "", "parse-names" : false, "suffix" : "" }, { "dropping-particle" : "", "family" : "Philo", "given" : "J S", "non-dropping-particle" : "", "parse-names" : false, "suffix" : "" }, { "dropping-particle" : "", "family" : "Arakawa", "given" : "T", "non-dropping-particle" : "", "parse-names" : false, "suffix" : "" } ], "container-title" : "Biotechnology Progress", "id" : "ITEM-1", "issued" : { "date-parts" : [ [ "2004" ] ] }, "page" : "1301-1308", "title" : "Role of arginine in protein refolding, solubilization, and purification", "type" : "article-journal", "volume" : "20" }, "uris" : [ "http://www.mendeley.com/documents/?uuid=312a8df6-a9cb-4e21-8a29-cbf787a04eb0" ] } ], "mendeley" : { "formattedCitation" : "(Tsumoto et al. 2004)", "plainTextFormattedCitation" : "(Tsumoto et al. 2004)", "previouslyFormattedCitation" : "(Tsumoto et al. 2004)" }, "properties" : { "noteIndex" : 0 }, "schema" : "https://github.com/citation-style-language/schema/raw/master/csl-citation.json" }</w:instrText>
      </w:r>
      <w:r>
        <w:fldChar w:fldCharType="separate"/>
      </w:r>
      <w:r w:rsidRPr="00AE5E52">
        <w:rPr>
          <w:noProof/>
        </w:rPr>
        <w:t>(Tsumoto et al. 2004)</w:t>
      </w:r>
      <w:r>
        <w:fldChar w:fldCharType="end"/>
      </w:r>
      <w:r>
        <w:t xml:space="preserve">, protein solubilisation from inclusion bodies </w:t>
      </w:r>
      <w:r>
        <w:fldChar w:fldCharType="begin" w:fldLock="1"/>
      </w:r>
      <w:r>
        <w:instrText>ADDIN CSL_CITATION { "citationItems" : [ { "id" : "ITEM-1", "itemData" : { "DOI" : "10.1016/j.bbrc.2003.11.055", "ISSN" : "0006291X", "author" : [ { "dropping-particle" : "", "family" : "Tsumoto", "given" : "K", "non-dropping-particle" : "", "parse-names" : false, "suffix" : "" }, { "dropping-particle" : "", "family" : "Umetsu", "given" : "M", "non-dropping-particle" : "", "parse-names" : false, "suffix" : "" }, { "dropping-particle" : "", "family" : "Kumagai", "given" : "I", "non-dropping-particle" : "", "parse-names" : false, "suffix" : "" }, { "dropping-particle" : "", "family" : "Ejima", "given" : "D", "non-dropping-particle" : "", "parse-names" : false, "suffix" : "" }, { "dropping-particle" : "", "family" : "Arakawa", "given" : "T", "non-dropping-particle" : "", "parse-names" : false, "suffix" : "" } ], "container-title" : "Biochemical and Biophysical Research Communications", "id" : "ITEM-1", "issued" : { "date-parts" : [ [ "2003", "12" ] ] }, "page" : "1383-1386", "title" : "Solubilization of active green fluorescent protein from insoluble particles by guanidine and arginine", "type" : "article-journal", "volume" : "312" }, "uris" : [ "http://www.mendeley.com/documents/?uuid=d95a9241-52c9-41dd-8136-27f5183fb333" ] } ], "mendeley" : { "formattedCitation" : "(Tsumoto et al. 2003)", "plainTextFormattedCitation" : "(Tsumoto et al. 2003)", "previouslyFormattedCitation" : "(Tsumoto et al. 2003)" }, "properties" : { "noteIndex" : 0 }, "schema" : "https://github.com/citation-style-language/schema/raw/master/csl-citation.json" }</w:instrText>
      </w:r>
      <w:r>
        <w:fldChar w:fldCharType="separate"/>
      </w:r>
      <w:r w:rsidRPr="00AE5E52">
        <w:rPr>
          <w:noProof/>
        </w:rPr>
        <w:t>(Tsumoto et al. 2003)</w:t>
      </w:r>
      <w:r>
        <w:fldChar w:fldCharType="end"/>
      </w:r>
      <w:r>
        <w:t xml:space="preserve">, elution of antibodies from protein A columns </w:t>
      </w:r>
      <w:r>
        <w:fldChar w:fldCharType="begin" w:fldLock="1"/>
      </w:r>
      <w:r w:rsidR="00924827">
        <w:instrText>ADDIN CSL_CITATION { "citationItems" : [ { "id" : "ITEM-1", "itemData" : { "DOI" : "10.1016/j.ab.2005.07.004", "ISSN" : "0003-2697", "PMID" : "16125126", "abstract" : "It has been shown that the recovery of monomeric antibodies from protein A affinity chromatography is enhanced significantly by using arginine as an eluent. To extend the applications of arginine to antibody purification and obtain an insight into the mechanism of arginine elution, we compared arginine with citrate, guanidine hydrochloride (GdnHCl), arginine derivatives, and other amino acids in protein A chromatography. We also applied arginine to elution of polyclonal antibodies (pAbs) in antigen affinity chromatography. As described previously, arginine was effective in eluting monoclonal antibodies IgG1 and IgG4. Two arginine derivatives, acetyl-arginine and agmatine, resulted in efficient elution at pH 4.0 or higher, and this was comparable to arginine. On the other hand, other amino acids, such as glycine, proline, lysine, and histidine, are much less effective than arginine under identical pH conditions. Whereas elution increased with arginine concentration, elution with citrate was insignificant in excess of 1 M at pH 4.3. Arginine was also effective in fractionation of pAbs using antigen-conjugated affinity columns. Although GdnHCl was also effective under similar conditions, the eluted material showed more aggregation than did the protein eluted by arginine.", "author" : [ { "dropping-particle" : "", "family" : "Ejima", "given" : "D", "non-dropping-particle" : "", "parse-names" : false, "suffix" : "" }, { "dropping-particle" : "", "family" : "Yumioka", "given" : "R", "non-dropping-particle" : "", "parse-names" : false, "suffix" : "" }, { "dropping-particle" : "", "family" : "Tsumoto", "given" : "K", "non-dropping-particle" : "", "parse-names" : false, "suffix" : "" }, { "dropping-particle" : "", "family" : "Arakawa", "given" : "T", "non-dropping-particle" : "", "parse-names" : false, "suffix" : "" } ], "container-title" : "Analytical Biochemistry", "id" : "ITEM-1", "issued" : { "date-parts" : [ [ "2005", "10", "15" ] ] }, "page" : "250-7", "title" : "Effective elution of antibodies by arginine and arginine derivatives in affinity column chromatography", "type" : "article-journal", "volume" : "345" }, "uris" : [ "http://www.mendeley.com/documents/?uuid=72c24034-548a-4087-8665-8b7b68cbe3b6" ] } ], "mendeley" : { "formattedCitation" : "(Ejima, Yumioka, et al. 2005)", "plainTextFormattedCitation" : "(Ejima, Yumioka, et al. 2005)", "previouslyFormattedCitation" : "(Ejima, Yumioka, et al. 2005)" }, "properties" : { "noteIndex" : 0 }, "schema" : "https://github.com/citation-style-language/schema/raw/master/csl-citation.json" }</w:instrText>
      </w:r>
      <w:r>
        <w:fldChar w:fldCharType="separate"/>
      </w:r>
      <w:r w:rsidRPr="00AE5E52">
        <w:rPr>
          <w:noProof/>
        </w:rPr>
        <w:t>(Ejima, Yumioka, et al. 2005)</w:t>
      </w:r>
      <w:r>
        <w:fldChar w:fldCharType="end"/>
      </w:r>
      <w:r>
        <w:t xml:space="preserve"> and aggregation-suppression as an excipient in therapeutic protein formulations </w:t>
      </w:r>
      <w:r>
        <w:fldChar w:fldCharType="begin" w:fldLock="1"/>
      </w:r>
      <w:r>
        <w:instrText>ADDIN CSL_CITATION { "citationItems" : [ { "id" : "ITEM-1", "itemData" : { "DOI" : "10.1002/jctb.2657", "ISSN" : "02682575", "author" : [ { "dropping-particle" : "", "family" : "Falconer", "given" : "R J", "non-dropping-particle" : "", "parse-names" : false, "suffix" : "" }, { "dropping-particle" : "", "family" : "Chan", "given" : "C", "non-dropping-particle" : "", "parse-names" : false, "suffix" : "" }, { "dropping-particle" : "", "family" : "Hughes", "given" : "K", "non-dropping-particle" : "", "parse-names" : false, "suffix" : "" }, { "dropping-particle" : "", "family" : "Munro", "given" : "T P", "non-dropping-particle" : "", "parse-names" : false, "suffix" : "" } ], "container-title" : "Journal of Chemical Technology &amp; Biotechnology", "id" : "ITEM-1", "issued" : { "date-parts" : [ [ "2011", "7", "7" ] ] }, "page" : "942-948", "title" : "Stabilization of a monoclonal antibody during purification and formulation by addition of basic amino acid excipients", "type" : "article-journal", "volume" : "86" }, "uris" : [ "http://www.mendeley.com/documents/?uuid=0fd7d4b0-b0a9-40ec-8c2a-8ec42fa3572d" ] } ], "mendeley" : { "formattedCitation" : "(Falconer et al. 2011)", "plainTextFormattedCitation" : "(Falconer et al. 2011)", "previouslyFormattedCitation" : "(Falconer et al. 2011)" }, "properties" : { "noteIndex" : 0 }, "schema" : "https://github.com/citation-style-language/schema/raw/master/csl-citation.json" }</w:instrText>
      </w:r>
      <w:r>
        <w:fldChar w:fldCharType="separate"/>
      </w:r>
      <w:r w:rsidRPr="00AE5E52">
        <w:rPr>
          <w:noProof/>
        </w:rPr>
        <w:t>(Falconer et al. 2011)</w:t>
      </w:r>
      <w:r>
        <w:fldChar w:fldCharType="end"/>
      </w:r>
      <w:r>
        <w:t xml:space="preserve">. Despite this common usage as a ‘cure-all’ additive, arginine’s effects on protein stability are often unpredictable and dependent on solution conditions. For example, arginine’s reported effects on thermal stability of proteins, measured by the change in melting temperature of the protein, </w:t>
      </w:r>
      <w:r>
        <w:lastRenderedPageBreak/>
        <w:t xml:space="preserve">range from a destabilisation of -10.7 °C of myoglobin at pH 5 at a concentration of 1 M </w:t>
      </w:r>
      <w:r>
        <w:fldChar w:fldCharType="begin" w:fldLock="1"/>
      </w:r>
      <w:r>
        <w:instrText>ADDIN CSL_CITATION { "citationItems" : [ { "id" : "ITEM-1", "itemData" : { "author" : [ { "dropping-particle" : "", "family" : "Rishi", "given" : "V", "non-dropping-particle" : "", "parse-names" : false, "suffix" : "" }, { "dropping-particle" : "", "family" : "Anjum", "given" : "F", "non-dropping-particle" : "", "parse-names" : false, "suffix" : "" }, { "dropping-particle" : "", "family" : "Ahmad", "given" : "F", "non-dropping-particle" : "", "parse-names" : false, "suffix" : "" }, { "dropping-particle" : "", "family" : "Pfeil", "given" : "W", "non-dropping-particle" : "", "parse-names" : false, "suffix" : "" } ], "container-title" : "Biochemical Journal", "id" : "ITEM-1", "issued" : { "date-parts" : [ [ "1998" ] ] }, "page" : "137-143", "title" : "Role of non-compatible osmolytes in the stabilization of proteins during heat stress", "type" : "article-journal", "volume" : "329" }, "uris" : [ "http://www.mendeley.com/documents/?uuid=3b2b361a-0f24-4722-a583-2435a62adea6" ] } ], "mendeley" : { "formattedCitation" : "(Rishi et al. 1998)", "plainTextFormattedCitation" : "(Rishi et al. 1998)", "previouslyFormattedCitation" : "(Rishi et al. 1998)" }, "properties" : { "noteIndex" : 0 }, "schema" : "https://github.com/citation-style-language/schema/raw/master/csl-citation.json" }</w:instrText>
      </w:r>
      <w:r>
        <w:fldChar w:fldCharType="separate"/>
      </w:r>
      <w:r w:rsidRPr="00E84446">
        <w:rPr>
          <w:noProof/>
        </w:rPr>
        <w:t>(Rishi et al. 1998)</w:t>
      </w:r>
      <w:r>
        <w:fldChar w:fldCharType="end"/>
      </w:r>
      <w:r>
        <w:t xml:space="preserve"> to a stabilisation of 4.6 °C of IgG 1 Fab domain at pH 3.5 at a concentration of 62.5 mM </w:t>
      </w:r>
      <w:r>
        <w:fldChar w:fldCharType="begin" w:fldLock="1"/>
      </w:r>
      <w:r>
        <w:instrText>ADDIN CSL_CITATION { "citationItems" : [ { "id" : "ITEM-1", "itemData" : { "DOI" : "10.1002/jctb.2657", "ISSN" : "02682575", "author" : [ { "dropping-particle" : "", "family" : "Falconer", "given" : "R J", "non-dropping-particle" : "", "parse-names" : false, "suffix" : "" }, { "dropping-particle" : "", "family" : "Chan", "given" : "C", "non-dropping-particle" : "", "parse-names" : false, "suffix" : "" }, { "dropping-particle" : "", "family" : "Hughes", "given" : "K", "non-dropping-particle" : "", "parse-names" : false, "suffix" : "" }, { "dropping-particle" : "", "family" : "Munro", "given" : "T P", "non-dropping-particle" : "", "parse-names" : false, "suffix" : "" } ], "container-title" : "Journal of Chemical Technology &amp; Biotechnology", "id" : "ITEM-1", "issued" : { "date-parts" : [ [ "2011", "7", "7" ] ] }, "page" : "942-948", "title" : "Stabilization of a monoclonal antibody during purification and formulation by addition of basic amino acid excipients", "type" : "article-journal", "volume" : "86" }, "uris" : [ "http://www.mendeley.com/documents/?uuid=0fd7d4b0-b0a9-40ec-8c2a-8ec42fa3572d" ] } ], "mendeley" : { "formattedCitation" : "(Falconer et al. 2011)", "plainTextFormattedCitation" : "(Falconer et al. 2011)", "previouslyFormattedCitation" : "(Falconer et al. 2011)" }, "properties" : { "noteIndex" : 0 }, "schema" : "https://github.com/citation-style-language/schema/raw/master/csl-citation.json" }</w:instrText>
      </w:r>
      <w:r>
        <w:fldChar w:fldCharType="separate"/>
      </w:r>
      <w:r w:rsidRPr="00E84446">
        <w:rPr>
          <w:noProof/>
        </w:rPr>
        <w:t>(Falconer et al. 2011)</w:t>
      </w:r>
      <w:r>
        <w:fldChar w:fldCharType="end"/>
      </w:r>
      <w:r>
        <w:t>. The ability of arginine to destabilise proteins under certain conditions makes it potentially unsuitable as an excipient candidate unless these destabilising effects can be accurately predicted.</w:t>
      </w:r>
    </w:p>
    <w:p w14:paraId="410B80D8" w14:textId="77777777" w:rsidR="00C56CFB" w:rsidRDefault="00C56CFB" w:rsidP="00C56CFB">
      <w:r>
        <w:t xml:space="preserve">In order to predict the conditions under which arginine is a reliable excipient the molecular mechanisms by which it acts need to be elucidated. If the mechanisms of molecules that clearly fall under the kosmotrope-chaotrope categorisation are proving difficult to establish, it is obvious that the mechanisms governing the unique action of arginine on proteins are even harder to elucidate. This is made more difficult by the presence of multiple functional groups in an arginine molecule, and its resulting ability to potentially interact with proteins in many ways </w:t>
      </w:r>
      <w:r>
        <w:fldChar w:fldCharType="begin" w:fldLock="1"/>
      </w:r>
      <w:r w:rsidR="00E11F61">
        <w:instrText>ADDIN CSL_CITATION { "citationItems" : [ { "id" : "ITEM-1", "itemData" : { "DOI" : "10.1016/j.addr.2011.06.014", "ISSN" : "1872-8294", "PMID" : "21762737", "abstract" : "Protein based therapeutics hold great promise in the treatment of human diseases and disorders and subsequently, they have become the fastest growing sector of new drugs being developed. Proteins are, however, inherently unstable and the degraded form can be quite harmful if administered to a patient. Of the various degradation pathways, aggregation is one of the most common and a cause for great concern. Aggregation suppressing additives have long been used to stabilize proteins, and they still remain the most viable option for combating this problem. Much work has been devoted toward investigating the behavior of commonly used additives and the resulting models give valuable insight toward explaining aggregation suppression. In a few cases, an explanation for unique behavior is lacking or new insight provides an alternate explanation. Additive selection and the development of better performing additives may benefit from a more refined understanding of how commonly used additives inhibit or enhance aggregation. In this review, we focus on recent molecular-level studies into how a select group of commonly used additives interact with proteins and subsequently influence aggregation. The intent of the review is not meant to be comprehensive for each additive but rather to provide new insights into additive-additive interactions, which may be contributing to protein-additive interactions. This is something that is often overlooked but yet essential to understanding the effect of additives on aggregation. The importance of understanding such interactions is clear when one considers that most formulations contain a mixture of cosolutes and that ideal stability might be better achieved through tuning intra-solvent interactions. We give an example of this when we describe how novel aggregation suppressing additives were developed from the knowledge gained from the reviewed studies.", "author" : [ { "dropping-particle" : "", "family" : "Shukla", "given" : "D", "non-dropping-particle" : "", "parse-names" : false, "suffix" : "" }, { "dropping-particle" : "", "family" : "Schneider", "given" : "C P", "non-dropping-particle" : "", "parse-names" : false, "suffix" : "" }, { "dropping-particle" : "", "family" : "Trout", "given" : "B L", "non-dropping-particle" : "", "parse-names" : false, "suffix" : "" } ], "container-title" : "Advanced Drug Delivery Reviews", "id" : "ITEM-1", "issued" : { "date-parts" : [ [ "2011", "10" ] ] }, "page" : "1074-1085", "publisher" : "Elsevier B.V.", "title" : "Molecular level insight into intra-solvent interaction effects on protein stability and aggregation", "type" : "article-journal", "volume" : "63" }, "uris" : [ "http://www.mendeley.com/documents/?uuid=38920b63-36e7-4c46-9cc8-2344f8ff3a14" ] } ], "mendeley" : { "formattedCitation" : "(Shukla et al. 2011b)", "plainTextFormattedCitation" : "(Shukla et al. 2011b)", "previouslyFormattedCitation" : "(Shukla et al. 2011b)" }, "properties" : { "noteIndex" : 0 }, "schema" : "https://github.com/citation-style-language/schema/raw/master/csl-citation.json" }</w:instrText>
      </w:r>
      <w:r>
        <w:fldChar w:fldCharType="separate"/>
      </w:r>
      <w:r w:rsidR="0064368A" w:rsidRPr="0064368A">
        <w:rPr>
          <w:noProof/>
        </w:rPr>
        <w:t>(Shukla et al. 2011b)</w:t>
      </w:r>
      <w:r>
        <w:fldChar w:fldCharType="end"/>
      </w:r>
      <w:r>
        <w:t xml:space="preserve">. Arginine has been shown to directly interact with charged residues and aromatic residues </w:t>
      </w:r>
      <w:r>
        <w:fldChar w:fldCharType="begin" w:fldLock="1"/>
      </w:r>
      <w:r>
        <w:instrText>ADDIN CSL_CITATION { "citationItems" : [ { "id" : "ITEM-1", "itemData" : { "DOI" : "10.1021/jp108399g", "ISSN" : "1520-5207", "PMID" : "20925358", "abstract" : "Aqueous arginine solutions are used extensively for inhibiting protein aggregation. There are several theories proposed to explain the effect of arginine on protein stability, but the exact mechanism is still not clear. To understand the mechanism of protein cosolvent interaction, the intraprotein, protein-solvent, and intrasolvent interactions have to be understood. Molecular dynamics simulations of aqueous arginine solutions were carried out for experimentally accessible concentrations and temperature ranges to study the structure of the solution and its energetic properties and obtain insight into the mechanism by which arginine inhibits protein aggregation. Simulations of proteins (\u03b1-chymotrypsinogen A and melittin) were performed. Structurally, the most striking feature of the aqueous arginine solutions is the self-association of arginine molecules. Arginine shows a marked tendency to form clusters with head to tail hydrogen bonding. Due to the presence of the three charged groups, there are several possible configurations in which arginine molecules interact. At relatively high concentrations, these arginine clusters associate with other clusters and monomeric arginine molecules to form large clusters. The hydrogen bonds between arginine molecules were found to be stronger than those between arginine and water, which makes the process of self-association enthalpically favorable. From the simulation of the proteins in aqueous arginine solution, arginine is found to interact with the aromatic and charged side chains of surface residues. A probable mechanism of the effect of arginine on protein stability consistent with our findings is proposed. In particular, arginine interacts with aromatic and charged residues due to cation-\u03c0 interaction and salt-bridge formation, respectively, to stabilize the partially unfolded intermediates. The self-interaction of arginine leads to the formation of clusters which, due to their size, crowd out the protein-protein interaction. The mechanisms proposed in the literature are analyzed on the basis of the simulation results reported in this paper and recent experimental data.", "author" : [ { "dropping-particle" : "", "family" : "Shukla", "given" : "D", "non-dropping-particle" : "", "parse-names" : false, "suffix" : "" }, { "dropping-particle" : "", "family" : "Trout", "given" : "B L", "non-dropping-particle" : "", "parse-names" : false, "suffix" : "" } ], "container-title" : "Journal of Physical Chemistry B", "id" : "ITEM-1", "issued" : { "date-parts" : [ [ "2010", "10", "28" ] ] }, "page" : "13426-13438", "title" : "Interaction of arginine with proteins and the mechanism by which it inhibits aggregation", "type" : "article-journal", "volume" : "114" }, "uris" : [ "http://www.mendeley.com/documents/?uuid=dbec9b1d-1c9e-4add-bea5-97fc49a049c2" ] }, { "id" : "ITEM-2", "itemData" : { "DOI" : "10.1016/j.bpc.2006.12.007", "ISSN" : "0301-4622", "PMID" : "17257734", "abstract" : "Arginine has been used to suppress protein aggregation and protein-protein or protein-surface interactions during protein refolding and purification. While its biotechnology applications are gradually expanding, the mechanism of these effects of arginine has not been fully elucidated. Arginine is more effective at higher concentrations, an indication of weak interactions with the proteins. The effects of weakly interacting additives, such as arginine, on protein solubility, stability and aggregation have been explained from three different approaches: i.e., (1) the effects of additives on the structure of water, (2) the interactions of additives with the amino acid side chains and peptide bonds and (3) the preferential interactions of additives with the proteins. Here we have examined these properties of arginine and compared with those of other additives, e.g., guanidine hydrochloride (GdnHCl) and certain amino acids and amines. GdnHCl is a strong salting-in agent and denatures proteins, while betaine is a protein stabilizer. Several amino acids and amine compounds, including betaine, which stabilize the proteins, are strongly excluded; i.e., the proteins are preferentially hydrated in these solutions. On the other hand, GdnHCl preferentially binds to the proteins. Arginine is intermediate between these two extreme cases and shows a more complicated pattern of interactions with the proteins. The effects of additives on water structure, e.g., the surface tension of aqueous solution of the additives and the solubility of amino acids in the presence of additives also shed light on the mechanism of the effects of the additives on protein aggregation. While arginine increases the surface tension of water, it favorably interacts with most amino acid side chains and the peptide bonds, a property shared with GdnHCl. Thus, we propose that while arginine is similar to GdnHCl in the amino acid level, arginine interacts with the proteins differently from GdnHCl.", "author" : [ { "dropping-particle" : "", "family" : "Arakawa", "given" : "T", "non-dropping-particle" : "", "parse-names" : false, "suffix" : "" }, { "dropping-particle" : "", "family" : "Ejima", "given" : "D", "non-dropping-particle" : "", "parse-names" : false, "suffix" : "" }, { "dropping-particle" : "", "family" : "Tsumoto", "given" : "K", "non-dropping-particle" : "", "parse-names" : false, "suffix" : "" }, { "dropping-particle" : "", "family" : "Obeyama", "given" : "N", "non-dropping-particle" : "", "parse-names" : false, "suffix" : "" }, { "dropping-particle" : "", "family" : "Tanaka", "given" : "Y", "non-dropping-particle" : "", "parse-names" : false, "suffix" : "" }, { "dropping-particle" : "", "family" : "Kita", "given" : "Y", "non-dropping-particle" : "", "parse-names" : false, "suffix" : "" }, { "dropping-particle" : "", "family" : "Timasheff", "given" : "S N", "non-dropping-particle" : "", "parse-names" : false, "suffix" : "" } ], "container-title" : "Biophysical Chemistry", "id" : "ITEM-2", "issued" : { "date-parts" : [ [ "2007", "4" ] ] }, "note" : "Review talking about how arginine suppresses aggregation of proteins by separating out surface tension effects, amino acid solubility in arginine solutions and preferential interaction parameters.", "page" : "1-8", "title" : "Suppression of protein interactions by arginine: A proposed mechanism of the arginine effects", "type" : "article-journal", "volume" : "127" }, "uris" : [ "http://www.mendeley.com/documents/?uuid=ffbe080e-828f-4a45-8644-aa9950c99e46" ] } ], "mendeley" : { "formattedCitation" : "(Shukla &amp; Trout 2010; Arakawa, Ejima, et al. 2007)", "plainTextFormattedCitation" : "(Shukla &amp; Trout 2010; Arakawa, Ejima, et al. 2007)", "previouslyFormattedCitation" : "(Shukla &amp; Trout 2010; Arakawa, Ejima, et al. 2007)" }, "properties" : { "noteIndex" : 0 }, "schema" : "https://github.com/citation-style-language/schema/raw/master/csl-citation.json" }</w:instrText>
      </w:r>
      <w:r>
        <w:fldChar w:fldCharType="separate"/>
      </w:r>
      <w:r w:rsidRPr="00437CFD">
        <w:rPr>
          <w:noProof/>
        </w:rPr>
        <w:t>(Shukla &amp; Trout 2010; Arakawa, Ejima, et al. 2007)</w:t>
      </w:r>
      <w:r>
        <w:fldChar w:fldCharType="end"/>
      </w:r>
      <w:r>
        <w:t xml:space="preserve">, preferentially interact at low concentrations and be preferentially excluded at high concentrations </w:t>
      </w:r>
      <w:r>
        <w:fldChar w:fldCharType="begin" w:fldLock="1"/>
      </w:r>
      <w:r w:rsidR="00E11F61">
        <w:instrText>ADDIN CSL_CITATION { "citationItems" : [ { "id" : "ITEM-1", "itemData" : { "DOI" : "10.1021/jp808042w", "ISSN" : "1520-6106", "PMID" : "19199688", "abstract" : "The relatively new technique of vapor pressure osmometry was utilized to determine the preferential interaction of five common solution additives (arginine HCl, guanidine HCl, glycerol, glucose, and urea) using three different model proteins (BSA, lysozyme, and alpha-chymotrypsinogen). Results for guanidine, glycerol, glucose, and urea are comparable to literature values, which utilized the dialysis/densimetry technique. However, values for arginine differ greatly from literature values, making it unclear what is the nature of arginine-protein interactions. A repeat of the dialysis/densimetry measurements reported in the literature supports the vapor pressure osmometry measurements and reveals a never before seen trend in the interaction of arginine with proteins as a function of concentration. This trend is dependent on the protein size and shows arginine to be unique among solution additives. For concentrations below 0.5 M, arginine has a preferential interaction coefficient near zero (slightly greater than zero for small proteins but decreases as the size of the protein increases), which indicates that arginine is neither strongly bound nor excluded from the protein surface. This trend differs greatly from cosolutes that influence the protein folding equilibrium. However, as the concentration of arginine increases beyond 0.5 M, arginine becomes increasingly excluded. Such behavior might be indicative of the protein surface becoming saturated with arginine, thus causing any additional arginine added to the solution to be excluded from interacting with the surface. All of this behavior is most likely the result of a balance between the affinity arginine has for the peptide backbone and certain amino acids and the repulsion generated by surface tension increment and volume exclusion effects [Arakawa et al. Biophysical Chemistry 2007, 127, 1]. In addition, such behavior may explain why arginine has little effect on protein folding equilibrium but is an effective aggregation suppressor.", "author" : [ { "dropping-particle" : "", "family" : "Schneider", "given" : "C P", "non-dropping-particle" : "", "parse-names" : false, "suffix" : "" }, { "dropping-particle" : "", "family" : "Trout", "given" : "B L", "non-dropping-particle" : "", "parse-names" : false, "suffix" : "" } ], "container-title" : "Journal of Physical Chemistry B", "id" : "ITEM-1", "issued" : { "date-parts" : [ [ "2009", "2", "19" ] ] }, "page" : "2050-2058", "title" : "Investigation of cosolute-protein preferential interaction coefficients: New insight into the mechanism by which arginine inhibits aggregation", "type" : "article-journal", "volume" : "113" }, "uris" : [ "http://www.mendeley.com/documents/?uuid=9eed0480-0f78-439e-accc-1dcb3b07e260" ] }, { "id" : "ITEM-2", "itemData" : { "DOI" : "10.1021/jp108586b", "ISSN" : "1520-5207", "PMID" : "21186800", "abstract" : "Preferential interaction coefficients provide a thermodynamic measure to quantify the interactions between cosolutes and a protein. Preferential interactions of cosolutes can be measured experimentally using dialysis/densimetry and vapor pressure osmometry (VPO) techniques. The cosolute arginine is a widely used aggregation suppressor with a seemingly unique behavior. Its role in protein aggregation has been studied extensively, although a complete mechanistic understanding of its behavior is lacking. Moreover, due to experimental limitations, experimental preferential interaction data for arginine has only been reported at low concentrations. Schneider and Trout ( J. Phys. Chem. B 2009 , 113 , 7 ) have reported experimental preferential interaction data for argHCl (up to 0.7 m), and their study raised several interesting questions about the preferential interaction of arginine with proteins. Arginine is attracted to proteins at low concentrations but it was highly excluded at high concentrations. Furthermore, the preferential interaction coefficient values were found to vary as a square of the concentration, which is different from commonly observed linear relationship for other cosolutes like urea, glycerol, guanidinium hydrochloride, etc. In this study, preferential interaction coefficients of argHCl have been estimated computationally for two proteins (lysozyme and \u03b1-chymotripsinogen A) for a large concentration range (up to 2.8 m). On the basis of these results, the molecular level interactions responsible for the nonlinear exclusion of arginine from the protein surface are identified.", "author" : [ { "dropping-particle" : "", "family" : "Shukla", "given" : "D", "non-dropping-particle" : "", "parse-names" : false, "suffix" : "" }, { "dropping-particle" : "", "family" : "Trout", "given" : "B L", "non-dropping-particle" : "", "parse-names" : false, "suffix" : "" } ], "container-title" : "Journal of Physical Chemistry B", "id" : "ITEM-2", "issued" : { "date-parts" : [ [ "2011", "2", "10" ] ] }, "page" : "1243-1253", "publisher" : "American Chemical Society", "title" : "Preferential interaction coefficients of proteins in aqueous arginine solutions and their molecular origins", "type" : "article-journal", "volume" : "115" }, "uris" : [ "http://www.mendeley.com/documents/?uuid=a81e5778-ff76-4fd8-a37b-129997e8d378" ] }, { "id" : "ITEM-3", "itemData" : { "DOI" : "10.1016/j.bpc.2006.12.007", "ISSN" : "0301-4622", "PMID" : "17257734", "abstract" : "Arginine has been used to suppress protein aggregation and protein-protein or protein-surface interactions during protein refolding and purification. While its biotechnology applications are gradually expanding, the mechanism of these effects of arginine has not been fully elucidated. Arginine is more effective at higher concentrations, an indication of weak interactions with the proteins. The effects of weakly interacting additives, such as arginine, on protein solubility, stability and aggregation have been explained from three different approaches: i.e., (1) the effects of additives on the structure of water, (2) the interactions of additives with the amino acid side chains and peptide bonds and (3) the preferential interactions of additives with the proteins. Here we have examined these properties of arginine and compared with those of other additives, e.g., guanidine hydrochloride (GdnHCl) and certain amino acids and amines. GdnHCl is a strong salting-in agent and denatures proteins, while betaine is a protein stabilizer. Several amino acids and amine compounds, including betaine, which stabilize the proteins, are strongly excluded; i.e., the proteins are preferentially hydrated in these solutions. On the other hand, GdnHCl preferentially binds to the proteins. Arginine is intermediate between these two extreme cases and shows a more complicated pattern of interactions with the proteins. The effects of additives on water structure, e.g., the surface tension of aqueous solution of the additives and the solubility of amino acids in the presence of additives also shed light on the mechanism of the effects of the additives on protein aggregation. While arginine increases the surface tension of water, it favorably interacts with most amino acid side chains and the peptide bonds, a property shared with GdnHCl. Thus, we propose that while arginine is similar to GdnHCl in the amino acid level, arginine interacts with the proteins differently from GdnHCl.", "author" : [ { "dropping-particle" : "", "family" : "Arakawa", "given" : "T", "non-dropping-particle" : "", "parse-names" : false, "suffix" : "" }, { "dropping-particle" : "", "family" : "Ejima", "given" : "D", "non-dropping-particle" : "", "parse-names" : false, "suffix" : "" }, { "dropping-particle" : "", "family" : "Tsumoto", "given" : "K", "non-dropping-particle" : "", "parse-names" : false, "suffix" : "" }, { "dropping-particle" : "", "family" : "Obeyama", "given" : "N", "non-dropping-particle" : "", "parse-names" : false, "suffix" : "" }, { "dropping-particle" : "", "family" : "Tanaka", "given" : "Y", "non-dropping-particle" : "", "parse-names" : false, "suffix" : "" }, { "dropping-particle" : "", "family" : "Kita", "given" : "Y", "non-dropping-particle" : "", "parse-names" : false, "suffix" : "" }, { "dropping-particle" : "", "family" : "Timasheff", "given" : "S N", "non-dropping-particle" : "", "parse-names" : false, "suffix" : "" } ], "container-title" : "Biophysical Chemistry", "id" : "ITEM-3", "issued" : { "date-parts" : [ [ "2007", "4" ] ] }, "note" : "Review talking about how arginine suppresses aggregation of proteins by separating out surface tension effects, amino acid solubility in arginine solutions and preferential interaction parameters.", "page" : "1-8", "title" : "Suppression of protein interactions by arginine: A proposed mechanism of the arginine effects", "type" : "article-journal", "volume" : "127" }, "uris" : [ "http://www.mendeley.com/documents/?uuid=ffbe080e-828f-4a45-8644-aa9950c99e46" ] } ], "mendeley" : { "formattedCitation" : "(Schneider &amp; Trout 2009; Shukla &amp; Trout 2011a; Arakawa, Ejima, et al. 2007)", "plainTextFormattedCitation" : "(Schneider &amp; Trout 2009; Shukla &amp; Trout 2011a; Arakawa, Ejima, et al. 2007)", "previouslyFormattedCitation" : "(Schneider &amp; Trout 2009; Shukla &amp; Trout 2011a; Arakawa, Ejima, et al. 2007)" }, "properties" : { "noteIndex" : 0 }, "schema" : "https://github.com/citation-style-language/schema/raw/master/csl-citation.json" }</w:instrText>
      </w:r>
      <w:r>
        <w:fldChar w:fldCharType="separate"/>
      </w:r>
      <w:r w:rsidRPr="00437CFD">
        <w:rPr>
          <w:noProof/>
        </w:rPr>
        <w:t>(Schneider &amp; Trout 2009; Shukla &amp; Trout 2011a; Arakawa, Ejima, et al. 2007)</w:t>
      </w:r>
      <w:r>
        <w:fldChar w:fldCharType="end"/>
      </w:r>
      <w:r>
        <w:t xml:space="preserve">, and have weak favourable interactions with the peptide backbone </w:t>
      </w:r>
      <w:r>
        <w:fldChar w:fldCharType="begin" w:fldLock="1"/>
      </w:r>
      <w:r>
        <w:instrText>ADDIN CSL_CITATION { "citationItems" : [ { "id" : "ITEM-1", "itemData" : { "DOI" : "10.1016/j.bpc.2006.12.007", "ISSN" : "0301-4622", "PMID" : "17257734", "abstract" : "Arginine has been used to suppress protein aggregation and protein-protein or protein-surface interactions during protein refolding and purification. While its biotechnology applications are gradually expanding, the mechanism of these effects of arginine has not been fully elucidated. Arginine is more effective at higher concentrations, an indication of weak interactions with the proteins. The effects of weakly interacting additives, such as arginine, on protein solubility, stability and aggregation have been explained from three different approaches: i.e., (1) the effects of additives on the structure of water, (2) the interactions of additives with the amino acid side chains and peptide bonds and (3) the preferential interactions of additives with the proteins. Here we have examined these properties of arginine and compared with those of other additives, e.g., guanidine hydrochloride (GdnHCl) and certain amino acids and amines. GdnHCl is a strong salting-in agent and denatures proteins, while betaine is a protein stabilizer. Several amino acids and amine compounds, including betaine, which stabilize the proteins, are strongly excluded; i.e., the proteins are preferentially hydrated in these solutions. On the other hand, GdnHCl preferentially binds to the proteins. Arginine is intermediate between these two extreme cases and shows a more complicated pattern of interactions with the proteins. The effects of additives on water structure, e.g., the surface tension of aqueous solution of the additives and the solubility of amino acids in the presence of additives also shed light on the mechanism of the effects of the additives on protein aggregation. While arginine increases the surface tension of water, it favorably interacts with most amino acid side chains and the peptide bonds, a property shared with GdnHCl. Thus, we propose that while arginine is similar to GdnHCl in the amino acid level, arginine interacts with the proteins differently from GdnHCl.", "author" : [ { "dropping-particle" : "", "family" : "Arakawa", "given" : "T", "non-dropping-particle" : "", "parse-names" : false, "suffix" : "" }, { "dropping-particle" : "", "family" : "Ejima", "given" : "D", "non-dropping-particle" : "", "parse-names" : false, "suffix" : "" }, { "dropping-particle" : "", "family" : "Tsumoto", "given" : "K", "non-dropping-particle" : "", "parse-names" : false, "suffix" : "" }, { "dropping-particle" : "", "family" : "Obeyama", "given" : "N", "non-dropping-particle" : "", "parse-names" : false, "suffix" : "" }, { "dropping-particle" : "", "family" : "Tanaka", "given" : "Y", "non-dropping-particle" : "", "parse-names" : false, "suffix" : "" }, { "dropping-particle" : "", "family" : "Kita", "given" : "Y", "non-dropping-particle" : "", "parse-names" : false, "suffix" : "" }, { "dropping-particle" : "", "family" : "Timasheff", "given" : "S N", "non-dropping-particle" : "", "parse-names" : false, "suffix" : "" } ], "container-title" : "Biophysical Chemistry", "id" : "ITEM-1", "issued" : { "date-parts" : [ [ "2007", "4" ] ] }, "note" : "Review talking about how arginine suppresses aggregation of proteins by separating out surface tension effects, amino acid solubility in arginine solutions and preferential interaction parameters.", "page" : "1-8", "title" : "Suppression of protein interactions by arginine: A proposed mechanism of the arginine effects", "type" : "article-journal", "volume" : "127" }, "uris" : [ "http://www.mendeley.com/documents/?uuid=ffbe080e-828f-4a45-8644-aa9950c99e46" ] } ], "mendeley" : { "formattedCitation" : "(Arakawa, Ejima, et al. 2007)", "plainTextFormattedCitation" : "(Arakawa, Ejima, et al. 2007)", "previouslyFormattedCitation" : "(Arakawa, Ejima, et al. 2007)" }, "properties" : { "noteIndex" : 0 }, "schema" : "https://github.com/citation-style-language/schema/raw/master/csl-citation.json" }</w:instrText>
      </w:r>
      <w:r>
        <w:fldChar w:fldCharType="separate"/>
      </w:r>
      <w:r w:rsidRPr="00437CFD">
        <w:rPr>
          <w:noProof/>
        </w:rPr>
        <w:t>(Arakawa, Ejima, et al. 2007)</w:t>
      </w:r>
      <w:r>
        <w:fldChar w:fldCharType="end"/>
      </w:r>
      <w:r>
        <w:t xml:space="preserve">. There have also been attempts to assign unique mechanisms to arginine’s unique behaviour, including extensive cluster formation in solution </w:t>
      </w:r>
      <w:r>
        <w:fldChar w:fldCharType="begin" w:fldLock="1"/>
      </w:r>
      <w:r w:rsidR="00E11F61">
        <w:instrText>ADDIN CSL_CITATION { "citationItems" : [ { "id" : "ITEM-1", "itemData" : { "DOI" : "10.1021/jp108399g", "ISSN" : "1520-5207", "PMID" : "20925358", "abstract" : "Aqueous arginine solutions are used extensively for inhibiting protein aggregation. There are several theories proposed to explain the effect of arginine on protein stability, but the exact mechanism is still not clear. To understand the mechanism of protein cosolvent interaction, the intraprotein, protein-solvent, and intrasolvent interactions have to be understood. Molecular dynamics simulations of aqueous arginine solutions were carried out for experimentally accessible concentrations and temperature ranges to study the structure of the solution and its energetic properties and obtain insight into the mechanism by which arginine inhibits protein aggregation. Simulations of proteins (\u03b1-chymotrypsinogen A and melittin) were performed. Structurally, the most striking feature of the aqueous arginine solutions is the self-association of arginine molecules. Arginine shows a marked tendency to form clusters with head to tail hydrogen bonding. Due to the presence of the three charged groups, there are several possible configurations in which arginine molecules interact. At relatively high concentrations, these arginine clusters associate with other clusters and monomeric arginine molecules to form large clusters. The hydrogen bonds between arginine molecules were found to be stronger than those between arginine and water, which makes the process of self-association enthalpically favorable. From the simulation of the proteins in aqueous arginine solution, arginine is found to interact with the aromatic and charged side chains of surface residues. A probable mechanism of the effect of arginine on protein stability consistent with our findings is proposed. In particular, arginine interacts with aromatic and charged residues due to cation-\u03c0 interaction and salt-bridge formation, respectively, to stabilize the partially unfolded intermediates. The self-interaction of arginine leads to the formation of clusters which, due to their size, crowd out the protein-protein interaction. The mechanisms proposed in the literature are analyzed on the basis of the simulation results reported in this paper and recent experimental data.", "author" : [ { "dropping-particle" : "", "family" : "Shukla", "given" : "D", "non-dropping-particle" : "", "parse-names" : false, "suffix" : "" }, { "dropping-particle" : "", "family" : "Trout", "given" : "B L", "non-dropping-particle" : "", "parse-names" : false, "suffix" : "" } ], "container-title" : "Journal of Physical Chemistry B", "id" : "ITEM-1", "issued" : { "date-parts" : [ [ "2010", "10", "28" ] ] }, "page" : "13426-13438", "title" : "Interaction of arginine with proteins and the mechanism by which it inhibits aggregation", "type" : "article-journal", "volume" : "114" }, "uris" : [ "http://www.mendeley.com/documents/?uuid=dbec9b1d-1c9e-4add-bea5-97fc49a049c2" ] }, { "id" : "ITEM-2", "itemData" : { "DOI" : "10.1016/j.addr.2011.06.014", "ISSN" : "1872-8294", "PMID" : "21762737", "abstract" : "Protein based therapeutics hold great promise in the treatment of human diseases and disorders and subsequently, they have become the fastest growing sector of new drugs being developed. Proteins are, however, inherently unstable and the degraded form can be quite harmful if administered to a patient. Of the various degradation pathways, aggregation is one of the most common and a cause for great concern. Aggregation suppressing additives have long been used to stabilize proteins, and they still remain the most viable option for combating this problem. Much work has been devoted toward investigating the behavior of commonly used additives and the resulting models give valuable insight toward explaining aggregation suppression. In a few cases, an explanation for unique behavior is lacking or new insight provides an alternate explanation. Additive selection and the development of better performing additives may benefit from a more refined understanding of how commonly used additives inhibit or enhance aggregation. In this review, we focus on recent molecular-level studies into how a select group of commonly used additives interact with proteins and subsequently influence aggregation. The intent of the review is not meant to be comprehensive for each additive but rather to provide new insights into additive-additive interactions, which may be contributing to protein-additive interactions. This is something that is often overlooked but yet essential to understanding the effect of additives on aggregation. The importance of understanding such interactions is clear when one considers that most formulations contain a mixture of cosolutes and that ideal stability might be better achieved through tuning intra-solvent interactions. We give an example of this when we describe how novel aggregation suppressing additives were developed from the knowledge gained from the reviewed studies.", "author" : [ { "dropping-particle" : "", "family" : "Shukla", "given" : "D", "non-dropping-particle" : "", "parse-names" : false, "suffix" : "" }, { "dropping-particle" : "", "family" : "Schneider", "given" : "C P", "non-dropping-particle" : "", "parse-names" : false, "suffix" : "" }, { "dropping-particle" : "", "family" : "Trout", "given" : "B L", "non-dropping-particle" : "", "parse-names" : false, "suffix" : "" } ], "container-title" : "Advanced Drug Delivery Reviews", "id" : "ITEM-2", "issued" : { "date-parts" : [ [ "2011", "10" ] ] }, "page" : "1074-1085", "publisher" : "Elsevier B.V.", "title" : "Molecular level insight into intra-solvent interaction effects on protein stability and aggregation", "type" : "article-journal", "volume" : "63" }, "uris" : [ "http://www.mendeley.com/documents/?uuid=38920b63-36e7-4c46-9cc8-2344f8ff3a14" ] } ], "mendeley" : { "formattedCitation" : "(Shukla &amp; Trout 2010; Shukla et al. 2011b)", "plainTextFormattedCitation" : "(Shukla &amp; Trout 2010; Shukla et al. 2011b)", "previouslyFormattedCitation" : "(Shukla &amp; Trout 2010; Shukla et al. 2011b)" }, "properties" : { "noteIndex" : 0 }, "schema" : "https://github.com/citation-style-language/schema/raw/master/csl-citation.json" }</w:instrText>
      </w:r>
      <w:r>
        <w:fldChar w:fldCharType="separate"/>
      </w:r>
      <w:r w:rsidR="0064368A" w:rsidRPr="0064368A">
        <w:rPr>
          <w:noProof/>
        </w:rPr>
        <w:t>(Shukla &amp; Trout 2010; Shukla et al. 2011b)</w:t>
      </w:r>
      <w:r>
        <w:fldChar w:fldCharType="end"/>
      </w:r>
      <w:r>
        <w:t xml:space="preserve">, and the neutral crowder theory </w:t>
      </w:r>
      <w:r>
        <w:fldChar w:fldCharType="begin" w:fldLock="1"/>
      </w:r>
      <w:r w:rsidR="00924827">
        <w:instrText>ADDIN CSL_CITATION { "citationItems" : [ { "id" : "ITEM-1", "itemData" : { "DOI" : "10.1529/biophysj.104.042473", "ISBN" : "0006-3495 (Print)\\n0006-3495 (Linking)", "ISSN" : "00063495", "PMID" : "15345542", "abstract" : "We have developed a statistical-mechanical model of the effect of solution additives on protein association reactions. This model incorporates solvent radial distribution functions obtained from all-atom molecular dynamics simulations of particular proteins into simple models of protein interactions. In this way, the effects of additives can be computed along the entire association/dissociation reaction coordinate. We used the model to test our hypothesis that a class of large solution additives, which we term \"neutral crowders,\" can slow protein association and dissociation by being preferentially excluded from protein-protein encounter complexes, in a manner analogous to osmotic stress. The magnitude of this proposed \"gap effect\" was probed for two simple model systems: the association of two spheres and the association of two planes. Our results suggest that for a protein of 20 A radius, an 8 A additive can increase the free energy barrier for association and dissociation by as much as 3-6 kcal/mol. Because the proposed gap effect is present only for reactions involving multiple molecules, it can be exploited to develop novel additives that affect protein association reactions although having little or no effect on unimolecular reactions such as protein folding. This idea has many potential applications in areas such as the stabilization of proteins against aggregation during folding and in pharmaceutical formulations.", "author" : [ { "dropping-particle" : "", "family" : "Baynes", "given" : "B M", "non-dropping-particle" : "", "parse-names" : false, "suffix" : "" }, { "dropping-particle" : "", "family" : "Trout", "given" : "B L", "non-dropping-particle" : "", "parse-names" : false, "suffix" : "" } ], "container-title" : "Biophysical Journal", "id" : "ITEM-1", "issued" : { "date-parts" : [ [ "2004" ] ] }, "page" : "1631-1639", "title" : "Rational design of solution additives for the prevention of protein aggregation", "type" : "article-journal", "volume" : "87" }, "uris" : [ "http://www.mendeley.com/documents/?uuid=4af50292-3aa3-4fef-a9f0-eee103f8ad50" ] } ], "mendeley" : { "formattedCitation" : "(Baynes &amp; Trout 2004)", "plainTextFormattedCitation" : "(Baynes &amp; Trout 2004)", "previouslyFormattedCitation" : "(Baynes &amp; Trout 2004)" }, "properties" : { "noteIndex" : 0 }, "schema" : "https://github.com/citation-style-language/schema/raw/master/csl-citation.json" }</w:instrText>
      </w:r>
      <w:r>
        <w:fldChar w:fldCharType="separate"/>
      </w:r>
      <w:r w:rsidRPr="00386B61">
        <w:rPr>
          <w:noProof/>
        </w:rPr>
        <w:t>(Baynes &amp; Trout 2004)</w:t>
      </w:r>
      <w:r>
        <w:fldChar w:fldCharType="end"/>
      </w:r>
      <w:r>
        <w:t>, although t</w:t>
      </w:r>
      <w:r w:rsidR="00D65072">
        <w:t xml:space="preserve">his has flaws in its arguments (see section </w:t>
      </w:r>
      <w:r w:rsidR="00D65072">
        <w:fldChar w:fldCharType="begin"/>
      </w:r>
      <w:r w:rsidR="00D65072">
        <w:instrText xml:space="preserve"> REF _Ref459970839 \r \h </w:instrText>
      </w:r>
      <w:r w:rsidR="00D65072">
        <w:fldChar w:fldCharType="separate"/>
      </w:r>
      <w:r w:rsidR="00AA6926">
        <w:t>1.7.1.1</w:t>
      </w:r>
      <w:r w:rsidR="00D65072">
        <w:fldChar w:fldCharType="end"/>
      </w:r>
      <w:r w:rsidR="00D65072">
        <w:t>)</w:t>
      </w:r>
      <w:r>
        <w:t>.</w:t>
      </w:r>
    </w:p>
    <w:p w14:paraId="715AB861" w14:textId="77777777" w:rsidR="00C56CFB" w:rsidRDefault="00C56CFB" w:rsidP="00C56CFB">
      <w:r>
        <w:t xml:space="preserve">Often arginine’s effects on proteins in terms of solubility and stability are compared to its structural similarity to the denaturant guanidine hydrochloride (GdnHCl) </w:t>
      </w:r>
      <w:r>
        <w:fldChar w:fldCharType="begin" w:fldLock="1"/>
      </w:r>
      <w:r>
        <w:instrText>ADDIN CSL_CITATION { "citationItems" : [ { "id" : "ITEM-1", "itemData" : { "DOI" : "10.1016/S1357-2725(03)00252-8", "ISSN" : "13572725", "author" : [ { "dropping-particle" : "", "family" : "Xie", "given" : "Q", "non-dropping-particle" : "", "parse-names" : false, "suffix" : "" }, { "dropping-particle" : "", "family" : "Guo", "given" : "T", "non-dropping-particle" : "", "parse-names" : false, "suffix" : "" }, { "dropping-particle" : "", "family" : "Lu", "given" : "J", "non-dropping-particle" : "", "parse-names" : false, "suffix" : "" }, { "dropping-particle" : "", "family" : "Zhou", "given" : "H M", "non-dropping-particle" : "", "parse-names" : false, "suffix" : "" } ], "container-title" : "International Journal of Biochemistry &amp; Cell Biology", "id" : "ITEM-1", "issued" : { "date-parts" : [ [ "2004", "2" ] ] }, "page" : "296-306", "title" : "The guanidine like effects of arginine on aminoacylase and salt-induced molten globule state", "type" : "article-journal", "volume" : "36" }, "uris" : [ "http://www.mendeley.com/documents/?uuid=c4774180-6b83-4ff3-b5e5-58766eff3a26" ] }, { "id" : "ITEM-2", "itemData" : { "DOI" : "10.1016/j.bpc.2006.12.007", "ISSN" : "0301-4622", "PMID" : "17257734", "abstract" : "Arginine has been used to suppress protein aggregation and protein-protein or protein-surface interactions during protein refolding and purification. While its biotechnology applications are gradually expanding, the mechanism of these effects of arginine has not been fully elucidated. Arginine is more effective at higher concentrations, an indication of weak interactions with the proteins. The effects of weakly interacting additives, such as arginine, on protein solubility, stability and aggregation have been explained from three different approaches: i.e., (1) the effects of additives on the structure of water, (2) the interactions of additives with the amino acid side chains and peptide bonds and (3) the preferential interactions of additives with the proteins. Here we have examined these properties of arginine and compared with those of other additives, e.g., guanidine hydrochloride (GdnHCl) and certain amino acids and amines. GdnHCl is a strong salting-in agent and denatures proteins, while betaine is a protein stabilizer. Several amino acids and amine compounds, including betaine, which stabilize the proteins, are strongly excluded; i.e., the proteins are preferentially hydrated in these solutions. On the other hand, GdnHCl preferentially binds to the proteins. Arginine is intermediate between these two extreme cases and shows a more complicated pattern of interactions with the proteins. The effects of additives on water structure, e.g., the surface tension of aqueous solution of the additives and the solubility of amino acids in the presence of additives also shed light on the mechanism of the effects of the additives on protein aggregation. While arginine increases the surface tension of water, it favorably interacts with most amino acid side chains and the peptide bonds, a property shared with GdnHCl. Thus, we propose that while arginine is similar to GdnHCl in the amino acid level, arginine interacts with the proteins differently from GdnHCl.", "author" : [ { "dropping-particle" : "", "family" : "Arakawa", "given" : "T", "non-dropping-particle" : "", "parse-names" : false, "suffix" : "" }, { "dropping-particle" : "", "family" : "Ejima", "given" : "D", "non-dropping-particle" : "", "parse-names" : false, "suffix" : "" }, { "dropping-particle" : "", "family" : "Tsumoto", "given" : "K", "non-dropping-particle" : "", "parse-names" : false, "suffix" : "" }, { "dropping-particle" : "", "family" : "Obeyama", "given" : "N", "non-dropping-particle" : "", "parse-names" : false, "suffix" : "" }, { "dropping-particle" : "", "family" : "Tanaka", "given" : "Y", "non-dropping-particle" : "", "parse-names" : false, "suffix" : "" }, { "dropping-particle" : "", "family" : "Kita", "given" : "Y", "non-dropping-particle" : "", "parse-names" : false, "suffix" : "" }, { "dropping-particle" : "", "family" : "Timasheff", "given" : "S N", "non-dropping-particle" : "", "parse-names" : false, "suffix" : "" } ], "container-title" : "Biophysical Chemistry", "id" : "ITEM-2", "issued" : { "date-parts" : [ [ "2007", "4" ] ] }, "note" : "Review talking about how arginine suppresses aggregation of proteins by separating out surface tension effects, amino acid solubility in arginine solutions and preferential interaction parameters.", "page" : "1-8", "title" : "Suppression of protein interactions by arginine: A proposed mechanism of the arginine effects", "type" : "article-journal", "volume" : "127" }, "uris" : [ "http://www.mendeley.com/documents/?uuid=ffbe080e-828f-4a45-8644-aa9950c99e46" ] }, { "id" : "ITEM-3", "itemData" : { "author" : [ { "dropping-particle" : "", "family" : "Clark", "given" : "M E", "non-dropping-particle" : "", "parse-names" : false, "suffix" : "" }, { "dropping-particle" : "", "family" : "Zounes", "given" : "M", "non-dropping-particle" : "", "parse-names" : false, "suffix" : "" } ], "container-title" : "Biological Bulletin", "id" : "ITEM-3", "issued" : { "date-parts" : [ [ "1977" ] ] }, "page" : "468-484", "title" : "The effects of selected cell osmolytes on the activity of lactate dehydrogenase from the Euryhaline Polychaete, Nereis succinea", "type" : "article-journal", "volume" : "153" }, "uris" : [ "http://www.mendeley.com/documents/?uuid=bad7a84b-31cd-4704-b3fd-7953e4cb7e77" ] } ], "mendeley" : { "formattedCitation" : "(Xie et al. 2004; Arakawa, Ejima, et al. 2007; Clark &amp; Zounes 1977)", "plainTextFormattedCitation" : "(Xie et al. 2004; Arakawa, Ejima, et al. 2007; Clark &amp; Zounes 1977)", "previouslyFormattedCitation" : "(Xie et al. 2004; Arakawa, Ejima, et al. 2007; Clark &amp; Zounes 1977)" }, "properties" : { "noteIndex" : 0 }, "schema" : "https://github.com/citation-style-language/schema/raw/master/csl-citation.json" }</w:instrText>
      </w:r>
      <w:r>
        <w:fldChar w:fldCharType="separate"/>
      </w:r>
      <w:r w:rsidRPr="00437CFD">
        <w:rPr>
          <w:noProof/>
        </w:rPr>
        <w:t>(Xie et al. 2004; Arakawa, Ejima, et al. 2007; Clark &amp; Zounes 1977)</w:t>
      </w:r>
      <w:r>
        <w:fldChar w:fldCharType="end"/>
      </w:r>
      <w:r>
        <w:t xml:space="preserve">. In cell biology the presence of the denaturing guanidinium group on an arginine molecule has been attributed to its absence as an osmolyte in cells </w:t>
      </w:r>
      <w:r>
        <w:fldChar w:fldCharType="begin" w:fldLock="1"/>
      </w:r>
      <w:r>
        <w:instrText>ADDIN CSL_CITATION { "citationItems" : [ { "id" : "ITEM-1", "itemData" : { "author" : [ { "dropping-particle" : "", "family" : "Yancey", "given" : "P H", "non-dropping-particle" : "", "parse-names" : false, "suffix" : "" }, { "dropping-particle" : "", "family" : "Clark", "given" : "M E", "non-dropping-particle" : "", "parse-names" : false, "suffix" : "" }, { "dropping-particle" : "", "family" : "Hand", "given" : "S C", "non-dropping-particle" : "", "parse-names" : false, "suffix" : "" }, { "dropping-particle" : "", "family" : "Bowlus", "given" : "R D", "non-dropping-particle" : "", "parse-names" : false, "suffix" : "" }, { "dropping-particle" : "", "family" : "Somero", "given" : "G N", "non-dropping-particle" : "", "parse-names" : false, "suffix" : "" } ], "container-title" : "Science", "id" : "ITEM-1", "issued" : { "date-parts" : [ [ "1982" ] ] }, "page" : "1214-1222", "title" : "Living with water stress: Evolution of osmolyte systems", "type" : "article-journal", "volume" : "217" }, "uris" : [ "http://www.mendeley.com/documents/?uuid=5c0ecbac-0ed5-485c-b4bd-8986742136e1" ] } ], "mendeley" : { "formattedCitation" : "(Yancey et al. 1982)", "plainTextFormattedCitation" : "(Yancey et al. 1982)", "previouslyFormattedCitation" : "(Yancey et al. 1982)" }, "properties" : { "noteIndex" : 0 }, "schema" : "https://github.com/citation-style-language/schema/raw/master/csl-citation.json" }</w:instrText>
      </w:r>
      <w:r>
        <w:fldChar w:fldCharType="separate"/>
      </w:r>
      <w:r w:rsidRPr="00FB1B69">
        <w:rPr>
          <w:noProof/>
        </w:rPr>
        <w:t>(Yancey et al. 1982)</w:t>
      </w:r>
      <w:r>
        <w:fldChar w:fldCharType="end"/>
      </w:r>
      <w:r>
        <w:t xml:space="preserve">, and the rapid conversion of arginine to octopine supports this argument. Although the role of the guanidinium group has been thoroughly explored, the presence of other functional groups on an arginine molecule has been largely ignored. In particular the amino acid end of the arginine molecule, structurally similar to a glycine molecule, also has the potential to </w:t>
      </w:r>
      <w:r>
        <w:lastRenderedPageBreak/>
        <w:t>play a role in arginine’s effects on protein stability (</w:t>
      </w:r>
      <w:r>
        <w:fldChar w:fldCharType="begin"/>
      </w:r>
      <w:r>
        <w:instrText xml:space="preserve"> REF _Ref462678512 \h </w:instrText>
      </w:r>
      <w:r>
        <w:fldChar w:fldCharType="separate"/>
      </w:r>
      <w:r w:rsidR="00AA6926">
        <w:t xml:space="preserve">Figure </w:t>
      </w:r>
      <w:r w:rsidR="00AA6926">
        <w:rPr>
          <w:noProof/>
        </w:rPr>
        <w:t>3</w:t>
      </w:r>
      <w:r w:rsidR="00AA6926">
        <w:noBreakHyphen/>
      </w:r>
      <w:r w:rsidR="00AA6926">
        <w:rPr>
          <w:noProof/>
        </w:rPr>
        <w:t>1</w:t>
      </w:r>
      <w:r>
        <w:fldChar w:fldCharType="end"/>
      </w:r>
      <w:r>
        <w:t xml:space="preserve">). This becomes particularly apparent when one considers that glycine’s strong stabilising capabilities are well documented </w:t>
      </w:r>
      <w:r>
        <w:fldChar w:fldCharType="begin" w:fldLock="1"/>
      </w:r>
      <w:r>
        <w:instrText>ADDIN CSL_CITATION { "citationItems" : [ { "id" : "ITEM-1", "itemData" : { "ISSN" : "0006-2960", "PMID" : "1376620", "abstract" : "Organisms and cellular systems which have adapted to stresses such as high temperature, desiccation, and urea-concentrating environments have responded by concentrating particular organic solutes known as osmolytes. These osmolytes are believed to confer protection to enzyme and other macromolecular systems against such denaturing stresses. Differential scanning calorimetric (DSC) experiments were performed on ribonuclease A and hen egg white lysozyme in the presence of varying concentrations of the osmolytes glycine, sarcosine, N,N-dimethylglycine, and betaine. Solutions containing up to several molar concentrations of these solutes were found to result in considerable increases in the thermal unfolding transition temperature (Tm) for these proteins. DSC scans of ribonuclease A in the presence of up to 8.2 M sarcosine resulted in reversible two-state unfolding transitions with Tm increases of up to 22 degrees C and unfolding enthalpy changes which were independent of Tm. On the basis of the thermodynamic parameters observed, 8.2 M sarcosine results in a stabilization free energy increase of 7.2 kcal/mol for ribonuclease A at 65 degrees C. This translates into more than a 45,000-fold increase in stability of the native form of ribonuclease A over that in the absence of sarcosine at this temperature. Catalytic activity measurements in the presence of 4 M sarcosine give kcat and Km values that are largely unchanged from those in the absence of sarcosine. DSC of lysozyme unfolding in the presence of these osmolytes also results in Tm increases of up to 23 degrees C; however, significant irreversibly occurs with this protein.(ABSTRACT TRUNCATED AT 250 WORDS)", "author" : [ { "dropping-particle" : "", "family" : "Santoro", "given" : "M M", "non-dropping-particle" : "", "parse-names" : false, "suffix" : "" }, { "dropping-particle" : "", "family" : "Liu", "given" : "Y", "non-dropping-particle" : "", "parse-names" : false, "suffix" : "" }, { "dropping-particle" : "", "family" : "Khan", "given" : "S M A", "non-dropping-particle" : "", "parse-names" : false, "suffix" : "" }, { "dropping-particle" : "", "family" : "Hou", "given" : "L X", "non-dropping-particle" : "", "parse-names" : false, "suffix" : "" }, { "dropping-particle" : "", "family" : "Bolen", "given" : "D W", "non-dropping-particle" : "", "parse-names" : false, "suffix" : "" } ], "container-title" : "Biochemistry", "id" : "ITEM-1", "issued" : { "date-parts" : [ [ "1992", "6", "16" ] ] }, "page" : "5278-5283", "title" : "Increased thermal stability of proteins in the presence of naturally occurring osmolytes", "type" : "article-journal", "volume" : "31" }, "uris" : [ "http://www.mendeley.com/documents/?uuid=43f8c6ce-f911-44c3-88ac-ffd899b1fb4f" ] } ], "mendeley" : { "formattedCitation" : "(Santoro et al. 1992)", "plainTextFormattedCitation" : "(Santoro et al. 1992)", "previouslyFormattedCitation" : "(Santoro et al. 1992)" }, "properties" : { "noteIndex" : 0 }, "schema" : "https://github.com/citation-style-language/schema/raw/master/csl-citation.json" }</w:instrText>
      </w:r>
      <w:r>
        <w:fldChar w:fldCharType="separate"/>
      </w:r>
      <w:r w:rsidRPr="00FB1B69">
        <w:rPr>
          <w:noProof/>
        </w:rPr>
        <w:t>(Santoro et al. 1992)</w:t>
      </w:r>
      <w:r>
        <w:fldChar w:fldCharType="end"/>
      </w:r>
      <w:r>
        <w:t>.</w:t>
      </w:r>
    </w:p>
    <w:p w14:paraId="4060603E" w14:textId="77777777" w:rsidR="00C56CFB" w:rsidRDefault="00C56CFB" w:rsidP="00C56CFB">
      <w:pPr>
        <w:keepNext/>
      </w:pPr>
      <w:r>
        <w:object w:dxaOrig="7180" w:dyaOrig="5390" w14:anchorId="086EEA50">
          <v:shape id="_x0000_i1040" type="#_x0000_t75" style="width:431.25pt;height:323.25pt" o:ole="">
            <v:imagedata r:id="rId48" o:title=""/>
          </v:shape>
          <o:OLEObject Type="Embed" ProgID="PowerPoint.Show.12" ShapeID="_x0000_i1040" DrawAspect="Content" ObjectID="_1559454694" r:id="rId49"/>
        </w:object>
      </w:r>
    </w:p>
    <w:p w14:paraId="4C58FFDE" w14:textId="77777777" w:rsidR="00C56CFB" w:rsidRDefault="00C56CFB" w:rsidP="00C56CFB">
      <w:pPr>
        <w:pStyle w:val="Caption"/>
        <w:jc w:val="left"/>
      </w:pPr>
      <w:bookmarkStart w:id="173" w:name="_Ref462678512"/>
      <w:bookmarkStart w:id="174" w:name="_Toc482633179"/>
      <w:r>
        <w:t xml:space="preserve">Figure </w:t>
      </w:r>
      <w:fldSimple w:instr=" STYLEREF 1 \s ">
        <w:r w:rsidR="00AA6926">
          <w:rPr>
            <w:noProof/>
          </w:rPr>
          <w:t>3</w:t>
        </w:r>
      </w:fldSimple>
      <w:r w:rsidR="00BA082C">
        <w:noBreakHyphen/>
      </w:r>
      <w:fldSimple w:instr=" SEQ Figure \* ARABIC \s 1 ">
        <w:r w:rsidR="00AA6926">
          <w:rPr>
            <w:noProof/>
          </w:rPr>
          <w:t>1</w:t>
        </w:r>
      </w:fldSimple>
      <w:bookmarkEnd w:id="173"/>
      <w:r>
        <w:t>. Structure of arginine in comparison to two of its functional groups: glycine and guanidinium. Glycine and guanidinium structures have been rotated from their usual representation in order to highlight the similarities in structure to arginine</w:t>
      </w:r>
      <w:bookmarkEnd w:id="174"/>
    </w:p>
    <w:p w14:paraId="0D5CBD38" w14:textId="77777777" w:rsidR="00C56CFB" w:rsidRDefault="00C56CFB" w:rsidP="00C56CFB">
      <w:r>
        <w:t>Reaching a consensus on the effects of arginine on protein stability and the mechanisms governing these is made much harder by the fact that many stability studies use buffers which contain salts or small molecules tha</w:t>
      </w:r>
      <w:r w:rsidR="00D65072">
        <w:t xml:space="preserve">t also affect protein stability (see section </w:t>
      </w:r>
      <w:r w:rsidR="00D65072">
        <w:fldChar w:fldCharType="begin"/>
      </w:r>
      <w:r w:rsidR="00D65072">
        <w:instrText xml:space="preserve"> REF _Ref465690286 \r \h </w:instrText>
      </w:r>
      <w:r w:rsidR="00D65072">
        <w:fldChar w:fldCharType="separate"/>
      </w:r>
      <w:r w:rsidR="00AA6926">
        <w:t>1.3.3.2</w:t>
      </w:r>
      <w:r w:rsidR="00D65072">
        <w:fldChar w:fldCharType="end"/>
      </w:r>
      <w:r w:rsidR="00D65072">
        <w:t>)</w:t>
      </w:r>
      <w:r>
        <w:t xml:space="preserve">. These buffers have the capacity to mask or enhance excipients’ effects on protein stability, which is evident from synergistic effects seen in numerous additive mixtures </w:t>
      </w:r>
      <w:r>
        <w:fldChar w:fldCharType="begin" w:fldLock="1"/>
      </w:r>
      <w:r w:rsidR="00924827">
        <w:instrText>ADDIN CSL_CITATION { "citationItems" : [ { "id" : "ITEM-1", "itemData" : { "DOI" : "10.1063/1.4821615", "ISBN" : "1089-7690 (Electronic)\\r0021-9606 (Linking)", "ISSN" : "00219606", "PMID" : "24070312", "abstract" : "Glycine betaine (GB) is one of the most important osmolyte which is known to stabilize proteins as well as counteract the denaturing effect of urea. There have been many studies indicating protein stabilization and counteraction of the effect of urea by GB. However, the exact mechanism of counteraction is still debated and is of important research interest. In this study, distribution functions, hydrogen bonds, and energetics were analysed to understand different interactions between GB and urea, and their solvation properties in presence of each other. The results show that in the GB-urea mixture, GB acted as a stronger osmolyte and urea became a weaker denaturing agent than its individual counterparts. The increase in the solvation of urea and GB in GB-urea mixture and their mutual interactions through hydrogen bonding and coulombic energy resulted in more involvement of GB and urea with solvent as well as with themselves. This might result in the increase of the exclusion of GB from protein surface and decrease in the protein-urea interactions in the mixture. This synergistic behavior might be the prime reason for the counteraction of denaturing effect of urea by GB.", "author" : [ { "dropping-particle" : "", "family" : "Kumar", "given" : "N", "non-dropping-particle" : "", "parse-names" : false, "suffix" : "" }, { "dropping-particle" : "", "family" : "Kishore", "given" : "N", "non-dropping-particle" : "", "parse-names" : false, "suffix" : "" } ], "container-title" : "Journal of Chemical Physics", "id" : "ITEM-1", "issued" : { "date-parts" : [ [ "2013" ] ] }, "page" : "115104", "title" : "Synergistic behavior of glycine betaine-urea mixture: A molecular dynamics study", "type" : "article-journal", "volume" : "139" }, "uris" : [ "http://www.mendeley.com/documents/?uuid=1dbbee11-21e7-48e8-8646-05d90aca1c0a" ] }, { "id" : "ITEM-2", "itemData" : { "DOI" : "10.1021/jp204462t", "ISSN" : "1520-5207", "PMID" : "21894928", "abstract" : "Understanding protein solubility is a key part of physical chemistry. In particular, solution conditions can have a major effect, and the effect of multiple cosolutes is little understood. It has been shown that the simultaneous addition of L-arginine hydrochloride and L-glutamic acid enhances the maximum achievable solubility of several poorly soluble proteins up to 4-8 times (Golovanov et. al, J. Am. Chem. Soc., 2004, 126, 8933-8939) and reduces the intermolecular interactions between proteins. The observed solubility enhancement is negligible for arginine and glutamic acid solutions as compared to the equimolar mixtures. In this study, we have established the molecular mechanism behind this observed synergistic effect of arginine and glutamic acid mixtures using preferential interaction theory and molecular dynamics simulations of Drosophilia Su(dx) protein (ww34). It was found that the protein solubility enhancement is related to the relative increase in the number of arginine and glutamic acid molecules around the protein in the equimolar mixtures due to additional hydrogen bonding interactions between the excipients on the surface of the protein when both excipients are present. The presence of these additional molecules around the protein leads to enhanced crowding, which suppresses the protein association. These results highlight the role of additive-additive interaction in tuning the protein-protein interactions. Furthermore, this study reports a unique behavior of additive solutions, where the presence of one additive in solution affects the concentration of another on the protein surface.", "author" : [ { "dropping-particle" : "", "family" : "Shukla", "given" : "D", "non-dropping-particle" : "", "parse-names" : false, "suffix" : "" }, { "dropping-particle" : "", "family" : "Trout", "given" : "B L", "non-dropping-particle" : "", "parse-names" : false, "suffix" : "" } ], "container-title" : "Journal of Physical Chemistry B", "id" : "ITEM-2", "issued" : { "date-parts" : [ [ "2011", "10", "20" ] ] }, "page" : "11831-11839", "title" : "Understanding the synergistic effect of arginine and glutamic acid mixtures on protein solubility", "type" : "article-journal", "volume" : "115" }, "uris" : [ "http://www.mendeley.com/documents/?uuid=6feb0c81-021c-4575-8899-2aedafcf5e9b" ] }, { "id" : "ITEM-3", "itemData" : { "DOI" : "10.1016/j.pep.2009.02.004", "ISBN" : "1096-0279 (Electronic)\\r1046-5928 (Linking)", "ISSN" : "10465928", "PMID" : "19233287", "abstract" : "The use of low concentrations of urea, guanidinium chloride or arginine has been reported in the literature to increase protein refolding and yield of active proteins by suppressing aggregate formation. However, no studies have yet examined whether these substances can exert synergistic or cooperative effects when used in combination. In this work, a comparative study was carried out on refolding of recombinant human granulocyte colony-stimulating factor (rhG-CSF) in the presence of different concentrations of urea, guanidinium chloride or arginine. All three folding aids could inhibit the formation of insoluble aggregates of rhG-CSF but with different efficacies. A low concentration of guanidinium chloride was found to denature protein, so that rhG-CSF was not fully or correctly folded even if concentration was reduced to 1 M. Low concentration of urea (2 M) or arginine (0.5 M) did not cause rhG-CSF denaturation, but urea was unable to suppress the formation of soluble oligomers, which persisted at a level of about 30% in refolded soluble rhG-CSF. Arginine, in contrast, could inhibit formation of all soluble oligomers. Based on these phenomena, we tested rhG-CSF folding in a mixture of 2 M urea and 0.5 M arginine. Kinetic analysis indicated that urea aided in suppressing insoluble precipitates, while arginine prevented formation of soluble oligomers produced by hydrophobic interaction. With this combination system, the refolding yield of rhG-CSF could be increased 2-fold. \u00a9 2009 Elsevier Inc. All rights reserved.", "author" : [ { "dropping-particle" : "", "family" : "Chen", "given" : "J", "non-dropping-particle" : "", "parse-names" : false, "suffix" : "" }, { "dropping-particle" : "", "family" : "Liu", "given" : "Y", "non-dropping-particle" : "", "parse-names" : false, "suffix" : "" }, { "dropping-particle" : "", "family" : "Li", "given" : "X", "non-dropping-particle" : "", "parse-names" : false, "suffix" : "" }, { "dropping-particle" : "", "family" : "Wang", "given" : "Y", "non-dropping-particle" : "", "parse-names" : false, "suffix" : "" }, { "dropping-particle" : "", "family" : "Ding", "given" : "H", "non-dropping-particle" : "", "parse-names" : false, "suffix" : "" }, { "dropping-particle" : "", "family" : "Ma", "given" : "G", "non-dropping-particle" : "", "parse-names" : false, "suffix" : "" }, { "dropping-particle" : "", "family" : "Su", "given" : "Z", "non-dropping-particle" : "", "parse-names" : false, "suffix" : "" } ], "container-title" : "Protein Expression &amp; Purification", "id" : "ITEM-3", "issued" : { "date-parts" : [ [ "2009" ] ] }, "page" : "82-90", "publisher" : "Elsevier Inc.", "title" : "Cooperative effects of urea and L-arginine on protein refolding", "type" : "article-journal", "volume" : "66" }, "uris" : [ "http://www.mendeley.com/documents/?uuid=7f6e5973-bb6f-408c-bd80-78e1ca6435ba" ] } ], "mendeley" : { "formattedCitation" : "(Kumar &amp; Kishore 2013; Shukla &amp; Trout 2011b; Chen et al. 2009)", "plainTextFormattedCitation" : "(Kumar &amp; Kishore 2013; Shukla &amp; Trout 2011b; Chen et al. 2009)", "previouslyFormattedCitation" : "(Kumar &amp; Kishore 2013; Shukla &amp; Trout 2011b; Chen et al. 2009)" }, "properties" : { "noteIndex" : 0 }, "schema" : "https://github.com/citation-style-language/schema/raw/master/csl-citation.json" }</w:instrText>
      </w:r>
      <w:r>
        <w:fldChar w:fldCharType="separate"/>
      </w:r>
      <w:r w:rsidRPr="00115EA2">
        <w:rPr>
          <w:noProof/>
        </w:rPr>
        <w:t>(Kumar &amp; Kishore 2013; Shukla &amp; Trout 2011b; Chen et al. 2009)</w:t>
      </w:r>
      <w:r>
        <w:fldChar w:fldCharType="end"/>
      </w:r>
      <w:r>
        <w:t xml:space="preserve">, and competitive binding to the protein in ‘salting-off’ experiments </w:t>
      </w:r>
      <w:r>
        <w:fldChar w:fldCharType="begin" w:fldLock="1"/>
      </w:r>
      <w:r w:rsidR="00924827">
        <w:instrText>ADDIN CSL_CITATION { "citationItems" : [ { "id" : "ITEM-1", "itemData" : { "DOI" : "10.1021/jf303926v", "ISBN" : "0021-8561", "ISSN" : "00218561", "PMID" : "23252762", "abstract" : "The interaction between sodium phytate and three proteins was studied using solubility experiments and differential scanning calorimetry (DSC) to assess structural stability. Lysozyme, which is positively charged at neutral pH, bound phytate by an electrostatic interaction. There was evidence that phytate cross-linked lysozyme molecules forcing them out of solution. Myoglobin and human serum albumin, which were neutral or negatively charged, respectively, displayed association rather than binding, and there was no complex formation. All of the proteins were structurally destabilized by the presence of phytate but were not denatured. From these findings, we predict that phytate would bind electrostatically to a wide variety of positively charged proteins in the stomach as well as to trypsin and chymotrypsin in the duodenum. Both binding reactions may compromise the digestion of the protein component in feed stuffs. Because the interaction between phytate and protein is electrostatic, the presence of anions, such as chloride, would nullify the antinutritional effect of phytate.", "author" : [ { "dropping-particle" : "", "family" : "Bye", "given" : "J W", "non-dropping-particle" : "", "parse-names" : false, "suffix" : "" }, { "dropping-particle" : "", "family" : "Cowieson", "given" : "N P", "non-dropping-particle" : "", "parse-names" : false, "suffix" : "" }, { "dropping-particle" : "", "family" : "Cowieson", "given" : "A J", "non-dropping-particle" : "", "parse-names" : false, "suffix" : "" }, { "dropping-particle" : "", "family" : "Selle", "given" : "P H", "non-dropping-particle" : "", "parse-names" : false, "suffix" : "" }, { "dropping-particle" : "", "family" : "Falconer", "given" : "R J", "non-dropping-particle" : "", "parse-names" : false, "suffix" : "" } ], "container-title" : "Journal of Agricultural and Food Chemistry", "id" : "ITEM-1", "issued" : { "date-parts" : [ [ "2013" ] ] }, "page" : "290-295", "title" : "Dual effects of sodium phytate on the structural stability and solubility of proteins", "type" : "article-journal", "volume" : "61" }, "uris" : [ "http://www.mendeley.com/documents/?uuid=083807f2-6f5b-4fbf-b518-b38adb326d97" ] } ], "mendeley" : { "formattedCitation" : "(Bye et al. 2013)", "plainTextFormattedCitation" : "(Bye et al. 2013)", "previouslyFormattedCitation" : "(Bye et al. 2013)" }, "properties" : { "noteIndex" : 0 }, "schema" : "https://github.com/citation-style-language/schema/raw/master/csl-citation.json" }</w:instrText>
      </w:r>
      <w:r>
        <w:fldChar w:fldCharType="separate"/>
      </w:r>
      <w:r w:rsidRPr="00115EA2">
        <w:rPr>
          <w:noProof/>
        </w:rPr>
        <w:t>(Bye et al. 2013)</w:t>
      </w:r>
      <w:r>
        <w:fldChar w:fldCharType="end"/>
      </w:r>
      <w:r>
        <w:t>. Furthermore, as can be seen from</w:t>
      </w:r>
      <w:r w:rsidR="00D65072">
        <w:rPr>
          <w:color w:val="FF0000"/>
        </w:rPr>
        <w:t xml:space="preserve"> </w:t>
      </w:r>
      <w:r w:rsidR="00D65072">
        <w:rPr>
          <w:color w:val="FF0000"/>
        </w:rPr>
        <w:fldChar w:fldCharType="begin"/>
      </w:r>
      <w:r w:rsidR="00D65072">
        <w:rPr>
          <w:color w:val="FF0000"/>
        </w:rPr>
        <w:instrText xml:space="preserve"> REF _Ref453339849 \h </w:instrText>
      </w:r>
      <w:r w:rsidR="00D65072">
        <w:rPr>
          <w:color w:val="FF0000"/>
        </w:rPr>
      </w:r>
      <w:r w:rsidR="00D65072">
        <w:rPr>
          <w:color w:val="FF0000"/>
        </w:rPr>
        <w:fldChar w:fldCharType="separate"/>
      </w:r>
      <w:r w:rsidR="00AA6926">
        <w:t xml:space="preserve">Table </w:t>
      </w:r>
      <w:r w:rsidR="00AA6926">
        <w:rPr>
          <w:noProof/>
        </w:rPr>
        <w:t>1</w:t>
      </w:r>
      <w:r w:rsidR="00AA6926">
        <w:noBreakHyphen/>
      </w:r>
      <w:r w:rsidR="00AA6926">
        <w:rPr>
          <w:noProof/>
        </w:rPr>
        <w:t>4</w:t>
      </w:r>
      <w:r w:rsidR="00D65072">
        <w:rPr>
          <w:color w:val="FF0000"/>
        </w:rPr>
        <w:fldChar w:fldCharType="end"/>
      </w:r>
      <w:r>
        <w:t xml:space="preserve">, the concentration range of </w:t>
      </w:r>
      <w:r>
        <w:lastRenderedPageBreak/>
        <w:t xml:space="preserve">cosolutes studied tends to be very limited; incorporating mainly high concentrations and very few points in between. Without comprehensive data at concentrations below 100 mM it is likely that detail in protein thermal stability trends are lost, making mechanisms harder to elucidate. This was apparent in a detailed protein stability study using the Hofmeister salts, where previously unseen stability trends at low salt concentrations facilitated the discovery of the molecular mechanisms governing these trends  </w:t>
      </w:r>
      <w:r>
        <w:fldChar w:fldCharType="begin" w:fldLock="1"/>
      </w:r>
      <w:r>
        <w:instrText>ADDIN CSL_CITATION { "citationItems" : [ { "id" : "ITEM-1", "itemData" : { "DOI" : "10.1021/jp412140v", "ISSN" : "1520-5207", "PMID" : "24684707", "abstract" : "Addition of high and medium charge density anions (phosphate, sulfate, and chloride) to lysozyme in pure water demonstrates three stages for stabilization of the protein structure. The first two stages have a minor impact on lysozyme stability and are probably associated with direct interaction of the ions with charged and partial charges on the protein's surface. There is a clear transition between the second and third stages; in the case of sodium chloride, disodium sulfate and disodium hydrogen phosphate this is at 550, 210, and 120 mM, respectively. Stabilization of lysozyme can be explained by the free energy required to hydrate the protein as it unfolds. At low ion concentrations, the protein's hydration layer is at equilibrium with the bulk water. After the transition, bulk water is depleted and the protein is competing for water with the ions. With competition for water between the protein and the ions at higher salt concentrations, the free energy required to hydrate the interior of the protein rises and it is this that stabilizes the protein structure.", "author" : [ { "dropping-particle" : "", "family" : "Bye", "given" : "J W", "non-dropping-particle" : "", "parse-names" : false, "suffix" : "" }, { "dropping-particle" : "", "family" : "Falconer", "given" : "R J", "non-dropping-particle" : "", "parse-names" : false, "suffix" : "" } ], "container-title" : "Journal of Physical Chemistry B", "id" : "ITEM-1", "issued" : { "date-parts" : [ [ "2014", "4", "24" ] ] }, "page" : "4282-4286", "title" : "Three stages of lysozyme thermal stabilization by high and medium charge density anions", "type" : "article-journal", "volume" : "118" }, "uris" : [ "http://www.mendeley.com/documents/?uuid=04df9c17-7b61-4cec-9b8c-296591f7406f" ] } ], "mendeley" : { "formattedCitation" : "(Bye &amp; Falconer 2014)", "plainTextFormattedCitation" : "(Bye &amp; Falconer 2014)", "previouslyFormattedCitation" : "(Bye &amp; Falconer 2014)" }, "properties" : { "noteIndex" : 0 }, "schema" : "https://github.com/citation-style-language/schema/raw/master/csl-citation.json" }</w:instrText>
      </w:r>
      <w:r>
        <w:fldChar w:fldCharType="separate"/>
      </w:r>
      <w:r w:rsidRPr="00115EA2">
        <w:rPr>
          <w:noProof/>
        </w:rPr>
        <w:t>(Bye &amp; Falconer 2014)</w:t>
      </w:r>
      <w:r>
        <w:fldChar w:fldCharType="end"/>
      </w:r>
      <w:r>
        <w:t>.</w:t>
      </w:r>
    </w:p>
    <w:p w14:paraId="39D3D174" w14:textId="77777777" w:rsidR="00C56CFB" w:rsidRDefault="00C56CFB" w:rsidP="00C56CFB">
      <w:r>
        <w:t>The aim of this experimental chapter is to establish how arginine affects protein stability of three model proteins of differing charge and size. It aims to challenge the hypothesis that arginine acts on protein stability like a summary of its functional groups; here represented by glycine and guanidinium. It also aims to suggest mechanisms underlying these effects on protein stability through detailed thermal stability data from DSC experiments. Emphasis on low concentrations and multiple concentration data points aim to give a more detailed observation of arginine’s effects and the absence of buffer will eliminate any competing effects from other small molecules.</w:t>
      </w:r>
    </w:p>
    <w:p w14:paraId="0E172D41" w14:textId="77777777" w:rsidR="00C56CFB" w:rsidRPr="00C166C3" w:rsidRDefault="00C552F2" w:rsidP="000A3469">
      <w:pPr>
        <w:pStyle w:val="Heading2"/>
      </w:pPr>
      <w:bookmarkStart w:id="175" w:name="_Toc485712781"/>
      <w:r>
        <w:t>Materials &amp;</w:t>
      </w:r>
      <w:r w:rsidR="008D6ED0">
        <w:t xml:space="preserve"> M</w:t>
      </w:r>
      <w:r w:rsidR="00C56CFB" w:rsidRPr="00C166C3">
        <w:t>ethods</w:t>
      </w:r>
      <w:bookmarkEnd w:id="175"/>
    </w:p>
    <w:p w14:paraId="2A2FCF7C" w14:textId="77777777" w:rsidR="00C56CFB" w:rsidRPr="00C166C3" w:rsidRDefault="00C56CFB" w:rsidP="00C56CFB">
      <w:pPr>
        <w:pStyle w:val="Heading3"/>
      </w:pPr>
      <w:bookmarkStart w:id="176" w:name="_Toc485712782"/>
      <w:r w:rsidRPr="00C166C3">
        <w:t>Materials</w:t>
      </w:r>
      <w:bookmarkEnd w:id="176"/>
    </w:p>
    <w:p w14:paraId="07379CB8" w14:textId="77777777" w:rsidR="00C56CFB" w:rsidRPr="00C166C3" w:rsidRDefault="00C56CFB" w:rsidP="00C56CFB">
      <w:r w:rsidRPr="00C166C3">
        <w:t>All prote</w:t>
      </w:r>
      <w:r>
        <w:t>ins: myoglobin from equine skeletal muscle</w:t>
      </w:r>
      <w:r w:rsidRPr="00C166C3">
        <w:t>, albumin from bovine serum</w:t>
      </w:r>
      <w:r>
        <w:t xml:space="preserve"> (BSA)</w:t>
      </w:r>
      <w:r w:rsidRPr="00C166C3">
        <w:t xml:space="preserve"> and lysozyme from hen egg white were purchased in lyophilised powder form from Sigma-Aldrich. Cosolutes: L-arginine, L-glycine and guanidine hydrochloride</w:t>
      </w:r>
      <w:r>
        <w:t xml:space="preserve"> (GdnHCl)</w:t>
      </w:r>
      <w:r w:rsidRPr="00C166C3">
        <w:t>, and sodium octanoate were also purchased from Sigma-Aldrich and all had purities of at least 98%.</w:t>
      </w:r>
    </w:p>
    <w:p w14:paraId="7B83FC0F" w14:textId="77777777" w:rsidR="00C56CFB" w:rsidRPr="00C166C3" w:rsidRDefault="00C56CFB" w:rsidP="00C56CFB">
      <w:pPr>
        <w:pStyle w:val="Heading3"/>
      </w:pPr>
      <w:bookmarkStart w:id="177" w:name="_Toc485712783"/>
      <w:r w:rsidRPr="00C166C3">
        <w:lastRenderedPageBreak/>
        <w:t>Methods</w:t>
      </w:r>
      <w:bookmarkEnd w:id="177"/>
    </w:p>
    <w:p w14:paraId="1169B4A7" w14:textId="77777777" w:rsidR="00C56CFB" w:rsidRPr="00C166C3" w:rsidRDefault="00C56CFB" w:rsidP="00C56CFB">
      <w:pPr>
        <w:pStyle w:val="Heading4"/>
      </w:pPr>
      <w:r>
        <w:t>Sample p</w:t>
      </w:r>
      <w:r w:rsidRPr="00C166C3">
        <w:t>reparation</w:t>
      </w:r>
    </w:p>
    <w:p w14:paraId="1F441F0C" w14:textId="66A2EB7D" w:rsidR="00C56CFB" w:rsidRPr="00C166C3" w:rsidRDefault="00C56CFB" w:rsidP="00C56CFB">
      <w:r>
        <w:t>P</w:t>
      </w:r>
      <w:r w:rsidRPr="00C166C3">
        <w:t>roteins</w:t>
      </w:r>
      <w:r>
        <w:t xml:space="preserve"> were dialysed</w:t>
      </w:r>
      <w:r w:rsidRPr="00C166C3">
        <w:t xml:space="preserve"> using a Mini 8 kDa membrane dialysis kit (GE Healthcare, Little Chalfont, UK) overnight at 4 °C against HPLC-grade water. Protein concentration was calculated using absorbance measurements at 280</w:t>
      </w:r>
      <w:r>
        <w:t xml:space="preserve"> </w:t>
      </w:r>
      <w:r w:rsidRPr="00C166C3">
        <w:t>nm</w:t>
      </w:r>
      <w:r>
        <w:t xml:space="preserve"> for BSA and lysozyme, and 555 nm for myoglobin</w:t>
      </w:r>
      <w:r w:rsidRPr="00C166C3">
        <w:t xml:space="preserve"> using a Jenway 6305 UV-Vis spectrophotometer (Jenway (Bibby Scientific), Staffordshire, UK). Extinction coeff</w:t>
      </w:r>
      <w:r w:rsidR="00341DA1">
        <w:t xml:space="preserve">icients from </w:t>
      </w:r>
      <w:commentRangeStart w:id="178"/>
      <w:r w:rsidR="00341DA1">
        <w:t>Gill &amp; Von Hippel</w:t>
      </w:r>
      <w:r w:rsidRPr="00C166C3">
        <w:t xml:space="preserve"> </w:t>
      </w:r>
      <w:r w:rsidR="00341DA1">
        <w:t>(</w:t>
      </w:r>
      <w:r w:rsidRPr="00C166C3">
        <w:t xml:space="preserve">1989) </w:t>
      </w:r>
      <w:commentRangeEnd w:id="178"/>
      <w:r w:rsidR="00341DA1">
        <w:rPr>
          <w:rStyle w:val="CommentReference"/>
        </w:rPr>
        <w:commentReference w:id="178"/>
      </w:r>
      <w:r w:rsidRPr="00C166C3">
        <w:t xml:space="preserve">were used for all protein concentration calculations. Based on these measurements protein stocks were diluted to 2 g/L for BSA and lysozyme and 1 g/L for myoglobin and put to pH 7 for BSA and lysozyme and pH 8 for myoglobin using either </w:t>
      </w:r>
      <w:r w:rsidR="00B1129D">
        <w:t xml:space="preserve">dilute </w:t>
      </w:r>
      <w:r w:rsidRPr="00C166C3">
        <w:t>sodium hydroxide (NaOH) or hydrochloric acid (HCl). For BSA stocks, 10</w:t>
      </w:r>
      <w:r>
        <w:t xml:space="preserve"> </w:t>
      </w:r>
      <w:r w:rsidRPr="00C166C3">
        <w:t xml:space="preserve">mM sodium octanoate solutions were used instead of water for dialysis and dissolving of stocks as the protein was unstable in its absence. This should not have an effect on the interaction with cosolutes due to the specificity of its binding to BSA. Protein stocks were kept on ice during experiments, which were carried out over two consecutive days. </w:t>
      </w:r>
    </w:p>
    <w:p w14:paraId="1367C190" w14:textId="77777777" w:rsidR="00C56CFB" w:rsidRPr="00C166C3" w:rsidRDefault="00C56CFB" w:rsidP="00C56CFB">
      <w:r w:rsidRPr="00C166C3">
        <w:t>2 M stocks of c</w:t>
      </w:r>
      <w:r>
        <w:t>osolutes glycine and guanidine</w:t>
      </w:r>
      <w:r w:rsidRPr="00C166C3">
        <w:t xml:space="preserve"> hydrochloride were also prepared and put to the appropriate pH (7 for BSA and lysozyme, and 8 for myoglobin experiments). 1 M stock of arginine was also prepared – representing its solubility limit – and put to the appropriate pH.</w:t>
      </w:r>
    </w:p>
    <w:p w14:paraId="0E797F9E" w14:textId="77777777" w:rsidR="00C56CFB" w:rsidRPr="00C166C3" w:rsidRDefault="00C56CFB" w:rsidP="00C56CFB">
      <w:r w:rsidRPr="00C166C3">
        <w:t>Both protein and cosolute stocks did not contain any buffers but instead used the buffering capacity of the protein to maintain pH. pH was checked over the course of the two consecutive experimental days and was not found to vary substantially. Furthermore, protein in water was run on the DSC repeatedly over the duration of the experiment (2 days) and no consistent difference between thermodynamic properties was observed outside the expected experimental error.</w:t>
      </w:r>
    </w:p>
    <w:p w14:paraId="66217CC1" w14:textId="77777777" w:rsidR="00C56CFB" w:rsidRPr="00C166C3" w:rsidRDefault="00C56CFB" w:rsidP="00C56CFB">
      <w:r w:rsidRPr="00C166C3">
        <w:lastRenderedPageBreak/>
        <w:t>Samples for use in the DSC were made up by diluting protein stock by half with water and desired</w:t>
      </w:r>
      <w:r>
        <w:t xml:space="preserve"> concentration of cosolute</w:t>
      </w:r>
      <w:r w:rsidRPr="00C166C3">
        <w:t>. All data points</w:t>
      </w:r>
      <w:r>
        <w:t xml:space="preserve"> for BSA and lysozyme</w:t>
      </w:r>
      <w:r w:rsidRPr="00C166C3">
        <w:t xml:space="preserve"> were repeated three times.</w:t>
      </w:r>
    </w:p>
    <w:p w14:paraId="2DBBE656" w14:textId="77777777" w:rsidR="00C56CFB" w:rsidRPr="00C166C3" w:rsidRDefault="00C56CFB" w:rsidP="00C56CFB">
      <w:pPr>
        <w:pStyle w:val="Heading4"/>
      </w:pPr>
      <w:r>
        <w:t xml:space="preserve"> </w:t>
      </w:r>
      <w:r w:rsidRPr="00C166C3">
        <w:t>Differential Scanning Calorimetry</w:t>
      </w:r>
    </w:p>
    <w:p w14:paraId="1C802C23" w14:textId="77777777" w:rsidR="00C56CFB" w:rsidRPr="00C166C3" w:rsidRDefault="00C56CFB" w:rsidP="00C56CFB">
      <w:pPr>
        <w:rPr>
          <w:szCs w:val="24"/>
        </w:rPr>
      </w:pPr>
      <w:r w:rsidRPr="00C166C3">
        <w:rPr>
          <w:szCs w:val="24"/>
        </w:rPr>
        <w:t>All samples were degassed for 1 hour at 19 °C prior to DSC scans. Samples were heated at a rate of 1.5 °C/min from 30 – 100 °C with an equilibration period of 600 seconds in a TA Instruments Nano</w:t>
      </w:r>
      <w:r w:rsidR="00676FD7">
        <w:rPr>
          <w:szCs w:val="24"/>
        </w:rPr>
        <w:t>-</w:t>
      </w:r>
      <w:r w:rsidRPr="00C166C3">
        <w:rPr>
          <w:szCs w:val="24"/>
        </w:rPr>
        <w:t>DSC (TA Instruments, New Castle, DE, USA). During heating cells were pressurised to 3 atmospheres.</w:t>
      </w:r>
    </w:p>
    <w:p w14:paraId="7C2A0BB5" w14:textId="77777777" w:rsidR="00C56CFB" w:rsidRPr="00C166C3" w:rsidRDefault="00C56CFB" w:rsidP="00C56CFB">
      <w:pPr>
        <w:pStyle w:val="Heading4"/>
      </w:pPr>
      <w:r>
        <w:t xml:space="preserve"> Data a</w:t>
      </w:r>
      <w:r w:rsidRPr="00C166C3">
        <w:t>nalysis</w:t>
      </w:r>
    </w:p>
    <w:p w14:paraId="74102C84" w14:textId="77777777" w:rsidR="00C56CFB" w:rsidRPr="00C166C3" w:rsidRDefault="00C56CFB" w:rsidP="00C56CFB">
      <w:r w:rsidRPr="00C166C3">
        <w:t>Data were analysed using the Nanoanalyze software provided with the DSC. Water-water baselines were subtracted from the data and the temperature of maximum unfolding of the protein (</w:t>
      </w:r>
      <w:r w:rsidRPr="00BC71FE">
        <w:rPr>
          <w:i/>
        </w:rPr>
        <w:t>T</w:t>
      </w:r>
      <w:r w:rsidRPr="00BC71FE">
        <w:rPr>
          <w:vertAlign w:val="subscript"/>
        </w:rPr>
        <w:t>m</w:t>
      </w:r>
      <w:r w:rsidRPr="00C166C3">
        <w:t>) was calculated as the point at which the maximum relative heat capacity occurred. Change in enthalpy (Δ</w:t>
      </w:r>
      <w:r w:rsidRPr="00BC71FE">
        <w:rPr>
          <w:i/>
        </w:rPr>
        <w:t>H</w:t>
      </w:r>
      <w:r w:rsidRPr="00C166C3">
        <w:t>) and change in entropy (Δ</w:t>
      </w:r>
      <w:r w:rsidRPr="00BC71FE">
        <w:rPr>
          <w:i/>
        </w:rPr>
        <w:t>S</w:t>
      </w:r>
      <w:r w:rsidRPr="00C166C3">
        <w:t>) of unfolding were also calculated by the software for each scan. These have been included in tables as a reference</w:t>
      </w:r>
      <w:r>
        <w:t xml:space="preserve"> in </w:t>
      </w:r>
      <w:r w:rsidR="005D098F">
        <w:t>Appendix A</w:t>
      </w:r>
      <w:r w:rsidRPr="00C166C3">
        <w:t xml:space="preserve"> although were not used in the discussion due to doubts over their accuracy for proteins that do not reversibly unfold</w:t>
      </w:r>
      <w:r w:rsidR="00D65072">
        <w:t xml:space="preserve"> (BSA and myoglobin) (see </w:t>
      </w:r>
      <w:r w:rsidR="00D65072">
        <w:fldChar w:fldCharType="begin"/>
      </w:r>
      <w:r w:rsidR="00D65072">
        <w:instrText xml:space="preserve"> REF _Ref462221810 \h </w:instrText>
      </w:r>
      <w:r w:rsidR="00D65072">
        <w:fldChar w:fldCharType="separate"/>
      </w:r>
      <w:r w:rsidR="00AA6926">
        <w:rPr>
          <w:b/>
          <w:bCs/>
          <w:lang w:val="en-US"/>
        </w:rPr>
        <w:t>Error! Reference source not found.</w:t>
      </w:r>
      <w:r w:rsidR="00D65072">
        <w:fldChar w:fldCharType="end"/>
      </w:r>
      <w:r w:rsidR="00D65072">
        <w:t xml:space="preserve">; </w:t>
      </w:r>
      <w:r w:rsidR="00D65072">
        <w:fldChar w:fldCharType="begin"/>
      </w:r>
      <w:r w:rsidR="00D65072">
        <w:instrText xml:space="preserve"> REF _Ref462221813 \h </w:instrText>
      </w:r>
      <w:r w:rsidR="00D65072">
        <w:fldChar w:fldCharType="separate"/>
      </w:r>
      <w:r w:rsidR="00AA6926">
        <w:rPr>
          <w:b/>
          <w:bCs/>
          <w:lang w:val="en-US"/>
        </w:rPr>
        <w:t>Error! Reference source not found.</w:t>
      </w:r>
      <w:r w:rsidR="00D65072">
        <w:fldChar w:fldCharType="end"/>
      </w:r>
      <w:r w:rsidR="00D65072">
        <w:t>)</w:t>
      </w:r>
      <w:r w:rsidRPr="00C166C3">
        <w:t>.</w:t>
      </w:r>
    </w:p>
    <w:p w14:paraId="2B88B745" w14:textId="77777777" w:rsidR="00C56CFB" w:rsidRDefault="00C552F2" w:rsidP="000A3469">
      <w:pPr>
        <w:pStyle w:val="Heading2"/>
      </w:pPr>
      <w:bookmarkStart w:id="179" w:name="_Toc485712784"/>
      <w:r>
        <w:t>Results &amp;</w:t>
      </w:r>
      <w:r w:rsidR="008D6ED0">
        <w:t xml:space="preserve"> D</w:t>
      </w:r>
      <w:r w:rsidR="00C56CFB" w:rsidRPr="00C166C3">
        <w:t>iscussion</w:t>
      </w:r>
      <w:bookmarkEnd w:id="179"/>
    </w:p>
    <w:p w14:paraId="36EB9A86" w14:textId="77777777" w:rsidR="00C56CFB" w:rsidRDefault="00C56CFB" w:rsidP="00814E44">
      <w:pPr>
        <w:pStyle w:val="Heading3"/>
      </w:pPr>
      <w:bookmarkStart w:id="180" w:name="_Toc485712785"/>
      <w:r>
        <w:t>Principal results</w:t>
      </w:r>
      <w:bookmarkEnd w:id="180"/>
    </w:p>
    <w:p w14:paraId="0793D2F6" w14:textId="77777777" w:rsidR="00C56CFB" w:rsidRDefault="00C56CFB" w:rsidP="00C56CFB">
      <w:r>
        <w:t>The melting temperature (</w:t>
      </w:r>
      <w:r>
        <w:rPr>
          <w:i/>
        </w:rPr>
        <w:t>T</w:t>
      </w:r>
      <w:r w:rsidRPr="006C4073">
        <w:rPr>
          <w:vertAlign w:val="subscript"/>
        </w:rPr>
        <w:t>m</w:t>
      </w:r>
      <w:r>
        <w:t>) of 1 g/L BSA pH 7, 1 g/L lysozyme pH 7 and 0.5 g/L myoglobin in HPLC-grade water was established from DSC experiments. Subsequent melting temperatures of the three model proteins with varying concentrations of the cosolutes glycine, GdnHCl and arginine were also established from DSC experiments and subtracted from the initial melting temperature to give the change in melting temperature (Δ</w:t>
      </w:r>
      <w:r>
        <w:rPr>
          <w:i/>
        </w:rPr>
        <w:t>T</w:t>
      </w:r>
      <w:r w:rsidRPr="000030CA">
        <w:rPr>
          <w:vertAlign w:val="subscript"/>
        </w:rPr>
        <w:t>m</w:t>
      </w:r>
      <w:r>
        <w:t>) (</w:t>
      </w:r>
      <w:r w:rsidR="00146647">
        <w:fldChar w:fldCharType="begin"/>
      </w:r>
      <w:r w:rsidR="00146647">
        <w:instrText xml:space="preserve"> REF _Ref462998468 \h </w:instrText>
      </w:r>
      <w:r w:rsidR="00146647">
        <w:fldChar w:fldCharType="separate"/>
      </w:r>
      <w:r w:rsidR="00AA6926">
        <w:t xml:space="preserve">Figure </w:t>
      </w:r>
      <w:r w:rsidR="00AA6926">
        <w:rPr>
          <w:noProof/>
        </w:rPr>
        <w:t>3</w:t>
      </w:r>
      <w:r w:rsidR="00AA6926">
        <w:noBreakHyphen/>
      </w:r>
      <w:r w:rsidR="00AA6926">
        <w:rPr>
          <w:noProof/>
        </w:rPr>
        <w:t>2</w:t>
      </w:r>
      <w:r w:rsidR="00146647">
        <w:fldChar w:fldCharType="end"/>
      </w:r>
      <w:r>
        <w:t xml:space="preserve">). At a concentration of 1 M glycine stabilised all three </w:t>
      </w:r>
      <w:r>
        <w:lastRenderedPageBreak/>
        <w:t>proteins (</w:t>
      </w:r>
      <w:r w:rsidR="00146647">
        <w:fldChar w:fldCharType="begin"/>
      </w:r>
      <w:r w:rsidR="00146647">
        <w:instrText xml:space="preserve"> REF _Ref462998468 \h </w:instrText>
      </w:r>
      <w:r w:rsidR="00146647">
        <w:fldChar w:fldCharType="separate"/>
      </w:r>
      <w:r w:rsidR="00AA6926">
        <w:t xml:space="preserve">Figure </w:t>
      </w:r>
      <w:r w:rsidR="00AA6926">
        <w:rPr>
          <w:noProof/>
        </w:rPr>
        <w:t>3</w:t>
      </w:r>
      <w:r w:rsidR="00AA6926">
        <w:noBreakHyphen/>
      </w:r>
      <w:r w:rsidR="00AA6926">
        <w:rPr>
          <w:noProof/>
        </w:rPr>
        <w:t>2</w:t>
      </w:r>
      <w:r w:rsidR="00146647">
        <w:fldChar w:fldCharType="end"/>
      </w:r>
      <w:r w:rsidR="00146647">
        <w:t xml:space="preserve"> </w:t>
      </w:r>
      <w:r>
        <w:t>top panel), and GdnHCl destabilised all three proteins (</w:t>
      </w:r>
      <w:r w:rsidR="00146647">
        <w:fldChar w:fldCharType="begin"/>
      </w:r>
      <w:r w:rsidR="00146647">
        <w:instrText xml:space="preserve"> REF _Ref462998468 \h </w:instrText>
      </w:r>
      <w:r w:rsidR="00146647">
        <w:fldChar w:fldCharType="separate"/>
      </w:r>
      <w:r w:rsidR="00AA6926">
        <w:t xml:space="preserve">Figure </w:t>
      </w:r>
      <w:r w:rsidR="00AA6926">
        <w:rPr>
          <w:noProof/>
        </w:rPr>
        <w:t>3</w:t>
      </w:r>
      <w:r w:rsidR="00AA6926">
        <w:noBreakHyphen/>
      </w:r>
      <w:r w:rsidR="00AA6926">
        <w:rPr>
          <w:noProof/>
        </w:rPr>
        <w:t>2</w:t>
      </w:r>
      <w:r w:rsidR="00146647">
        <w:fldChar w:fldCharType="end"/>
      </w:r>
      <w:r w:rsidR="00146647">
        <w:t xml:space="preserve"> </w:t>
      </w:r>
      <w:r>
        <w:t xml:space="preserve">middle panel). This is in agreement with all previously published data that states that glycine is a well-documented stabiliser and GdnHCl is a well-known destabiliser at these concentrations </w:t>
      </w:r>
      <w:r>
        <w:fldChar w:fldCharType="begin" w:fldLock="1"/>
      </w:r>
      <w:r w:rsidR="00924827">
        <w:instrText>ADDIN CSL_CITATION { "citationItems" : [ { "id" : "ITEM-1", "itemData" : { "DOI" : "10.1021/jp404780c", "ISSN" : "1520-5207", "PMID" : "23992436", "abstract" : "Results concerning the thermostability of hen egg white lysozyme in aqueous solutions with stabilizing osmolytes, trimethylamine-N-oxide (TMAO), glycine (Gly), and its N-methyl derivatives, N-methylglycine (NMG), N,N-dimethylglycine (DMG), and N,N,N-trimethylglycine (betaine, TMG), have been presented. The combination of spectroscopic (IR) and calorimetric (DSC) data allowed us to establish a link between osmolytes' influence on water structure and their ability to thermally stabilize protein molecule. Structural and energetic characteristics of stabilizing osmolytes' and lysozyme's hydration water appear to be very similar. The osmolytes increase lysozyme stabilization in the order bulk water &lt; TMAO &lt; TMG &lt; Gly &lt; DMG &lt; NMG, which is consistent with the order corresponding to the value of the most probable oxygen-oxygen distance of water molecules affected by osmolytes in their surrounding. Obtained results verified the hypothesis concerning the role of water molecules in protein stabilization, explained the osmophobic effect, and finally helped to bring us nearer to the exact mechanism of protein stabilization by osmolytes.", "author" : [ { "dropping-particle" : "", "family" : "Bru\u017adziak", "given" : "P", "non-dropping-particle" : "", "parse-names" : false, "suffix" : "" }, { "dropping-particle" : "", "family" : "Panuszko", "given" : "A", "non-dropping-particle" : "", "parse-names" : false, "suffix" : "" }, { "dropping-particle" : "", "family" : "Stangret", "given" : "J", "non-dropping-particle" : "", "parse-names" : false, "suffix" : "" } ], "container-title" : "Journal of Physical Chemistry B", "id" : "ITEM-1", "issued" : { "date-parts" : [ [ "2013", "9", "17" ] ] }, "page" : "11502-11508", "title" : "Influence of osmolytes on protein and water structure: A step to understanding the mechanism of protein stabilization", "type" : "article-journal", "volume" : "117" }, "uris" : [ "http://www.mendeley.com/documents/?uuid=a4df47ed-7242-4023-89b6-a1f28cc16a1d" ] }, { "id" : "ITEM-2", "itemData" : { "ISSN" : "0003-9861", "PMID" : "6870251", "abstract" : "The preferential interactions of proteins with solvent components in concentrated amino acid solutions were measured by high-precision densimetry. Bovine serum albumin and lysozyme were preferentially hydrated in all of the amino acids examined, glycine, alpha- and beta-alanine, and betaine, i.e., addition of these amino acids resulted in an unfavorable free energy change. It was shown that, for the former three amino acids, known to have a positive surface tension increment, their perturbation of the surface free energy of water is consistent with their preferential exclusion from the protein surface. In the case of betaine, which does not increase the surface tension of water, preferential exclusion from protein surface must reflect the chemical structure of this cosolvent, which is considerably more hydrophobic than that of the other three amino acids.", "author" : [ { "dropping-particle" : "", "family" : "Arakawa", "given" : "T", "non-dropping-particle" : "", "parse-names" : false, "suffix" : "" }, { "dropping-particle" : "", "family" : "Timasheff", "given" : "S N", "non-dropping-particle" : "", "parse-names" : false, "suffix" : "" } ], "container-title" : "Archives of Biochemistry and Biophysics", "id" : "ITEM-2", "issued" : { "date-parts" : [ [ "1983", "7", "1" ] ] }, "page" : "169-177", "title" : "Preferential interactions of proteins with solvent components in aqueous amino acid solutions", "type" : "article-journal", "volume" : "224" }, "uris" : [ "http://www.mendeley.com/documents/?uuid=1a6cbc50-77f9-4f1c-84c3-3f29af9f71b8" ] }, { "id" : "ITEM-3", "itemData" : { "ISSN" : "0006-2960", "PMID" : "6525341", "abstract" : "Preferential interactions of bovine serum albumin were measured with guanidine sulfate, guanidine acetate, and guanidine hydrochloride. The results showed an increasing preferential hydration with increasing salt concentration for the sulfate, positive preferential salt binding for the hydrochloride, and an intermediate situation for the acetate. These results correlate well with the known effects of the three salts on protein stability, namely, the stabilizing effect of guanidine sulfate and the denaturing effect of guanidine hydrochloride. Comparison of guanidinium and magnesium salts indicated that the substitution of guanidinium ion for Mg2+ decreases the preferential hydration and increases the preferential salt binding, suggesting that the perturbation by guanidinium ion binding of the surface free energy is greater than that by Mg2+ ion. It was concluded that guanidine salts are not a special class, but their activity toward proteins is modulated by the same fine balance between hydration and salt binding to protein as in the case of other salts, with the second factor being stronger in guanidine salts.", "author" : [ { "dropping-particle" : "", "family" : "Arakawa", "given" : "T", "non-dropping-particle" : "", "parse-names" : false, "suffix" : "" }, { "dropping-particle" : "", "family" : "Timasheff", "given" : "S N", "non-dropping-particle" : "", "parse-names" : false, "suffix" : "" } ], "container-title" : "Biochemistry", "id" : "ITEM-3", "issued" : { "date-parts" : [ [ "1984", "12", "4" ] ] }, "page" : "5924-5929", "title" : "Protein stabilization and destabilization by guanidinium salts", "type" : "article-journal", "volume" : "23" }, "uris" : [ "http://www.mendeley.com/documents/?uuid=8320f870-51ec-4b0f-83e6-c8fcc3768f0e" ] }, { "id" : "ITEM-4", "itemData" : { "ISSN" : "0006-2960", "PMID" : "1376620", "abstract" : "Organisms and cellular systems which have adapted to stresses such as high temperature, desiccation, and urea-concentrating environments have responded by concentrating particular organic solutes known as osmolytes. These osmolytes are believed to confer protection to enzyme and other macromolecular systems against such denaturing stresses. Differential scanning calorimetric (DSC) experiments were performed on ribonuclease A and hen egg white lysozyme in the presence of varying concentrations of the osmolytes glycine, sarcosine, N,N-dimethylglycine, and betaine. Solutions containing up to several molar concentrations of these solutes were found to result in considerable increases in the thermal unfolding transition temperature (Tm) for these proteins. DSC scans of ribonuclease A in the presence of up to 8.2 M sarcosine resulted in reversible two-state unfolding transitions with Tm increases of up to 22 degrees C and unfolding enthalpy changes which were independent of Tm. On the basis of the thermodynamic parameters observed, 8.2 M sarcosine results in a stabilization free energy increase of 7.2 kcal/mol for ribonuclease A at 65 degrees C. This translates into more than a 45,000-fold increase in stability of the native form of ribonuclease A over that in the absence of sarcosine at this temperature. Catalytic activity measurements in the presence of 4 M sarcosine give kcat and Km values that are largely unchanged from those in the absence of sarcosine. DSC of lysozyme unfolding in the presence of these osmolytes also results in Tm increases of up to 23 degrees C; however, significant irreversibly occurs with this protein.(ABSTRACT TRUNCATED AT 250 WORDS)", "author" : [ { "dropping-particle" : "", "family" : "Santoro", "given" : "M M", "non-dropping-particle" : "", "pars</w:instrText>
      </w:r>
      <w:r w:rsidR="00924827" w:rsidRPr="00E3274E">
        <w:rPr>
          <w:lang w:val="it-IT"/>
        </w:rPr>
        <w:instrText>e-names" : false, "suffix" : "" }, { "dropping-particle" : "", "family" : "Liu", "given" : "Y", "non-dropping-particle" : "", "parse-names" : false, "suffix" : "" }, { "dropping-particle" : "", "family" : "Khan", "given" : "S M A", "non-dropping-particle" : "", "parse-names" : false, "suffix" : "" }, { "dropping-particle" : "", "family" : "Hou", "given" : "L X", "non-dropping-particle" : "", "parse-names" : false, "suffix" : "" }, { "dropping-particle" : "", "family" : "Bolen", "given" : "D W", "non-dropping-particle" : "", "parse-names" : false, "suffix" : "" } ], "container-title" : "Biochemistry", "id" : "ITEM-4", "issued" : { "date-parts" : [ [ "1992", "6", "16" ] ] }, "page" : "5278-5283", "title" : "Increased thermal stability of proteins in the presence of naturally occurring osmolytes", "type" : "article-journal", "volume" : "31" }, "uris" : [ "http://www.mendeley.com/documents/?uuid=43f8c6ce-f911-44c3-88ac-ffd899b1fb4f" ] } ], "mendeley" : { "formattedCitation" : "(Bru\u017adziak et al. 2013; Arakawa &amp; Timasheff 1983; Arakawa &amp; Timasheff 1984a; Santoro et al. 1992)", "plainTextFormattedCitation" : "(Bru\u017adziak et al. 2013; Arakawa &amp; Timasheff 1983; Arakawa &amp; Timasheff 1984a; Santoro et al. 1992)", "previouslyFormattedCitation" : "(Bru\u017adziak et al. 2013; Arakawa &amp; Timasheff 1983; Arakawa &amp; Timasheff 1984a; Santoro et al. 1992)" }, "properties" : { "noteIndex" : 0 }, "schema" : "https://github.com/citation-style-language/schema/raw/master/csl-citation.json" }</w:instrText>
      </w:r>
      <w:r>
        <w:fldChar w:fldCharType="separate"/>
      </w:r>
      <w:r w:rsidR="0064368A" w:rsidRPr="00E3274E">
        <w:rPr>
          <w:noProof/>
          <w:lang w:val="it-IT"/>
        </w:rPr>
        <w:t>(Bruździak et al. 2013; Arakawa &amp; Timasheff 1983; Arakawa &amp; Timasheff 1984a; Santoro et al. 1992)</w:t>
      </w:r>
      <w:r>
        <w:fldChar w:fldCharType="end"/>
      </w:r>
      <w:r w:rsidRPr="00E3274E">
        <w:rPr>
          <w:lang w:val="it-IT"/>
        </w:rPr>
        <w:t xml:space="preserve">. </w:t>
      </w:r>
      <w:r>
        <w:t>Arginine also destabilises all three proteins at a concentration of 500 mM, but to a lesser extent than GdnHCl (</w:t>
      </w:r>
      <w:r w:rsidR="00146647">
        <w:fldChar w:fldCharType="begin"/>
      </w:r>
      <w:r w:rsidR="00146647">
        <w:instrText xml:space="preserve"> REF _Ref462998468 \h </w:instrText>
      </w:r>
      <w:r w:rsidR="00146647">
        <w:fldChar w:fldCharType="separate"/>
      </w:r>
      <w:r w:rsidR="00AA6926">
        <w:t xml:space="preserve">Figure </w:t>
      </w:r>
      <w:r w:rsidR="00AA6926">
        <w:rPr>
          <w:noProof/>
        </w:rPr>
        <w:t>3</w:t>
      </w:r>
      <w:r w:rsidR="00AA6926">
        <w:noBreakHyphen/>
      </w:r>
      <w:r w:rsidR="00AA6926">
        <w:rPr>
          <w:noProof/>
        </w:rPr>
        <w:t>2</w:t>
      </w:r>
      <w:r w:rsidR="00146647">
        <w:fldChar w:fldCharType="end"/>
      </w:r>
      <w:r w:rsidR="00146647">
        <w:t xml:space="preserve"> </w:t>
      </w:r>
      <w:r>
        <w:t xml:space="preserve">bottom panel). </w:t>
      </w:r>
    </w:p>
    <w:p w14:paraId="4D10D765" w14:textId="77777777" w:rsidR="00C56CFB" w:rsidRDefault="006B257F" w:rsidP="006B257F">
      <w:pPr>
        <w:keepNext/>
        <w:framePr w:w="8056" w:hSpace="180" w:wrap="around" w:vAnchor="text" w:hAnchor="text" w:x="1" w:y="-389"/>
      </w:pPr>
      <w:r>
        <w:object w:dxaOrig="9810" w:dyaOrig="17371" w14:anchorId="221FB2D7">
          <v:shape id="_x0000_i1041" type="#_x0000_t75" style="width:381.75pt;height:677.25pt" o:ole="">
            <v:imagedata r:id="rId50" o:title=""/>
          </v:shape>
          <o:OLEObject Type="Embed" ProgID="SigmaPlotGraphicObject.12" ShapeID="_x0000_i1041" DrawAspect="Content" ObjectID="_1559454695" r:id="rId51"/>
        </w:object>
      </w:r>
    </w:p>
    <w:p w14:paraId="1A242818" w14:textId="77777777" w:rsidR="00C56CFB" w:rsidRDefault="00C56CFB" w:rsidP="006B257F">
      <w:pPr>
        <w:pStyle w:val="Caption"/>
        <w:framePr w:w="8056" w:hSpace="180" w:wrap="around" w:vAnchor="text" w:hAnchor="text" w:x="1" w:y="-389"/>
        <w:jc w:val="left"/>
      </w:pPr>
      <w:bookmarkStart w:id="181" w:name="_Ref462998468"/>
      <w:bookmarkStart w:id="182" w:name="_Ref463015131"/>
      <w:bookmarkStart w:id="183" w:name="_Toc482633180"/>
      <w:r>
        <w:t xml:space="preserve">Figure </w:t>
      </w:r>
      <w:fldSimple w:instr=" STYLEREF 1 \s ">
        <w:r w:rsidR="00AA6926">
          <w:rPr>
            <w:noProof/>
          </w:rPr>
          <w:t>3</w:t>
        </w:r>
      </w:fldSimple>
      <w:r w:rsidR="00BA082C">
        <w:noBreakHyphen/>
      </w:r>
      <w:fldSimple w:instr=" SEQ Figure \* ARABIC \s 1 ">
        <w:r w:rsidR="00AA6926">
          <w:rPr>
            <w:noProof/>
          </w:rPr>
          <w:t>2</w:t>
        </w:r>
      </w:fldSimple>
      <w:bookmarkEnd w:id="181"/>
      <w:r>
        <w:t xml:space="preserve">. </w:t>
      </w:r>
      <w:r w:rsidRPr="00AF08F9">
        <w:t>Change in melting temperature of 1 g/L BSA pH 7 (red circles), 1 g/L lysozyme pH 7 (green triangles), and 0.5 g/L myoglobin pH 8 (blue squares) in the presence of increasing concentrations of glycine (top panel), GdnHCl (middle panel), and arginine (bo</w:t>
      </w:r>
      <w:r>
        <w:t>ttom panel). Dotted line represents no change in melting temperature to guide the eye</w:t>
      </w:r>
      <w:bookmarkEnd w:id="182"/>
      <w:bookmarkEnd w:id="183"/>
    </w:p>
    <w:p w14:paraId="7822D17E" w14:textId="77777777" w:rsidR="00C56CFB" w:rsidRDefault="00C56CFB" w:rsidP="00C56CFB">
      <w:r>
        <w:lastRenderedPageBreak/>
        <w:t xml:space="preserve">The stabilising or destabilising trends above 100 mM cosolute concentration are similar </w:t>
      </w:r>
      <w:r w:rsidR="00B1129D">
        <w:t>for</w:t>
      </w:r>
      <w:r>
        <w:t xml:space="preserve"> all three model proteins despite their variations in size and charge. This rules out direct electrostatic interactions as a potential major mechanism as lysozyme, with a net positive charge, would be expected to show different stability trends to those of BSA and myoglobin, both of which have a net negative charge under these solution conditions.</w:t>
      </w:r>
    </w:p>
    <w:p w14:paraId="6ACBD87D" w14:textId="77777777" w:rsidR="00C56CFB" w:rsidRPr="002C0120" w:rsidRDefault="00C56CFB" w:rsidP="00C56CFB">
      <w:r>
        <w:t>Interestingly these overall trends for stabilisation or destabilisation are only visible at cosolute concentrations above 100 mM. Below 100 mM glycine and arginine have variable effects on protein stability; BSA is slightly stabilised, lysozyme more or less maintains its stability and myoglobin is slightly destabilised. At low concentrations of GdnHCl there is little effect on the thermal stability of all three proteins studied. This demonstrates interesting and unexpected stability trends at low cosolute concentrations that have not been seen previously. The effects of the individual cosolutes on thermal stability are discussed separately in the following sections and potential mechanisms suggested.</w:t>
      </w:r>
    </w:p>
    <w:p w14:paraId="293D2E38" w14:textId="77777777" w:rsidR="00C56CFB" w:rsidRDefault="00C56CFB" w:rsidP="00C56CFB">
      <w:pPr>
        <w:pStyle w:val="Heading3"/>
      </w:pPr>
      <w:bookmarkStart w:id="184" w:name="_Toc485712786"/>
      <w:r w:rsidRPr="00C166C3">
        <w:t>Glycine</w:t>
      </w:r>
      <w:bookmarkEnd w:id="184"/>
    </w:p>
    <w:p w14:paraId="2B22E918" w14:textId="77777777" w:rsidR="00C56CFB" w:rsidRPr="005B1645" w:rsidRDefault="00C56CFB" w:rsidP="00C56CFB">
      <w:pPr>
        <w:pStyle w:val="Heading4"/>
      </w:pPr>
      <w:r>
        <w:t>Low glycine concentrations</w:t>
      </w:r>
    </w:p>
    <w:p w14:paraId="755513E2" w14:textId="77777777" w:rsidR="00C56CFB" w:rsidRPr="00AE5842" w:rsidRDefault="00C56CFB" w:rsidP="00C56CFB">
      <w:r>
        <w:t>At low concentrations (&lt;100 mM) glycine affected thermal stability in a protein-specific manner (</w:t>
      </w:r>
      <w:r>
        <w:fldChar w:fldCharType="begin"/>
      </w:r>
      <w:r>
        <w:instrText xml:space="preserve"> REF _Ref462911202 \h </w:instrText>
      </w:r>
      <w:r>
        <w:fldChar w:fldCharType="separate"/>
      </w:r>
      <w:r w:rsidR="00AA6926">
        <w:t xml:space="preserve">Figure </w:t>
      </w:r>
      <w:r w:rsidR="00AA6926">
        <w:rPr>
          <w:noProof/>
        </w:rPr>
        <w:t>3</w:t>
      </w:r>
      <w:r w:rsidR="00AA6926">
        <w:noBreakHyphen/>
      </w:r>
      <w:r w:rsidR="00AA6926">
        <w:rPr>
          <w:noProof/>
        </w:rPr>
        <w:t>3</w:t>
      </w:r>
      <w:r>
        <w:fldChar w:fldCharType="end"/>
      </w:r>
      <w:r>
        <w:t xml:space="preserve">). 75 mM glycine stabilised BSA by 2.1 °C, slightly stabilised lysozyme by 0.9 °C and slightly destabilised myoglobin by -1.0 °C. Although very rarely studied in thermal stability studies, these low cosolute concentrations are physiologically relevant and often used in formulations. As glycine is generally used as a stabilising excipient </w:t>
      </w:r>
      <w:r>
        <w:fldChar w:fldCharType="begin" w:fldLock="1"/>
      </w:r>
      <w:r>
        <w:instrText>ADDIN CSL_CITATION { "citationItems" : [ { "id" : "ITEM-1", "itemData" : { "DOI" : "10.1517/17425240903199143", "ISSN" : "1744-7593", "PMID" : "19678792", "abstract" : "In the area of peptide and protein pharmaceuticals, both the physical and chemical stability of biopharmaceuticals are critical and need to be optimised when formulating a drug product, in order to optimise the outcome after processing and storage. This review focuses on the effects on the stability from various types of excipient and the choices that have to be made during formulation of drug products containing peptides or proteins. It is illustrated, through examples, how the choice of one excipient over another can affect the stability of a protein drug formulation, along with other problems linked to this choice. The excipients used in pharmaceutical preparations are limited and from an academic point of view there is a clear requirement for new excipients.", "author" : [ { "dropping-particle" : "", "family" : "Jorgensen", "given" : "L", "non-dropping-particle" : "", "parse-names" : false, "suffix" : "" }, { "dropping-particle" : "", "family" : "Hostrup", "given" : "S", "non-dropping-particle" : "", "parse-names" : false, "suffix" : "" }, { "dropping-particle" : "", "family" : "Moeller", "given" : "E H", "non-dropping-particle" : "", "parse-names" : false, "suffix" : "" }, { "dropping-particle" : "", "family" : "Grohganz", "given" : "H", "non-dropping-particle" : "", "parse-names" : false, "suffix" : "" } ], "container-title" : "Expert Opinion on Drug Delivery", "id" : "ITEM-1", "issued" : { "date-parts" : [ [ "2009", "11" ] ] }, "page" : "1219-1230", "title" : "Recent trends in stabilising peptides and proteins in pharmaceutical formulation - considerations in the choice of excipients", "type" : "article-journal", "volume" : "6" }, "uris" : [ "http://www.mendeley.com/documents/?uuid=8bf98923-ee81-40e1-a96a-6352403ea5bb" ] } ], "mendeley" : { "formattedCitation" : "(Jorgensen et al. 2009)", "plainTextFormattedCitation" : "(Jorgensen et al. 2009)", "previouslyFormattedCitation" : "(Jorgensen et al. 2009)" }, "properties" : { "noteIndex" : 0 }, "schema" : "https://github.com/citation-style-language/schema/raw/master/csl-citation.json" }</w:instrText>
      </w:r>
      <w:r>
        <w:fldChar w:fldCharType="separate"/>
      </w:r>
      <w:r w:rsidRPr="002D6332">
        <w:rPr>
          <w:noProof/>
        </w:rPr>
        <w:t>(Jorgensen et al. 2009)</w:t>
      </w:r>
      <w:r>
        <w:fldChar w:fldCharType="end"/>
      </w:r>
      <w:r>
        <w:t>, the fact that it destabilises myoglobin brings to question whether it is always a suitable excipient, especially as there appears to be wide acceptance that glycine stabilises proteins universally.</w:t>
      </w:r>
    </w:p>
    <w:p w14:paraId="5BE8C0F5" w14:textId="77777777" w:rsidR="00C56CFB" w:rsidRDefault="006B257F" w:rsidP="006B257F">
      <w:pPr>
        <w:keepNext/>
        <w:framePr w:w="8506" w:hSpace="180" w:wrap="around" w:vAnchor="text" w:hAnchor="text" w:x="1" w:y="1"/>
      </w:pPr>
      <w:r>
        <w:object w:dxaOrig="10380" w:dyaOrig="6825" w14:anchorId="351CA94A">
          <v:shape id="_x0000_i1042" type="#_x0000_t75" style="width:431.25pt;height:284.25pt" o:ole="">
            <v:imagedata r:id="rId52" o:title=""/>
          </v:shape>
          <o:OLEObject Type="Embed" ProgID="SigmaPlotGraphicObject.12" ShapeID="_x0000_i1042" DrawAspect="Content" ObjectID="_1559454696" r:id="rId53"/>
        </w:object>
      </w:r>
    </w:p>
    <w:p w14:paraId="0B3F5A96" w14:textId="77777777" w:rsidR="00C56CFB" w:rsidRDefault="00C56CFB" w:rsidP="006B257F">
      <w:pPr>
        <w:pStyle w:val="Caption"/>
        <w:framePr w:w="8506" w:hSpace="180" w:wrap="around" w:vAnchor="text" w:hAnchor="text" w:x="1" w:y="1"/>
        <w:jc w:val="left"/>
      </w:pPr>
      <w:bookmarkStart w:id="185" w:name="_Ref462911202"/>
      <w:bookmarkStart w:id="186" w:name="_Toc482633181"/>
      <w:r>
        <w:t xml:space="preserve">Figure </w:t>
      </w:r>
      <w:fldSimple w:instr=" STYLEREF 1 \s ">
        <w:r w:rsidR="00AA6926">
          <w:rPr>
            <w:noProof/>
          </w:rPr>
          <w:t>3</w:t>
        </w:r>
      </w:fldSimple>
      <w:r w:rsidR="00BA082C">
        <w:noBreakHyphen/>
      </w:r>
      <w:fldSimple w:instr=" SEQ Figure \* ARABIC \s 1 ">
        <w:r w:rsidR="00AA6926">
          <w:rPr>
            <w:noProof/>
          </w:rPr>
          <w:t>3</w:t>
        </w:r>
      </w:fldSimple>
      <w:bookmarkEnd w:id="185"/>
      <w:r>
        <w:t>. The effect of low concentrations of glycine (&lt;100 mM) on the thermal stability of BSA, lysozyme and myoglobin demonstrating the protein-specific effects seen at these concentrations. Dotted line represents no change in melting temperature to guide the eye</w:t>
      </w:r>
      <w:bookmarkEnd w:id="186"/>
    </w:p>
    <w:p w14:paraId="1882EF55" w14:textId="77777777" w:rsidR="00C56CFB" w:rsidRDefault="00C56CFB" w:rsidP="00C56CFB">
      <w:r>
        <w:t xml:space="preserve">Glycine is zwitterionic and relatively small as a cosolute, which means it is able to interact with positively and negatively charged groups, and will not be sterically hindered from the protein surface. In particular there may be numerous sites on the protein for glycine to interact with the peptide backbone; a mechanism that has been suggested previously for osmolyte action on protein stability </w:t>
      </w:r>
      <w:r>
        <w:fldChar w:fldCharType="begin" w:fldLock="1"/>
      </w:r>
      <w:r>
        <w:instrText>ADDIN CSL_CITATION { "citationItems" : [ { "id" : "ITEM-1", "itemData" : { "ISSN" : "0006-2960", "PMID" : "7548045", "abstract" : "Transfer free energy measurements of amino acids from water to the osmolytes, sucrose and sarcosine, were made as a function of osmolyte concentration. From these data, transfer free energies of the amino acid side chains were obtained, and the transfer free energy of the peptide backbone was determined from solubility measurements of diketopiperazine (DKP). Using static accessible surface evaluations of the native and unfolded states of ribonuclease A, solvent exposed side chain and peptide backbone areas were multiplied by their transfer free energies and summed in order to evaluate the transfer free energy of the native and unfolded states of the protein from water to the osmolyte solutions. The results reproduced the main features of the free energy profile determined for denaturation of proteins in the presence of osmolytes. The side chains were found collectively to favor exposure to the osmolyte in comparison to exposure in water, and in this sense the side chains favor protein unfolding. The major factor which opposes and overrides the side chain preference for denaturation and results in the stabilization of proteins observed in osmolytes is the highly unfavorable exposure of polypeptide backbone on unfolding. Except for urea and guanidine hydrochloride solutions, it is shown that all organic solvents (e.g., dioxane, ethanol, ethylene glycol) and solutes (osmolytes) for which transfer free energy measurements have been determined exhibit unfavorable transfer free energy of the peptide backbone.(ABSTRACT TRUNCATED AT 250 WORDS)", "author" : [ { "dropping-particle" : "", "family" : "Liu", "given" : "Y", "non-dropping-particle" : "", "parse-names" : false, "suffix" : "" }, { "dropping-particle" : "", "family" : "Bolen", "given" : "D W", "non-dropping-particle" : "", "parse-names" : false, "suffix" : "" } ], "container-title" : "Biochemistry", "id" : "ITEM-1", "issued" : { "date-parts" : [ [ "1995", "10", "3" ] ] }, "page" : "12884-12891", "title" : "The peptide backbone plays a dominant role in protein stabilization by naturally occurring osmolytes", "type" : "article-journal", "volume" : "34" }, "uris" : [ "http://www.mendeley.com/documents/?uuid=f2438128-c452-4f69-b9ca-6bf30b770a74" ] }, { "id" : "ITEM-2", "itemData" : { "DOI" : "10.1073/pnas.0606236103", "ISSN" : "0027-8424", "PMID" : "16968772", "abstract" : "Osmolytes are small organic compounds that affect protein stability and are ubiquitous in living systems. In the equilibrium protein folding reaction, unfolded (U) native (N), protecting osmolytes push the equilibrium toward N, whereas denaturing osmolytes push the equilibrium toward U. As yet, there is no universal molecular theory that can explain the mechanism by which osmolytes interact with the protein to affect protein stability. Here, we lay the groundwork for such a theory, starting with a key observation: the transfer free energy of protein backbone from water to a water/osmolyte solution, Deltagtr, is negatively correlated with an osmolyte's fractional polar surface area. Deltagtr measures the degree to which an osmolyte stabilizes a protein. Consequently, a straightforward interpretation of this correlation implies that the interaction between the protein backbone and osmolyte polar groups is more favorable than the corresponding interaction with nonpolar groups. Such an interpretation immediately suggests the existence of a universal mechanism involving osmolyte, backbone, and water. We test this idea by using it to construct a quantitative solvation model in which backbone/solvent interaction energy is a function of interactant polarity, and the number of energetically equivalent ways of realizing a given interaction is a function of interactant surface area. Using this model, calculated Deltagtr values show a strong correlation with measured values (R = 0.99). In addition, the model correctly predicts that protecting/denaturing osmolytes will be preferentially excluded/accumulated around the protein backbone. Taken together, these model-based results rationalize the dominant interactions observed in experimental studies of osmolyte-induced protein stabilization and denaturation.", "author" : [ { "dropping-particle" : "", "family" : "Street", "given" : "T O", "non-dropping-particle" : "", "parse-names" : false, "suffix" : "" }, { "dropping-particle" : "", "family" : "Bolen", "given" : "D W", "non-dropping-particle" : "", "parse-names" : false, "suffix" : "" }, { "dropping-particle" : "", "family" : "Rose", "given" : "G D", "non-dropping-particle" : "", "parse-names" : false, "suffix" : "" } ], "container-title" : "Proceedings of the National Academy of Sciences of the United States of America", "id" : "ITEM-2", "issued" : { "date-parts" : [ [ "2006", "9", "19" ] ] }, "page" : "13997-14002", "title" : "A molecular mechanism for osmolyte-induced protein stability", "type" : "article-journal", "volume" : "103" }, "uris" : [ "http://www.mendeley.com/documents/?uuid=6762294e-65c7-4895-b11f-2348365549f2" ] } ], "mendeley" : { "formattedCitation" : "(Liu &amp; Bolen 1995; Street et al. 2006)", "plainTextFormattedCitation" : "(Liu &amp; Bolen 1995; Street et al. 2006)", "previouslyFormattedCitation" : "(Liu &amp; Bolen 1995; Street et al. 2006)" }, "properties" : { "noteIndex" : 0 }, "schema" : "https://github.com/citation-style-language/schema/raw/master/csl-citation.json" }</w:instrText>
      </w:r>
      <w:r>
        <w:fldChar w:fldCharType="separate"/>
      </w:r>
      <w:r w:rsidRPr="005B1645">
        <w:rPr>
          <w:noProof/>
        </w:rPr>
        <w:t>(Liu &amp; Bolen 1995; Street et al. 2006)</w:t>
      </w:r>
      <w:r>
        <w:fldChar w:fldCharType="end"/>
      </w:r>
      <w:r>
        <w:t xml:space="preserve">. The number of sites for these weak nonspecific interactions will differ between proteins depending on characteristics such as size and shape. Due to glycine’s effects not following trends based on protein charge, more specific interactions with either positively or negatively charged side chains resulting in a consistent effect on protein stability can be ruled out. This protein-specific stabilisation trend can be explained by a combination of numerous weak interactions between glycine and nonspecific sites on the protein including charged groups and the peptide backbone. Specific trends at low concentrations of kosmotropic salts have been attributed to similar nonspecific weak interactions previously </w:t>
      </w:r>
      <w:r>
        <w:fldChar w:fldCharType="begin" w:fldLock="1"/>
      </w:r>
      <w:r>
        <w:instrText>ADDIN CSL_CITATION { "citationItems" : [ { "id" : "ITEM-1", "itemData" : { "DOI" : "10.1021/jp412140v", "ISSN" : "1520-5207", "PMID" : "24684707", "abstract" : "Addition of high and medium charge density anions (phosphate, sulfate, and chloride) to lysozyme in pure water demonstrates three stages for stabilization of the protein structure. The first two stages have a minor impact on lysozyme stability and are probably associated with direct interaction of the ions with charged and partial charges on the protein's surface. There is a clear transition between the second and third stages; in the case of sodium chloride, disodium sulfate and disodium hydrogen phosphate this is at 550, 210, and 120 mM, respectively. Stabilization of lysozyme can be explained by the free energy required to hydrate the protein as it unfolds. At low ion concentrations, the protein's hydration layer is at equilibrium with the bulk water. After the transition, bulk water is depleted and the protein is competing for water with the ions. With competition for water between the protein and the ions at higher salt concentrations, the free energy required to hydrate the interior of the protein rises and it is this that stabilizes the protein structure.", "author" : [ { "dropping-particle" : "", "family" : "Bye", "given" : "J W", "non-dropping-particle" : "", "parse-names" : false, "suffix" : "" }, { "dropping-particle" : "", "family" : "Falconer", "given" : "R J", "non-dropping-particle" : "", "parse-names" : false, "suffix" : "" } ], "container-title" : "Journal of Physical Chemistry B", "id" : "ITEM-1", "issued" : { "date-parts" : [ [ "2014", "4", "24" ] ] }, "page" : "4282-4286", "title" : "Three stages of lysozyme thermal stabilization by high and medium charge density anions", "type" : "article-journal", "volume" : "118" }, "uris" : [ "http://www.mendeley.com/documents/?uuid=04df9c17-7b61-4cec-9b8c-296591f7406f" ] } ], "mendeley" : { "formattedCitation" : "(Bye &amp; Falconer 2014)", "plainTextFormattedCitation" : "(Bye &amp; Falconer 2014)", "previouslyFormattedCitation" : "(Bye &amp; Falconer 2014)" }, "properties" : { "noteIndex" : 0 }, "schema" : "https://github.com/citation-style-language/schema/raw/master/csl-citation.json" }</w:instrText>
      </w:r>
      <w:r>
        <w:fldChar w:fldCharType="separate"/>
      </w:r>
      <w:r w:rsidRPr="005B1645">
        <w:rPr>
          <w:noProof/>
        </w:rPr>
        <w:t>(Bye &amp; Falconer 2014)</w:t>
      </w:r>
      <w:r>
        <w:fldChar w:fldCharType="end"/>
      </w:r>
      <w:r>
        <w:t>, although in that case low and intermediate concentration effects were shown to be governed by separate mechanisms.</w:t>
      </w:r>
    </w:p>
    <w:p w14:paraId="72244440" w14:textId="77777777" w:rsidR="00C56CFB" w:rsidRDefault="00C56CFB" w:rsidP="00C56CFB">
      <w:r>
        <w:t xml:space="preserve">Although relatively uncommon, there are instances where osmolytes have been shown to destabilise proteins under certain conditions, particularly when the pH is altered beyond the pKa of the osmolyte </w:t>
      </w:r>
      <w:r>
        <w:fldChar w:fldCharType="begin" w:fldLock="1"/>
      </w:r>
      <w:r w:rsidR="007228DB">
        <w:instrText>ADDIN CSL_CITATION { "citationItems" : [ { "id" : "ITEM-1", "itemData" : { "DOI" : "10.1016/j.lfs.2010.10.020", "ISSN" : "1879-0631", "PMID" : "21047521", "abstract" : "Osmolytes are naturally occurring small molecules accumulated intracellularly to protect organisms from various denaturing stresses. Similar to the two faces of a coin, several of these osmolytes are stabilizing and destabilizing proteins depending on the concentrations and/or solvent conditions. For example, the well known stabilizing osmolyte, trehalose destabilizes some proteins at high concentration and/or high pH. In spite of the fact that destabilizing aspects of osmolytes can modulate many cellular processes including regulation of protein homeostasis (proteostasis), protein-protein interaction, and protein-DNA interaction, researchers have mostly focused on the stabilizing aspects of osmolytes. Thus, it is important to look into both aspects of osmolytes to determine their precise role under physiological conditions. In this article, we have discussed both stabilizing and destabilizing/denaturant aspects of osmolytes to uncover both sides of the coin.", "author" : [ { "dropping-particle" : "", "family" : "Singh", "given" : "L R", "non-dropping-particle" : "", "parse-names" : false, "suffix" : "" }, { "dropping-particle" : "", "family" : "Poddar", "given" : "N K", "non-dropping-particle" : "", "parse-names" : false, "suffix" : "" }, { "dropping-particle" : "", "family" : "Dar", "given" : "T A", "non-dropping-particle" : "", "parse-names" : false, "suffix" : "" }, { "dropping-particle" : "", "family" : "Kumar", "given" : "R", "non-dropping-particle" : "", "parse-names" : false, "suffix" : "" }, { "dropping-particle" : "", "family" : "Ahmad", "given" : "F", "non-dropping-particle" : "", "parse-names" : false, "suffix" : "" } ], "container-title" : "Life Sciences", "id" : "ITEM-1", "issued" : { "date-parts" : [ [ "2011", "1", "17" ] ] }, "page" : "117-125", "publisher" : "Elsevier Inc.", "title" : "Protein and DNA destabilization by osmolytes: The other side of the coin", "type" : "article-journal", "volume" : "88" }, "uris" : [ "http://www.mendeley.com/documents/?uuid=a93927d1-65f0-454d-8f61-5187bb7ae361" ] } ], "mendeley" : { "formattedCitation" : "(Singh, Poddar, Dar, Kumar, et al. 2011)", "plainTextFormattedCitation" : "(Singh, Poddar, Dar, Kumar, et al. 2011)", "previouslyFormattedCitation" : "(Singh, Poddar, Dar, Kumar, et al. 2011)" }, "properties" : { "noteIndex" : 0 }, "schema" : "https://github.com/citation-style-language/schema/raw/master/csl-citation.json" }</w:instrText>
      </w:r>
      <w:r>
        <w:fldChar w:fldCharType="separate"/>
      </w:r>
      <w:r w:rsidR="0064368A" w:rsidRPr="0064368A">
        <w:rPr>
          <w:noProof/>
        </w:rPr>
        <w:t>(Singh, Poddar, Dar, Kumar, et al. 2011)</w:t>
      </w:r>
      <w:r>
        <w:fldChar w:fldCharType="end"/>
      </w:r>
      <w:r>
        <w:t xml:space="preserve">. Certain polyols have been shown to slightly destabilise α-lactalbumin at low concentrations before stabilising at higher concentrations, although to a much lesser extent than seen for other proteins, in a similar manner to myoglobin here </w:t>
      </w:r>
      <w:r>
        <w:fldChar w:fldCharType="begin" w:fldLock="1"/>
      </w:r>
      <w:r>
        <w:instrText>ADDIN CSL_CITATION { "citationItems" : [ { "id" : "ITEM-1", "itemData" : { "DOI" : "10.1007/s10973-009-0138-9", "ISBN" : "1097300901389", "ISSN" : "1388-6150", "author" : [ { "dropping-particle" : "", "family" : "Romero", "given" : "C M", "non-dropping-particle" : "", "parse-names" : false, "suffix" : "" }, { "dropping-particle" : "", "family" : "Albis", "given" : "A", "non-dropping-particle" : "", "parse-names" : false, "suffix" : "" }, { "dropping-particle" : "", "family" : "Lozano", "given" : "J M", "non-dropping-particle" : "", "parse-names" : false, "suffix" : "" }, { "dropping-particle" : "", "family" : "Sancho", "given" : "J", "non-dropping-particle" : "", "parse-names" : false, "suffix" : "" } ], "container-title" : "Journal of Thermal Analysis &amp; Calorimetry", "id" : "ITEM-1", "issued" : { "date-parts" : [ [ "2009", "6", "19" ] ] }, "note" : "This paper agrees with my results that osmolytes affect protein stability in a concentration-dependent manner. Only other paper that shows osmolytes either don't stabilise or even destabilise at lower concentrations. Uses polyols and glucose to show this. Their explanation for this is that bovine lactalbumin doesnt completely unfold even at high temperatures, which can be related to surface tension increments or molecular crowding but not preferential interaction as the polyols are excluded just as with other proteins", "page" : "165-171", "title" : "Thermodynamic study of the influence of polyols and glucose on the thermal stability of holo-bovine \u03b1-lactalbumin", "type" : "article-journal", "volume" : "98" }, "uris" : [ "http://www.mendeley.com/documents/?uuid=86ee3fe1-143a-436e-af12-569fad5158f0" ] } ], "mendeley" : { "formattedCitation" : "(Romero et al. 2009)", "plainTextFormattedCitation" : "(Romero et al. 2009)", "previouslyFormattedCitation" : "(Romero et al. 2009)" }, "properties" : { "noteIndex" : 0 }, "schema" : "https://github.com/citation-style-language/schema/raw/master/csl-citation.json" }</w:instrText>
      </w:r>
      <w:r>
        <w:fldChar w:fldCharType="separate"/>
      </w:r>
      <w:r w:rsidRPr="00472782">
        <w:rPr>
          <w:noProof/>
        </w:rPr>
        <w:t>(Romero et al. 2009)</w:t>
      </w:r>
      <w:r>
        <w:fldChar w:fldCharType="end"/>
      </w:r>
      <w:r>
        <w:t>. This trend was attributed to the fact that α-lactalbumin has incomplete exposure of its apolar core on denaturation, making it much easier to unfold than other proteins. There is no evidence to suggest this is the case for myoglobin.</w:t>
      </w:r>
    </w:p>
    <w:p w14:paraId="745B4A2D" w14:textId="77777777" w:rsidR="00C56CFB" w:rsidRDefault="00C56CFB" w:rsidP="00C56CFB">
      <w:r>
        <w:t xml:space="preserve">Romero et al. pointed out the lack of data of the effects of osmolytes at low concentrations, and their discovery of this concentration-dependent trend stemmed from attempting to tackle this </w:t>
      </w:r>
      <w:r>
        <w:fldChar w:fldCharType="begin" w:fldLock="1"/>
      </w:r>
      <w:r>
        <w:instrText>ADDIN CSL_CITATION { "citationItems" : [ { "id" : "ITEM-1", "itemData" : { "DOI" : "10.1007/s10973-009-0138-9", "ISBN" : "1097300901389", "ISSN" : "1388-6150", "author" : [ { "dropping-particle" : "", "family" : "Romero", "given" : "C M", "non-dropping-particle" : "", "parse-names" : false, "suffix" : "" }, { "dropping-particle" : "", "family" : "Albis", "given" : "A", "non-dropping-particle" : "", "parse-names" : false, "suffix" : "" }, { "dropping-particle" : "", "family" : "Lozano", "given" : "J M", "non-dropping-particle" : "", "parse-names" : false, "suffix" : "" }, { "dropping-particle" : "", "family" : "Sancho", "given" : "J", "non-dropping-particle" : "", "parse-names" : false, "suffix" : "" } ], "container-title" : "Journal of Thermal Analysis &amp; Calorimetry", "id" : "ITEM-1", "issued" : { "date-parts" : [ [ "2009", "6", "19" ] ] }, "note" : "This paper agrees with my results that osmolytes affect protein stability in a concentration-dependent manner. Only other paper that shows osmolytes either don't stabilise or even destabilise at lower concentrations. Uses polyols and glucose to show this. Their explanation for this is that bovine lactalbumin doesnt completely unfold even at high temperatures, which can be related to surface tension increments or molecular crowding but not preferential interaction as the polyols are excluded just as with other proteins", "page" : "165-171", "title" : "Thermodynamic study of the influence of polyols and glucose on the thermal stability of holo-bovine \u03b1-lactalbumin", "type" : "article-journal", "volume" : "98" }, "uris" : [ "http://www.mendeley.com/documents/?uuid=86ee3fe1-143a-436e-af12-569fad5158f0" ] } ], "mendeley" : { "formattedCitation" : "(Romero et al. 2009)", "plainTextFormattedCitation" : "(Romero et al. 2009)", "previouslyFormattedCitation" : "(Romero et al. 2009)" }, "properties" : { "noteIndex" : 0 }, "schema" : "https://github.com/citation-style-language/schema/raw/master/csl-citation.json" }</w:instrText>
      </w:r>
      <w:r>
        <w:fldChar w:fldCharType="separate"/>
      </w:r>
      <w:r w:rsidRPr="00CE17A3">
        <w:rPr>
          <w:noProof/>
        </w:rPr>
        <w:t>(Romero et al. 2009)</w:t>
      </w:r>
      <w:r>
        <w:fldChar w:fldCharType="end"/>
      </w:r>
      <w:r>
        <w:t xml:space="preserve">. It is therefore entirely possible that most if not all </w:t>
      </w:r>
      <w:r w:rsidR="00F9500C">
        <w:t>stabilising cosolutes</w:t>
      </w:r>
      <w:r>
        <w:t xml:space="preserve"> demonstrate similar stability trends, and that the scarcity of data available at these lower concentrations is responsible for the trends not being observed previously. If this were found to be the case, this could be helpful in gaining better understanding of the mecha</w:t>
      </w:r>
      <w:r w:rsidR="00F9500C">
        <w:t>nisms governing the effects of cosolutes</w:t>
      </w:r>
      <w:r>
        <w:t xml:space="preserve"> on protein stability. Specifically, concentration-dependent effects such as these are unlikely to be explained by a simple and singular mechanism such as preferential exclusion or enhancement of water structure but likely to be a combination or balance between a number of different and potentially counteracting mechanisms. Indeed the presence of two distinct phases of protein stabilisation seen here suggests that this is the case for glycine.</w:t>
      </w:r>
    </w:p>
    <w:p w14:paraId="6D399529" w14:textId="77777777" w:rsidR="00C56CFB" w:rsidRDefault="00C56CFB" w:rsidP="00C56CFB">
      <w:pPr>
        <w:pStyle w:val="Heading4"/>
      </w:pPr>
      <w:r>
        <w:t>High glycine concentrations</w:t>
      </w:r>
    </w:p>
    <w:p w14:paraId="551C26A0" w14:textId="77777777" w:rsidR="00C56CFB" w:rsidRPr="00857021" w:rsidRDefault="00C56CFB" w:rsidP="00C56CFB">
      <w:r>
        <w:t>At concentrations above 100 mM glycine almost linearly stabilises all three proteins studied (</w:t>
      </w:r>
      <w:r>
        <w:fldChar w:fldCharType="begin"/>
      </w:r>
      <w:r>
        <w:instrText xml:space="preserve"> REF _Ref462935335 \h </w:instrText>
      </w:r>
      <w:r>
        <w:fldChar w:fldCharType="separate"/>
      </w:r>
      <w:r w:rsidR="00AA6926">
        <w:t xml:space="preserve">Figure </w:t>
      </w:r>
      <w:r w:rsidR="00AA6926">
        <w:rPr>
          <w:noProof/>
        </w:rPr>
        <w:t>3</w:t>
      </w:r>
      <w:r w:rsidR="00AA6926">
        <w:noBreakHyphen/>
      </w:r>
      <w:r w:rsidR="00AA6926">
        <w:rPr>
          <w:noProof/>
        </w:rPr>
        <w:t>4</w:t>
      </w:r>
      <w:r>
        <w:fldChar w:fldCharType="end"/>
      </w:r>
      <w:r>
        <w:t>). The protein-specific stabilisation or destabilisation caused by lower concentrations of glycine dictates the absolute change in melting temperature for each protein, but overall the stabilising trends above 100 mM are similar.</w:t>
      </w:r>
    </w:p>
    <w:p w14:paraId="3402B526" w14:textId="77777777" w:rsidR="00C56CFB" w:rsidRDefault="006B257F" w:rsidP="006B257F">
      <w:pPr>
        <w:keepNext/>
        <w:framePr w:w="8431" w:hSpace="180" w:wrap="around" w:vAnchor="text" w:hAnchor="text" w:x="1" w:y="2"/>
      </w:pPr>
      <w:r>
        <w:object w:dxaOrig="10756" w:dyaOrig="6825" w14:anchorId="279744CA">
          <v:shape id="_x0000_i1043" type="#_x0000_t75" style="width:417pt;height:264pt" o:ole="">
            <v:imagedata r:id="rId54" o:title=""/>
          </v:shape>
          <o:OLEObject Type="Embed" ProgID="SigmaPlotGraphicObject.12" ShapeID="_x0000_i1043" DrawAspect="Content" ObjectID="_1559454697" r:id="rId55"/>
        </w:object>
      </w:r>
    </w:p>
    <w:p w14:paraId="66EC314B" w14:textId="77777777" w:rsidR="00C56CFB" w:rsidRDefault="00C56CFB" w:rsidP="006B257F">
      <w:pPr>
        <w:pStyle w:val="Caption"/>
        <w:framePr w:w="8431" w:hSpace="180" w:wrap="around" w:vAnchor="text" w:hAnchor="text" w:x="1" w:y="2"/>
        <w:jc w:val="left"/>
      </w:pPr>
      <w:bookmarkStart w:id="187" w:name="_Ref462935335"/>
      <w:bookmarkStart w:id="188" w:name="_Toc482633182"/>
      <w:r>
        <w:t xml:space="preserve">Figure </w:t>
      </w:r>
      <w:fldSimple w:instr=" STYLEREF 1 \s ">
        <w:r w:rsidR="00AA6926">
          <w:rPr>
            <w:noProof/>
          </w:rPr>
          <w:t>3</w:t>
        </w:r>
      </w:fldSimple>
      <w:r w:rsidR="00BA082C">
        <w:noBreakHyphen/>
      </w:r>
      <w:fldSimple w:instr=" SEQ Figure \* ARABIC \s 1 ">
        <w:r w:rsidR="00AA6926">
          <w:rPr>
            <w:noProof/>
          </w:rPr>
          <w:t>4</w:t>
        </w:r>
      </w:fldSimple>
      <w:bookmarkEnd w:id="187"/>
      <w:r>
        <w:t>. The effect of high concentrations of glycine (&gt;</w:t>
      </w:r>
      <w:r w:rsidRPr="00AB5C5C">
        <w:t xml:space="preserve">100 mM) on the thermal stability of BSA, lysozyme and myoglobin demonstrating the </w:t>
      </w:r>
      <w:r>
        <w:t>universal stabilisation</w:t>
      </w:r>
      <w:r w:rsidRPr="00AB5C5C">
        <w:t xml:space="preserve"> seen at these concentrations. Dotted line represents no change in melting temperature to guide the</w:t>
      </w:r>
      <w:r>
        <w:t xml:space="preserve"> eye</w:t>
      </w:r>
      <w:bookmarkEnd w:id="188"/>
    </w:p>
    <w:p w14:paraId="0E2BF6D2" w14:textId="77777777" w:rsidR="00C56CFB" w:rsidRPr="00857021" w:rsidRDefault="00C56CFB" w:rsidP="00C56CFB">
      <w:r>
        <w:t xml:space="preserve">Although glycine’s stabilising capabilities are well known, the degree by which it stabilises proteins differs substantially between studies. In </w:t>
      </w:r>
      <w:r>
        <w:fldChar w:fldCharType="begin"/>
      </w:r>
      <w:r>
        <w:instrText xml:space="preserve"> REF _Ref462935927 \h </w:instrText>
      </w:r>
      <w:r>
        <w:fldChar w:fldCharType="separate"/>
      </w:r>
      <w:r w:rsidR="00AA6926">
        <w:t xml:space="preserve">Table </w:t>
      </w:r>
      <w:r w:rsidR="00AA6926">
        <w:rPr>
          <w:noProof/>
        </w:rPr>
        <w:t>3</w:t>
      </w:r>
      <w:r w:rsidR="00AA6926">
        <w:noBreakHyphen/>
      </w:r>
      <w:r w:rsidR="00AA6926">
        <w:rPr>
          <w:noProof/>
        </w:rPr>
        <w:t>1</w:t>
      </w:r>
      <w:r>
        <w:fldChar w:fldCharType="end"/>
      </w:r>
      <w:r>
        <w:t xml:space="preserve"> the changes in melting temperature caused by 1 M glycine seen in this experiment are compared to the values in other studies. Even </w:t>
      </w:r>
      <w:r w:rsidR="00F9500C">
        <w:t>when comparing the same protein</w:t>
      </w:r>
      <w:r>
        <w:t xml:space="preserve"> such as BSA, a change in the solution conditions, particularly the buffer, results in a very different estimate of glycine’s effect on protein stability. More specifically, Arakawa &amp; Timasheff used 1.8 M GdnHCl as a buffer and this resulted in a much larger stabilisation of BSA by 1 M glycine under similar pH conditions </w:t>
      </w:r>
      <w:r>
        <w:fldChar w:fldCharType="begin" w:fldLock="1"/>
      </w:r>
      <w:r>
        <w:instrText>ADDIN CSL_CITATION { "citationItems" : [ { "id" : "ITEM-1", "itemData" : { "ISSN" : "0003-9861", "PMID" : "6870251", "abstract" : "The preferential interactions of proteins with solvent components in concentrated amino acid solutions were measured by high-precision densimetry. Bovine serum albumin and lysozyme were preferentially hydrated in all of the amino acids examined, glycine, alpha- and beta-alanine, and betaine, i.e., addition of these amino acids resulted in an unfavorable free energy change. It was shown that, for the former three amino acids, known to have a positive surface tension increment, their perturbation of the surface free energy of water is consistent with their preferential exclusion from the protein surface. In the case of betaine, which does not increase the surface tension of water, preferential exclusion from protein surface must reflect the chemical structure of this cosolvent, which is considerably more hydrophobic than that of the other three amino acids.", "author" : [ { "dropping-particle" : "", "family" : "Arakawa", "given" : "T", "non-dropping-particle" : "", "parse-names" : false, "suffix" : "" }, { "dropping-particle" : "", "family" : "Timasheff", "given" : "S N", "non-dropping-particle" : "", "parse-names" : false, "suffix" : "" } ], "container-title" : "Archives of Biochemistry and Biophysics", "id" : "ITEM-1", "issued" : { "date-parts" : [ [ "1983", "7", "1" ] ] }, "page" : "169-177", "title" : "Preferential interactions of proteins with solvent components in aqueous amino acid solutions", "type" : "article-journal", "volume" : "224" }, "uris" : [ "http://www.mendeley.com/documents/?uuid=1a6cbc50-77f9-4f1c-84c3-3f29af9f71b8" ] } ], "mendeley" : { "formattedCitation" : "(Arakawa &amp; Timasheff 1983)", "plainTextFormattedCitation" : "(Arakawa &amp; Timasheff 1983)", "previouslyFormattedCitation" : "(Arakawa &amp; Timasheff 1983)" }, "properties" : { "noteIndex" : 0 }, "schema" : "https://github.com/citation-style-language/schema/raw/master/csl-citation.json" }</w:instrText>
      </w:r>
      <w:r>
        <w:fldChar w:fldCharType="separate"/>
      </w:r>
      <w:r w:rsidRPr="002F5F00">
        <w:rPr>
          <w:noProof/>
        </w:rPr>
        <w:t>(Arakawa &amp; Timasheff 1983)</w:t>
      </w:r>
      <w:r>
        <w:fldChar w:fldCharType="end"/>
      </w:r>
      <w:r>
        <w:t>. It is possible that there are intra-solvent interactions occurring between the glycine and GdnHCl causing a synergistic effect. Using high purity water alone as a buffer avoids the potential for such interactions to confound the effects of glycine on protein stability, meaning the changes in melting temperature recorded in this experiment are the closest estimate of the effect 1 M glycine has on protein stability.</w:t>
      </w:r>
    </w:p>
    <w:p w14:paraId="47A89155" w14:textId="77777777" w:rsidR="00C56CFB" w:rsidRDefault="00C56CFB" w:rsidP="00FB0CA1">
      <w:pPr>
        <w:pStyle w:val="Caption"/>
        <w:keepNext/>
        <w:jc w:val="left"/>
      </w:pPr>
      <w:bookmarkStart w:id="189" w:name="_Ref462935927"/>
      <w:r>
        <w:t xml:space="preserve">Table </w:t>
      </w:r>
      <w:fldSimple w:instr=" STYLEREF 1 \s ">
        <w:r w:rsidR="00AA6926">
          <w:rPr>
            <w:noProof/>
          </w:rPr>
          <w:t>3</w:t>
        </w:r>
      </w:fldSimple>
      <w:r>
        <w:noBreakHyphen/>
      </w:r>
      <w:fldSimple w:instr=" SEQ Table \* ARABIC \s 1 ">
        <w:r w:rsidR="00AA6926">
          <w:rPr>
            <w:noProof/>
          </w:rPr>
          <w:t>1</w:t>
        </w:r>
      </w:fldSimple>
      <w:bookmarkEnd w:id="189"/>
      <w:r>
        <w:t xml:space="preserve">. </w:t>
      </w:r>
      <w:r w:rsidRPr="00E96405">
        <w:t>Comparison of values of change in melting temperature of proteins (Δ</w:t>
      </w:r>
      <w:r w:rsidRPr="000B266E">
        <w:rPr>
          <w:i/>
        </w:rPr>
        <w:t>T</w:t>
      </w:r>
      <w:r w:rsidRPr="000B266E">
        <w:rPr>
          <w:vertAlign w:val="subscript"/>
        </w:rPr>
        <w:t>m</w:t>
      </w:r>
      <w:r w:rsidRPr="00E96405">
        <w:t>) in the presence of 1 M glycine from present study and published literature</w:t>
      </w:r>
    </w:p>
    <w:tbl>
      <w:tblPr>
        <w:tblStyle w:val="LightShading"/>
        <w:tblW w:w="0" w:type="auto"/>
        <w:tblLayout w:type="fixed"/>
        <w:tblLook w:val="04A0" w:firstRow="1" w:lastRow="0" w:firstColumn="1" w:lastColumn="0" w:noHBand="0" w:noVBand="1"/>
      </w:tblPr>
      <w:tblGrid>
        <w:gridCol w:w="1668"/>
        <w:gridCol w:w="3543"/>
        <w:gridCol w:w="851"/>
        <w:gridCol w:w="2658"/>
      </w:tblGrid>
      <w:tr w:rsidR="00C56CFB" w14:paraId="711FD501"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8DC48D1" w14:textId="77777777" w:rsidR="00C56CFB" w:rsidRDefault="00C56CFB" w:rsidP="00C56CFB">
            <w:r>
              <w:t>Protein</w:t>
            </w:r>
          </w:p>
        </w:tc>
        <w:tc>
          <w:tcPr>
            <w:tcW w:w="3543" w:type="dxa"/>
            <w:shd w:val="clear" w:color="auto" w:fill="auto"/>
          </w:tcPr>
          <w:p w14:paraId="25E232B9" w14:textId="77777777" w:rsidR="00C56CFB" w:rsidRDefault="00C56CFB" w:rsidP="00C56CFB">
            <w:pPr>
              <w:cnfStyle w:val="100000000000" w:firstRow="1" w:lastRow="0" w:firstColumn="0" w:lastColumn="0" w:oddVBand="0" w:evenVBand="0" w:oddHBand="0" w:evenHBand="0" w:firstRowFirstColumn="0" w:firstRowLastColumn="0" w:lastRowFirstColumn="0" w:lastRowLastColumn="0"/>
            </w:pPr>
            <w:r>
              <w:t>Solution conditions</w:t>
            </w:r>
          </w:p>
        </w:tc>
        <w:tc>
          <w:tcPr>
            <w:tcW w:w="851" w:type="dxa"/>
            <w:shd w:val="clear" w:color="auto" w:fill="auto"/>
          </w:tcPr>
          <w:p w14:paraId="71C0B0E8" w14:textId="77777777" w:rsidR="00C56CFB" w:rsidRPr="00A76719" w:rsidRDefault="00C56CFB" w:rsidP="00C56CFB">
            <w:pPr>
              <w:cnfStyle w:val="100000000000" w:firstRow="1" w:lastRow="0" w:firstColumn="0" w:lastColumn="0" w:oddVBand="0" w:evenVBand="0" w:oddHBand="0" w:evenHBand="0" w:firstRowFirstColumn="0" w:firstRowLastColumn="0" w:lastRowFirstColumn="0" w:lastRowLastColumn="0"/>
            </w:pPr>
            <w:r>
              <w:t>Δ</w:t>
            </w:r>
            <w:r>
              <w:rPr>
                <w:i/>
              </w:rPr>
              <w:t>T</w:t>
            </w:r>
            <w:r w:rsidRPr="00A76719">
              <w:rPr>
                <w:vertAlign w:val="subscript"/>
              </w:rPr>
              <w:t>m</w:t>
            </w:r>
          </w:p>
        </w:tc>
        <w:tc>
          <w:tcPr>
            <w:tcW w:w="2658" w:type="dxa"/>
            <w:shd w:val="clear" w:color="auto" w:fill="auto"/>
          </w:tcPr>
          <w:p w14:paraId="084F9BFC" w14:textId="77777777" w:rsidR="00C56CFB" w:rsidRDefault="00C56CFB" w:rsidP="00C56CFB">
            <w:pPr>
              <w:cnfStyle w:val="100000000000" w:firstRow="1" w:lastRow="0" w:firstColumn="0" w:lastColumn="0" w:oddVBand="0" w:evenVBand="0" w:oddHBand="0" w:evenHBand="0" w:firstRowFirstColumn="0" w:firstRowLastColumn="0" w:lastRowFirstColumn="0" w:lastRowLastColumn="0"/>
            </w:pPr>
            <w:r>
              <w:t>Reference</w:t>
            </w:r>
          </w:p>
        </w:tc>
      </w:tr>
      <w:tr w:rsidR="00C56CFB" w14:paraId="100A004C"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D3B8BFC" w14:textId="77777777" w:rsidR="00C56CFB" w:rsidRPr="000B266E" w:rsidRDefault="00C56CFB" w:rsidP="00C56CFB">
            <w:pPr>
              <w:spacing w:before="0" w:after="0"/>
              <w:rPr>
                <w:sz w:val="20"/>
                <w:szCs w:val="20"/>
              </w:rPr>
            </w:pPr>
            <w:r w:rsidRPr="000B266E">
              <w:rPr>
                <w:sz w:val="20"/>
                <w:szCs w:val="20"/>
              </w:rPr>
              <w:t>BSA</w:t>
            </w:r>
          </w:p>
        </w:tc>
        <w:tc>
          <w:tcPr>
            <w:tcW w:w="3543" w:type="dxa"/>
            <w:shd w:val="clear" w:color="auto" w:fill="auto"/>
          </w:tcPr>
          <w:p w14:paraId="20762FDF" w14:textId="77777777" w:rsidR="00C56CFB" w:rsidRPr="000B266E"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b/>
                <w:sz w:val="20"/>
                <w:szCs w:val="20"/>
              </w:rPr>
            </w:pPr>
            <w:r w:rsidRPr="000B266E">
              <w:rPr>
                <w:b/>
                <w:sz w:val="20"/>
                <w:szCs w:val="20"/>
              </w:rPr>
              <w:t>10 mM sodium octanoate &amp; HPLC-grade water pH 7</w:t>
            </w:r>
          </w:p>
        </w:tc>
        <w:tc>
          <w:tcPr>
            <w:tcW w:w="851" w:type="dxa"/>
            <w:shd w:val="clear" w:color="auto" w:fill="auto"/>
          </w:tcPr>
          <w:p w14:paraId="71173216" w14:textId="77777777" w:rsidR="00C56CFB" w:rsidRPr="000B266E"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b/>
                <w:sz w:val="20"/>
                <w:szCs w:val="20"/>
              </w:rPr>
            </w:pPr>
            <w:r w:rsidRPr="000B266E">
              <w:rPr>
                <w:b/>
                <w:sz w:val="20"/>
                <w:szCs w:val="20"/>
              </w:rPr>
              <w:t>5.83</w:t>
            </w:r>
          </w:p>
        </w:tc>
        <w:tc>
          <w:tcPr>
            <w:tcW w:w="2658" w:type="dxa"/>
            <w:shd w:val="clear" w:color="auto" w:fill="auto"/>
          </w:tcPr>
          <w:p w14:paraId="21E9590D" w14:textId="77777777" w:rsidR="00C56CFB" w:rsidRPr="00A76719"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b/>
                <w:sz w:val="20"/>
                <w:szCs w:val="20"/>
              </w:rPr>
            </w:pPr>
            <w:r w:rsidRPr="00A76719">
              <w:rPr>
                <w:b/>
                <w:sz w:val="20"/>
                <w:szCs w:val="20"/>
              </w:rPr>
              <w:t>Current study</w:t>
            </w:r>
          </w:p>
        </w:tc>
      </w:tr>
      <w:tr w:rsidR="00C56CFB" w14:paraId="75E6C852" w14:textId="77777777" w:rsidTr="00DB3655">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ABA1C67" w14:textId="77777777" w:rsidR="00C56CFB" w:rsidRPr="000B266E" w:rsidRDefault="00C56CFB" w:rsidP="00C56CFB">
            <w:pPr>
              <w:spacing w:before="0" w:after="0"/>
              <w:rPr>
                <w:b w:val="0"/>
                <w:sz w:val="20"/>
                <w:szCs w:val="20"/>
              </w:rPr>
            </w:pPr>
            <w:r w:rsidRPr="000B266E">
              <w:rPr>
                <w:b w:val="0"/>
                <w:sz w:val="20"/>
                <w:szCs w:val="20"/>
              </w:rPr>
              <w:t>BSA</w:t>
            </w:r>
          </w:p>
        </w:tc>
        <w:tc>
          <w:tcPr>
            <w:tcW w:w="3543" w:type="dxa"/>
            <w:shd w:val="clear" w:color="auto" w:fill="auto"/>
          </w:tcPr>
          <w:p w14:paraId="00E08F7C" w14:textId="77777777" w:rsidR="00C56CFB" w:rsidRPr="000B266E"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0B266E">
              <w:rPr>
                <w:sz w:val="20"/>
                <w:szCs w:val="20"/>
              </w:rPr>
              <w:t>1.8 M GdnHCl pH 6.3</w:t>
            </w:r>
          </w:p>
        </w:tc>
        <w:tc>
          <w:tcPr>
            <w:tcW w:w="851" w:type="dxa"/>
            <w:shd w:val="clear" w:color="auto" w:fill="auto"/>
          </w:tcPr>
          <w:p w14:paraId="41ED4962" w14:textId="77777777" w:rsidR="00C56CFB" w:rsidRPr="000B266E"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0B266E">
              <w:rPr>
                <w:sz w:val="20"/>
                <w:szCs w:val="20"/>
              </w:rPr>
              <w:t>13-27</w:t>
            </w:r>
          </w:p>
        </w:tc>
        <w:tc>
          <w:tcPr>
            <w:tcW w:w="2658" w:type="dxa"/>
            <w:shd w:val="clear" w:color="auto" w:fill="auto"/>
          </w:tcPr>
          <w:p w14:paraId="47251D6D" w14:textId="77777777" w:rsidR="00C56CFB" w:rsidRPr="00A76719"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76719">
              <w:rPr>
                <w:sz w:val="20"/>
                <w:szCs w:val="20"/>
              </w:rPr>
              <w:fldChar w:fldCharType="begin" w:fldLock="1"/>
            </w:r>
            <w:r w:rsidRPr="00A76719">
              <w:rPr>
                <w:sz w:val="20"/>
                <w:szCs w:val="20"/>
              </w:rPr>
              <w:instrText>ADDIN CSL_CITATION { "citationItems" : [ { "id" : "ITEM-1", "itemData" : { "ISSN" : "0003-9861", "PMID" : "6870251", "abstract" : "The preferential interactions of proteins with solvent components in concentrated amino acid solutions were measured by high-precision densimetry. Bovine serum albumin and lysozyme were preferentially hydrated in all of the amino acids examined, glycine, alpha- and beta-alanine, and betaine, i.e., addition of these amino acids resulted in an unfavorable free energy change. It was shown that, for the former three amino acids, known to have a positive surface tension increment, their perturbation of the surface free energy of water is consistent with their preferential exclusion from the protein surface. In the case of betaine, which does not increase the surface tension of water, preferential exclusion from protein surface must reflect the chemical structure of this cosolvent, which is considerably more hydrophobic than that of the other three amino acids.", "author" : [ { "dropping-particle" : "", "family" : "Arakawa", "given" : "T", "non-dropping-particle" : "", "parse-names" : false, "suffix" : "" }, { "dropping-particle" : "", "family" : "Timasheff", "given" : "S N", "non-dropping-particle" : "", "parse-names" : false, "suffix" : "" } ], "container-title" : "Archives of Biochemistry and Biophysics", "id" : "ITEM-1", "issued" : { "date-parts" : [ [ "1983", "7", "1" ] ] }, "page" : "169-177", "title" : "Preferential interactions of proteins with solvent components in aqueous amino acid solutions", "type" : "article-journal", "volume" : "224" }, "uris" : [ "http://www.mendeley.com/documents/?uuid=1a6cbc50-77f9-4f1c-84c3-3f29af9f71b8" ] } ], "mendeley" : { "formattedCitation" : "(Arakawa &amp; Timasheff 1983)", "plainTextFormattedCitation" : "(Arakawa &amp; Timasheff 1983)", "previouslyFormattedCitation" : "(Arakawa &amp; Timasheff 1983)" }, "properties" : { "noteIndex" : 0 }, "schema" : "https://github.com/citation-style-language/schema/raw/master/csl-citation.json" }</w:instrText>
            </w:r>
            <w:r w:rsidRPr="00A76719">
              <w:rPr>
                <w:sz w:val="20"/>
                <w:szCs w:val="20"/>
              </w:rPr>
              <w:fldChar w:fldCharType="separate"/>
            </w:r>
            <w:r w:rsidRPr="00A76719">
              <w:rPr>
                <w:noProof/>
                <w:sz w:val="20"/>
                <w:szCs w:val="20"/>
              </w:rPr>
              <w:t>(Arakawa &amp; Timasheff 1983)</w:t>
            </w:r>
            <w:r w:rsidRPr="00A76719">
              <w:rPr>
                <w:sz w:val="20"/>
                <w:szCs w:val="20"/>
              </w:rPr>
              <w:fldChar w:fldCharType="end"/>
            </w:r>
          </w:p>
        </w:tc>
      </w:tr>
      <w:tr w:rsidR="00C56CFB" w14:paraId="3ACEFD44"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19FD6F2" w14:textId="77777777" w:rsidR="00C56CFB" w:rsidRPr="000B266E" w:rsidRDefault="00C56CFB" w:rsidP="00C56CFB">
            <w:pPr>
              <w:spacing w:before="0" w:after="0"/>
              <w:rPr>
                <w:sz w:val="20"/>
                <w:szCs w:val="20"/>
              </w:rPr>
            </w:pPr>
            <w:r w:rsidRPr="000B266E">
              <w:rPr>
                <w:sz w:val="20"/>
                <w:szCs w:val="20"/>
              </w:rPr>
              <w:t>Lysozyme</w:t>
            </w:r>
          </w:p>
        </w:tc>
        <w:tc>
          <w:tcPr>
            <w:tcW w:w="3543" w:type="dxa"/>
            <w:shd w:val="clear" w:color="auto" w:fill="auto"/>
          </w:tcPr>
          <w:p w14:paraId="5C05BDC8" w14:textId="77777777" w:rsidR="00C56CFB" w:rsidRPr="000B266E"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b/>
                <w:sz w:val="20"/>
                <w:szCs w:val="20"/>
              </w:rPr>
            </w:pPr>
            <w:r w:rsidRPr="000B266E">
              <w:rPr>
                <w:b/>
                <w:sz w:val="20"/>
                <w:szCs w:val="20"/>
              </w:rPr>
              <w:t>HPLC-grade water pH 7</w:t>
            </w:r>
          </w:p>
        </w:tc>
        <w:tc>
          <w:tcPr>
            <w:tcW w:w="851" w:type="dxa"/>
            <w:shd w:val="clear" w:color="auto" w:fill="auto"/>
          </w:tcPr>
          <w:p w14:paraId="634E8083" w14:textId="77777777" w:rsidR="00C56CFB" w:rsidRPr="000B266E"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b/>
                <w:sz w:val="20"/>
                <w:szCs w:val="20"/>
              </w:rPr>
            </w:pPr>
            <w:r w:rsidRPr="000B266E">
              <w:rPr>
                <w:b/>
                <w:sz w:val="20"/>
                <w:szCs w:val="20"/>
              </w:rPr>
              <w:t>5.16</w:t>
            </w:r>
          </w:p>
        </w:tc>
        <w:tc>
          <w:tcPr>
            <w:tcW w:w="2658" w:type="dxa"/>
            <w:shd w:val="clear" w:color="auto" w:fill="auto"/>
          </w:tcPr>
          <w:p w14:paraId="55A52025" w14:textId="77777777" w:rsidR="00C56CFB" w:rsidRPr="00A76719"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b/>
                <w:sz w:val="20"/>
                <w:szCs w:val="20"/>
              </w:rPr>
            </w:pPr>
            <w:r w:rsidRPr="00A76719">
              <w:rPr>
                <w:b/>
                <w:sz w:val="20"/>
                <w:szCs w:val="20"/>
              </w:rPr>
              <w:t>Current study</w:t>
            </w:r>
          </w:p>
        </w:tc>
      </w:tr>
      <w:tr w:rsidR="00C56CFB" w14:paraId="7316C1AB" w14:textId="77777777" w:rsidTr="00DB3655">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1D6DAAB" w14:textId="77777777" w:rsidR="00C56CFB" w:rsidRPr="000B266E" w:rsidRDefault="00C56CFB" w:rsidP="00C56CFB">
            <w:pPr>
              <w:spacing w:before="0" w:after="0"/>
              <w:rPr>
                <w:b w:val="0"/>
                <w:sz w:val="20"/>
                <w:szCs w:val="20"/>
              </w:rPr>
            </w:pPr>
            <w:r w:rsidRPr="000B266E">
              <w:rPr>
                <w:b w:val="0"/>
                <w:sz w:val="20"/>
                <w:szCs w:val="20"/>
              </w:rPr>
              <w:t>Lysozyme</w:t>
            </w:r>
          </w:p>
        </w:tc>
        <w:tc>
          <w:tcPr>
            <w:tcW w:w="3543" w:type="dxa"/>
            <w:shd w:val="clear" w:color="auto" w:fill="auto"/>
          </w:tcPr>
          <w:p w14:paraId="1A8F981B" w14:textId="77777777" w:rsidR="00C56CFB" w:rsidRPr="000B266E"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0B266E">
              <w:rPr>
                <w:sz w:val="20"/>
                <w:szCs w:val="20"/>
              </w:rPr>
              <w:t>0.02 M NaCl pH 6</w:t>
            </w:r>
          </w:p>
        </w:tc>
        <w:tc>
          <w:tcPr>
            <w:tcW w:w="851" w:type="dxa"/>
            <w:shd w:val="clear" w:color="auto" w:fill="auto"/>
          </w:tcPr>
          <w:p w14:paraId="11CB1050" w14:textId="77777777" w:rsidR="00C56CFB" w:rsidRPr="000B266E"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0B266E">
              <w:rPr>
                <w:sz w:val="20"/>
                <w:szCs w:val="20"/>
              </w:rPr>
              <w:t>7</w:t>
            </w:r>
          </w:p>
        </w:tc>
        <w:tc>
          <w:tcPr>
            <w:tcW w:w="2658" w:type="dxa"/>
            <w:shd w:val="clear" w:color="auto" w:fill="auto"/>
          </w:tcPr>
          <w:p w14:paraId="363D91FF" w14:textId="77777777" w:rsidR="00C56CFB" w:rsidRPr="00A76719"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b/>
                <w:sz w:val="20"/>
                <w:szCs w:val="20"/>
              </w:rPr>
            </w:pPr>
            <w:r w:rsidRPr="00A76719">
              <w:rPr>
                <w:b/>
                <w:sz w:val="20"/>
                <w:szCs w:val="20"/>
              </w:rPr>
              <w:fldChar w:fldCharType="begin" w:fldLock="1"/>
            </w:r>
            <w:r w:rsidRPr="00A76719">
              <w:rPr>
                <w:b/>
                <w:sz w:val="20"/>
                <w:szCs w:val="20"/>
              </w:rPr>
              <w:instrText>ADDIN CSL_CITATION { "citationItems" : [ { "id" : "ITEM-1", "itemData" : { "DOI" : "10.1016/S0006-3495(85)83932-1", "ISSN" : "0006-3495", "PMID" : "3978211", "abstract" : "The preferential interactions of lysozyme with solvent components and the effects of solvent additives on its stability were examined for several neutral osmolytes: L-proline, L-serine, gamma-aminobutyric acid, sarcosine, taurine, alpha-alanine, beta-alanine, glycine, betaine, and trimethylamine N-oxide. It was shown that all these substances stabilize the protein structure against thermal denaturation and (except for trimethylamine N-oxide for which interaction measurements could not be made) are strongly excluded from the protein domain, rendering unlikely their direct binding to proteins. On the other hand, valine, not known as an osmolyte, had no stabilizing effect, although it induced a large protein-preferential hydration. A possible explanation is given for the use of these substances as osmotic-pressure-regulating agents in organisms living under high osmotic pressure.", "author" : [ { "dropping-particle" : "", "family" : "Arakawa", "given" : "T", "non-dropping-particle" : "", "parse-names" : false, "suffix" : "" }, { "dropping-particle" : "", "family" : "Timasheff", "given" : "S N", "non-dropping-particle" : "", "parse-names" : false, "suffix" : "" } ], "container-title" : "Biophysical Journal", "id" : "ITEM-1", "issued" : { "date-parts" : [ [ "1985", "3" ] ] }, "page" : "411-414", "title" : "The stabilization of proteins by osmolytes", "type" : "article-journal", "volume" : "47" }, "uris" : [ "http://www.mendeley.com/documents/?uuid=a1e19a58-b0d0-4a61-ada1-8d4bd546989a" ] } ], "mendeley" : { "formattedCitation" : "(Arakawa &amp; Timasheff 1985)", "plainTextFormattedCitation" : "(Arakawa &amp; Timasheff 1985)", "previouslyFormattedCitation" : "(Arakawa &amp; Timasheff 1985)" }, "properties" : { "noteIndex" : 0 }, "schema" : "https://github.com/citation-style-language/schema/raw/master/csl-citation.json" }</w:instrText>
            </w:r>
            <w:r w:rsidRPr="00A76719">
              <w:rPr>
                <w:b/>
                <w:sz w:val="20"/>
                <w:szCs w:val="20"/>
              </w:rPr>
              <w:fldChar w:fldCharType="separate"/>
            </w:r>
            <w:r w:rsidRPr="00A76719">
              <w:rPr>
                <w:noProof/>
                <w:sz w:val="20"/>
                <w:szCs w:val="20"/>
              </w:rPr>
              <w:t>(Arakawa &amp; Timasheff 1985)</w:t>
            </w:r>
            <w:r w:rsidRPr="00A76719">
              <w:rPr>
                <w:b/>
                <w:sz w:val="20"/>
                <w:szCs w:val="20"/>
              </w:rPr>
              <w:fldChar w:fldCharType="end"/>
            </w:r>
          </w:p>
        </w:tc>
      </w:tr>
      <w:tr w:rsidR="00C56CFB" w14:paraId="3C723A31"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B10BBC0" w14:textId="77777777" w:rsidR="00C56CFB" w:rsidRPr="000B266E" w:rsidRDefault="00C56CFB" w:rsidP="00C56CFB">
            <w:pPr>
              <w:spacing w:before="0" w:after="0"/>
              <w:rPr>
                <w:sz w:val="20"/>
                <w:szCs w:val="20"/>
              </w:rPr>
            </w:pPr>
            <w:r w:rsidRPr="000B266E">
              <w:rPr>
                <w:sz w:val="20"/>
                <w:szCs w:val="20"/>
              </w:rPr>
              <w:t>Myoglobin</w:t>
            </w:r>
          </w:p>
        </w:tc>
        <w:tc>
          <w:tcPr>
            <w:tcW w:w="3543" w:type="dxa"/>
            <w:shd w:val="clear" w:color="auto" w:fill="auto"/>
          </w:tcPr>
          <w:p w14:paraId="5BFF8DB0" w14:textId="77777777" w:rsidR="00C56CFB" w:rsidRPr="000B266E"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b/>
                <w:sz w:val="20"/>
                <w:szCs w:val="20"/>
              </w:rPr>
            </w:pPr>
            <w:r w:rsidRPr="000B266E">
              <w:rPr>
                <w:b/>
                <w:sz w:val="20"/>
                <w:szCs w:val="20"/>
              </w:rPr>
              <w:t>HPLC-grade water pH 8</w:t>
            </w:r>
          </w:p>
        </w:tc>
        <w:tc>
          <w:tcPr>
            <w:tcW w:w="851" w:type="dxa"/>
            <w:shd w:val="clear" w:color="auto" w:fill="auto"/>
          </w:tcPr>
          <w:p w14:paraId="75EB8A14" w14:textId="77777777" w:rsidR="00C56CFB" w:rsidRPr="000B266E"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1.00</w:t>
            </w:r>
          </w:p>
        </w:tc>
        <w:tc>
          <w:tcPr>
            <w:tcW w:w="2658" w:type="dxa"/>
            <w:shd w:val="clear" w:color="auto" w:fill="auto"/>
          </w:tcPr>
          <w:p w14:paraId="681D05BE" w14:textId="77777777" w:rsidR="00C56CFB" w:rsidRPr="00A76719"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b/>
                <w:sz w:val="20"/>
                <w:szCs w:val="20"/>
              </w:rPr>
            </w:pPr>
            <w:r w:rsidRPr="00A76719">
              <w:rPr>
                <w:b/>
                <w:sz w:val="20"/>
                <w:szCs w:val="20"/>
              </w:rPr>
              <w:t>Current study</w:t>
            </w:r>
          </w:p>
        </w:tc>
      </w:tr>
      <w:tr w:rsidR="00C56CFB" w14:paraId="699D6255" w14:textId="77777777" w:rsidTr="00DB3655">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52F406C" w14:textId="77777777" w:rsidR="00C56CFB" w:rsidRPr="000B266E" w:rsidRDefault="00C56CFB" w:rsidP="00C56CFB">
            <w:pPr>
              <w:spacing w:before="0" w:after="0"/>
              <w:rPr>
                <w:b w:val="0"/>
                <w:sz w:val="20"/>
                <w:szCs w:val="20"/>
              </w:rPr>
            </w:pPr>
            <w:r w:rsidRPr="000B266E">
              <w:rPr>
                <w:b w:val="0"/>
                <w:sz w:val="20"/>
                <w:szCs w:val="20"/>
              </w:rPr>
              <w:t>Cytochrome c</w:t>
            </w:r>
          </w:p>
        </w:tc>
        <w:tc>
          <w:tcPr>
            <w:tcW w:w="3543" w:type="dxa"/>
            <w:shd w:val="clear" w:color="auto" w:fill="auto"/>
          </w:tcPr>
          <w:p w14:paraId="00C721D1" w14:textId="77777777" w:rsidR="00C56CFB" w:rsidRPr="00E3274E"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lang w:val="it-IT"/>
              </w:rPr>
            </w:pPr>
            <w:r w:rsidRPr="00E3274E">
              <w:rPr>
                <w:sz w:val="20"/>
                <w:szCs w:val="20"/>
                <w:lang w:val="it-IT"/>
              </w:rPr>
              <w:t>0.05 M citrate &amp; 0.1 M KCl pH 3</w:t>
            </w:r>
          </w:p>
        </w:tc>
        <w:tc>
          <w:tcPr>
            <w:tcW w:w="851" w:type="dxa"/>
            <w:shd w:val="clear" w:color="auto" w:fill="auto"/>
          </w:tcPr>
          <w:p w14:paraId="7268F357" w14:textId="77777777" w:rsidR="00C56CFB" w:rsidRPr="000B266E"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0B266E">
              <w:rPr>
                <w:sz w:val="20"/>
                <w:szCs w:val="20"/>
              </w:rPr>
              <w:t>3.3</w:t>
            </w:r>
          </w:p>
        </w:tc>
        <w:tc>
          <w:tcPr>
            <w:tcW w:w="2658" w:type="dxa"/>
            <w:shd w:val="clear" w:color="auto" w:fill="auto"/>
          </w:tcPr>
          <w:p w14:paraId="3F4C3516" w14:textId="77777777" w:rsidR="00C56CFB" w:rsidRPr="00A76719"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76719">
              <w:rPr>
                <w:sz w:val="20"/>
                <w:szCs w:val="20"/>
              </w:rPr>
              <w:fldChar w:fldCharType="begin" w:fldLock="1"/>
            </w:r>
            <w:r w:rsidRPr="00A76719">
              <w:rPr>
                <w:sz w:val="20"/>
                <w:szCs w:val="20"/>
              </w:rPr>
              <w:instrText>ADDIN CSL_CITATION { "citationItems" : [ { "id" : "ITEM-1", "itemData" : { "ISSN" : "0264-6021", "PMID" : "7945233", "abstract" : "This study is a systematic attempt to understand the roles of osmolytes in protecting proteins against denaturing stress. Thermal denaturation of cytochrome c has been studied in the presence of various concentrations of all L-amino acids that are more hydrophobic than glycine and have a solubility of 0.1 M or higher in water at 25 degrees C. The basic observations are as follows. (1) Arginine and histidine destabilize the native protein; both Tm (the midpoint of thermal transition) and delta GDH2O (25 degrees C) (the Gibbs energy of stabilization) decrease with increasing amino acid concentration. (2) Isoleucine, leucine and phenylalanine have no effect on Tm and deltaGDH2O (25 degrees C). (3) Valine and less hydrophobic amino acids stabilize the protein in terms of Tm but deltaGDH2O (25 degrees C) is unchanged. This observation was confirmed by the study of isothermal denaturation of cytochrome c by guanidinium chloride which suggested that delta GDH2O is independent of osmolyte concentration, but Cm (the midpoint of transition) is increased in their presence. (4) In the case of stabilizers, change in Tm/mol of amino acid decreases with increasing hydrophobicity of these osmolytes.", "author" : [ { "dropping-particle" : "", "family" : "Taneja", "given" : "S", "non-dropping-particle" : "", "parse-names" : false, "suffix" : "" }, { "dropping-particle" : "", "family" : "Ahmad", "given" : "F", "non-dropping-particle" : "", "parse-names" : false, "suffix" : "" } ], "container-title" : "Biochemical Journal", "id" : "ITEM-1", "issued" : { "date-parts" : [ [ "1994", "10", "1" ] ] }, "page" : "147-153", "title" : "Increased thermal stability of proteins in the presence of amino acids", "type" : "article-journal", "volume" : "303" }, "uris" : [ "http://www.mendeley.com/documents/?uuid=58de2c9a-4375-44f3-b3b7-972049f9dc42" ] } ], "mendeley" : { "formattedCitation" : "(Taneja &amp; Ahmad 1994)", "plainTextFormattedCitation" : "(Taneja &amp; Ahmad 1994)", "previouslyFormattedCitation" : "(Taneja &amp; Ahmad 1994)" }, "properties" : { "noteIndex" : 0 }, "schema" : "https://github.com/citation-style-language/schema/raw/master/csl-citation.json" }</w:instrText>
            </w:r>
            <w:r w:rsidRPr="00A76719">
              <w:rPr>
                <w:sz w:val="20"/>
                <w:szCs w:val="20"/>
              </w:rPr>
              <w:fldChar w:fldCharType="separate"/>
            </w:r>
            <w:r w:rsidRPr="00A76719">
              <w:rPr>
                <w:noProof/>
                <w:sz w:val="20"/>
                <w:szCs w:val="20"/>
              </w:rPr>
              <w:t>(Taneja &amp; Ahmad 1994)</w:t>
            </w:r>
            <w:r w:rsidRPr="00A76719">
              <w:rPr>
                <w:sz w:val="20"/>
                <w:szCs w:val="20"/>
              </w:rPr>
              <w:fldChar w:fldCharType="end"/>
            </w:r>
          </w:p>
        </w:tc>
      </w:tr>
      <w:tr w:rsidR="00C56CFB" w14:paraId="3D66F146"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5D252CF" w14:textId="77777777" w:rsidR="00C56CFB" w:rsidRPr="000B266E" w:rsidRDefault="00C56CFB" w:rsidP="00C56CFB">
            <w:pPr>
              <w:spacing w:before="0" w:after="0"/>
              <w:rPr>
                <w:b w:val="0"/>
                <w:sz w:val="20"/>
                <w:szCs w:val="20"/>
              </w:rPr>
            </w:pPr>
            <w:r w:rsidRPr="000B266E">
              <w:rPr>
                <w:b w:val="0"/>
                <w:sz w:val="20"/>
                <w:szCs w:val="20"/>
              </w:rPr>
              <w:t>RNase A</w:t>
            </w:r>
          </w:p>
        </w:tc>
        <w:tc>
          <w:tcPr>
            <w:tcW w:w="3543" w:type="dxa"/>
            <w:shd w:val="clear" w:color="auto" w:fill="auto"/>
          </w:tcPr>
          <w:p w14:paraId="00BFB9AD" w14:textId="77777777" w:rsidR="00C56CFB" w:rsidRPr="000B266E"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0B266E">
              <w:rPr>
                <w:sz w:val="20"/>
                <w:szCs w:val="20"/>
              </w:rPr>
              <w:t>25 mM potassium phosphate &amp; 0.15 M KCl pH 6.7</w:t>
            </w:r>
          </w:p>
        </w:tc>
        <w:tc>
          <w:tcPr>
            <w:tcW w:w="851" w:type="dxa"/>
            <w:shd w:val="clear" w:color="auto" w:fill="auto"/>
          </w:tcPr>
          <w:p w14:paraId="5642D998" w14:textId="77777777" w:rsidR="00C56CFB" w:rsidRPr="000B266E"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0B266E">
              <w:rPr>
                <w:sz w:val="20"/>
                <w:szCs w:val="20"/>
              </w:rPr>
              <w:t>3.9</w:t>
            </w:r>
          </w:p>
        </w:tc>
        <w:tc>
          <w:tcPr>
            <w:tcW w:w="2658" w:type="dxa"/>
            <w:shd w:val="clear" w:color="auto" w:fill="auto"/>
          </w:tcPr>
          <w:p w14:paraId="5DA27B74" w14:textId="77777777" w:rsidR="00C56CFB" w:rsidRPr="00A76719"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A76719">
              <w:rPr>
                <w:sz w:val="20"/>
                <w:szCs w:val="20"/>
              </w:rPr>
              <w:fldChar w:fldCharType="begin" w:fldLock="1"/>
            </w:r>
            <w:r>
              <w:rPr>
                <w:sz w:val="20"/>
                <w:szCs w:val="20"/>
              </w:rPr>
              <w:instrText>ADDIN CSL_CITATION { "citationItems" : [ { "id" : "ITEM-1", "itemData" : { "DOI" : "10.1002/jez.1402080202", "ISSN" : "0022-104X", "PMID" : "469480", "abstract" : "The major nitrogenous osmolytes present in the cells of marine invertebrates, notably the free amino acids glycine, alanine and proline, and trimethylamine oxide and betaine, are highly compatible with proper enzyme function and structure. These nitrogenous osmolytes display either non-perturbing or, in some cases, favorable effects on enzyme-substrate and enzyme-cofactor complex formation, catalytic velocity and protein structural stability. In contrast, inorganic salts (KCl and NaCl) and certain of the free amino acids which play only a minor osmotic role, e.g., arginine and lysine, have strongly perturbing effects on one or more of these enzymic parameters. The compatible nitrogenous solutes therefore are suitable for use at high (several tenths molar) concentrations and at widely varying concentrations in osmo-conforming species. Certain nitrogenous solutes, especially trimethylamine oxide, betaine and glutamate, offset some of the perturbing effects of inorganic ions on enzyme function. The selective accumulation of osmolytes thus involves not only the concentration of non-perturbing solutes, but also a balanced accumulation of solutes with opposing effects on enzymes. The selection of end-products of anaerobic metabolism also appears to be based, in part, on considerations of solute compatibility with enzyme function. Octopine is a non-perturbing solute, whereas arginine, which is condensed with pyruvate to form octopine, is very strongly perturbing. Succinate has marked stabilizing effects on protein structure. We conclude that the composition of the intracellular fluids of marine invertebrates reflects selection for osmolytes and end-products whose net effects create a cellular microenvironment which is conducive to optimal enzyme function and structure. The accumulation of compatible solutes may preclude the necessity for widespread changes in protein structure in adapting to concentrated or highly variable osmotic environments.", "author" : [ { "dropping-particle" : "", "family" : "Bowlus", "given" : "R D", "non-dropping-particle" : "", "parse-names" : false, "suffix" : "" }, { "dropping-particle" : "", "family" : "Somero", "given" : "G N", "non-dropping-particle" : "", "parse-names" : false, "suffix" : "" } ], "container-title" : "Journal of Experimental Zoology", "id" : "ITEM-1", "issued" : { "date-parts" : [ [ "1979" ] ] }, "page" : "137-151", "title" : "Solute compatibility with enzyme function and structure: rationales for the selection of osmotic agents and end-products of anaerobic metabolism in marine invertebrates", "type" : "article-journal", "volume" : "208" }, "uris" : [ "http://www.mendeley.com/documents/?uuid=7dde3bd3-612c-4dc0-b5b3-9e57c8eb9a26" ] } ], "mendeley" : { "formattedCitation" : "(Bowlus &amp; Somero 1979)", "plainTextFormattedCitation" : "(Bowlus &amp; Somero 1979)", "previouslyFormattedCitation" : "(Bowlus &amp; Somero 1979)" }, "properties" : { "noteIndex" : 0 }, "schema" : "https://github.com/citation-style-language/schema/raw/master/csl-citation.json" }</w:instrText>
            </w:r>
            <w:r w:rsidRPr="00A76719">
              <w:rPr>
                <w:sz w:val="20"/>
                <w:szCs w:val="20"/>
              </w:rPr>
              <w:fldChar w:fldCharType="separate"/>
            </w:r>
            <w:r w:rsidRPr="00A76719">
              <w:rPr>
                <w:noProof/>
                <w:sz w:val="20"/>
                <w:szCs w:val="20"/>
              </w:rPr>
              <w:t>(Bowlus &amp; Somero 1979)</w:t>
            </w:r>
            <w:r w:rsidRPr="00A76719">
              <w:rPr>
                <w:sz w:val="20"/>
                <w:szCs w:val="20"/>
              </w:rPr>
              <w:fldChar w:fldCharType="end"/>
            </w:r>
          </w:p>
        </w:tc>
      </w:tr>
    </w:tbl>
    <w:p w14:paraId="3142E5FE" w14:textId="77777777" w:rsidR="00C56CFB" w:rsidRDefault="00C56CFB" w:rsidP="00C56CFB">
      <w:r>
        <w:t>Thermograms of the proteins unfolding in the presence of various concentrations of glycine show that the change in heat capacity between the folded and the unfolded state (Δ</w:t>
      </w:r>
      <w:r w:rsidRPr="000847D8">
        <w:rPr>
          <w:i/>
        </w:rPr>
        <w:t>C</w:t>
      </w:r>
      <w:r w:rsidRPr="000847D8">
        <w:rPr>
          <w:vertAlign w:val="subscript"/>
        </w:rPr>
        <w:t>p</w:t>
      </w:r>
      <w:r>
        <w:t xml:space="preserve">) is relatively unaffected even by </w:t>
      </w:r>
      <w:r w:rsidR="005D098F">
        <w:t>high concentrations of glycine (see Appendix A</w:t>
      </w:r>
      <w:r>
        <w:t>). This means that direct extensi</w:t>
      </w:r>
      <w:r w:rsidR="00F9500C">
        <w:t>ve binding of glycine to the</w:t>
      </w:r>
      <w:r>
        <w:t xml:space="preserve"> protein on unfolding can be ruled out as an increase in heat capacity would be expected.</w:t>
      </w:r>
    </w:p>
    <w:p w14:paraId="6E7E19C3" w14:textId="77777777" w:rsidR="00C56CFB" w:rsidRDefault="00C56CFB" w:rsidP="00C56CFB">
      <w:r>
        <w:t xml:space="preserve">Equally, due to this universal stabilisation being concentration-dependent preferential hydration as a mechanism for stabilisation can be ruled out as this is generally visible as a linear effect on protein stability </w:t>
      </w:r>
      <w:r>
        <w:fldChar w:fldCharType="begin" w:fldLock="1"/>
      </w:r>
      <w:r w:rsidR="007228DB">
        <w:instrText>ADDIN CSL_CITATION { "citationItems" : [ { "id" : "ITEM-1", "itemData" : { "DOI" : "10.1073/pnas.122225399", "ISSN" : "0027-8424", "PMID" : "12097640", "abstract" : "Solvent additives (cosolvents, osmolytes) modulate biochemical reactions if, during the course of the reaction, there is a change in preferential interactions of solvent components with the reacting system. Preferential interactions can be expressed in terms of preferential binding of the cosolvent or its preferential exclusion (preferential hydration). The driving force is the perturbation by the protein of the chemical potential of the cosolvent. It is shown that the measured change of the amount of water in contact with protein during the course of the reaction modulated by an osmolyte is a change in preferential hydration that is strictly a measure of the cosolvent chemical potential perturbation by the protein in the ternary water-protein-cosolvent system. It is not equal to the change in water of hydration, because water of hydration is a reflection strictly of protein-water forces in a binary system. There is no direct relation between water of preferential hydration and water of hydration.", "author" : [ { "dropping-particle" : "", "family" : "Timasheff", "given" : "S N", "non-dropping-particle" : "", "parse-names" : false, "suffix" : "" } ], "container-title" : "Proceedings of the National Academy of Sciences of the United States of America", "id" : "ITEM-1", "issued" : { "date-parts" : [ [ "2002", "7", "23" ] ] }, "page" : "9721-9726", "title" : "Protein-solvent preferential interactions, protein hydration, and the modulation of biochemical reactions by solvent components", "type" : "article-journal", "volume" : "99" }, "uris" : [ "http://www.mendeley.com/documents/?uuid=cd3d88a3-8815-488c-b100-e47898c98c1c" ] } ], "mendeley" : { "formattedCitation" : "(Timasheff 2002b)", "plainTextFormattedCitation" : "(Timasheff 2002b)", "previouslyFormattedCitation" : "(Timasheff 2002b)" }, "properties" : { "noteIndex" : 0 }, "schema" : "https://github.com/citation-style-language/schema/raw/master/csl-citation.json" }</w:instrText>
      </w:r>
      <w:r>
        <w:fldChar w:fldCharType="separate"/>
      </w:r>
      <w:r w:rsidR="0064368A" w:rsidRPr="0064368A">
        <w:rPr>
          <w:noProof/>
        </w:rPr>
        <w:t>(Timasheff 2002b)</w:t>
      </w:r>
      <w:r>
        <w:fldChar w:fldCharType="end"/>
      </w:r>
      <w:r>
        <w:t xml:space="preserve">. The mechanism governing this stabilisation is likely to be a water-mediated effect due to the stabilisation being protein-independent, and requires at least 100 mM glycine in order to have a noticeable effect on stability. Therefore the stabilisation trend seen here can be explained by the competition for water mechanism previously seen for Hofmeister salts </w:t>
      </w:r>
      <w:r>
        <w:fldChar w:fldCharType="begin" w:fldLock="1"/>
      </w:r>
      <w:r>
        <w:instrText>ADDIN CSL_CITATION { "citationItems" : [ { "id" : "ITEM-1", "itemData" : { "DOI" : "10.1021/jp412140v", "ISSN" : "1520-5207", "PMID" : "24684707", "abstract" : "Addition of high and medium charge density anions (phosphate, sulfate, and chloride) to lysozyme in pure water demonstrates three stages for stabilization of the protein structure. The first two stages have a minor impact on lysozyme stability and are probably associated with direct interaction of the ions with charged and partial charges on the protein's surface. There is a clear transition between the second and third stages; in the case of sodium chloride, disodium sulfate and disodium hydrogen phosphate this is at 550, 210, and 120 mM, respectively. Stabilization of lysozyme can be explained by the free energy required to hydrate the protein as it unfolds. At low ion concentrations, the protein's hydration layer is at equilibrium with the bulk water. After the transition, bulk water is depleted and the protein is competing for water with the ions. With competition for water between the protein and the ions at higher salt concentrations, the free energy required to hydrate the interior of the protein rises and it is this that stabilizes the protein structure.", "author" : [ { "dropping-particle" : "", "family" : "Bye", "given" : "J W", "non-dropping-particle" : "", "parse-names" : false, "suffix" : "" }, { "dropping-particle" : "", "family" : "Falconer", "given" : "R J", "non-dropping-particle" : "", "parse-names" : false, "suffix" : "" } ], "container-title" : "Journal of Physical Chemistry B", "id" : "ITEM-1", "issued" : { "date-parts" : [ [ "2014", "4", "24" ] ] }, "page" : "4282-4286", "title" : "Three stages of lysozyme thermal stabilization by high and medium charge density anions", "type" : "article-journal", "volume" : "118" }, "uris" : [ "http://www.mendeley.com/documents/?uuid=04df9c17-7b61-4cec-9b8c-296591f7406f" ] } ], "mendeley" : { "formattedCitation" : "(Bye &amp; Falconer 2014)", "plainTextFormattedCitation" : "(Bye &amp; Falconer 2014)", "previouslyFormattedCitation" : "(Bye &amp; Falconer 2014)" }, "properties" : { "noteIndex" : 0 }, "schema" : "https://github.com/citation-style-language/schema/raw/master/csl-citation.json" }</w:instrText>
      </w:r>
      <w:r>
        <w:fldChar w:fldCharType="separate"/>
      </w:r>
      <w:r w:rsidRPr="00672059">
        <w:rPr>
          <w:noProof/>
        </w:rPr>
        <w:t>(Bye &amp; Falconer 2014)</w:t>
      </w:r>
      <w:r>
        <w:fldChar w:fldCharType="end"/>
      </w:r>
      <w:r>
        <w:t>.</w:t>
      </w:r>
    </w:p>
    <w:p w14:paraId="76AF3B88" w14:textId="77777777" w:rsidR="00C56CFB" w:rsidRPr="00EC6513" w:rsidRDefault="00C56CFB" w:rsidP="00C56CFB">
      <w:r>
        <w:t xml:space="preserve">Below 100 mM glycine there will be plenty of bulk water that is not associated with the cosolute or the protein, which is therefore free to hydrate the newly exposed protein core upon denaturation. This means that protein stability is unaffected by this mechanism at low concentrations, meaning more direct interactions with the protein surface dictate any thermal stability trends as seen here. Above 100 mM glycine, a large amount of water is ‘locked up’ in the hydration shells of glycine, meaning the unfolding protein has to compete with glycine for this water. This results in protein stabilisation as denaturation becomes more unfavourable. This is supported by glycine being shown to have ‘enhanced’ structured water in its hydration shell by FTIR, which was used to explain its protein stabilising effects </w:t>
      </w:r>
      <w:r>
        <w:fldChar w:fldCharType="begin" w:fldLock="1"/>
      </w:r>
      <w:r w:rsidR="00924827">
        <w:instrText>ADDIN CSL_CITATION { "citationItems" : [ { "id" : "ITEM-1", "itemData" : { "DOI" : "10.1021/jp404780c", "ISSN" : "1520-5207", "PMID" : "23992436", "abstract" : "Results concerning the thermostability of hen egg white lysozyme in aqueous solutions with stabilizing osmolytes, trimethylamine-N-oxide (TMAO), glycine (Gly), and its N-methyl derivatives, N-methylglycine (NMG), N,N-dimethylglycine (DMG), and N,N,N-trimethylglycine (betaine, TMG), have been presented. The combination of spectroscopic (IR) and calorimetric (DSC) data allowed us to establish a link between osmolytes' influence on water structure and their ability to thermally stabilize protein molecule. Structural and energetic characteristics of stabilizing osmolytes' and lysozyme's hydration water appear to be very similar. The osmolytes increase lysozyme stabilization in the order bulk water &lt; TMAO &lt; TMG &lt; Gly &lt; DMG &lt; NMG, which is consistent with the order corresponding to the value of the most probable oxygen-oxygen distance of water molecules affected by osmolytes in their surrounding. Obtained results verified the hypothesis concerning the role of water molecules in protein stabilization, explained the osmophobic effect, and finally helped to bring us nearer to the exact mechanism of protein stabilization by osmolytes.", "author" : [ { "dropping-particle" : "", "family" : "Bru\u017adziak", "given" : "P", "non-dropping-particle" : "", "parse-names" : false, "suffix" : "" }, { "dropping-particle" : "", "family" : "Panuszko", "given" : "A", "non-dropping-particle" : "", "parse-names" : false, "suffix" : "" }, { "dropping-particle" : "", "family" : "Stangret", "given" : "J", "non-dropping-particle" : "", "parse-names" : false, "suffix" : "" } ], "container-title" : "Journal of Physical Chemistry B", "id" : "ITEM-1", "issued" : { "date-parts" : [ [ "2013", "9", "17" ] ] }, "page" : "11502-11508", "title" : "Influence of osmolytes on protein and water structure: A step to understanding the mechanism of protein stabilization", "type" : "article-journal", "volume" : "117" }, "uris" : [ "http://www.mendeley.com/documents/?uuid=a4df47ed-7242-4023-89b6-a1f28cc16a1d" ] } ], "mendeley" : { "formattedCitation" : "(Bru\u017adziak et al. 2013)", "plainTextFormattedCitation" : "(Bru\u017adziak et al. 2013)", "previouslyFormattedCitation" : "(Bru\u017adziak et al. 2013)" }, "properties" : { "noteIndex" : 0 }, "schema" : "https://github.com/citation-style-language/schema/raw/master/csl-citation.json" }</w:instrText>
      </w:r>
      <w:r>
        <w:fldChar w:fldCharType="separate"/>
      </w:r>
      <w:r w:rsidRPr="00D80ABF">
        <w:rPr>
          <w:noProof/>
        </w:rPr>
        <w:t>(Bruździak et al. 2013)</w:t>
      </w:r>
      <w:r>
        <w:fldChar w:fldCharType="end"/>
      </w:r>
      <w:r>
        <w:t xml:space="preserve">. Denaturants generally have very weak hydration </w:t>
      </w:r>
      <w:r>
        <w:fldChar w:fldCharType="begin" w:fldLock="1"/>
      </w:r>
      <w:r w:rsidR="00FF6FB8">
        <w:instrText>ADDIN CSL_CITATION { "citationItems" : [ { "id" : "ITEM-1", "itemData" : { "DOI" : "10.1073/pnas.0735920100", "ISBN" : "0027-8424", "ISSN" : "0027-8424", "PMID" : "12684536", "abstract" : "Neutron diffraction experiments were carried out on aqueous solutions containing either guanidinium or thiocyanate ions. The first-order difference method of neutron diffraction and isotopic substitution was applied, and the hydration structures of two of nature's strongest denaturant ions were determined. Each ion is shown to interact weakly with water: Guanidinium has no recognizable hydration shell and is one of the most weakly hydrated cations yet characterized. Hydration of thiocyanate is characterized by a low coordination number involving around one hydrogen-bonded water molecule and approximately two water molecules weakly interacting through \"hydration bonds.\" The weak hydration of these denaturant ions strongly supports suggestions that a major contribution to the denaturant effect is the preferential interaction of the denaturant with the protein surface. By contrast, solute species such as many sugars and related polyols that stabilize proteins are strongly hydrated and are thus preferentially retained in the bulk solvent and excluded from the protein surface.", "author" : [ { "dropping-particle" : "", "family" : "Mason", "given" : "P E", "non-dropping-particle" : "", "parse-names" : false, "suffix" : "" }, { "dropping-particle" : "", "family" : "Neilson", "given" : "G W", "non-dropping-particle" : "", "parse-names" : false, "suffix" : "" }, { "dropping-particle" : "", "family" : "Dempsey", "given" : "C E", "non-dropping-particle" : "", "parse-names" : false, "suffix" : "" }, { "dropping-particle" : "", "family" : "Barnes", "given" : "a C", "non-dropping-particle" : "", "parse-names" : false, "suffix" : "" }, { "dropping-particle" : "", "family" : "Cruickshank", "given" : "J M", "non-dropping-particle" : "", "parse-names" : false, "suffix" : "" } ], "container-title" : "Proceedings of the National Academy of Sciences of the United States of America", "id" : "ITEM-1", "issued" : { "date-parts" : [ [ "2003" ] ] }, "page" : "4557-4561", "title" : "The hydration structure of guanidinium and thiocyanate ions: implications for protein stability in aqueous solution", "type" : "article-journal", "volume" : "100" }, "uris" : [ "http://www.mendeley.com/documents/?uuid=fccb80eb-7117-4ad4-802b-afe82b067ce7" ] } ], "mendeley" : { "formattedCitation" : "(Mason et al. 2003)", "plainTextFormattedCitation" : "(Mason et al. 2003)", "previouslyFormattedCitation" : "(Mason et al. 2003)" }, "properties" : { "noteIndex" : 0 }, "schema" : "https://github.com/citation-style-language/schema/raw/master/csl-citation.json" }</w:instrText>
      </w:r>
      <w:r>
        <w:fldChar w:fldCharType="separate"/>
      </w:r>
      <w:r w:rsidRPr="00D80ABF">
        <w:rPr>
          <w:noProof/>
        </w:rPr>
        <w:t>(Mason et al. 2003)</w:t>
      </w:r>
      <w:r>
        <w:fldChar w:fldCharType="end"/>
      </w:r>
      <w:r>
        <w:t>, which explains why they have the opposite effect on protein stability.</w:t>
      </w:r>
    </w:p>
    <w:p w14:paraId="3B8BCD9D" w14:textId="77777777" w:rsidR="00C56CFB" w:rsidRDefault="00C56CFB" w:rsidP="00C56CFB">
      <w:pPr>
        <w:pStyle w:val="Heading3"/>
      </w:pPr>
      <w:bookmarkStart w:id="190" w:name="_Toc485712787"/>
      <w:r>
        <w:t>Guanidine h</w:t>
      </w:r>
      <w:r w:rsidRPr="00C166C3">
        <w:t>ydrochloride</w:t>
      </w:r>
      <w:bookmarkEnd w:id="190"/>
    </w:p>
    <w:p w14:paraId="7D5BC797" w14:textId="77777777" w:rsidR="00C56CFB" w:rsidRDefault="00C56CFB" w:rsidP="00C56CFB">
      <w:r>
        <w:t>GdnHCl strongly destabilises all three proteins when present at a concentration of 1 M (</w:t>
      </w:r>
      <w:r>
        <w:fldChar w:fldCharType="begin"/>
      </w:r>
      <w:r>
        <w:instrText xml:space="preserve"> REF _Ref462998468 \h </w:instrText>
      </w:r>
      <w:r>
        <w:fldChar w:fldCharType="separate"/>
      </w:r>
      <w:r w:rsidR="00AA6926">
        <w:t xml:space="preserve">Figure </w:t>
      </w:r>
      <w:r w:rsidR="00AA6926">
        <w:rPr>
          <w:noProof/>
        </w:rPr>
        <w:t>3</w:t>
      </w:r>
      <w:r w:rsidR="00AA6926">
        <w:noBreakHyphen/>
      </w:r>
      <w:r w:rsidR="00AA6926">
        <w:rPr>
          <w:noProof/>
        </w:rPr>
        <w:t>2</w:t>
      </w:r>
      <w:r>
        <w:fldChar w:fldCharType="end"/>
      </w:r>
      <w:r>
        <w:t xml:space="preserve"> middle panel); lysozyme is destabilised by 8.3 °C, BSA by 13.8 °C and myoglobin by 17.1 °C. This is fully expected due to its well-known chaotropic capabilities on proteins. Interestingly, these destabilising effects are not apparent when GdnHCl is present at concentrations below 100 mM, all studied proteins more or less maintain their original melting temperature. This lack of effect at concentrations below 100 mM is previously unseen in published data. In fact, the effect of non-denaturing concentrations of GdnHCl on thermal stability of proteins is rarely studied at all, and has the potential to add key information to establish the mechanisms by which GdnHCl affects protein stability. There are a few studies that have actually demonstrated protein stabilisation by low concentrations of GdnHCl, although this was attributed to binding to specific cation binding sites on the native protein </w:t>
      </w:r>
      <w:r>
        <w:fldChar w:fldCharType="begin" w:fldLock="1"/>
      </w:r>
      <w:r>
        <w:instrText>ADDIN CSL_CITATION { "citationItems" : [ { "id" : "ITEM-1", "itemData" : { "DOI" : "10.1021/bi00082a021", "ISSN" : "0006-2960", "PMID" : "8347603", "abstract" : "Guanidinium chloride is a commonly used denaturant to unfold native proteins and to determine their Gibbs free energy of stabilization, delta Gstab. Here we show that this denaturant has a dual role for the stability and the folding of the model protein ribonuclease T1. When present at low concentration (0-0.3 M), guanidinium chloride stabilizes the folded protein toward thermal and urea-induced unfolding and decreases the rate of unfolding. At high concentration the function of guanidinium chloride as a denaturant dominates and ribonuclease T1 is cooperatively unfolded. Ribonuclease T1 is also strongly stabilized by other salts, such as NaCl, at low concentrations, and the dependence of the thermal stability on salt concentration is not linear. Such a complex behavior was not found in control experiments with pancreatic ribonuclease A. The stabilization in the presence of low concentrations of guanidinium chloride originates probably from the binding of guanidinium ions to one or a few cation binding sites that exist in native ribonuclease T1. It is not observed when an additional salt, NaCl, is present simultaneously. The favorable interaction of guanidinium chloride with the native protein leads to increased values for delta Gstab, when unfolding transitions induced by guanidinium chloride are analyzed on the basis of the two-state model by the linear extrapolation procedure. The noncoincidence of these delta Gstab values with stability data derived from urea-induced or thermal unfolding transitions does not imply that the two-state model is not appropriate but that the linear extrapolation to zero molar denaturant is incorrect.", "author" : [ { "dropping-particle" : "", "family" : "Mayr", "given" : "L M", "non-dropping-particle" : "", "parse-names" : false, "suffix" : "" }, { "dropping-particle" : "", "family" : "Schmid", "given" : "F X", "non-dropping-particle" : "", "parse-names" : false, "suffix" : "" } ], "container-title" : "Biochemistry", "id" : "ITEM-1", "issued" : { "date-parts" : [ [ "1993" ] ] }, "page" : "7994-7998", "title" : "Stabilization of a protein by guanidinium chloride", "type" : "article-journal", "volume" : "32" }, "uris" : [ "http://www.mendeley.com/documents/?uuid=7744b35a-ffba-4eb3-b78b-c320f5593d55" ] }, { "id" : "ITEM-2", "itemData" : { "DOI" : "10.1016/j.febslet.2013.01.056", "ISSN" : "00145793", "PMID" : "23395613", "abstract" : "Unfolding by chemical denaturants and the linear extrapolation method are widely used to determine the free energy of proteins. Ribonuclease 3 from bullfrog shows an extraordinary behavior in guanidinium hydrochloride in comparison to its homologues ribonuclease A and onconase with a high transition midpoint of denaturation but an apparently low cooperativity. The analysis of the interdependence of thermal, urea-, and guanidine hydrochloride-induced unfolding revealed that whereas addition of urea resulted in the expected destabilization of all three proteins, guanidine hydrochloride acted diversely: in contrast to ribonuclease A and onconase, both of which were destabilized as expected, low concentrations of guanidine hydrochloride significantly stabilize ribonuclease 3 from bullfrog. This stabilizing effect was endorsed by in silico docking studies. \u00a9 2013 Federation of European Biochemical Societies. Published by Elsevier B.V. All rights reserved.", "author" : [ { "dropping-particle" : "", "family" : "Sol\u00e9", "given" : "M", "non-dropping-particle" : "", "parse-names" : false, "suffix" : "" }, { "dropping-particle" : "", "family" : "Brandt", "given" : "W", "non-dropping-particle" : "", "parse-names" : false, "suffix" : "" }, { "dropping-particle" : "", "family" : "Arnold", "given" : "U", "non-dropping-particle" : "", "parse-names" : false, "suffix" : "" } ], "container-title" : "FEBS Letters", "id" : "ITEM-2", "issued" : { "date-parts" : [ [ "2013" ] ] }, "page" : "737-742", "title" : "Striking stabilization of Rana catesbeiana ribonuclease 3 by guanidine hydrochloride", "type" : "article-journal", "volume" : "587" }, "uris" : [ "http://www.mendeley.com/documents/?uuid=8d43f319-4de8-4c5d-8641-381737085271" ] } ], "mendeley" : { "formattedCitation" : "(Mayr &amp; Schmid 1993; Sol\u00e9 et al. 2013)", "plainTextFormattedCitation" : "(Mayr &amp; Schmid 1993; Sol\u00e9 et al. 2013)", "previouslyFormattedCitation" : "(Mayr &amp; Schmid 1993; Sol\u00e9 et al. 2013)" }, "properties" : { "noteIndex" : 0 }, "schema" : "https://github.com/citation-style-language/schema/raw/master/csl-citation.json" }</w:instrText>
      </w:r>
      <w:r>
        <w:fldChar w:fldCharType="separate"/>
      </w:r>
      <w:r w:rsidRPr="00022FC3">
        <w:rPr>
          <w:noProof/>
        </w:rPr>
        <w:t>(Mayr &amp; Schmid 1993; Solé et al. 2013)</w:t>
      </w:r>
      <w:r>
        <w:fldChar w:fldCharType="end"/>
      </w:r>
      <w:r>
        <w:t>, which cannot explain the neutral effects seen here.</w:t>
      </w:r>
    </w:p>
    <w:p w14:paraId="4504D79A" w14:textId="77777777" w:rsidR="00C56CFB" w:rsidRDefault="00C56CFB" w:rsidP="00C56CFB">
      <w:r>
        <w:t xml:space="preserve">The linear extrapolation method (LEM) has long been used to estimate the overall stability of proteins, but relies on a linear relationship between stability and denaturant concentration </w:t>
      </w:r>
      <w:r>
        <w:fldChar w:fldCharType="begin" w:fldLock="1"/>
      </w:r>
      <w:r w:rsidR="00570275">
        <w:instrText>ADDIN CSL_CITATION { "citationItems" : [ { "id" : "ITEM-1", "itemData" : { "DOI" : "10.1385/0-89603-301-5:177", "ISBN" : "978-1-59259-527-3", "ISSN" : "1064-3745", "PMID" : "7633522", "author" : [ { "dropping-particle" : "", "family" : "Greene Jr", "given" : "R F", "non-dropping-particle" : "", "parse-names" : false, "suffix" : "" }, { "dropping-particle" : "", "family" : "Pace", "given" : "C N", "non-dropping-particle" : "", "parse-names" : false, "suffix" : "" } ], "container-title" : "Journal of Biological Chemistry", "id" : "ITEM-1", "issued" : { "date-parts" : [ [ "1974" ] ] }, "page" : "5388-5393", "title" : "Urea and guanidine hydrochloride denaturation of ribonuclease, lysozyme, a-chymotrypsin, and B-lactoglobulin", "type" : "article-journal", "volume" : "249" }, "uris" : [ "http://www.mendeley.com/documents/?uuid=686cd33b-f459-459a-acf0-24eefea5cf4a" ] }, { "id" : "ITEM-2", "itemData" : { "author" : [ { "dropping-particle" : "", "family" : "Tanford", "given" : "C", "non-dropping-particle" : "", "parse-names" : false, "suffix" : "" } ], "container-title" : "Journal of the American Chemical Society", "id" : "ITEM-2", "issued" : { "date-parts" : [ [ "1964" ] ] }, "page" : "2050-2059", "title" : "Isothermal unfolding of globular proteins in aqueous urea solutions", "type" : "article-journal", "volume" : "86" }, "uris" : [ "http://www.mendeley.com/documents/?uuid=2236770a-1da3-4037-b4b6-613329db7ff7" ] }, { "id" : "ITEM-3", "itemData" : { "author" : [ { "dropping-particle" : "", "family" : "Aune", "given" : "K C", "non-dropping-particle" : "", "parse-names" : false, "suffix" : "" }, { "dropping-particle" : "", "family" : "Tanford", "given" : "C", "non-dropping-particle" : "", "parse-names" : false, "suffix" : "" } ], "container-title" : "Biochemistry", "id" : "ITEM-3", "issued" : { "date-parts" : [ [ "1969" ] ] }, "page" : "4579-4585", "title" : "Thermodynamics of the denaturation of lysozyme by guanidine hydrochloride I. Dependence on pH at 25 \u00b0C", "type" : "article-journal", "volume" : "8" }, "uris" : [ "http://www.mendeley.com/documents/?uuid=2b081208-801f-449e-9a92-85b297f9beed" ] } ], "mendeley" : { "formattedCitation" : "(Greene Jr &amp; Pace 1974; Tanford 1964; Aune &amp; Tanford 1969a)", "plainTextFormattedCitation" : "(Greene Jr &amp; Pace 1974; Tanford 1964; Aune &amp; Tanford 1969a)", "previouslyFormattedCitation" : "(Greene Jr &amp; Pace 1974; Tanford 1964; Aune &amp; Tanford 1969a)" }, "properties" : { "noteIndex" : 0 }, "schema" : "https://github.com/citation-style-language/schema/raw/master/csl-citation.json" }</w:instrText>
      </w:r>
      <w:r>
        <w:fldChar w:fldCharType="separate"/>
      </w:r>
      <w:r w:rsidR="0064368A" w:rsidRPr="0064368A">
        <w:rPr>
          <w:noProof/>
        </w:rPr>
        <w:t>(Greene Jr &amp; Pace 1974; Tanford 1964; Aune &amp; Tanford 1969a)</w:t>
      </w:r>
      <w:r>
        <w:fldChar w:fldCharType="end"/>
      </w:r>
      <w:r>
        <w:t xml:space="preserve">. This data therefore supports that this method does not give true estimates to protein stability, in agreement with some more recent studies </w:t>
      </w:r>
      <w:r>
        <w:fldChar w:fldCharType="begin" w:fldLock="1"/>
      </w:r>
      <w:r w:rsidR="00924827">
        <w:instrText>ADDIN CSL_CITATION { "citationItems" : [ { "id" : "ITEM-1", "itemData" : { "DOI" : "10.1021/jp990413q", "ISSN" : "1520-6106", "author" : [ { "dropping-particle" : "", "family" : "Makhatadze", "given" : "G I", "non-dropping-particle" : "", "parse-names" : false, "suffix" : "" } ], "container-title" : "Journal of Physical Chemistry B", "id" : "ITEM-1", "issued" : { "date-parts" : [ [ "1999", "6" ] ] }, "page" : "4781-4785", "title" : "Thermodynamics of protein interactions with urea and guanidinium hydrochloride", "type" : "article-journal", "volume" : "103" }, "uris" : [ "http://www.mendeley.com/documents/?uuid=f2f8a740-4b34-4ed2-b0f5-9b62ead8e165" ] }, { "id" : "ITEM-2", "itemData" : { "ISSN" : "0006-2960", "PMID" : "1376620", "abstract" : "Organisms and cellular systems which have adapted to stresses such as high temperature, desiccation, and urea-concentrating environments have responded by concentrating particular organic solutes known as osmolytes. These osmolytes are believed to confer protection to enzyme and other macromolecular systems against such denaturing stresses. Differential scanning calorimetric (DSC) experiments were performed on ribonuclease A and hen egg white lysozyme in the presence of varying concentrations of the osmolytes glycine, sarcosine, N,N-dimethylglycine, and betaine. Solutions containing up to several molar concentrations of these solutes were found to result in considerable increases in the thermal unfolding transition temperature (Tm) for these proteins. DSC scans of ribonuclease A in the presence of up to 8.2 M sarcosine resulted in reversible two-state unfolding transitions with Tm increases of up to 22 degrees C and unfolding enthalpy changes which were independent of Tm. On the basis of the thermodynamic parameters observed, 8.2 M sarcosine results in a stabilization free energy increase of 7.2 kcal/mol for ribonuclease A at 65 degrees C. This translates into more than a 45,000-fold increase in stability of the native form of ribonuclease A over that in the absence of sarcosine at this temperature. Catalytic activity measurements in the presence of 4 M sarcosine give kcat and Km values that are largely unchanged from those in the absence of sarcosine. DSC of lysozyme unfolding in the presence of these osmolytes also results in Tm increases of up to 23 degrees C; however, significant irreversibly occurs with this protein.(ABSTRACT TRUNCATED AT 250 WORDS)", "author" : [ { "dropping-particle" : "", "family" : "Santoro", "given" : "M M", "non-dropping-particle" : "", "parse-names" : false, "suffix" : "" }, { "dropping-particle" : "", "family" : "Liu", "given" : "Y", "non-dropping-particle" : "", "parse-names" : false, "suffix" : "" }, { "dropping-particle" : "", "family" : "Khan", "given" : "S M A", "non-dropping-particle" : "", "parse-names" : false, "suffix" : "" }, { "dropping-particle" : "", "family" : "Hou", "given" : "L X", "non-dropping-particle" : "", "parse-names" : false, "suffix" : "" }, { "dropping-particle" : "", "family" : "Bolen", "given" : "D W", "non-dropping-particle" : "", "parse-names" : false, "suffix" : "" } ], "container-title" : "Biochemistry", "id" : "ITEM-2", "issued" : { "date-parts" : [ [ "1992", "6", "16" ] ] }, "page" : "5278-5283", "title" : "Increased thermal stability of proteins in the presence of naturally occurring osmolytes", "type" : "article-journal", "volume" : "31" }, "uris" : [ "http://www.mendeley.com/documents/?uuid=43f8c6ce-f911-44c3-88ac-ffd899b1fb4f" ] }, { "id" : "ITEM-3", "itemData" : { "ISSN" : "0006-2960", "PMID" : "11106500", "abstract" : "The DeltaG degrees (N)(-)(D) value obtained from extrapolation to zero denaturant concentration by the linear extrapolation method (LEM) is commonly interpreted to represent the Gibbs energy difference between native (N) and denatured (D) ensembles at the limit of zero denaturant concentration. For DeltaG degrees (N)(-)(D) to be interpreted solely in terms of N and D, as is common practice, it must be shown to be independent of denaturant concentration. Because DeltaG degrees (N)(-)(D) is often observed to be dependent on the nature of the denaturant, it is necessary to determine the circumstances under which DeltaG degrees (N)(-)(D) can be interpreted as a property solely of the protein. Here, we use proton inventory, a thermodynamic property of both the native and denatured ensembles, to monitor the thermodynamic character of denaturant-dependent aspects of N and D ensembles and the N right arrow over left arrow D transition. Use of a thermodynamic rather than a spectral parameter to monitor denaturation provides insight into the manner in which denaturant affects the meaning of DeltaG degrees (N)(-)(D) and the nature of the N right arrow over left arrow D transition. Three classes of proteins are defined in terms of the thermodynamic behaviors of their N right arrow over left arrow D transition and N and D ensembles. With guanidine hydrochloride as a denaturant, the classification of protein denaturations by these procedures determines when the LEM gives readily interpretable DeltaG degrees (N)(-)(D) values with this denaturant and when it does not.", "author" : [ { "dropping-particle" : "", "family" : "Bolen", "given" : "D W", "non-dropping-particle" : "", "parse-names" : false, "suffix" : "" }, { "dropping-particle" : "", "family" : "Yang", "given" : "M", "non-dropping-particle" : "", "parse-names" : false, "suffix" : "" } ], "container-title" : "Biochemistry", "id" : "ITEM-3", "issued" : { "date-parts" : [ [ "2000", "12", "12" ] ] }, "page" : "15208-15216", "title" : "Effects of guanidine hydrochloride on the proton inventory of proteins: Implications on interpretations of protein stability", "type" : "article-journal", "volume" : "39" }, "uris" : [ "http://www.mendeley.com/documents/?uuid=c783f4b9-44fc-4c7e-8e8a-d176720b312a" ] } ], "mendeley" : { "formattedCitation" : "(Makhatadze 1999; Santoro et al. 1992; Bolen &amp; Yang 2000)", "plainTextFormattedCitation" : "(Makhatadze 1999; Santoro et al. 1992; Bolen &amp; Yang 2000)", "previouslyFormattedCitation" : "(Makhatadze 1999; Santoro et al. 1992; Bolen &amp; Yang 2000)" }, "properties" : { "noteIndex" : 0 }, "schema" : "https://github.com/citation-style-language/schema/raw/master/csl-citation.json" }</w:instrText>
      </w:r>
      <w:r>
        <w:fldChar w:fldCharType="separate"/>
      </w:r>
      <w:r w:rsidRPr="00B45F84">
        <w:rPr>
          <w:noProof/>
        </w:rPr>
        <w:t>(Makhatadze 1999; Santoro et al. 1992; Bolen &amp; Yang 2000)</w:t>
      </w:r>
      <w:r>
        <w:fldChar w:fldCharType="end"/>
      </w:r>
      <w:r>
        <w:t xml:space="preserve">. </w:t>
      </w:r>
    </w:p>
    <w:p w14:paraId="65D01093" w14:textId="77777777" w:rsidR="00C56CFB" w:rsidRPr="00B45F84" w:rsidRDefault="00C56CFB" w:rsidP="00C56CFB">
      <w:r>
        <w:t>The concentration-dependent effect seen here indicates that the mechanism governing the effect of GdnHCl on protein stability must be a weak interaction, due to the need for fairly high concentrations</w:t>
      </w:r>
      <w:r w:rsidR="009E560A">
        <w:t xml:space="preserve"> to see an effect on stability</w:t>
      </w:r>
      <w:r>
        <w:t xml:space="preserve">. But it also has to be something that acts universally on all proteins, and affects protein stability strongly enough to chemically denature at higher concentrations. It is generally accepted that GdnHCl interacts directly with the protein, which is demonstrated from preferential interaction data </w:t>
      </w:r>
      <w:r>
        <w:fldChar w:fldCharType="begin" w:fldLock="1"/>
      </w:r>
      <w:r w:rsidR="00E11F61">
        <w:instrText>ADDIN CSL_CITATION { "citationItems" : [ { "id" : "ITEM-1", "itemData" : { "DOI" : "10.1110/ps.ps.20801", "ISSN" : "0961-8368", "PMID" : "11714916", "abstract" : "To interpret effects of urea and guanidinium (GuH(+)) salts on processes that involve large changes in protein water-accessible surface area (ASA), and to predict these effects from structural information, a thermodynamic characterization of the interactions of these solutes with different types of protein surface is required. In the present work we quantify the interactions of urea, GuHCl, GuHSCN, and, for comparison, KCl with native bovine serum albumin (BSA) surface, using vapor pressure osmometry (VPO) to obtain preferential interaction coefficients (Gamma(mu3)) as functions of nondenaturing concentrations of these solutes (0-1 molal). From analysis of Gamma(mu3) using the local-bulk domain model, we obtain concentration-independent partition coefficients K(nat)(P) that characterize the accumulation of these solutes near native protein (BSA) surface: K(nat)(P,urea)= 1.10 +/- 0.04, K(nat)(P,SCN(-)) = 2.4 +/- 0.2, K(nat)(P,GuH(+)) = 1.60 +/- 0.08, relative to K(nat)(P,K(+)) identical with 1 and K(nat)(P,Cl(-)) = 1.0 +/- 0.08. The relative magnitudes of K(nat)(P) are consistent with the relative effectiveness of these solutes as perturbants of protein processes. From a comparison of partition coefficients for these solutes and native surface (K(nat)(P)) with those determined by us previously for unfolded protein and alanine-based peptide surface K(unf)(P), we dissect K(P) into contributions from polar peptide backbone and other types of protein surface. For globular protein-urea interactions, we find K(nat)(P,urea) = K(unf)(P,urea). We propose that this equality arises because polar peptide backbone is the same fraction (0.13) of total ASA for both classes of surface. The analysis presented here quantifies and provides a physical basis for understanding Hofmeister effects of salt ions and the effects of uncharged solutes on protein processes in terms of K(P) and the change in protein ASA.", "author" : [ { "dropping-particle" : "", "family" : "Courtenay", "given" : "E S", "non-dropping-particle" : "", "parse-names" : false, "suffix" : "" }, { "dropping-particle" : "", "family" : "Capp", "given" : "M W", "non-dropping-particle" : "", "parse-names" : false, "suffix" : "" }, { "dropping-particle" : "", "family" : "Record", "given" : "M T", "non-dropping-particle" : "", "parse-names" : false, "suffix" : "" } ], "container-title" : "Protein Science", "id" : "ITEM-1", "issued" : { "date-parts" : [ [ "2001", "12" ] ] }, "page" : "2485-2497", "title" : "Thermodynamics of interactions of urea and guanidinium salts with protein surface: Relationship between solute effects on protein processes and changes in water-accessible surface area", "type" : "article-journal", "volume" : "10" }, "uris" : [ "http://www.mendeley.com/documents/?uuid=e3676007-086d-440d-a9cc-f778525309e5" ] }, { "id" : "ITEM-2", "itemData" : { "ISSN" : "0006-2960", "PMID" : "4855654", "author" : [ { "dropping-particle" : "", "family" : "Lee", "given" : "J C", "non-dropping-particle" : "", "parse-names" : false, "suffix" : "" }, { "dropping-particle" : "", "family" : "Timasheff", "given" : "S N", "non-dropping-particle" : "", "parse-names" : false, "suffix" : "" } ], "container-title" : "Biochemistry", "id" : "ITEM-2", "issued" : { "date-parts" : [ [ "1974", "1", "15" ] ] }, "page" : "257-265", "title" : "Partial specific volumes and interactions with solvent components of proteins in guanidine hydrochloride", "type" : "article-journal", "volume" : "13" }, "uris" : [ "http://www.mendeley.com/documents/?uuid=3ec4abcb-f380-48d1-b0c8-4a2b55528c32" ] }, { "id" : "ITEM-3", "itemData" : { "DOI" : "10.1016/j.jmb.2004.10.036", "ISSN" : "0022-2836", "PMID" : "15567418", "abstract" : "Chemical denaturants are frequently used to unfold proteins and to characterize mechanisms and transition states of protein folding reactions. The molecular basis of the effect of urea and guanidinium chloride (GdmCl) on polypeptide chains is still not well understood. Models for denaturant--protein interaction include both direct binding and indirect changes in solvent properties. Here we report studies on the effect of urea and GdmCl on the rate constants (k(c)) of end-to-end diffusion in unstructured poly(glycine-serine) chains of different length. Urea and GdmCl both lead to a linear decrease of lnk(c) with denaturant concentration, as observed for the rate constants for protein folding. This suggests that the effect of denaturants on chain dynamics significantly contributes to the denaturant-dependence of folding rate constants for small proteins. We show that this linear dependency is the result of two additive non-linear effects, namely increased solvent viscosity and denaturant binding. The contribution from denaturant binding can be quantitatively described by Schellman's weak binding model with binding constants (K) of 0.62(+/-0.01)M(-1) for GdmCl and 0.26(+/-0.01)M(-1) for urea. In our model peptides the number of binding sites and the effect of a bound denaturant molecule on chain dynamics is identical for urea and GdmCl. The results further identify the polypeptide backbone as the major denaturant binding site and give an upper limit of a few nanoseconds for residence times of denaturant molecules on the polypeptide chain.", "author" : [ { "dropping-particle" : "", "family" : "M\u00f6glich", "given" : "A", "non-dropping-particle" : "", "parse-names" : false, "suffix" : "" }, { "dropping-particle" : "", "family" : "Krieger", "given" : "F", "non-dropping-particle" : "", "parse-names" : false, "suffix" : "" }, { "dropping-particle" : "", "family" : "Kiefhaber", "given" : "T", "non-dropping-particle" : "", "parse-names" : false, "suffix" : "" } ], "container-title" : "Journal of Molecular Biology", "id" : "ITEM-3", "issued" : { "date-parts" : [ [ "2005", "1", "7" ] ] }, "page" : "153-162", "title" : "Molecular basis for the effect of urea and guanidinium chloride on the dynamics of unfolded polypeptide chains", "type" : "article-journal", "volume" : "345" }, "uris" : [ "http://www.mendeley.com/documents/?uuid=b9b0e3f2-3a86-42f5-8f2a-38dfbd07c2b2" ] } ], "mendeley" : { "formattedCitation" : "(Courtenay et al. 2001; Lee &amp; Timasheff 1974; M\u00f6glich et al. 2005)", "plainTextFormattedCitation" : "(Courtenay et al. 2001; Lee &amp; Timasheff 1974; M\u00f6glich et al. 2005)", "previouslyFormattedCitation" : "(Courtenay et al. 2001; Lee &amp; Timasheff 1974; M\u00f6glich et al. 2005)" }, "properties" : { "noteIndex" : 0 }, "schema" : "https://github.com/citation-style-language/schema/raw/master/csl-citation.json" }</w:instrText>
      </w:r>
      <w:r>
        <w:fldChar w:fldCharType="separate"/>
      </w:r>
      <w:r w:rsidR="00924827" w:rsidRPr="00924827">
        <w:rPr>
          <w:noProof/>
        </w:rPr>
        <w:t>(Courtenay et al. 2001; Lee &amp; Timasheff 1974; Möglich et al. 2005)</w:t>
      </w:r>
      <w:r>
        <w:fldChar w:fldCharType="end"/>
      </w:r>
      <w:r>
        <w:t>. As discussed in</w:t>
      </w:r>
      <w:r w:rsidR="00146647">
        <w:rPr>
          <w:color w:val="FF0000"/>
        </w:rPr>
        <w:t xml:space="preserve"> </w:t>
      </w:r>
      <w:r w:rsidR="00146647">
        <w:t xml:space="preserve">section </w:t>
      </w:r>
      <w:r w:rsidR="00146647">
        <w:fldChar w:fldCharType="begin"/>
      </w:r>
      <w:r w:rsidR="00146647">
        <w:instrText xml:space="preserve"> REF _Ref462648901 \r \h </w:instrText>
      </w:r>
      <w:r w:rsidR="00146647">
        <w:fldChar w:fldCharType="separate"/>
      </w:r>
      <w:r w:rsidR="00AA6926">
        <w:t>1.4.3.2</w:t>
      </w:r>
      <w:r w:rsidR="00146647">
        <w:fldChar w:fldCharType="end"/>
      </w:r>
      <w:r>
        <w:t xml:space="preserve">, this does not necessarily give detailed enough information on the exact mechanism by which the interaction occurs. Courtenay et al. found that the preferential interaction data for GdnHCl was very similar between the native and denatured state, and therefore cannot be used an explanation for destabilisation as this would require stronger preferential interaction with the denatured state </w:t>
      </w:r>
      <w:r>
        <w:fldChar w:fldCharType="begin" w:fldLock="1"/>
      </w:r>
      <w:r>
        <w:instrText>ADDIN CSL_CITATION { "citationItems" : [ { "id" : "ITEM-1", "itemData" : { "DOI" : "10.1110/ps.ps.20801", "ISSN" : "0961-8368", "PMID" : "11714916", "abstract" : "To interpret effects of urea and guanidinium (GuH(+)) salts on processes that involve large changes in protein water-accessible surface area (ASA), and to predict these effects from structural information, a thermodynamic characterization of the interactions of these solutes with different types of protein surface is required. In the present work we quantify the interactions of urea, GuHCl, GuHSCN, and, for comparison, KCl with native bovine serum albumin (BSA) surface, using vapor pressure osmometry (VPO) to obtain preferential interaction coefficients (Gamma(mu3)) as functions of nondenaturing concentrations of these solutes (0-1 molal). From analysis of Gamma(mu3) using the local-bulk domain model, we obtain concentration-independent partition coefficients K(nat)(P) that characterize the accumulation of these solutes near native protein (BSA) surface: K(nat)(P,urea)= 1.10 +/- 0.04, K(nat)(P,SCN(-)) = 2.4 +/- 0.2, K(nat)(P,GuH(+)) = 1.60 +/- 0.08, relative to K(nat)(P,K(+)) identical with 1 and K(nat)(P,Cl(-)) = 1.0 +/- 0.08. The relative magnitudes of K(nat)(P) are consistent with the relative effectiveness of these solutes as perturbants of protein processes. From a comparison of partition coefficients for these solutes and native surface (K(nat)(P)) with those determined by us previously for unfolded protein and alanine-based peptide surface K(unf)(P), we dissect K(P) into contributions from polar peptide backbone and other types of protein surface. For globular protein-urea interactions, we find K(nat)(P,urea) = K(unf)(P,urea). We propose that this equality arises because polar peptide backbone is the same fraction (0.13) of total ASA for both classes of surface. The analysis presented here quantifies and provides a physical basis for understanding Hofmeister effects of salt ions and the effects of uncharged solutes on protein processes in terms of K(P) and the change in protein ASA.", "author" : [ { "dropping-particle" : "", "family" : "Courtenay", "given" : "E S", "non-dropping-particle" : "", "parse-names" : false, "suffix" : "" }, { "dropping-particle" : "", "family" : "Capp", "given" : "M W", "non-dropping-particle" : "", "parse-names" : false, "suffix" : "" }, { "dropping-particle" : "", "family" : "Record", "given" : "M T", "non-dropping-particle" : "", "parse-names" : false, "suffix" : "" } ], "container-title" : "Protein Science", "id" : "ITEM-1", "issued" : { "date-parts" : [ [ "2001", "12" ] ] }, "page" : "2485-2497", "title" : "Thermodynamics of interactions of urea and guanidinium salts with protein surface: Relationship between solute effects on protein processes and changes in water-accessible surface area", "type" : "article-journal", "volume" : "10" }, "uris" : [ "http://www.mendeley.com/documents/?uuid=e3676007-086d-440d-a9cc-f778525309e5" ] } ], "mendeley" : { "formattedCitation" : "(Courtenay et al. 2001)", "plainTextFormattedCitation" : "(Courtenay et al. 2001)", "previouslyFormattedCitation" : "(Courtenay et al. 2001)" }, "properties" : { "noteIndex" : 0 }, "schema" : "https://github.com/citation-style-language/schema/raw/master/csl-citation.json" }</w:instrText>
      </w:r>
      <w:r>
        <w:fldChar w:fldCharType="separate"/>
      </w:r>
      <w:r w:rsidRPr="008C4ABF">
        <w:rPr>
          <w:noProof/>
        </w:rPr>
        <w:t>(Courtenay et al. 2001)</w:t>
      </w:r>
      <w:r>
        <w:fldChar w:fldCharType="end"/>
      </w:r>
      <w:r>
        <w:t xml:space="preserve">. DSC thermograms show an increase in heat capacity of the unfolded state of the proteins with high concentrations of GdnHCl, which indicate extensive binding of GdnHCl to the denatured state </w:t>
      </w:r>
      <w:r w:rsidR="00882E4A">
        <w:t>(see Appendix A).</w:t>
      </w:r>
    </w:p>
    <w:p w14:paraId="7A18CB3D" w14:textId="77777777" w:rsidR="00C56CFB" w:rsidRDefault="00C56CFB" w:rsidP="00C56CFB">
      <w:r>
        <w:t xml:space="preserve">Establishing the exact mechanism by which GdnHCl directly interacts has been difficult, as the high concentrations needed to chemically denature the protein mean that GdnHCl will likely be situated close to the protein surface at many points purely due to the large number of molecules in solution </w:t>
      </w:r>
      <w:r>
        <w:fldChar w:fldCharType="begin" w:fldLock="1"/>
      </w:r>
      <w:r>
        <w:instrText>ADDIN CSL_CITATION { "citationItems" : [ { "id" : "ITEM-1", "itemData" : { "DOI" : "10.1146/annurev-physchem-032210-103531.Role", "author" : [ { "dropping-particle" : "", "family" : "England", "given" : "J L", "non-dropping-particle" : "", "parse-names" : false, "suffix" : "" }, { "dropping-particle" : "", "family" : "Haran", "given" : "G", "non-dropping-particle" : "", "parse-names" : false, "suffix" : "" } ], "container-title" : "Annual Review of Physical Chemistry", "id" : "ITEM-1", "issued" : { "date-parts" : [ [ "2011" ] ] }, "page" : "257-277", "title" : "Role of solvation effects in protein denaturation: From thermodynamics to single molecules and back", "type" : "article-journal", "volume" : "62" }, "uris" : [ "http://www.mendeley.com/documents/?uuid=76f205d3-b547-4ca4-9989-85a3463c9941" ] } ], "mendeley" : { "formattedCitation" : "(England &amp; Haran 2011)", "plainTextFormattedCitation" : "(England &amp; Haran 2011)", "previouslyFormattedCitation" : "(England &amp; Haran 2011)" }, "properties" : { "noteIndex" : 0 }, "schema" : "https://github.com/citation-style-language/schema/raw/master/csl-citation.json" }</w:instrText>
      </w:r>
      <w:r>
        <w:fldChar w:fldCharType="separate"/>
      </w:r>
      <w:r w:rsidRPr="008C4ABF">
        <w:rPr>
          <w:noProof/>
        </w:rPr>
        <w:t>(England &amp; Haran 2011)</w:t>
      </w:r>
      <w:r>
        <w:fldChar w:fldCharType="end"/>
      </w:r>
      <w:r>
        <w:t xml:space="preserve">. Many studies suggest that GdnHCl exerts its destabilising effects through direct interaction with the peptide backbone, although the majority of these studies are based on molecular dynamics simulation without any confirming experimental evidence </w:t>
      </w:r>
      <w:r>
        <w:fldChar w:fldCharType="begin" w:fldLock="1"/>
      </w:r>
      <w:r>
        <w:instrText>ADDIN CSL_CITATION { "citationItems" : [ { "id" : "ITEM-1", "itemData" : { "DOI" : "10.1073/pnas.0606236103", "ISSN" : "0027-8424", "PMID" : "16968772", "abstract" : "Osmolytes are small organic compounds that affect protein stability and are ubiquitous in living systems. In the equilibrium protein folding reaction, unfolded (U) native (N), protecting osmolytes push the equilibrium toward N, whereas denaturing osmolytes push the equilibrium toward U. As yet, there is no universal molecular theory that can explain the mechanism by which osmolytes interact with the protein to affect protein stability. Here, we lay the groundwork for such a theory, starting with a key observation: the transfer free energy of protein backbone from water to a water/osmolyte solution, Deltagtr, is negatively correlated with an osmolyte's fractional polar surface area. Deltagtr measures the degree to which an osmolyte stabilizes a protein. Consequently, a straightforward interpretation of this correlation implies that the interaction between the protein backbone and osmolyte polar groups is more favorable than the corresponding interaction with nonpolar groups. Such an interpretation immediately suggests the existence of a universal mechanism involving osmolyte, backbone, and water. We test this idea by using it to construct a quantitative solvation model in which backbone/solvent interaction energy is a function of interactant polarity, and the number of energetically equivalent ways of realizing a given interaction is a function of interactant surface area. Using this model, calculated Deltagtr values show a strong correlation with measured values (R = 0.99). In addition, the model correctly predicts that protecting/denaturing osmolytes will be preferentially excluded/accumulated around the protein backbone. Taken together, these model-based results rationalize the dominant interactions observed in experimental studies of osmolyte-induced protein stabilization and denaturation.", "author" : [ { "dropping-particle" : "", "family" : "Street", "given" : "T O", "non-dropping-particle" : "", "parse-names" : false, "suffix" : "" }, { "dropping-particle" : "", "family" : "Bolen", "given" : "D W", "non-dropping-particle" : "", "parse-names" : false, "suffix" : "" }, { "dropping-particle" : "", "family" : "Rose", "given" : "G D", "non-dropping-particle" : "", "parse-names" : false, "suffix" : "" } ], "container-title" : "Proceedings of the National Academy of Sciences of the United States of America", "id" : "ITEM-1", "issued" : { "date-parts" : [ [ "2006", "9", "19" ] ] }, "page" : "13997-14002", "title" : "A molecular mechanism for osmolyte-induced protein stability", "type" : "article-journal", "volume" : "103" }, "uris" : [ "http://www.mendeley.com/documents/?uuid=6762294e-65c7-4895-b11f-2348365549f2" ] }, { "id" : "ITEM-2", "itemData" : { "DOI" : "10.1021/ja069232+", "ISBN" : "0002-7863", "ISSN" : "00027863", "PMID" : "17503819", "abstract" : "In order to clarify the mechanism of denaturant-induced unfolding of proteins we have calculated the interactions between hydrophobic and ionic species in aqueous guanidinium chloride and urea solutions using molecular dynamics simulations. Hydrophobic association is not significantly changed in urea or guanidinium chloride solutions. The strength of interaction between ion pairs is greatly diminished by the guanidinium ion. Although the changes in electrostatic interactions in urea are small, examination of structures, using appropriate pair functions, of urea and water around the solutes show strong hydrogen bonding between urea's carbonyl oxygen and the positively charged solute. Our results strongly suggest protein denaturation occurs by the direct interaction model according to which the most commonly used denaturants unfold proteins by altering electrostatic interactions either by solvating the charged residues or by engaging in hydrogen bonds with the protein backbone. To further validate the direct interaction model we show that, in urea and guanidinium chloride solutions, unfolding of an unusually stable helix (H1) from mouse PrPC (residues 144-153) occurs by hydrogen bonding of denaturants to charged side chains and backbone carbonyl groups.", "author" : [ { "dropping-particle" : "", "family" : "O'Brien", "given" : "E P", "non-dropping-particle" : "", "parse-names" : false, "suffix" : "" }, { "dropping-particle" : "", "family" : "Dima", "given" : "R I", "non-dropping-particle" : "", "parse-names" : false, "suffix" : "" }, { "dropping-particle" : "", "family" : "Brooks", "given" : "B", "non-dropping-particle" : "", "parse-names" : false, "suffix" : "" }, { "dropping-particle" : "", "family" : "Thirumalai", "given" : "D", "non-dropping-particle" : "", "parse-names" : false, "suffix" : "" } ], "container-title" : "Journal of the American Chemical Society", "id" : "ITEM-2", "issued" : { "date-parts" : [ [ "2007" ] ] }, "page" : "7346-7353", "title" : "Interactions between hydrophobic and ionic solutes in aqueous guanidinium chloride and urea solutions: Lessons for protein denaturation mechanism", "type" : "article-journal", "volume" : "129" }, "uris" : [ "http://www.mendeley.com/documents/?uuid=bef31134-6134-491e-b598-bc077f2e07f8" ] } ], "mendeley" : { "formattedCitation" : "(Street et al. 2006; O\u2019Brien et al. 2007)", "plainTextFormattedCitation" : "(Street et al. 2006; O\u2019Brien et al. 2007)", "previouslyFormattedCitation" : "(Street et al. 2006; O\u2019Brien et al. 2007)" }, "properties" : { "noteIndex" : 0 }, "schema" : "https://github.com/citation-style-language/schema/raw/master/csl-citation.json" }</w:instrText>
      </w:r>
      <w:r>
        <w:fldChar w:fldCharType="separate"/>
      </w:r>
      <w:r w:rsidRPr="00B45F84">
        <w:rPr>
          <w:noProof/>
        </w:rPr>
        <w:t>(Street et al. 2006; O’Brien et al. 2007)</w:t>
      </w:r>
      <w:r>
        <w:fldChar w:fldCharType="end"/>
      </w:r>
      <w:r>
        <w:t xml:space="preserve">. There are also a number of studies suggesting direct interactions with aromatic  and/or acidic side chains </w:t>
      </w:r>
      <w:r>
        <w:fldChar w:fldCharType="begin" w:fldLock="1"/>
      </w:r>
      <w:r w:rsidR="00924827">
        <w:instrText>ADDIN CSL_CITATION { "citationItems" : [ { "id" : "ITEM-1", "itemData" : { "DOI" : "10.1016/j.bbrc.2004.08.081", "ISSN" : "0006-291X", "PMID" : "15351719", "abstract" : "This study was carried out to investigate the structural perturbation of the protein's local structure by the denaturants under non-denaturing conditions. Crystal structure of CutA from an archaeon Pyrococcus horikosii (PhoCutA), a heavy-metal binding protein, was determined at 1.6-angstroms resolution in the presence of 3 M guanidine HCl (GdnHCl). Native PhoCutA has a large number of short intramolecular hydrogen bonds and salt bridges on the protein surface, of which greater than 90% of hydrogen bonds and all salt bridges were retained in 3 M GdnHCl. Hydrogen bonds that disappeared in the GdnHCl crystal structure were mainly located on the protein surface, especially around the structurally perturbed loop, suggesting interactions between peptide groups and GdnHCl. Only a few GdnH+ ions were observed in the crystal structure, although none at the surface, of the protein. Two GdnH+ ions were observed in the center of the trimeric structure, replacing water molecules, and were hydrogen bonded with Asp84 and Asp86 of each chain. The exterior loop from Tyr39 to Lys44, including Trp40-Trp41, was perturbed structurally. Decreases in temperature factors were observed in beta strand 5 and the N terminus of helix 3. These results suggest the specific bindings of GdnH+ with some acidic residues and the non-specific bindings around Trp residues and peptide groups on the protein surface and that binding of GdnHCl to the native protein is limited, resulting in local structural perturbation.", "author" : [ { "dropping-particle" : "", "family" : "Tanaka", "given" : "Y", "non-dropping-particle" : "", "parse-names" : false, "suffix" : "" }, { "dropping-particle" : "", "family" : "Tsumoto", "given" : "K", "non-dropping-particle" : "", "parse-names" : false, "suffix" : "" }, { "dropping-particle" : "", "family" : "Umetsu", "given" : "M", "non-dropping-particle" : "", "parse-names" : false, "suffix" : "" }, { "dropping-particle" : "", "family" : "Nakanishi", "given" : "T", "non-dropping-particle" : "", "parse-names" : false, "suffix" : "" }, { "dropping-particle" : "", "family" : "Yasutake", "given" : "Y", "non-dropping-particle" : "", "parse-names" : false, "suffix" : "" }, { "dropping-particle" : "", "family" : "Sakai", "given" : "N", "non-dropping-particle" : "", "parse-names" : false, "suffix" : "" }, { "dropping-particle" : "", "family" : "Yao", "given" : "M", "non-dropping-particle" : "", "parse-names" : false, "suffix" : "" }, { "dropping-particle" : "", "family" : "Tanaka", "given" : "I", "non-dropping-particle" : "", "parse-names" : false, "suffix" : "" }, { "dropping-particle" : "", "family" : "Arakawa", "given" : "T", "non-dropping-particle" : "", "parse-names" : false, "suffix" : "" }, { "dropping-particle" : "", "family" : "Kumagai", "given" : "I", "non-dropping-particle" : "", "parse-names" : false, "suffix" : "" } ], "container-title" : "Biochemical and Biophysical Research Communications", "id" : "ITEM-1", "issued" : { "date-parts" : [ [ "2004", "10", "8" ] ] }, "page" : "185-191", "title" : "Structural evidence for guanidine-protein side chain interactions: Crystal structure of CutA from Pyrococcus horikoshii in 3 M guanidine hydrochloride", "type" : "article-journal", "volume" : "323" }, "uris" : [ "http://www.mendeley.com/documents/?uuid=0ebc26a6-daac-4068-a7d9-118d1a285249" ] }, { "id" : "ITEM-2", "itemData" : { "ISSN" : "0006-2960", "PMID" : "4855654", "author" : [ { "dropping-particle" : "", "family" : "Lee", "given" : "J C", "non-dropping-particle" : "", "parse-names" : false, "suffix" : "" }, { "dropping-particle" : "", "family" : "Timasheff", "given" : "S N", "non-dropping-particle" : "", "parse-names" : false, "suffix" : "" } ], "container-title" : "Biochemistry", "id" : "ITEM-2", "issued" : { "date-parts" : [ [ "1974", "1", "15" ] ] }, "page" : "257-265", "title" : "Partial specific volumes and interactions with solvent components of proteins in guanidine hydrochloride", "type" : "article-journal", "volume" : "13" }, "uris" : [ "http://www.mendeley.com/documents/?uuid=3ec4abcb-f380-48d1-b0c8-4a2b55528c32" ] } ], "mendeley" : { "formattedCitation" : "(Tanaka et al. 2004; Lee &amp; Timasheff 1974)", "plainTextFormattedCitation" : "(Tanaka et al. 2004; Lee &amp; Timasheff 1974)", "previouslyFormattedCitation" : "(Tanaka et al. 2004; Lee &amp; Timasheff 1974)" }, "properties" : { "noteIndex" : 0 }, "schema" : "https://github.com/citation-style-language/schema/raw/master/csl-citation.json" }</w:instrText>
      </w:r>
      <w:r>
        <w:fldChar w:fldCharType="separate"/>
      </w:r>
      <w:r w:rsidR="00924827" w:rsidRPr="00924827">
        <w:rPr>
          <w:noProof/>
        </w:rPr>
        <w:t>(Tanaka et al. 2004; Lee &amp; Timasheff 1974)</w:t>
      </w:r>
      <w:r>
        <w:fldChar w:fldCharType="end"/>
      </w:r>
      <w:r>
        <w:t xml:space="preserve">. More recently, acid and base catalysed hydrogen exchange by NMR has cast doubt on the interaction of GdnHCl with the peptide backbone, although urea was shown to denature proteins via this mechanism </w:t>
      </w:r>
      <w:r>
        <w:fldChar w:fldCharType="begin" w:fldLock="1"/>
      </w:r>
      <w:r>
        <w:instrText>ADDIN CSL_CITATION { "citationItems" : [ { "id" : "ITEM-1", "itemData" : { "DOI" : "10.1073/pnas.0812588106", "ISSN" : "1091-6490", "PMID" : "19196963", "abstract" : "The mechanism by which urea and guanidinium destabilize protein structure is controversial. We tested the possibility that these denaturants form hydrogen bonds with peptide groups by measuring their ability to block acid- and base-catalyzed peptide hydrogen exchange. The peptide hydrogen bonding found appears sufficient to explain the thermodynamic denaturing effect of urea. Results for guanidinium, however, are contrary to the expectation that it might H-bond. Evidently, urea and guanidinium, although structurally similar, denature proteins by different mechanisms.", "author" : [ { "dropping-particle" : "", "family" : "Lim", "given" : "W K", "non-dropping-particle" : "", "parse-names" : false, "suffix" : "" }, { "dropping-particle" : "", "family" : "R\u00f6sgen", "given" : "J", "non-dropping-particle" : "", "parse-names" : false, "suffix" : "" }, { "dropping-particle" : "", "family" : "Englander", "given" : "S W", "non-dropping-particle" : "", "parse-names" : false, "suffix" : "" } ], "container-title" : "Proceedings of the National Academy of Sciences of the United States of America", "id" : "ITEM-1", "issued" : { "date-parts" : [ [ "2009", "2", "24" ] ] }, "page" : "2595-2600", "title" : "Urea, but not guanidinium, destabilizes proteins by forming hydrogen bonds to the peptide group", "type" : "article-journal", "volume" : "106" }, "uris" : [ "http://www.mendeley.com/documents/?uuid=de76025e-7b1a-4c69-b2aa-0eb30fb58e5f" ] } ], "mendeley" : { "formattedCitation" : "(Lim et al. 2009)", "plainTextFormattedCitation" : "(Lim et al. 2009)", "previouslyFormattedCitation" : "(Lim et al. 2009)" }, "properties" : { "noteIndex" : 0 }, "schema" : "https://github.com/citation-style-language/schema/raw/master/csl-citation.json" }</w:instrText>
      </w:r>
      <w:r>
        <w:fldChar w:fldCharType="separate"/>
      </w:r>
      <w:r w:rsidRPr="00265CBD">
        <w:rPr>
          <w:noProof/>
        </w:rPr>
        <w:t>(Lim et al. 2009)</w:t>
      </w:r>
      <w:r>
        <w:fldChar w:fldCharType="end"/>
      </w:r>
      <w:r>
        <w:t xml:space="preserve">. It is thought that the enthalpic contributions from GdnHCl interactions with polar groups on the protein are not strong enough to explain its strong denaturing capabilities at high concentrations </w:t>
      </w:r>
      <w:r>
        <w:fldChar w:fldCharType="begin" w:fldLock="1"/>
      </w:r>
      <w:r>
        <w:instrText>ADDIN CSL_CITATION { "citationItems" : [ { "id" : "ITEM-1", "itemData" : { "DOI" : "10.1146/annurev-physchem-032210-103531.Role", "author" : [ { "dropping-particle" : "", "family" : "England", "given" : "J L", "non-dropping-particle" : "", "parse-names" : false, "suffix" : "" }, { "dropping-particle" : "", "family" : "Haran", "given" : "G", "non-dropping-particle" : "", "parse-names" : false, "suffix" : "" } ], "container-title" : "Annual Review of Physical Chemistry", "id" : "ITEM-1", "issued" : { "date-parts" : [ [ "2011" ] ] }, "page" : "257-277", "title" : "Role of solvation effects in protein denaturation: From thermodynamics to single molecules and back", "type" : "article-journal", "volume" : "62" }, "uris" : [ "http://www.mendeley.com/documents/?uuid=76f205d3-b547-4ca4-9989-85a3463c9941" ] } ], "mendeley" : { "formattedCitation" : "(England &amp; Haran 2011)", "plainTextFormattedCitation" : "(England &amp; Haran 2011)", "previouslyFormattedCitation" : "(England &amp; Haran 2011)" }, "properties" : { "noteIndex" : 0 }, "schema" : "https://github.com/citation-style-language/schema/raw/master/csl-citation.json" }</w:instrText>
      </w:r>
      <w:r>
        <w:fldChar w:fldCharType="separate"/>
      </w:r>
      <w:r w:rsidRPr="00265CBD">
        <w:rPr>
          <w:noProof/>
        </w:rPr>
        <w:t>(England &amp; Haran 2011)</w:t>
      </w:r>
      <w:r>
        <w:fldChar w:fldCharType="end"/>
      </w:r>
      <w:r>
        <w:t>.</w:t>
      </w:r>
    </w:p>
    <w:p w14:paraId="2439DC52" w14:textId="77777777" w:rsidR="00C56CFB" w:rsidRDefault="00C56CFB" w:rsidP="00C56CFB">
      <w:r>
        <w:t xml:space="preserve">The destabilising trends seen here for GdnHCl are more likely explained by interactions with the hydrophobic interior of the protein, which is exposed on unfolding. GdnHCl is a planar high charge density ion, which is extremely weakly hydrated on its planar face </w:t>
      </w:r>
      <w:r>
        <w:fldChar w:fldCharType="begin" w:fldLock="1"/>
      </w:r>
      <w:r w:rsidR="00FF6FB8">
        <w:instrText>ADDIN CSL_CITATION { "citationItems" : [ { "id" : "ITEM-1", "itemData" : { "DOI" : "10.1073/pnas.0735920100", "ISBN" : "0027-8424", "ISSN" : "0027-8424", "PMID" : "12684536", "abstract" : "Neutron diffraction experiments were carried out on aqueous solutions containing either guanidinium or thiocyanate ions. The first-order difference method of neutron diffraction and isotopic substitution was applied, and the hydration structures of two of nature's strongest denaturant ions were determined. Each ion is shown to interact weakly with water: Guanidinium has no recognizable hydration shell and is one of the most weakly hydrated cations yet characterized. Hydration of thiocyanate is characterized by a low coordination number involving around one hydrogen-bonded water molecule and approximately two water molecules weakly interacting through \"hydration bonds.\" The weak hydration of these denaturant ions strongly supports suggestions that a major contribution to the denaturant effect is the preferential interaction of the denaturant with the protein surface. By contrast, solute species such as many sugars and related polyols that stabilize proteins are strongly hydrated and are thus preferentially retained in the bulk solvent and excluded from the protein surface.", "author" : [ { "dropping-particle" : "", "family" : "Mason", "given" : "P E", "non-dropping-particle" : "", "parse-names" : false, "suffix" : "" }, { "dropping-particle" : "", "family" : "Neilson", "given" : "G W", "non-dropping-particle" : "", "parse-names" : false, "suffix" : "" }, { "dropping-particle" : "", "family" : "Dempsey", "given" : "C E", "non-dropping-particle" : "", "parse-names" : false, "suffix" : "" }, { "dropping-particle" : "", "family" : "Barnes", "given" : "a C", "non-dropping-particle" : "", "parse-names" : false, "suffix" : "" }, { "dropping-particle" : "", "family" : "Cruickshank", "given" : "J M", "non-dropping-particle" : "", "parse-names" : false, "suffix" : "" } ], "container-title" : "Proceedings of the National Academy of Sciences of the United States of America", "id" : "ITEM-1", "issued" : { "date-parts" : [ [ "2003" ] ] }, "page" : "4557-4561", "title" : "The hydration structure of guanidinium and thiocyanate ions: implications for protein stability in aqueous solution", "type" : "article-journal", "volume" : "100" }, "uris" : [ "http://www.mendeley.com/documents/?uuid=fccb80eb-7117-4ad4-802b-afe82b067ce7" ] }, { "id" : "ITEM-2", "itemData" : { "DOI" : "10.1021/ja040034x", "author" : [ { "dropping-particle" : "", "family" : "Mason", "given" : "P E", "non-dropping-particle" : "", "parse-names" : false, "suffix" : "" }, { "dropping-particle" : "", "family" : "Neilson", "given" : "G W", "non-dropping-particle" : "", "parse-names" : false, "suffix" : "" }, { "dropping-particle" : "", "family" : "Enderby", "given" : "J E", "non-dropping-particle" : "", "parse-names" : false, "suffix" : "" }, { "dropping-particle" : "", "family" : "Saboungi", "given" : "M L", "non-dropping-particle" : "", "parse-names" : false, "suffix" : "" }, { "dropping-particle" : "", "family" : "Dempsey", "given" : "C E", "non-dropping-particle" : "", "parse-names" : false, "suffix" : "" }, { "dropping-particle" : "", "family" : "Mackerell", "given" : "A D", "non-dropping-particle" : "", "parse-names" : false, "suffix" : "" }, { "dropping-particle" : "", "family" : "Brady", "given" : "J W", "non-dropping-particle" : "", "parse-names" : false, "suffix" : "" } ], "container-title" : "Journal of the American Chemical Society", "id" : "ITEM-2", "issued" : { "date-parts" : [ [ "2004" ] ] }, "page" : "11462-11470", "title" : "The structure of aqueous guanidinium chloride solutions", "type" : "article-journal", "volume" : "126" }, "uris" : [ "http://www.mendeley.com/documents/?uuid=dcd77331-9619-41cd-a08e-15ca0f9e5576" ] } ], "mendeley" : { "formattedCitation" : "(Mason et al. 2003; Mason et al. 2004)", "plainTextFormattedCitation" : "(Mason et al. 2003; Mason et al. 2004)", "previouslyFormattedCitation" : "(Mason et al. 2003; Mason et al. 2004)" }, "properties" : { "noteIndex" : 0 }, "schema" : "https://github.com/citation-style-language/schema/raw/master/csl-citation.json" }</w:instrText>
      </w:r>
      <w:r>
        <w:fldChar w:fldCharType="separate"/>
      </w:r>
      <w:r w:rsidRPr="00265CBD">
        <w:rPr>
          <w:noProof/>
        </w:rPr>
        <w:t>(Mason et al. 2003; Mason et al. 2004)</w:t>
      </w:r>
      <w:r>
        <w:fldChar w:fldCharType="end"/>
      </w:r>
      <w:r>
        <w:t xml:space="preserve">. Therefore when present in bulk water, water-water interactions will be much stronger than any interaction </w:t>
      </w:r>
      <w:r w:rsidR="009E560A">
        <w:t>between water and</w:t>
      </w:r>
      <w:r>
        <w:t xml:space="preserve"> GdnHCl. This makes it more energetically favourable for GdnHCl to be pushed onto the hydrophobic portions of the proteins as previously described by Collins and labelled a ‘wetting agent’ effect </w:t>
      </w:r>
      <w:r>
        <w:fldChar w:fldCharType="begin" w:fldLock="1"/>
      </w:r>
      <w:r>
        <w:instrText>ADDIN CSL_CITATION { "citationItems" : [ { "id" : "ITEM-1", "itemData" : { "DOI" : "10.1073/pnas.92.12.5553", "ISSN" : "0027-8424", "PMID" : "7539920", "abstract" : "Aqueous gel sieving chromatography on Sephadex G-10 of the Group IA cations (Li+, Na+, K+, Rb+, Cs+) plus NH4+ as the Cl- salts, in combination with previous results for the halide anions (F-, Cl-, Br-, I-) as the Na+ salts [Washabaugh, M.W. &amp; Collins, K.D. (1986) J. Biol. Chem. 261, 12477-12485], leads to the following conclusions. (i) The small monovalent ions (Li+, Na+, F-) flow through the gel with water molecules attached, whereas the large monovalent ions (K+, Rb+, Cs+, Cl-, Br-, I-) adsorb to the nonpolar surface of the gel, a process requiring partial dehydration of the ion and implying that these ions bind the immediately adjacent water molecules weakly. (ii) The transition from strong to weak hydration occurs at a radius of about 1.78 A for the monovalent anions, compared with a radius of about 1.06 A for the monovalent cations (using ionic radii), indicating that the anions are more strongly hydrated than the cations for a given charge density. (iii) The anions show larger deviations from ideal behavior (an elution position corresponding to the anhydrous molecular weight) than do the cations and dominate the chromatographic behavior of the neutral salts. These results are interpreted to mean that weakly hydrated ions (chaotropes) are \"pushed\" onto weakly hydrated surfaces by strong water-water interactions and that the transition from strong ionic hydration to weak ionic hydration occurs where the strength of ion-water interactions approximately equals the strength of water-water interactions in bulk solution.", "author" : [ { "dropping-particle" : "", "family" : "Collins", "given" : "K D", "non-dropping-particle" : "", "parse-names" : false, "suffix" : "" } ], "container-title" : "Proceedings of the National Academy of Sciences of the United States of America", "id" : "ITEM-1", "issued" : { "date-parts" : [ [ "1995" ] ] }, "page" : "5553-5557", "title" : "Sticky ions in biological systems", "type" : "article-journal", "volume" : "92" }, "uris" : [ "http://www.mendeley.com/documents/?uuid=0946f1f7-9d90-41a6-bccc-8475b46985cb" ] } ], "mendeley" : { "formattedCitation" : "(Collins 1995)", "plainTextFormattedCitation" : "(Collins 1995)", "previouslyFormattedCitation" : "(Collins 1995)" }, "properties" : { "noteIndex" : 0 }, "schema" : "https://github.com/citation-style-language/schema/raw/master/csl-citation.json" }</w:instrText>
      </w:r>
      <w:r>
        <w:fldChar w:fldCharType="separate"/>
      </w:r>
      <w:r w:rsidRPr="002D635F">
        <w:rPr>
          <w:noProof/>
        </w:rPr>
        <w:t>(Collins 1995)</w:t>
      </w:r>
      <w:r>
        <w:fldChar w:fldCharType="end"/>
      </w:r>
      <w:r>
        <w:t>. This will destabilise the protein as there are more hydrophobic portions with which GdnHCl can interact in the denatured state than the native state. Due to this being a weak interaction, mainly occurring as a result of strong water-water interactions, it has little effect on protein stability when GdnHCl is present at low concentrations.</w:t>
      </w:r>
    </w:p>
    <w:p w14:paraId="5AC604B0" w14:textId="77777777" w:rsidR="00C56CFB" w:rsidRPr="008C4ABF" w:rsidRDefault="00C56CFB" w:rsidP="00C56CFB">
      <w:r>
        <w:t xml:space="preserve">GdnHCl interactions with hydrophobic portions of proteins are well supported by molecular dynamics simulation. England et al. demonstrated that the presence of GdnHCl in solution slows the onset of dewetting of hydrophobic plates </w:t>
      </w:r>
      <w:r>
        <w:fldChar w:fldCharType="begin" w:fldLock="1"/>
      </w:r>
      <w:r w:rsidR="00924827">
        <w:instrText>ADDIN CSL_CITATION { "citationItems" : [ { "id" : "ITEM-1", "itemData" : { "DOI" : "10.1021/ja803972g", "ISBN" : "1520-5126 (Electronic)\\r0002-7863 (Linking)", "ISSN" : "00027863", "PMID" : "18707183", "abstract" : "The mechanism by which the aqueous cosolvents guanidinium chloride and urea denature proteins is a matter of controversy. Here, we use all-atom molecular dynamics simulations to study the effect of both denaturants on the dewetting of water confined between nanoseparated hydrophobic plates. It is found that the denaturants inhibit the onset of dewetting, so that it occurs at shorter interplate distances than in pure water. Our results support a role for urea and guanidinium in assisting in the solvation of nonpolar surfaces, thereby weakening hydrophobic effects known to be important for protein stability.", "author" : [ { "dropping-particle" : "", "family" : "England", "given" : "J L", "non-dropping-particle" : "", "parse-names" : false, "suffix" : "" }, { "dropping-particle" : "", "family" : "Pande", "given" : "V S", "non-dropping-particle" : "", "parse-names" : false, "suffix" : "" }, { "dropping-particle" : "", "family" : "Haran", "given" : "G", "non-dropping-particle" : "", "parse-names" : false, "suffix" : "" } ], "container-title" : "Journal of the American Chemical Society", "id" : "ITEM-1", "issued" : { "date-parts" : [ [ "2008" ] ] }, "page" : "11854-11855", "title" : "Chemical denaturants inhibit the onset of dewetting", "type" : "article-journal", "volume" : "130" }, "uris" : [ "http://www.mendeley.com/documents/?uuid=f66de431-0b98-471e-9f56-228eb8adac95" ] } ], "mendeley" : { "formattedCitation" : "(England et al. 2008)", "plainTextFormattedCitation" : "(England et al. 2008)", "previouslyFormattedCitation" : "(England et al. 2008)" }, "properties" : { "noteIndex" : 0 }, "schema" : "https://github.com/citation-style-language/schema/raw/master/csl-citation.json" }</w:instrText>
      </w:r>
      <w:r>
        <w:fldChar w:fldCharType="separate"/>
      </w:r>
      <w:r w:rsidRPr="001B0EB2">
        <w:rPr>
          <w:noProof/>
        </w:rPr>
        <w:t>(England et al. 2008)</w:t>
      </w:r>
      <w:r>
        <w:fldChar w:fldCharType="end"/>
      </w:r>
      <w:r>
        <w:t xml:space="preserve">. It was shown that GdnHCl lined up against the hydrophobic plates via its weakly hydrated planar surface. Although this is not a true representative of the heterogeneous nature of the protein surface, it can clearly demonstrate the importance of purely hydrophobic interactions. This same lining up phenomenon has been seen with a simulation of a hydrophobic polymer </w:t>
      </w:r>
      <w:r>
        <w:fldChar w:fldCharType="begin" w:fldLock="1"/>
      </w:r>
      <w:r w:rsidR="00924827">
        <w:instrText>ADDIN CSL_CITATION { "citationItems" : [ { "id" : "ITEM-1", "itemData" : { "DOI" : "10.1021/jp906976q", "ISSN" : "15205207", "PMID" : "20146543", "abstract" : "Guanidinium chloride (GdmCl) is a widely used chemical denaturant that unfolds proteins. Its effects on hydrophobic interactions are, however, not fully understood. We quantify the effects of GdmCl on various manifestations of hydrophobicity--from solvation and interactions of small solutes to folding-unfolding of hydrophobic polymers--in water and in concentrated GdmCl solutions. For comparison, we also perform similar calculations in solutions of NaCl and CsCl in water. Like NaCl and CsCl, GdmCl increases the surface tension of water, decreases the solubility of small hydrophobic solutes, and enhances the strength of hydrophobic interactions at the pair level. However, unlike NaCl and CsCl, GdmCl destabilizes folded states of hydrophobic polymers. We show that Gdm(+) ions preferentially coat the hydrophobic polymer, and it is the direct van der Waals interaction between Gdm(+) ions and the polymer that contributes to the destabilization of folded states. Interestingly, the temperature dependence of the free energy of unfolding of the hydrophobic polymer in water is protein-like, with signatures of both heat and cold denaturation. Addition of GdmCl shifts the cold denaturation temperature higher, into the experimentally accessible region. Finally, translational as well as conformational dynamics of the polymer are slower in GdmCl and correlate with dynamics of water molecules in solution.", "author" : [ { "dropping-particle" : "", "family" : "Godawat", "given" : "R", "non-dropping-particle" : "", "parse-names" : false, "suffix" : "" }, { "dropping-particle" : "", "family" : "Jamadagni", "given" : "S N", "non-dropping-particle" : "", "parse-names" : false, "suffix" : "" }, { "dropping-particle" : "", "family" : "Garde", "given" : "S", "non-dropping-particle" : "", "parse-names" : false, "suffix" : "" } ], "container-title" : "Journal of Physical Chemistry B", "id" : "ITEM-1", "issued" : { "date-parts" : [ [ "2010" ] ] }, "page" : "2246-2254", "title" : "Unfolding of hydrophobic polymers in guanidinium chloride solutions", "type" : "article-journal", "volume" : "114" }, "uris" : [ "http://www.mendeley.com/documents/?uuid=90160387-883d-4f0e-ab71-0823620d8671" ] } ], "mendeley" : { "formattedCitation" : "(Godawat et al. 2010)", "plainTextFormattedCitation" : "(Godawat et al. 2010)", "previouslyFormattedCitation" : "(Godawat et al. 2010)" }, "properties" : { "noteIndex" : 0 }, "schema" : "https://github.com/citation-style-language/schema/raw/master/csl-citation.json" }</w:instrText>
      </w:r>
      <w:r>
        <w:fldChar w:fldCharType="separate"/>
      </w:r>
      <w:r w:rsidRPr="00FD44BB">
        <w:rPr>
          <w:noProof/>
        </w:rPr>
        <w:t>(Godawat et al. 2010)</w:t>
      </w:r>
      <w:r>
        <w:fldChar w:fldCharType="end"/>
      </w:r>
      <w:r>
        <w:t>. It is therefore likely that in this experiment GdnHCl is being pushed onto the hydrophobic portions of the protein and lining up against them via its weakly hydrated planar surface. This study appears to be the first experimental data of protein stability trends that support a ‘wetting agent’ mechanism for the destabilisation of proteins by GdnHCl at non-denaturing concentrations.</w:t>
      </w:r>
    </w:p>
    <w:p w14:paraId="79AEB80A" w14:textId="77777777" w:rsidR="00C56CFB" w:rsidRDefault="00C56CFB" w:rsidP="00C56CFB">
      <w:pPr>
        <w:pStyle w:val="Heading3"/>
      </w:pPr>
      <w:bookmarkStart w:id="191" w:name="_Toc485712788"/>
      <w:r w:rsidRPr="00C166C3">
        <w:t>Arginine</w:t>
      </w:r>
      <w:bookmarkEnd w:id="191"/>
    </w:p>
    <w:p w14:paraId="3ED74B3F" w14:textId="77777777" w:rsidR="00C56CFB" w:rsidRDefault="00C56CFB" w:rsidP="00C56CFB">
      <w:r>
        <w:t>Below 100 mM arginine has protein-specific effects on stability that are very similar to those seen for glycine below 100 mM (</w:t>
      </w:r>
      <w:r>
        <w:fldChar w:fldCharType="begin"/>
      </w:r>
      <w:r>
        <w:instrText xml:space="preserve"> REF _Ref462998468 \h </w:instrText>
      </w:r>
      <w:r>
        <w:fldChar w:fldCharType="separate"/>
      </w:r>
      <w:r w:rsidR="00AA6926">
        <w:t xml:space="preserve">Figure </w:t>
      </w:r>
      <w:r w:rsidR="00AA6926">
        <w:rPr>
          <w:noProof/>
        </w:rPr>
        <w:t>3</w:t>
      </w:r>
      <w:r w:rsidR="00AA6926">
        <w:noBreakHyphen/>
      </w:r>
      <w:r w:rsidR="00AA6926">
        <w:rPr>
          <w:noProof/>
        </w:rPr>
        <w:t>2</w:t>
      </w:r>
      <w:r>
        <w:fldChar w:fldCharType="end"/>
      </w:r>
      <w:r>
        <w:t xml:space="preserve"> bottom panel; top panel respectively). 75 mM arginine stabilises BSA by 2.3 °C, slightly destabilises lysozyme by -0.06 °C and destabilises myoglobin by -2.4 °C (</w:t>
      </w:r>
      <w:r>
        <w:fldChar w:fldCharType="begin"/>
      </w:r>
      <w:r>
        <w:instrText xml:space="preserve"> REF _Ref463014941 \h </w:instrText>
      </w:r>
      <w:r>
        <w:fldChar w:fldCharType="separate"/>
      </w:r>
      <w:r w:rsidR="00AA6926">
        <w:t xml:space="preserve">Table </w:t>
      </w:r>
      <w:r w:rsidR="00AA6926">
        <w:rPr>
          <w:noProof/>
        </w:rPr>
        <w:t>3</w:t>
      </w:r>
      <w:r w:rsidR="00AA6926">
        <w:noBreakHyphen/>
      </w:r>
      <w:r w:rsidR="00AA6926">
        <w:rPr>
          <w:noProof/>
        </w:rPr>
        <w:t>2</w:t>
      </w:r>
      <w:r>
        <w:fldChar w:fldCharType="end"/>
      </w:r>
      <w:r>
        <w:t>).</w:t>
      </w:r>
    </w:p>
    <w:p w14:paraId="646E9437" w14:textId="77777777" w:rsidR="00C56CFB" w:rsidRDefault="00C56CFB" w:rsidP="00FB0CA1">
      <w:pPr>
        <w:pStyle w:val="Caption"/>
        <w:keepNext/>
        <w:jc w:val="left"/>
      </w:pPr>
      <w:bookmarkStart w:id="192" w:name="_Ref463014941"/>
      <w:r>
        <w:t xml:space="preserve">Table </w:t>
      </w:r>
      <w:fldSimple w:instr=" STYLEREF 1 \s ">
        <w:r w:rsidR="00AA6926">
          <w:rPr>
            <w:noProof/>
          </w:rPr>
          <w:t>3</w:t>
        </w:r>
      </w:fldSimple>
      <w:r>
        <w:noBreakHyphen/>
      </w:r>
      <w:fldSimple w:instr=" SEQ Table \* ARABIC \s 1 ">
        <w:r w:rsidR="00AA6926">
          <w:rPr>
            <w:noProof/>
          </w:rPr>
          <w:t>2</w:t>
        </w:r>
      </w:fldSimple>
      <w:bookmarkEnd w:id="192"/>
      <w:r>
        <w:t>. Change in melting temperature of BSA, lysozyme and myoglobin in the presence of 75 mM glycine compared with 75 mM arginine</w:t>
      </w:r>
    </w:p>
    <w:tbl>
      <w:tblPr>
        <w:tblStyle w:val="LightShading"/>
        <w:tblW w:w="0" w:type="auto"/>
        <w:tblLook w:val="04A0" w:firstRow="1" w:lastRow="0" w:firstColumn="1" w:lastColumn="0" w:noHBand="0" w:noVBand="1"/>
      </w:tblPr>
      <w:tblGrid>
        <w:gridCol w:w="2906"/>
        <w:gridCol w:w="2907"/>
        <w:gridCol w:w="2907"/>
      </w:tblGrid>
      <w:tr w:rsidR="00C56CFB" w14:paraId="3C3268C0"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shd w:val="clear" w:color="auto" w:fill="auto"/>
          </w:tcPr>
          <w:p w14:paraId="0138E424" w14:textId="77777777" w:rsidR="00C56CFB" w:rsidRDefault="00C56CFB" w:rsidP="00C56CFB">
            <w:r>
              <w:t>Protein</w:t>
            </w:r>
          </w:p>
        </w:tc>
        <w:tc>
          <w:tcPr>
            <w:tcW w:w="2907" w:type="dxa"/>
            <w:shd w:val="clear" w:color="auto" w:fill="auto"/>
          </w:tcPr>
          <w:p w14:paraId="7E94EA9A" w14:textId="77777777" w:rsidR="00C56CFB" w:rsidRDefault="00C56CFB" w:rsidP="00C56CFB">
            <w:pPr>
              <w:cnfStyle w:val="100000000000" w:firstRow="1" w:lastRow="0" w:firstColumn="0" w:lastColumn="0" w:oddVBand="0" w:evenVBand="0" w:oddHBand="0" w:evenHBand="0" w:firstRowFirstColumn="0" w:firstRowLastColumn="0" w:lastRowFirstColumn="0" w:lastRowLastColumn="0"/>
            </w:pPr>
            <w:r>
              <w:t>Δ</w:t>
            </w:r>
            <w:r w:rsidRPr="007F0A04">
              <w:rPr>
                <w:i/>
              </w:rPr>
              <w:t>T</w:t>
            </w:r>
            <w:r w:rsidRPr="007F0A04">
              <w:rPr>
                <w:vertAlign w:val="subscript"/>
              </w:rPr>
              <w:t xml:space="preserve">m </w:t>
            </w:r>
            <w:r>
              <w:t>by 75 mM Glycine</w:t>
            </w:r>
          </w:p>
        </w:tc>
        <w:tc>
          <w:tcPr>
            <w:tcW w:w="2907" w:type="dxa"/>
            <w:shd w:val="clear" w:color="auto" w:fill="auto"/>
          </w:tcPr>
          <w:p w14:paraId="31F9189F" w14:textId="77777777" w:rsidR="00C56CFB" w:rsidRDefault="00C56CFB" w:rsidP="00C56CFB">
            <w:pPr>
              <w:cnfStyle w:val="100000000000" w:firstRow="1" w:lastRow="0" w:firstColumn="0" w:lastColumn="0" w:oddVBand="0" w:evenVBand="0" w:oddHBand="0" w:evenHBand="0" w:firstRowFirstColumn="0" w:firstRowLastColumn="0" w:lastRowFirstColumn="0" w:lastRowLastColumn="0"/>
            </w:pPr>
            <w:r>
              <w:t>Δ</w:t>
            </w:r>
            <w:r w:rsidRPr="007F0A04">
              <w:rPr>
                <w:i/>
              </w:rPr>
              <w:t>T</w:t>
            </w:r>
            <w:r w:rsidRPr="007F0A04">
              <w:rPr>
                <w:vertAlign w:val="subscript"/>
              </w:rPr>
              <w:t>m</w:t>
            </w:r>
            <w:r>
              <w:t xml:space="preserve"> by 75 mM Arginine</w:t>
            </w:r>
          </w:p>
        </w:tc>
      </w:tr>
      <w:tr w:rsidR="00C56CFB" w14:paraId="13006CCC"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shd w:val="clear" w:color="auto" w:fill="auto"/>
          </w:tcPr>
          <w:p w14:paraId="74E9512F" w14:textId="77777777" w:rsidR="00C56CFB" w:rsidRDefault="00C56CFB" w:rsidP="00C56CFB">
            <w:pPr>
              <w:spacing w:before="0" w:after="0"/>
            </w:pPr>
            <w:r>
              <w:t>BSA</w:t>
            </w:r>
          </w:p>
        </w:tc>
        <w:tc>
          <w:tcPr>
            <w:tcW w:w="2907" w:type="dxa"/>
            <w:shd w:val="clear" w:color="auto" w:fill="auto"/>
          </w:tcPr>
          <w:p w14:paraId="35DC6432" w14:textId="77777777" w:rsidR="00C56CFB" w:rsidRDefault="00C56CFB" w:rsidP="00C56CFB">
            <w:pPr>
              <w:spacing w:before="0" w:after="0"/>
              <w:cnfStyle w:val="000000100000" w:firstRow="0" w:lastRow="0" w:firstColumn="0" w:lastColumn="0" w:oddVBand="0" w:evenVBand="0" w:oddHBand="1" w:evenHBand="0" w:firstRowFirstColumn="0" w:firstRowLastColumn="0" w:lastRowFirstColumn="0" w:lastRowLastColumn="0"/>
            </w:pPr>
            <w:r>
              <w:t>2.1</w:t>
            </w:r>
          </w:p>
        </w:tc>
        <w:tc>
          <w:tcPr>
            <w:tcW w:w="2907" w:type="dxa"/>
            <w:shd w:val="clear" w:color="auto" w:fill="auto"/>
          </w:tcPr>
          <w:p w14:paraId="62FCB032" w14:textId="77777777" w:rsidR="00C56CFB" w:rsidRDefault="00C56CFB" w:rsidP="00C56CFB">
            <w:pPr>
              <w:spacing w:before="0" w:after="0"/>
              <w:cnfStyle w:val="000000100000" w:firstRow="0" w:lastRow="0" w:firstColumn="0" w:lastColumn="0" w:oddVBand="0" w:evenVBand="0" w:oddHBand="1" w:evenHBand="0" w:firstRowFirstColumn="0" w:firstRowLastColumn="0" w:lastRowFirstColumn="0" w:lastRowLastColumn="0"/>
            </w:pPr>
            <w:r>
              <w:t>2.3</w:t>
            </w:r>
          </w:p>
        </w:tc>
      </w:tr>
      <w:tr w:rsidR="00C56CFB" w14:paraId="0FA490B2" w14:textId="77777777" w:rsidTr="00DB3655">
        <w:tc>
          <w:tcPr>
            <w:cnfStyle w:val="001000000000" w:firstRow="0" w:lastRow="0" w:firstColumn="1" w:lastColumn="0" w:oddVBand="0" w:evenVBand="0" w:oddHBand="0" w:evenHBand="0" w:firstRowFirstColumn="0" w:firstRowLastColumn="0" w:lastRowFirstColumn="0" w:lastRowLastColumn="0"/>
            <w:tcW w:w="2906" w:type="dxa"/>
            <w:shd w:val="clear" w:color="auto" w:fill="auto"/>
          </w:tcPr>
          <w:p w14:paraId="125A808A" w14:textId="77777777" w:rsidR="00C56CFB" w:rsidRDefault="00C56CFB" w:rsidP="00C56CFB">
            <w:pPr>
              <w:spacing w:before="0" w:after="0"/>
            </w:pPr>
            <w:r>
              <w:t>Lysozyme</w:t>
            </w:r>
          </w:p>
        </w:tc>
        <w:tc>
          <w:tcPr>
            <w:tcW w:w="2907" w:type="dxa"/>
            <w:shd w:val="clear" w:color="auto" w:fill="auto"/>
          </w:tcPr>
          <w:p w14:paraId="3501EAFA" w14:textId="77777777" w:rsidR="00C56CFB" w:rsidRDefault="00C56CFB" w:rsidP="00C56CFB">
            <w:pPr>
              <w:spacing w:before="0" w:after="0"/>
              <w:cnfStyle w:val="000000000000" w:firstRow="0" w:lastRow="0" w:firstColumn="0" w:lastColumn="0" w:oddVBand="0" w:evenVBand="0" w:oddHBand="0" w:evenHBand="0" w:firstRowFirstColumn="0" w:firstRowLastColumn="0" w:lastRowFirstColumn="0" w:lastRowLastColumn="0"/>
            </w:pPr>
            <w:r>
              <w:t>0.9</w:t>
            </w:r>
          </w:p>
        </w:tc>
        <w:tc>
          <w:tcPr>
            <w:tcW w:w="2907" w:type="dxa"/>
            <w:shd w:val="clear" w:color="auto" w:fill="auto"/>
          </w:tcPr>
          <w:p w14:paraId="25A03F2E" w14:textId="77777777" w:rsidR="00C56CFB" w:rsidRDefault="00C56CFB" w:rsidP="00C56CFB">
            <w:pPr>
              <w:spacing w:before="0" w:after="0"/>
              <w:cnfStyle w:val="000000000000" w:firstRow="0" w:lastRow="0" w:firstColumn="0" w:lastColumn="0" w:oddVBand="0" w:evenVBand="0" w:oddHBand="0" w:evenHBand="0" w:firstRowFirstColumn="0" w:firstRowLastColumn="0" w:lastRowFirstColumn="0" w:lastRowLastColumn="0"/>
            </w:pPr>
            <w:r>
              <w:t>-0.06</w:t>
            </w:r>
          </w:p>
        </w:tc>
      </w:tr>
      <w:tr w:rsidR="00C56CFB" w14:paraId="7F7EA3C9"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shd w:val="clear" w:color="auto" w:fill="auto"/>
          </w:tcPr>
          <w:p w14:paraId="374FACFE" w14:textId="77777777" w:rsidR="00C56CFB" w:rsidRDefault="00C56CFB" w:rsidP="00C56CFB">
            <w:pPr>
              <w:spacing w:before="0" w:after="0"/>
            </w:pPr>
            <w:r>
              <w:t>Myoglobin</w:t>
            </w:r>
          </w:p>
        </w:tc>
        <w:tc>
          <w:tcPr>
            <w:tcW w:w="2907" w:type="dxa"/>
            <w:shd w:val="clear" w:color="auto" w:fill="auto"/>
          </w:tcPr>
          <w:p w14:paraId="06AC6C2F" w14:textId="77777777" w:rsidR="00C56CFB" w:rsidRDefault="00C56CFB" w:rsidP="00C56CFB">
            <w:pPr>
              <w:spacing w:before="0" w:after="0"/>
              <w:cnfStyle w:val="000000100000" w:firstRow="0" w:lastRow="0" w:firstColumn="0" w:lastColumn="0" w:oddVBand="0" w:evenVBand="0" w:oddHBand="1" w:evenHBand="0" w:firstRowFirstColumn="0" w:firstRowLastColumn="0" w:lastRowFirstColumn="0" w:lastRowLastColumn="0"/>
            </w:pPr>
            <w:r>
              <w:t>-1.0</w:t>
            </w:r>
          </w:p>
        </w:tc>
        <w:tc>
          <w:tcPr>
            <w:tcW w:w="2907" w:type="dxa"/>
            <w:shd w:val="clear" w:color="auto" w:fill="auto"/>
          </w:tcPr>
          <w:p w14:paraId="1FBF0DBC" w14:textId="77777777" w:rsidR="00C56CFB" w:rsidRDefault="00C56CFB" w:rsidP="00C56CFB">
            <w:pPr>
              <w:spacing w:before="0" w:after="0"/>
              <w:cnfStyle w:val="000000100000" w:firstRow="0" w:lastRow="0" w:firstColumn="0" w:lastColumn="0" w:oddVBand="0" w:evenVBand="0" w:oddHBand="1" w:evenHBand="0" w:firstRowFirstColumn="0" w:firstRowLastColumn="0" w:lastRowFirstColumn="0" w:lastRowLastColumn="0"/>
            </w:pPr>
            <w:r>
              <w:t>-2.4</w:t>
            </w:r>
          </w:p>
        </w:tc>
      </w:tr>
    </w:tbl>
    <w:p w14:paraId="385E4297" w14:textId="77777777" w:rsidR="00C56CFB" w:rsidRDefault="00C56CFB" w:rsidP="00C56CFB">
      <w:r>
        <w:t>Above 100 mM arginine destabilises all three proteins, but to a much lesser extent than the destabilisation caused by high concentrations of GdnHCl (</w:t>
      </w:r>
      <w:r>
        <w:fldChar w:fldCharType="begin"/>
      </w:r>
      <w:r>
        <w:instrText xml:space="preserve"> REF _Ref462998468 \h </w:instrText>
      </w:r>
      <w:r>
        <w:fldChar w:fldCharType="separate"/>
      </w:r>
      <w:r w:rsidR="00AA6926">
        <w:t xml:space="preserve">Figure </w:t>
      </w:r>
      <w:r w:rsidR="00AA6926">
        <w:rPr>
          <w:noProof/>
        </w:rPr>
        <w:t>3</w:t>
      </w:r>
      <w:r w:rsidR="00AA6926">
        <w:noBreakHyphen/>
      </w:r>
      <w:r w:rsidR="00AA6926">
        <w:rPr>
          <w:noProof/>
        </w:rPr>
        <w:t>2</w:t>
      </w:r>
      <w:r>
        <w:fldChar w:fldCharType="end"/>
      </w:r>
      <w:r>
        <w:t xml:space="preserve"> bottom and middle panel respectively). 500 mM arginine destabilised BSA by -1.3 °C, lysozyme by -1.5 °C and myoglobin by -7.8 °C, the differences in the final changes in melting temperature being mainly due to the protein-specific effects seen at lower concentrations of arginine.</w:t>
      </w:r>
    </w:p>
    <w:p w14:paraId="132D7C57" w14:textId="77777777" w:rsidR="00C56CFB" w:rsidRPr="00E34587" w:rsidRDefault="00C56CFB" w:rsidP="00C56CFB">
      <w:r>
        <w:t>If the sum of the changes in melting temperature in the presence of a certain concentration of glycine and GdnHCl are compared to the change in melting temperature in the presence of arginine at the same concentration, it is clearly visible that the effects of arginine on protein stability are caused by a summation of its two functional groups: glycine and guanidinium (</w:t>
      </w:r>
      <w:r>
        <w:fldChar w:fldCharType="begin"/>
      </w:r>
      <w:r>
        <w:instrText xml:space="preserve"> REF _Ref463015635 \h </w:instrText>
      </w:r>
      <w:r>
        <w:fldChar w:fldCharType="separate"/>
      </w:r>
      <w:r w:rsidR="00AA6926">
        <w:t xml:space="preserve">Figure </w:t>
      </w:r>
      <w:r w:rsidR="00AA6926">
        <w:rPr>
          <w:noProof/>
        </w:rPr>
        <w:t>3</w:t>
      </w:r>
      <w:r w:rsidR="00AA6926">
        <w:noBreakHyphen/>
      </w:r>
      <w:r w:rsidR="00AA6926">
        <w:rPr>
          <w:noProof/>
        </w:rPr>
        <w:t>5</w:t>
      </w:r>
      <w:r>
        <w:fldChar w:fldCharType="end"/>
      </w:r>
      <w:r>
        <w:t xml:space="preserve">). The proximity of the two sets of changes in melting temperature are particularly surprising considering the presence of a three carbon chain in the arginine molecule, and the fact that it is larger in size and so more prone to steric hindrance from the protein surface. A similar study comparing the effects of monosaccharide mixtures on protein stability with the effects of the corresponding oligosaccharide demonstrated that the oligosaccharide was less stabilising than the sum of its individual monosaccharides </w:t>
      </w:r>
      <w:r>
        <w:fldChar w:fldCharType="begin" w:fldLock="1"/>
      </w:r>
      <w:r w:rsidR="0064368A">
        <w:instrText>ADDIN CSL_CITATION { "citationItems" : [ { "id" : "ITEM-1", "itemData" : { "DOI" : "10.1016/j.bpc.2008.09.013", "ISBN" : "1873-4200 (Electronic) 0301-4622 (Linking)", "ISSN" : "03014622", "PMID" : "18835508", "abstract" : "Thermal denaturation curves of ribonuclease-A were measured by monitoring changes in the far-UV circular dichroism (CD) spectra in the presence of different concentrations of six sugars (glucose, fructose, galactose, sucrose, raffinose and stachyose) and mixture of monosaccharide constituents of each oligosaccharide at various pH values in the range of 6.0-2.0. These measurements gave values of Tm (midpoint of denaturation), ??Hm (enthalpy change at Tm), ??Cp (constant-pressure heat capacity change) under a given solvent condition. Using these values of ??Hm, Tm and ??Cp in appropriate thermodynamic relations, thermodynamic parameters at 25????C, namely, ??GD o (Gibbs energy change), ??HD o (enthalpy change), and ??SD o (entropy change) were determined at a given pH and concentration of each sugar (including its mixture of monosaccharide constituents). Our main conclusions are: (i) each sugar stabilizes the protein in terms of Tm and ??GD o, and this stabilization is under enthalpic control, (ii) the protein stabilization by the oligosaccharide is significantly less than that by the equimolar concentration of the constituent monosaccharides, and (iii) the stabilization by monosaccharides in a mixture is fully additive. Furthermore, measurements of the far- and near-UV CD spectra suggested that secondary and tertiary structures of protein in their native and denatured states are not perturbed on the addition of sugars. ?? 2008 Elsevier B.V. All rights reserved.", "author" : [ { "dropping-particle" : "", "family" : "Poddar", "given" : "N K", "non-dropping-particle" : "", "parse-names" : false, "suffix" : "" }, { "dropping-particle" : "", "family" : "Ansari", "given" : "Z A", "non-dropping-particle" : "", "parse-names" : false, "suffix" : "" }, { "dropping-particle" : "", "family" : "Brojen Singh", "given" : "R K", "non-dropping-particle" : "", "parse-names" : false, "suffix" : "" }, { "dropping-particle" : "", "family" : "Moosavi-Movahedi", "given" : "A A", "non-dropping-particle" : "", "parse-names" : false, "suffix" : "" }, { "dropping-particle" : "", "family" : "Ahmad", "given" : "F", "non-dropping-particle" : "", "parse-names" : false, "suffix" : "" } ], "container-title" : "Biophysical Chemistry", "id" : "ITEM-1", "issued" : { "date-parts" : [ [ "2008" ] ] }, "page" : "120-129", "publisher" : "Elsevier B.V.", "title" : "Effect of monomeric and oligomeric sugar osmolytes on deltaGD, the Gibbs energy of stabilization of the protein at different pH values: Is the sum effect of monosaccharide individually additive in a mixture?", "type" : "article-journal", "volume" : "138" }, "uris" : [ "http://www.mendeley.com/documents/?uuid=569eff96-0841-4709-83b9-a2fdcc3f9203" ] } ], "mendeley" : { "formattedCitation" : "(Poddar et al. 2008)", "plainTextFormattedCitation" : "(Poddar et al. 2008)", "previouslyFormattedCitation" : "(Poddar et al. 2008)" }, "properties" : { "noteIndex" : 0 }, "schema" : "https://github.com/citation-style-language/schema/raw/master/csl-citation.json" }</w:instrText>
      </w:r>
      <w:r>
        <w:fldChar w:fldCharType="separate"/>
      </w:r>
      <w:r w:rsidRPr="00914EEB">
        <w:rPr>
          <w:noProof/>
        </w:rPr>
        <w:t>(Poddar et al. 2008)</w:t>
      </w:r>
      <w:r>
        <w:fldChar w:fldCharType="end"/>
      </w:r>
      <w:r>
        <w:t>.</w:t>
      </w:r>
    </w:p>
    <w:p w14:paraId="5307D525" w14:textId="77777777" w:rsidR="00C56CFB" w:rsidRDefault="00C56CFB" w:rsidP="00C56CFB">
      <w:pPr>
        <w:keepNext/>
        <w:framePr w:w="7485" w:hSpace="180" w:wrap="around" w:vAnchor="text" w:hAnchor="text" w:x="1" w:y="1"/>
      </w:pPr>
      <w:r>
        <w:object w:dxaOrig="9510" w:dyaOrig="16695" w14:anchorId="7136C91B">
          <v:shape id="_x0000_i1044" type="#_x0000_t75" style="width:374.25pt;height:657pt" o:ole="">
            <v:imagedata r:id="rId56" o:title=""/>
          </v:shape>
          <o:OLEObject Type="Embed" ProgID="SigmaPlotGraphicObject.12" ShapeID="_x0000_i1044" DrawAspect="Content" ObjectID="_1559454698" r:id="rId57"/>
        </w:object>
      </w:r>
    </w:p>
    <w:p w14:paraId="6E88C77A" w14:textId="77777777" w:rsidR="00C56CFB" w:rsidRDefault="00C56CFB" w:rsidP="00C56CFB">
      <w:pPr>
        <w:pStyle w:val="Caption"/>
        <w:framePr w:w="7485" w:hSpace="180" w:wrap="around" w:vAnchor="text" w:hAnchor="text" w:x="1" w:y="1"/>
        <w:jc w:val="left"/>
      </w:pPr>
      <w:bookmarkStart w:id="193" w:name="_Ref463015635"/>
      <w:bookmarkStart w:id="194" w:name="_Toc482633183"/>
      <w:r>
        <w:t xml:space="preserve">Figure </w:t>
      </w:r>
      <w:fldSimple w:instr=" STYLEREF 1 \s ">
        <w:r w:rsidR="00AA6926">
          <w:rPr>
            <w:noProof/>
          </w:rPr>
          <w:t>3</w:t>
        </w:r>
      </w:fldSimple>
      <w:r w:rsidR="00BA082C">
        <w:noBreakHyphen/>
      </w:r>
      <w:fldSimple w:instr=" SEQ Figure \* ARABIC \s 1 ">
        <w:r w:rsidR="00AA6926">
          <w:rPr>
            <w:noProof/>
          </w:rPr>
          <w:t>5</w:t>
        </w:r>
      </w:fldSimple>
      <w:bookmarkEnd w:id="193"/>
      <w:r>
        <w:t xml:space="preserve">. </w:t>
      </w:r>
      <w:r w:rsidRPr="00110BB1">
        <w:t>Comparison of change in melting temperature of 1 g/L BSA pH 7 (top panel), 1 g/L Lysozyme pH 7 (middle panel), and 0.5 g/L myoglobin pH 8 (bottom panel) caused by increasing concentrations of arginine (red circles) and the summation of the changes in m</w:t>
      </w:r>
      <w:r>
        <w:t>elting temperature caused by equimolar concentra</w:t>
      </w:r>
      <w:r w:rsidR="0033053C">
        <w:t>tions of glycine and guanidine</w:t>
      </w:r>
      <w:r>
        <w:t xml:space="preserve"> hydrochloride (blue triangles). Dotted lines represent no change in melting temperature to guide the eye</w:t>
      </w:r>
      <w:bookmarkEnd w:id="194"/>
    </w:p>
    <w:p w14:paraId="105987C3" w14:textId="77777777" w:rsidR="00C56CFB" w:rsidRDefault="00C56CFB" w:rsidP="00C56CFB">
      <w:r>
        <w:t xml:space="preserve">Current suggestions for mechanisms of arginine action on protein stability include weak transient interactions at low concentrations </w:t>
      </w:r>
      <w:r>
        <w:fldChar w:fldCharType="begin" w:fldLock="1"/>
      </w:r>
      <w:r>
        <w:instrText>ADDIN CSL_CITATION { "citationItems" : [ { "id" : "ITEM-1", "itemData" : { "DOI" : "10.1073/pnas.0812588106", "ISSN" : "1091-6490", "PMID" : "19196963", "abstract" : "The mechanism by which urea and guanidinium destabilize protein structure is controversial. We tested the possibility that these denaturants form hydrogen bonds with peptide groups by measuring their ability to block acid- and base-catalyzed peptide hydrogen exchange. The peptide hydrogen bonding found appears sufficient to explain the thermodynamic denaturing effect of urea. Results for guanidinium, however, are contrary to the expectation that it might H-bond. Evidently, urea and guanidinium, although structurally similar, denature proteins by different mechanisms.", "author" : [ { "dropping-particle" : "", "family" : "Lim", "given" : "W K", "non-dropping-particle" : "", "parse-names" : false, "suffix" : "" }, { "dropping-particle" : "", "family" : "R\u00f6sgen", "given" : "J", "non-dropping-particle" : "", "parse-names" : false, "suffix" : "" }, { "dropping-particle" : "", "family" : "Englander", "given" : "S W", "non-dropping-particle" : "", "parse-names" : false, "suffix" : "" } ], "container-title" : "Proceedings of the National Academy of Sciences of the United States of America", "id" : "ITEM-1", "issued" : { "date-parts" : [ [ "2009", "2", "24" ] ] }, "page" : "2595-2600", "title" : "Urea, but not guanidinium, destabilizes proteins by forming hydrogen bonds to the peptide group", "type" : "article-journal", "volume" : "106" }, "uris" : [ "http://www.mendeley.com/documents/?uuid=de76025e-7b1a-4c69-b2aa-0eb30fb58e5f" ] } ], "mendeley" : { "formattedCitation" : "(Lim et al. 2009)", "plainTextFormattedCitation" : "(Lim et al. 2009)", "previouslyFormattedCitation" : "(Lim et al. 2009)" }, "properties" : { "noteIndex" : 0 }, "schema" : "https://github.com/citation-style-language/schema/raw/master/csl-citation.json" }</w:instrText>
      </w:r>
      <w:r>
        <w:fldChar w:fldCharType="separate"/>
      </w:r>
      <w:r w:rsidRPr="00DF4AF6">
        <w:rPr>
          <w:noProof/>
        </w:rPr>
        <w:t>(Lim et al. 2009)</w:t>
      </w:r>
      <w:r>
        <w:fldChar w:fldCharType="end"/>
      </w:r>
      <w:r>
        <w:t xml:space="preserve"> and preferential exclusion at high concentrations due to cluster formation </w:t>
      </w:r>
      <w:r>
        <w:fldChar w:fldCharType="begin" w:fldLock="1"/>
      </w:r>
      <w:r w:rsidR="00E11F61">
        <w:instrText>ADDIN CSL_CITATION { "citationItems" : [ { "id" : "ITEM-1", "itemData" : { "DOI" : "10.1021/jp108586b", "ISSN" : "1520-5207", "PMID" : "21186800", "abstract" : "Preferential interaction coefficients provide a thermodynamic measure to quantify the interactions between cosolutes and a protein. Preferential interactions of cosolutes can be measured experimentally using dialysis/densimetry and vapor pressure osmometry (VPO) techniques. The cosolute arginine is a widely used aggregation suppressor with a seemingly unique behavior. Its role in protein aggregation has been studied extensively, although a complete mechanistic understanding of its behavior is lacking. Moreover, due to experimental limitations, experimental preferential interaction data for arginine has only been reported at low concentrations. Schneider and Trout ( J. Phys. Chem. B 2009 , 113 , 7 ) have reported experimental preferential interaction data for argHCl (up to 0.7 m), and their study raised several interesting questions about the preferential interaction of arginine with proteins. Arginine is attracted to proteins at low concentrations but it was highly excluded at high concentrations. Furthermore, the preferential interaction coefficient values were found to vary as a square of the concentration, which is different from commonly observed linear relationship for other cosolutes like urea, glycerol, guanidinium hydrochloride, etc. In this study, preferential interaction coefficients of argHCl have been estimated computationally for two proteins (lysozyme and \u03b1-chymotripsinogen A) for a large concentration range (up to 2.8 m). On the basis of these results, the molecular level interactions responsible for the nonlinear exclusion of arginine from the protein surface are identified.", "author" : [ { "dropping-particle" : "", "family" : "Shukla", "given" : "D", "non-dropping-particle" : "", "parse-names" : false, "suffix" : "" }, { "dropping-particle" : "", "family" : "Trout", "given" : "B L", "non-dropping-particle" : "", "parse-names" : false, "suffix" : "" } ], "container-title" : "Journal of Physical Chemistry B", "id" : "ITEM-1", "issued" : { "date-parts" : [ [ "2011", "2", "10" ] ] }, "page" : "1243-1253", "publisher" : "American Chemical Society", "title" : "Preferential interaction coefficients of proteins in aqueous arginine solutions and their molecular origins", "type" : "article-journal", "volume" : "115" }, "uris" : [ "http://www.mendeley.com/documents/?uuid=a81e5778-ff76-4fd8-a37b-129997e8d378" ] } ], "mendeley" : { "formattedCitation" : "(Shukla &amp; Trout 2011a)", "plainTextFormattedCitation" : "(Shukla &amp; Trout 2011a)", "previouslyFormattedCitation" : "(Shukla &amp; Trout 2011a)" }, "properties" : { "noteIndex" : 0 }, "schema" : "https://github.com/citation-style-language/schema/raw/master/csl-citation.json" }</w:instrText>
      </w:r>
      <w:r>
        <w:fldChar w:fldCharType="separate"/>
      </w:r>
      <w:r w:rsidRPr="00DF4AF6">
        <w:rPr>
          <w:noProof/>
        </w:rPr>
        <w:t>(Shukla &amp; Trout 2011a)</w:t>
      </w:r>
      <w:r>
        <w:fldChar w:fldCharType="end"/>
      </w:r>
      <w:r>
        <w:t>. Preferential exclusion at high concentrations cannot explain the stability trends seen here as that would result in stabilisation rather than destabilisation. Instead arginine’s unique action on protein stability can be explained by the presence of a stabilising and destabilising functional group on the arginine molecule. The stabilising and destabilising characteristics combine in an additive manner to exert the unique effects of arginine.</w:t>
      </w:r>
    </w:p>
    <w:p w14:paraId="55BA01CE" w14:textId="77777777" w:rsidR="00C56CFB" w:rsidRPr="00785433" w:rsidRDefault="00C56CFB" w:rsidP="00C56CFB">
      <w:r>
        <w:t>It therefore follows that the mechanisms by which arginine exerts its effects on protein stability can be broken down to the mechanisms by which its functional groups act. Below 100 mM arginine interacts weakly and nonspecifically with charged groups and the peptide backbone via its glycine moiety, therefore having protein-specific effects on stability. Above 100 mM arginine acts like a combination of both its glycine and guanidinium moiety, and so a balance of two opposing mechanisms exists. The glycine moiety creates competition for water between the protein and the cosolute, therefore making it energetically unfavourable to unfold the protein; the guanidinium moiety is being pushed onto the apolar parts of the protein, making it more favourable to unfold the protein. The competition between these two mechanisms results in the weak destabilisation caused by arginine at higher concentrations.</w:t>
      </w:r>
    </w:p>
    <w:p w14:paraId="5BE41DFE" w14:textId="77777777" w:rsidR="00C56CFB" w:rsidRDefault="00C552F2" w:rsidP="00C56CFB">
      <w:pPr>
        <w:pStyle w:val="Heading3"/>
      </w:pPr>
      <w:bookmarkStart w:id="195" w:name="_Toc485712789"/>
      <w:r>
        <w:t>Importance &amp;</w:t>
      </w:r>
      <w:r w:rsidR="00C56CFB">
        <w:t xml:space="preserve"> wider implications of results</w:t>
      </w:r>
      <w:bookmarkEnd w:id="195"/>
    </w:p>
    <w:p w14:paraId="595F712A" w14:textId="77777777" w:rsidR="00C56CFB" w:rsidRDefault="00C56CFB" w:rsidP="00C56CFB">
      <w:r>
        <w:t xml:space="preserve">The results from this experiment have a number of implications. The importance of using reliable and predictable stabilising excipients when designing formulations for biopharmaceuticals must not be underestimated </w:t>
      </w:r>
      <w:r>
        <w:fldChar w:fldCharType="begin" w:fldLock="1"/>
      </w:r>
      <w:r>
        <w:instrText>ADDIN CSL_CITATION { "citationItems" : [ { "id" : "ITEM-1", "itemData" : { "DOI" : "10.1016/S1461-5347(00)00248-0", "ISSN" : "14615347", "PMID" : "10754542", "abstract" : "Biopharmaceutical products represent a diverse group of products that includes proteins, peptides, nucleic acids, whole cells, viral particles and vaccines. The conformation of the macromolecule or cell must be maintained to retain biological activity, and animal models for biological activity and characterization assays are often developed in tandem with initial formulation studies. This presents the formulation scientist with a unique set of challenges when compared to those for small molecules. This review focuses on approaches to the formulation of macromolecules into biopharmaceutical products, and provides examples of studies that have been undertaken within the authors' laboratories. Copyright (C) 2000 Elsevier Science Ltd.", "author" : [ { "dropping-particle" : "", "family" : "Parkins", "given" : "D A", "non-dropping-particle" : "", "parse-names" : false, "suffix" : "" }, { "dropping-particle" : "", "family" : "Lashmar", "given" : "U T", "non-dropping-particle" : "", "parse-names" : false, "suffix" : "" } ], "container-title" : "Pharmaceutical Science &amp; Technology Today", "id" : "ITEM-1", "issued" : { "date-parts" : [ [ "2000" ] ] }, "page" : "129-137", "title" : "The formulation of biopharmaceutical products", "type" : "article-journal", "volume" : "3" }, "uris" : [ "http://www.mendeley.com/documents/?uuid=6873980b-7db6-4eb9-8afa-f11c5d3f8c1b" ] } ], "mendeley" : { "formattedCitation" : "(Parkins &amp; Lashmar 2000)", "plainTextFormattedCitation" : "(Parkins &amp; Lashmar 2000)", "previouslyFormattedCitation" : "(Parkins &amp; Lashmar 2000)" }, "properties" : { "noteIndex" : 0 }, "schema" : "https://github.com/citation-style-language/schema/raw/master/csl-citation.json" }</w:instrText>
      </w:r>
      <w:r>
        <w:fldChar w:fldCharType="separate"/>
      </w:r>
      <w:r w:rsidRPr="00437CFD">
        <w:rPr>
          <w:noProof/>
        </w:rPr>
        <w:t>(Parkins &amp; Lashmar 2000)</w:t>
      </w:r>
      <w:r>
        <w:fldChar w:fldCharType="end"/>
      </w:r>
      <w:r>
        <w:t xml:space="preserve">. Both glycine and arginine are regularly used as stabilising excipients but here are shown to destabilise certain proteins at low concentrations, which are the concentrations generally used in formulation </w:t>
      </w:r>
      <w:r>
        <w:fldChar w:fldCharType="begin" w:fldLock="1"/>
      </w:r>
      <w:r>
        <w:instrText>ADDIN CSL_CITATION { "citationItems" : [ { "id" : "ITEM-1", "itemData" : { "DOI" : "10.1007/s00726-007-0506-3", "ISBN" : "0072600705", "ISSN" : "1438-2199", "PMID" : "17357829", "abstract" : "Amino acids are widely used in biotechnology applications. Since amino acids are natural compounds, they can be safely used in pharmaceutical applications, e.g., as a solvent additive for protein purification and as an excipient for protein formulations. At high concentrations, certain amino acids are found to raise intra-cellular osmotic pressure and adjust to the high salt concentrations of the surrounding medium. They are called \"compatible solutes\", since they do not affect macromolecular function. Not only are they needed to increase the osmotic pressure, they are known to increase the stability of the proteins. Sucrose, glycerol and certain amino acids were used to enhance the stability of unstable proteins after isolation from natural environments. The mechanism of the action of these protein-stabilizing amino acids is relatively well understood. On the contrary, arginine was accidentally discovered as a useful reagent for assisting in the refolding of recombinant proteins. This effect of arginine was ascribed to its ability to suppress aggregation of the proteins during refolding, thereby increasing refolding efficiency. By the same mechanism, arginine now finds much wider applications than previously anticipated in the research and development of proteins, in particular in pharmaceutical applications. For example, arginine solubilizes proteins from loose inclusion bodies, resulting in efficient production of active proteins. Arginine suppresses protein-protein interactions in solution and also non-specific adsorption to gel permeation chromatography columns. Arginine facilitates elution of bound proteins from various column resins, including Protein-A or dye affinity columns and hydrophobic interaction columns. This review covers various biotechnology applications of amino acids, in particular arginine.", "author" : [ { "dropping-particle" : "", "family" : "Arakawa", "given" : "T", "non-dropping-particle" : "", "parse-names" : false, "suffix" : "" }, { "dropping-particle" : "", "family" : "Tsumoto", "given" : "K", "non-dropping-particle" : "", "parse-names" : false, "suffix" : "" }, { "dropping-particle" : "", "family" : "Kita", "given" : "Y", "non-dropping-particle" : "", "parse-names" : false, "suffix" : "" }, { "dropping-particle" : "", "family" : "Chang", "given" : "B", "non-dropping-particle" : "", "parse-names" : false, "suffix" : "" }, { "dropping-particle" : "", "family" : "Ejima", "given" : "D", "non-dropping-particle" : "", "parse-names" : false, "suffix" : "" } ], "container-title" : "Amino Acids", "id" : "ITEM-1", "issued" : { "date-parts" : [ [ "2007", "11" ] ] }, "page" : "587-605", "title" : "Biotechnology applications of amino acids in protein purification and formulations", "type" : "article-journal", "volume" : "33" }, "uris" : [ "http://www.mendeley.com/documents/?uuid=29ec20f0-56a1-4437-99b3-8d21c1daaafe" ] }, { "id" : "ITEM-2", "itemData" : { "DOI" : "10.1517/17425240903199143", "ISSN" : "1744-7593", "PMID" : "19678792", "abstract" : "In the area of peptide and protein pharmaceuticals, both the physical and chemical stability of biopharmaceuticals are critical and need to be optimised when formulating a drug product, in order to optimise the outcome after processing and storage. This review focuses on the effects on the stability from various types of excipient and the choices that have to be made during formulation of drug products containing peptides or proteins. It is illustrated, through examples, how the choice of one excipient over another can affect the stability of a protein drug formulation, along with other problems linked to this choice. The excipients used in pharmaceutical preparations are limited and from an academic point of view there is a clear requirement for new excipients.", "author" : [ { "dropping-particle" : "", "family" : "Jorgensen", "given" : "L", "non-dropping-particle" : "", "parse-names" : false, "suffix" : "" }, { "dropping-particle" : "", "family" : "Hostrup", "given" : "S", "non-dropping-particle" : "", "parse-names" : false, "suffix" : "" }, { "dropping-particle" : "", "family" : "Moeller", "given" : "E H", "non-dropping-particle" : "", "parse-names" : false, "suffix" : "" }, { "dropping-particle" : "", "family" : "Grohganz", "given" : "H", "non-dropping-particle" : "", "parse-names" : false, "suffix" : "" } ], "container-title" : "Expert Opinion on Drug Delivery", "id" : "ITEM-2", "issued" : { "date-parts" : [ [ "2009", "11" ] ] }, "page" : "1219-1230", "title" : "Recent trends in stabilising peptides and proteins in pharmaceutical formulation - considerations in the choice of excipients", "type" : "article-journal", "volume" : "6" }, "uris" : [ "http://www.mendeley.com/documents/?uuid=8bf98923-ee81-40e1-a96a-6352403ea5bb" ] } ], "mendeley" : { "formattedCitation" : "(Arakawa, Tsumoto, et al. 2007; Jorgensen et al. 2009)", "plainTextFormattedCitation" : "(Arakawa, Tsumoto, et al. 2007; Jorgensen et al. 2009)", "previouslyFormattedCitation" : "(Arakawa, Tsumoto, et al. 2007; Jorgensen et al. 2009)" }, "properties" : { "noteIndex" : 0 }, "schema" : "https://github.com/citation-style-language/schema/raw/master/csl-citation.json" }</w:instrText>
      </w:r>
      <w:r>
        <w:fldChar w:fldCharType="separate"/>
      </w:r>
      <w:r w:rsidRPr="00437CFD">
        <w:rPr>
          <w:noProof/>
        </w:rPr>
        <w:t>(Arakawa, Tsumoto, et al. 2007; Jorgensen et al. 2009)</w:t>
      </w:r>
      <w:r>
        <w:fldChar w:fldCharType="end"/>
      </w:r>
      <w:r>
        <w:t>. Such protein-specific and concentration-dependent stability trends make it very difficult to predict under which conditions glycine and arginine will be suitable excipients, therefore extra care must be taken when choosing them.</w:t>
      </w:r>
    </w:p>
    <w:p w14:paraId="3D853492" w14:textId="77777777" w:rsidR="00C56CFB" w:rsidRPr="00E6061C" w:rsidRDefault="00C56CFB" w:rsidP="00C56CFB">
      <w:r>
        <w:t>Based on the finding that arginine acts like an additive mixture of its functional parts it may be possible to use a combination of glycine and GdnHCl in solution as an excipient rather than arginine. This creates the possibility of altering the ratios of the stabilising glycine moiety and the solubilising and aggregation-suppressing GdnHCl</w:t>
      </w:r>
      <w:r w:rsidR="00EE2095">
        <w:t xml:space="preserve"> moiety</w:t>
      </w:r>
      <w:r>
        <w:t xml:space="preserve">, in order to produce a ‘designer’ excipient. There has already been research done adding various functional groups to arginine or using arginine analogues </w:t>
      </w:r>
      <w:r w:rsidR="00EE2095">
        <w:t>in an attempt</w:t>
      </w:r>
      <w:r>
        <w:t xml:space="preserve"> to find a more effective alternative to arginine in terms of its solubility properties </w:t>
      </w:r>
      <w:r>
        <w:fldChar w:fldCharType="begin" w:fldLock="1"/>
      </w:r>
      <w:r>
        <w:instrText>ADDIN CSL_CITATION { "citationItems" : [ { "id" : "ITEM-1", "itemData" : { "DOI" : "10.1016/j.jbiotec.2007.03.003", "ISSN" : "01681656", "PMID" : "17434637", "abstract" : "l-Arginine (Arg) is a widely used additive for suppressing protein aggregation during refolding. Systematic screening of Arg analogs provides superior additives that enhance the refolding yield more effectively than Arg. The refolding yield of hen egg lysozyme in the presence of 500 mM l-argininamide (ArgAd) increases 1.7-fold higher than Arg. Thermal unfolding experiments indicate that ArgAd has a greater denaturing effect than Arg. The refolding yield positively relates to the net charge of Arg analogs. Moreover ArgAd was also effective for the refolding of bovine carbonic anhydrase. High potency to increase the refolding yield of ArgAd compared to Arg results from high positive net charge and the denaturing property. ?? 2007 Elsevier B.V. All rights reserved.", "author" : [ { "dropping-particle" : "", "family" : "Hamada", "given" : "H", "non-dropping-particle" : "", "parse-names" : false, "suffix" : "" }, { "dropping-particle" : "", "family" : "Shiraki", "given" : "K", "non-dropping-particle" : "", "parse-names" : false, "suffix" : "" } ], "container-title" : "Journal of Biotechnology", "id" : "ITEM-1", "issued" : { "date-parts" : [ [ "2007" ] ] }, "page" : "153-160", "title" : "L-Argininamide improves the refolding more effectively than L-arginine", "type" : "article-journal", "volume" : "130" }, "uris" : [ "http://www.mendeley.com/documents/?uuid=3e154ec5-faf9-4375-87ae-19a3a29f0a33" ] }, { "id" : "ITEM-2", "itemData" : { "DOI" : "10.1002/btpr.1766", "ISSN" : "87567938", "PMID" : "23794528", "abstract" : "L-arginine (Arg), L-homoarginine (HArg), L-arginine ethylester (ArgEE), and L-arginine methylester (ArgME) were found effective in inhibiting protein aggregation, but the molecular mechanisms are not clear. Herein, stopped-flow fluorescence spectroscopy, isothermal titration calorimetry, and mass spectroscopy were used to investigate the folding kinetics of lysozyme and the interactions of the additives with lysozyme. It was found that the interactions of ArgME and ArgEE with lysozyme were similar to that of guanidine hydrochloride and were much stronger than those of Arg and HArg. The binding forces were all mainly hydrogen bonding and cation-\u03c0 interaction from the guanidinium group, but their differences in molecular states led to the significantly different binding strengths. The additives formed molecular clusters in an increasing order of ArgEE, ArgME, HArg, and Arg. Arg and HArg mainly formed annular clusters with head-to-tail bonding, while ArgME and ArgEE formed linear clusters with guanidinium groups stacking. The interactions between the additives and lysozyme were positively related to the monomer contents. That is, the monomers were the primary species that participated in the direct interactions due to their intact guanidinium groups and small sizes, while the clusters performed as barriers to crowd out the protein-protein interactions for aggregation. Thus, it is concluded that the effects of Arg and its derivatives on protein aggregation stemmed from the direct interactions by the monomers and the crowding effects by the clusters. Interplay of the two effects led to the differences in their inhibition effects on protein aggregation.", "author" : [ { "dropping-particle" : "", "family" : "Gao", "given" : "M T", "non-dropping-particle" : "", "parse-names" : false, "suffix" : "" }, { "dropping-particle" : "", "family" : "Dong", "given" : "X Y", "non-dropping-particle" : "", "parse-names" : false, "suffix" : "" }, { "dropping-particle" : "", "family" : "Sun", "given" : "Y", "non-dropping-particle" : "", "parse-names" : false, "suffix" : "" } ], "container-title" : "Biotechnology Progress", "id" : "ITEM-2", "issued" : { "date-parts" : [ [ "2013" ] ] }, "page" : "1316-1324", "title" : "Interactions between L-arginine/L-arginine derivatives and lysozyme and implications to their inhibition effects on protein aggregation", "type" : "article-journal", "volume" : "29" }, "uris" : [ "http://www.mendeley.com/documents/?uuid=9c063c3c-cbf7-45da-b23f-917022e23827" ] } ], "mendeley" : { "formattedCitation" : "(Hamada &amp; Shiraki 2007; Gao et al. 2013)", "plainTextFormattedCitation" : "(Hamada &amp; Shiraki 2007; Gao et al. 2013)", "previouslyFormattedCitation" : "(Hamada &amp; Shiraki 2007; Gao et al. 2013)" }, "properties" : { "noteIndex" : 0 }, "schema" : "https://github.com/citation-style-language/schema/raw/master/csl-citation.json" }</w:instrText>
      </w:r>
      <w:r>
        <w:fldChar w:fldCharType="separate"/>
      </w:r>
      <w:r w:rsidRPr="00361C74">
        <w:rPr>
          <w:noProof/>
        </w:rPr>
        <w:t>(Hamada &amp; Shiraki 2007; Gao et al. 2013)</w:t>
      </w:r>
      <w:r>
        <w:fldChar w:fldCharType="end"/>
      </w:r>
      <w:r>
        <w:t>. This experiment provides further proof that tweaking of functional groups can potentially result in better excipient candidates.</w:t>
      </w:r>
    </w:p>
    <w:p w14:paraId="3A3E967D" w14:textId="77777777" w:rsidR="00C56CFB" w:rsidRDefault="00C56CFB" w:rsidP="00C56CFB">
      <w:r>
        <w:t xml:space="preserve">The findings from this experiment also have importance in cell biology. Glycine is generally present in cells as an osmolyte at the concentrations where it demonstrated very protein-specific effects </w:t>
      </w:r>
      <w:r>
        <w:fldChar w:fldCharType="begin" w:fldLock="1"/>
      </w:r>
      <w:r>
        <w:instrText>ADDIN CSL_CITATION { "citationItems" : [ { "id" : "ITEM-1", "itemData" : { "author" : [ { "dropping-particle" : "", "family" : "Yancey", "given" : "P H", "non-dropping-particle" : "", "parse-names" : false, "suffix" : "" }, { "dropping-particle" : "", "family" : "Clark", "given" : "M E", "non-dropping-particle" : "", "parse-names" : false, "suffix" : "" }, { "dropping-particle" : "", "family" : "Hand", "given" : "S C", "non-dropping-particle" : "", "parse-names" : false, "suffix" : "" }, { "dropping-particle" : "", "family" : "Bowlus", "given" : "R D", "non-dropping-particle" : "", "parse-names" : false, "suffix" : "" }, { "dropping-particle" : "", "family" : "Somero", "given" : "G N", "non-dropping-particle" : "", "parse-names" : false, "suffix" : "" } ], "container-title" : "Science", "id" : "ITEM-1", "issued" : { "date-parts" : [ [ "1982" ] ] }, "page" : "1214-1222", "title" : "Living with water stress: Evolution of osmolyte systems", "type" : "article-journal", "volume" : "217" }, "uris" : [ "http://www.mendeley.com/documents/?uuid=5c0ecbac-0ed5-485c-b4bd-8986742136e1" ] } ], "mendeley" : { "formattedCitation" : "(Yancey et al. 1982)", "plainTextFormattedCitation" : "(Yancey et al. 1982)", "previouslyFormattedCitation" : "(Yancey et al. 1982)" }, "properties" : { "noteIndex" : 0 }, "schema" : "https://github.com/citation-style-language/schema/raw/master/csl-citation.json" }</w:instrText>
      </w:r>
      <w:r>
        <w:fldChar w:fldCharType="separate"/>
      </w:r>
      <w:r w:rsidRPr="001C5F06">
        <w:rPr>
          <w:noProof/>
        </w:rPr>
        <w:t>(Yancey et al. 1982)</w:t>
      </w:r>
      <w:r>
        <w:fldChar w:fldCharType="end"/>
      </w:r>
      <w:r>
        <w:t>. The major property of osmolytes is that they act universally on protein stability. As a number of different osmolytes are generally present in a cell at any one time under stress conditions glycine must be acting in an additive way with other stabilising osmolytes if it is to exert universally stabilising effects on proteins.</w:t>
      </w:r>
    </w:p>
    <w:p w14:paraId="0E1FFDE6" w14:textId="77777777" w:rsidR="00C56CFB" w:rsidRPr="00B058A2" w:rsidRDefault="00C56CFB" w:rsidP="00C56CFB">
      <w:r>
        <w:t>An emphasis on low concentrations and the absence of salt-containing buffer has</w:t>
      </w:r>
      <w:r w:rsidR="00EE2095">
        <w:t xml:space="preserve"> resulted in</w:t>
      </w:r>
      <w:r>
        <w:t xml:space="preserve"> detailed stability trends that led to the conclusion that arginine acts like an additive combination of its functional groups. This brings to question whether other amino acids and other small organic molecules exhibit the same additivity of their functional groups, and that the scarcity of detailed data is to blame for this additivity not being seen before.</w:t>
      </w:r>
    </w:p>
    <w:p w14:paraId="7C5C14C7" w14:textId="77777777" w:rsidR="00C56CFB" w:rsidRDefault="00C56CFB" w:rsidP="000A3469">
      <w:pPr>
        <w:pStyle w:val="Heading2"/>
      </w:pPr>
      <w:bookmarkStart w:id="196" w:name="_Toc485712790"/>
      <w:r>
        <w:t>Conclusion</w:t>
      </w:r>
      <w:bookmarkEnd w:id="196"/>
    </w:p>
    <w:p w14:paraId="73960748" w14:textId="77777777" w:rsidR="00C56CFB" w:rsidRDefault="00C56CFB" w:rsidP="00C56CFB">
      <w:r>
        <w:t xml:space="preserve">Arginine is shown to affect protein thermal stability as an additive combination of its functional groups: glycine and GdnHCl. These trends have two phases. At concentrations below 100 mM arginine acts in a protein-specific manner governed by the glycine moiety, which indicates weak nonspecific binding to charged groups and the peptide backbone. Above 100 mM arginine destabilises similar to GdnHCl, but more weakly due to the stabilising properties of the glycine group at these concentrations. This is due to two competing mechanisms which stabilise and destabilise simultaneously. The glycine moiety stabilises through competition for water between the cosolute and the unfolding protein. The guanidinium moiety destabilises by being pushed onto the apolar core of the protein through strong water-water interactions. Detailed data at low cosolute concentrations and the absence of a salt-containing buffer result in clear and comprehensive protein stability trends, which give great insight into the mechanisms by which these </w:t>
      </w:r>
      <w:r w:rsidR="00EE2095">
        <w:t>cosolutes</w:t>
      </w:r>
      <w:r>
        <w:t xml:space="preserve"> act. This has implications for the pharmaceutical industry, as it gives the opportunity of producing designer excipients with bespoke ratios of functional groups to give the desired characteristics of the formulation.</w:t>
      </w:r>
    </w:p>
    <w:p w14:paraId="5DA2520F" w14:textId="77777777" w:rsidR="00C56CFB" w:rsidRDefault="00C56CFB" w:rsidP="00C56CFB">
      <w:r>
        <w:br w:type="page"/>
      </w:r>
    </w:p>
    <w:p w14:paraId="373301DC" w14:textId="77777777" w:rsidR="00C82B9F" w:rsidRDefault="00C56CFB" w:rsidP="00C82B9F">
      <w:pPr>
        <w:pStyle w:val="Heading1"/>
      </w:pPr>
      <w:bookmarkStart w:id="197" w:name="_Toc485712791"/>
      <w:r w:rsidRPr="00B10975">
        <w:t>Development of glycine-guanidinium mixtures as an alternative excipient to</w:t>
      </w:r>
      <w:r>
        <w:t xml:space="preserve"> arginine for protein stability</w:t>
      </w:r>
      <w:bookmarkEnd w:id="197"/>
    </w:p>
    <w:p w14:paraId="3ADB2ACA" w14:textId="77777777" w:rsidR="00C82B9F" w:rsidRDefault="00C82B9F" w:rsidP="00C82B9F">
      <w:pPr>
        <w:rPr>
          <w:rFonts w:cstheme="majorBidi"/>
          <w:sz w:val="40"/>
          <w:szCs w:val="28"/>
        </w:rPr>
      </w:pPr>
      <w:r>
        <w:br w:type="page"/>
      </w:r>
    </w:p>
    <w:p w14:paraId="0505675F" w14:textId="77777777" w:rsidR="00C56CFB" w:rsidRDefault="00C56CFB" w:rsidP="000A3469">
      <w:pPr>
        <w:pStyle w:val="Heading2"/>
      </w:pPr>
      <w:bookmarkStart w:id="198" w:name="_Toc485712792"/>
      <w:r>
        <w:t>Introduction</w:t>
      </w:r>
      <w:bookmarkEnd w:id="198"/>
    </w:p>
    <w:p w14:paraId="3B5B4EC6" w14:textId="77777777" w:rsidR="00C56CFB" w:rsidRDefault="00C56CFB" w:rsidP="00C56CFB">
      <w:r>
        <w:t xml:space="preserve">In the previous experimental chapter it was demonstrated that arginine acts on protein stability as an additive mixture of its two functional groups: glycine and guanidine hydrochloride (GdnHCl) </w:t>
      </w:r>
      <w:r>
        <w:fldChar w:fldCharType="begin" w:fldLock="1"/>
      </w:r>
      <w:r>
        <w:instrText>ADDIN CSL_CITATION { "citationItems" : [ { "id" : "ITEM-1", "itemData" : { "DOI" : "10.1016/j.ijpharm.2015.03.051", "ISSN" : "03785173", "author" : [ { "dropping-particle" : "", "family" : "Platts", "given" : "L", "non-dropping-particle" : "", "parse-names" : false, "suffix" : "" }, { "dropping-particle" : "", "family" : "Falconer", "given" : "R J", "non-dropping-particle" : "", "parse-names" : false, "suffix" : "" } ], "container-title" : "International Journal of Pharmaceutics", "id" : "ITEM-1", "issued" : { "date-parts" : [ [ "2015" ] ] }, "page" : "131-135", "publisher" : "Elsevier B.V.", "title" : "Controlling protein stability: Mechanisms revealed using formulations of arginine, glycine and guanidinium HCl with three globular proteins", "type" : "article-journal", "volume" : "486" }, "uris" : [ "http://www.mendeley.com/documents/?uuid=5affd2ea-0b8d-4967-ab46-6d8757a3230b" ] } ], "mendeley" : { "formattedCitation" : "(Platts &amp; Falconer 2015)", "plainTextFormattedCitation" : "(Platts &amp; Falconer 2015)", "previouslyFormattedCitation" : "(Platts &amp; Falconer 2015)" }, "properties" : { "noteIndex" : 0 }, "schema" : "https://github.com/citation-style-language/schema/raw/master/csl-citation.json" }</w:instrText>
      </w:r>
      <w:r>
        <w:fldChar w:fldCharType="separate"/>
      </w:r>
      <w:r w:rsidRPr="006F4757">
        <w:rPr>
          <w:noProof/>
        </w:rPr>
        <w:t>(Platts &amp; Falconer 2015)</w:t>
      </w:r>
      <w:r>
        <w:fldChar w:fldCharType="end"/>
      </w:r>
      <w:r>
        <w:t xml:space="preserve">. The sum of the changes in thermal stability for three model proteins in the presence of glycine and GdnHCl separately was compared to that of equimolar concentrations of arginine and found to follow the same trends, and were very close in terms of actual change in melting temperature for all proteins studied. Arginine is a commonly used excipient in biopharmaceutical formulations due to its unique ability to solubilise proteins and prevent aggregation without negatively affecting stability </w:t>
      </w:r>
      <w:r>
        <w:fldChar w:fldCharType="begin" w:fldLock="1"/>
      </w:r>
      <w:r w:rsidR="00924827">
        <w:instrText>ADDIN CSL_CITATION { "citationItems" : [ { "id" : "ITEM-1", "itemData" : { "DOI" : "10.1016/S0006-291X(03)00578-3", "ISSN" : "0006291X", "author" : [ { "dropping-particle" : "", "family" : "Arakawa", "given" : "T", "non-dropping-particle" : "", "parse-names" : false, "suffix" : "" }, { "dropping-particle" : "", "family" : "Tsumoto", "given" : "K", "non-dropping-particle" : "", "parse-names" : false, "suffix" : "" } ], "container-title" : "Biochemical and Biophysical Research Communications", "id" : "ITEM-1", "issued" : { "date-parts" : [ [ "2003", "4" ] ] }, "page" : "148-152", "title" : "The effects of arginine on refolding of aggregated proteins: Not facilitate refolding, but suppress aggregation", "type" : "article-journal", "volume" : "304" }, "uris" : [ "http://www.mendeley.com/documents/?uuid=1ec5f6bb-8e7b-444e-9655-b3d9189f70c9" ] }, { "id" : "ITEM-2", "itemData" : { "DOI" : "10.1016/j.pep.2005.03.028", "ISSN" : "1046-5928", "PMID" : "15893471", "abstract" : "Arginine is a useful solvent additive for many applications, including refolding and solubilization of proteins from insoluble pellets, and suppression of protein aggregation and non-specific adsorption during formulation and purification. However, there is a concern that arginine may be a protein-denaturant, which may limit the expansion of its applications. Such concern arises from the facts that arginine decreases melting temperature and perturbs the spectroscopic properties of certain proteins and contains a guanidinium group, which is a critical chemical structure for denaturing activity of guanidine hydrochloride. Here, we show that although arginine does lower the melting temperatures of certain proteins, the extent is insufficient to cause denaturation of proteins at or below room temperature. The proteins described here show enzymatic activity and folded structure in the presence of arginine, although the local structure around aromatic amino acids is perturbed by arginine. Arginine differs from guandinine hydrochloride in the mode of interactions with proteins, which may be a primary reason why arginine is not a protein-denaturant.", "author" : [ { "dropping-particle" : "", "family" : "Ishibashi", "given" : "M", "non-dropping-particle" : "", "parse-names" : false, "suffix" : "" }, { "dropping-particle" : "", "family" : "Tsumoto", "given" : "K", "non-dropping-particle" : "", "parse-names" : false, "suffix" : "" }, { "dropping-particle" : "", "family" : "Tokunaga", "given" : "M", "non-dropping-particle" : "", "parse-names" : false, "suffix" : "" }, { "dropping-particle" : "", "family" : "Ejima", "given" : "D", "non-dropping-particle" : "", "parse-names" : false, "suffix" : "" }, { "dropping-particle" : "", "family" : "Kita", "given" : "Y", "non-dropping-particle" : "", "parse-names" : false, "suffix" : "" }, { "dropping-particle" : "", "family" : "Arakawa", "given" : "T", "non-dropping-particle" : "", "parse-names" : false, "suffix" : "" } ], "container-title" : "Protein Expression &amp; Purification", "id" : "ITEM-2", "issued" : { "date-parts" : [ [ "2005", "7" ] ] }, "page" : "1-6", "title" : "Is arginine a protein-denaturant?", "type" : "article-journal", "volume" : "42" }, "uris" : [ "http://www.mendeley.com/documents/?uuid=4f7780e5-385c-4f63-97dc-cb62626ee94e" ] } ], "mendeley" : { "formattedCitation" : "(Arakawa &amp; Tsumoto 2003; Ishibashi et al. 2005)", "plainTextFormattedCitation" : "(Arakawa &amp; Tsumoto 2003; Ishibashi et al. 2005)", "previouslyFormattedCitation" : "(Arakawa &amp; Tsumoto 2003; Ishibashi et al. 2005)" }, "properties" : { "noteIndex" : 0 }, "schema" : "https://github.com/citation-style-language/schema/raw/master/csl-citation.json" }</w:instrText>
      </w:r>
      <w:r>
        <w:fldChar w:fldCharType="separate"/>
      </w:r>
      <w:r w:rsidRPr="009569D1">
        <w:rPr>
          <w:noProof/>
        </w:rPr>
        <w:t>(Arakawa &amp; Tsumoto 2003; Ishibashi et al. 2005)</w:t>
      </w:r>
      <w:r>
        <w:fldChar w:fldCharType="end"/>
      </w:r>
      <w:r>
        <w:t xml:space="preserve">. It was suggested in the previous chapter that, due to the seemingly additive nature of arginine’s effects on protein stability it may be possible to use bespoke ratios of its functional groups, which represent a stabilising and a solubilising moiety, in order to create designer excipients for therapeutic protein formulations. In fact, there are already a number of studies that suggest altering functional groups on the arginine molecule can further increase its solubilising effects </w:t>
      </w:r>
      <w:r>
        <w:fldChar w:fldCharType="begin" w:fldLock="1"/>
      </w:r>
      <w:r>
        <w:instrText>ADDIN CSL_CITATION { "citationItems" : [ { "id" : "ITEM-1", "itemData" : { "DOI" : "10.1016/j.jbiotec.2007.03.003", "ISSN" : "01681656", "PMID" : "17434637", "abstract" : "l-Arginine (Arg) is a widely used additive for suppressing protein aggregation during refolding. Systematic screening of Arg analogs provides superior additives that enhance the refolding yield more effectively than Arg. The refolding yield of hen egg lysozyme in the presence of 500 mM l-argininamide (ArgAd) increases 1.7-fold higher than Arg. Thermal unfolding experiments indicate that ArgAd has a greater denaturing effect than Arg. The refolding yield positively relates to the net charge of Arg analogs. Moreover ArgAd was also effective for the refolding of bovine carbonic anhydrase. High potency to increase the refolding yield of ArgAd compared to Arg results from high positive net charge and the denaturing property. ?? 2007 Elsevier B.V. All rights reserved.", "author" : [ { "dropping-particle" : "", "family" : "Hamada", "given" : "H", "non-dropping-particle" : "", "parse-names" : false, "suffix" : "" }, { "dropping-particle" : "", "family" : "Shiraki", "given" : "K", "non-dropping-particle" : "", "parse-names" : false, "suffix" : "" } ], "container-title" : "Journal of Biotechnology", "id" : "ITEM-1", "issued" : { "date-parts" : [ [ "2007" ] ] }, "page" : "153-160", "title" : "L-Argininamide improves the refolding more effectively than L-arginine", "type" : "article-journal", "volume" : "130" }, "uris" : [ "http://www.mendeley.com/documents/?uuid=3e154ec5-faf9-4375-87ae-19a3a29f0a33" ] }, { "id" : "ITEM-2", "itemData" : { "DOI" : "10.1002/btpr.1766", "ISSN" : "87567938", "PMID" : "23794528", "abstract" : "L-arginine (Arg), L-homoarginine (HArg), L-arginine ethylester (ArgEE), and L-arginine methylester (ArgME) were found effective in inhibiting protein aggregation, but the molecular mechanisms are not clear. Herein, stopped-flow fluorescence spectroscopy, isothermal titration calorimetry, and mass spectroscopy were used to investigate the folding kinetics of lysozyme and the interactions of the additives with lysozyme. It was found that the interactions of ArgME and ArgEE with lysozyme were similar to that of guanidine hydrochloride and were much stronger than those of Arg and HArg. The binding forces were all mainly hydrogen bonding and cation-\u03c0 interaction from the guanidinium group, but their differences in molecular states led to the significantly different binding strengths. The additives formed molecular clusters in an increasing order of ArgEE, ArgME, HArg, and Arg. Arg and HArg mainly formed annular clusters with head-to-tail bonding, while ArgME and ArgEE formed linear clusters with guanidinium groups stacking. The interactions between the additives and lysozyme were positively related to the monomer contents. That is, the monomers were the primary species that participated in the direct interactions due to their intact guanidinium groups and small sizes, while the clusters performed as barriers to crowd out the protein-protein interactions for aggregation. Thus, it is concluded that the effects of Arg and its derivatives on protein aggregation stemmed from the direct interactions by the monomers and the crowding effects by the clusters. Interplay of the two effects led to the differences in their inhibition effects on protein aggregation.", "author" : [ { "dropping-particle" : "", "family" : "Gao", "given" : "M T", "non-dropping-particle" : "", "parse-names" : false, "suffix" : "" }, { "dropping-particle" : "", "family" : "Dong", "given" : "X Y", "non-dropping-particle" : "", "parse-names" : false, "suffix" : "" }, { "dropping-particle" : "", "family" : "Sun", "given" : "Y", "non-dropping-particle" : "", "parse-names" : false, "suffix" : "" } ], "container-title" : "Biotechnology Progress", "id" : "ITEM-2", "issued" : { "date-parts" : [ [ "2013" ] ] }, "page" : "1316-1324", "title" : "Interactions between L-arginine/L-arginine derivatives and lysozyme and implications to their inhibition effects on protein aggregation", "type" : "article-journal", "volume" : "29" }, "uris" : [ "http://www.mendeley.com/documents/?uuid=9c063c3c-cbf7-45da-b23f-917022e23827" ] } ], "mendeley" : { "formattedCitation" : "(Hamada &amp; Shiraki 2007; Gao et al. 2013)", "plainTextFormattedCitation" : "(Hamada &amp; Shiraki 2007; Gao et al. 2013)", "previouslyFormattedCitation" : "(Hamada &amp; Shiraki 2007; Gao et al. 2013)" }, "properties" : { "noteIndex" : 0 }, "schema" : "https://github.com/citation-style-language/schema/raw/master/csl-citation.json" }</w:instrText>
      </w:r>
      <w:r>
        <w:fldChar w:fldCharType="separate"/>
      </w:r>
      <w:r w:rsidRPr="009569D1">
        <w:rPr>
          <w:noProof/>
        </w:rPr>
        <w:t>(Hamada &amp; Shiraki 2007; Gao et al. 2013)</w:t>
      </w:r>
      <w:r>
        <w:fldChar w:fldCharType="end"/>
      </w:r>
      <w:r>
        <w:t>.</w:t>
      </w:r>
    </w:p>
    <w:p w14:paraId="38E9E2AA" w14:textId="77777777" w:rsidR="00C56CFB" w:rsidRDefault="00C56CFB" w:rsidP="00C56CFB">
      <w:r>
        <w:t xml:space="preserve">Although the effects of glycine and GdnHCl on protein stability were shown to be additive when their effects were measured separately in solution, this additivity may not occur when both glycine and GdnHCl are used together as a mixture </w:t>
      </w:r>
      <w:r>
        <w:fldChar w:fldCharType="begin" w:fldLock="1"/>
      </w:r>
      <w:r>
        <w:instrText>ADDIN CSL_CITATION { "citationItems" : [ { "id" : "ITEM-1", "itemData" : { "DOI" : "10.1016/j.abb.2015.03.017", "ISSN" : "00039861", "author" : [ { "dropping-particle" : "", "family" : "Warepam", "given" : "M", "non-dropping-particle" : "", "parse-names" : false, "suffix" : "" }, { "dropping-particle" : "", "family" : "Singh", "given" : "L R", "non-dropping-particle" : "", "parse-names" : false, "suffix" : "" } ], "container-title" : "Archives of Biochemistry and Biophysics", "id" : "ITEM-1", "issued" : { "date-parts" : [ [ "2015" ] ] }, "page" : "77-83", "publisher" : "Elsevier Inc.", "title" : "Osmolyte mixtures have different effects than individual osmolytes on protein folding and functional activity", "type" : "article-journal", "volume" : "573" }, "uris" : [ "http://www.mendeley.com/documents/?uuid=c68da918-7ef6-4e5e-bb9a-e9b882747494" ] } ], "mendeley" : { "formattedCitation" : "(Warepam &amp; Singh 2015)", "plainTextFormattedCitation" : "(Warepam &amp; Singh 2015)", "previouslyFormattedCitation" : "(Warepam &amp; Singh 2015)" }, "properties" : { "noteIndex" : 0 }, "schema" : "https://github.com/citation-style-language/schema/raw/master/csl-citation.json" }</w:instrText>
      </w:r>
      <w:r>
        <w:fldChar w:fldCharType="separate"/>
      </w:r>
      <w:r w:rsidRPr="00183FBA">
        <w:rPr>
          <w:noProof/>
        </w:rPr>
        <w:t>(Warepam &amp; Singh 2015)</w:t>
      </w:r>
      <w:r>
        <w:fldChar w:fldCharType="end"/>
      </w:r>
      <w:r>
        <w:t xml:space="preserve">. This is due to the possibility of interactions between the two cosolutes, whether that be attractive or repulsive direct interactions, or an indirect interaction. As the system is altered from a three-component system of water-cosolute-protein to a four-component system of water-cosolute-cosolute-protein, the number and complexity of interactions that could occur are increased </w:t>
      </w:r>
      <w:r w:rsidR="00146647">
        <w:t xml:space="preserve">(see section </w:t>
      </w:r>
      <w:r w:rsidR="00146647">
        <w:fldChar w:fldCharType="begin"/>
      </w:r>
      <w:r w:rsidR="00146647">
        <w:instrText xml:space="preserve"> REF _Ref453859258 \r \h </w:instrText>
      </w:r>
      <w:r w:rsidR="00146647">
        <w:fldChar w:fldCharType="separate"/>
      </w:r>
      <w:r w:rsidR="00AA6926">
        <w:t>1.6</w:t>
      </w:r>
      <w:r w:rsidR="00146647">
        <w:fldChar w:fldCharType="end"/>
      </w:r>
      <w:r w:rsidR="00146647">
        <w:t xml:space="preserve">) </w:t>
      </w:r>
      <w:r>
        <w:fldChar w:fldCharType="begin" w:fldLock="1"/>
      </w:r>
      <w:r>
        <w:instrText>ADDIN CSL_CITATION { "citationItems" : [ { "id" : "ITEM-1", "itemData" : { "DOI" : "10.1016/j.bpc.2013.10.004", "ISBN" : "1873-4200 (Electronic)\\r0301-4622 (Linking)", "ISSN" : "03014622", "PMID" : "24292629", "abstract" : "Thermal unfolding of ribonuclease A (RNase) was analyzed in various osmolyte solutions of glycine, proline, sarcosine, N,N-dimethylglycine, betaine, myo-inositol, taurine, and trimethylamine-N-oxide (TMAO). All the osmolytes tested stabilized the protein. The thermal unfolding curve was described well by the van't Hoff equation and the melting temperature and the enthalpy of protein unfolding were obtained. The Wyman-Tanford equation, which describes the unfolded-to-folded protein ratio as a function of water activity, was successfully applied to obtain a linear plot. In consideration of this experimentally obtained linearity, the Wyman-Tanford plot could be integrated to calculate the stabilization free energy of the protein (??????? ???????G) in the solution. The ??????????? ???G was proved to be described by the property of the microstructure around the protein surface, which is composed of the protein hydration, the cosolute-binding, and the preferential exclusion, and the property of the bulk solution; water activity. The m-values of osmolytes for protein unfolding were obtained from ??????????????G calculated. Among the osmolytes tested, myo-inositol showed the highest m-value. ?? 2013 Elsevier Ltd. All rights reserved.", "author" : [ { "dropping-particle" : "", "family" : "Miyawaki", "given" : "O", "non-dropping-particle" : "", "parse-names" : false, "suffix" : "" }, { "dropping-particle" : "", "family" : "Dozen", "given" : "M", "non-dropping-particle" : "", "parse-names" : false, "suffix" : "" }, { "dropping-particle" : "", "family" : "Nomura", "given" : "K", "non-dropping-particle" : "", "parse-names" : false, "suffix" : "" } ], "container-title" : "Biophysical Chemistry", "id" : "ITEM-1", "issued" : { "date-parts" : [ [ "2014" ] ] }, "page" : "19-24", "publisher" : "Elsevier B.V.", "title" : "Thermodynamic analysis of osmolyte effect on thermal stability of ribonuclease A in terms of water activity", "type" : "article-journal", "volume" : "185" }, "uris" : [ "http://www.mendeley.com/documents/?uuid=7914a675-1b34-43aa-92ca-51687220293e" ] } ], "mendeley" : { "formattedCitation" : "(Miyawaki et al. 2014)", "plainTextFormattedCitation" : "(Miyawaki et al. 2014)", "previouslyFormattedCitation" : "(Miyawaki et al. 2014)" }, "properties" : { "noteIndex" : 0 }, "schema" : "https://github.com/citation-style-language/schema/raw/master/csl-citation.json" }</w:instrText>
      </w:r>
      <w:r>
        <w:fldChar w:fldCharType="separate"/>
      </w:r>
      <w:r w:rsidRPr="00561E3A">
        <w:rPr>
          <w:noProof/>
        </w:rPr>
        <w:t>(Miyawaki et al. 2014)</w:t>
      </w:r>
      <w:r>
        <w:fldChar w:fldCharType="end"/>
      </w:r>
      <w:r>
        <w:t xml:space="preserve"> (</w:t>
      </w:r>
      <w:r>
        <w:fldChar w:fldCharType="begin"/>
      </w:r>
      <w:r>
        <w:instrText xml:space="preserve"> REF _Ref463618053 \h </w:instrText>
      </w:r>
      <w:r>
        <w:fldChar w:fldCharType="separate"/>
      </w:r>
      <w:r w:rsidR="00AA6926">
        <w:t xml:space="preserve">Figure </w:t>
      </w:r>
      <w:r w:rsidR="00AA6926">
        <w:rPr>
          <w:noProof/>
        </w:rPr>
        <w:t>4</w:t>
      </w:r>
      <w:r w:rsidR="00AA6926">
        <w:noBreakHyphen/>
      </w:r>
      <w:r w:rsidR="00AA6926">
        <w:rPr>
          <w:noProof/>
        </w:rPr>
        <w:t>1</w:t>
      </w:r>
      <w:r>
        <w:fldChar w:fldCharType="end"/>
      </w:r>
      <w:r>
        <w:t xml:space="preserve">). It is worth noting that cosolute 1-cosolute 2 interactions here do not have to be direct in order to influence the effect on protein stability </w:t>
      </w:r>
      <w:r>
        <w:fldChar w:fldCharType="begin" w:fldLock="1"/>
      </w:r>
      <w:r>
        <w:instrText>ADDIN CSL_CITATION { "citationItems" : [ { "id" : "ITEM-1", "itemData" : { "author" : [ { "dropping-particle" : "", "family" : "Rosgen", "given" : "J", "non-dropping-particle" : "", "parse-names" : false, "suffix" : "" } ], "container-title" : "Journal of Physical Chemistry B", "id" : "ITEM-1", "issued" : { "date-parts" : [ [ "2015" ] ] }, "page" : "150-157", "title" : "Synergy in protein-osmolyte mixtures", "type" : "article-journal", "volume" : "119" }, "uris" : [ "http://www.mendeley.com/documents/?uuid=e705f93e-99a6-4d71-9a60-ea0717c6dbda" ] } ], "mendeley" : { "formattedCitation" : "(Rosgen 2015)", "plainTextFormattedCitation" : "(Rosgen 2015)", "previouslyFormattedCitation" : "(Rosgen 2015)" }, "properties" : { "noteIndex" : 0 }, "schema" : "https://github.com/citation-style-language/schema/raw/master/csl-citation.json" }</w:instrText>
      </w:r>
      <w:r>
        <w:fldChar w:fldCharType="separate"/>
      </w:r>
      <w:r w:rsidRPr="00D77D48">
        <w:rPr>
          <w:noProof/>
        </w:rPr>
        <w:t>(Rosgen 2015)</w:t>
      </w:r>
      <w:r>
        <w:fldChar w:fldCharType="end"/>
      </w:r>
      <w:r>
        <w:t>.</w:t>
      </w:r>
    </w:p>
    <w:p w14:paraId="7FA95A56" w14:textId="77777777" w:rsidR="00C56CFB" w:rsidRDefault="00FB0CA1" w:rsidP="00C56CFB">
      <w:pPr>
        <w:keepNext/>
      </w:pPr>
      <w:r>
        <w:object w:dxaOrig="7180" w:dyaOrig="5390" w14:anchorId="5DCDF4D6">
          <v:shape id="_x0000_i1045" type="#_x0000_t75" style="width:501.75pt;height:375.75pt" o:ole="">
            <v:imagedata r:id="rId58" o:title=""/>
          </v:shape>
          <o:OLEObject Type="Embed" ProgID="PowerPoint.Show.12" ShapeID="_x0000_i1045" DrawAspect="Content" ObjectID="_1559454699" r:id="rId59"/>
        </w:object>
      </w:r>
    </w:p>
    <w:p w14:paraId="1EFB997E" w14:textId="77777777" w:rsidR="00C56CFB" w:rsidRPr="00190E0E" w:rsidRDefault="00C56CFB" w:rsidP="00C56CFB">
      <w:pPr>
        <w:pStyle w:val="Caption"/>
        <w:jc w:val="left"/>
      </w:pPr>
      <w:bookmarkStart w:id="199" w:name="_Ref463618053"/>
      <w:bookmarkStart w:id="200" w:name="_Toc482633184"/>
      <w:r>
        <w:t xml:space="preserve">Figure </w:t>
      </w:r>
      <w:fldSimple w:instr=" STYLEREF 1 \s ">
        <w:r w:rsidR="00AA6926">
          <w:rPr>
            <w:noProof/>
          </w:rPr>
          <w:t>4</w:t>
        </w:r>
      </w:fldSimple>
      <w:r w:rsidR="00BA082C">
        <w:noBreakHyphen/>
      </w:r>
      <w:fldSimple w:instr=" SEQ Figure \* ARABIC \s 1 ">
        <w:r w:rsidR="00AA6926">
          <w:rPr>
            <w:noProof/>
          </w:rPr>
          <w:t>1</w:t>
        </w:r>
      </w:fldSimple>
      <w:bookmarkEnd w:id="199"/>
      <w:r>
        <w:t>. Schematic of all potential interactions that can affect protein stability in four-component system contain</w:t>
      </w:r>
      <w:r w:rsidR="00146647">
        <w:t xml:space="preserve">ing a mixture of cosolutes. See </w:t>
      </w:r>
      <w:r w:rsidR="00146647">
        <w:fldChar w:fldCharType="begin"/>
      </w:r>
      <w:r w:rsidR="00146647">
        <w:instrText xml:space="preserve"> REF _Ref453860916 \h </w:instrText>
      </w:r>
      <w:r w:rsidR="00146647">
        <w:fldChar w:fldCharType="separate"/>
      </w:r>
      <w:r w:rsidR="00AA6926">
        <w:t xml:space="preserve">Figure </w:t>
      </w:r>
      <w:r w:rsidR="00AA6926">
        <w:rPr>
          <w:noProof/>
        </w:rPr>
        <w:t>1</w:t>
      </w:r>
      <w:r w:rsidR="00AA6926">
        <w:noBreakHyphen/>
      </w:r>
      <w:r w:rsidR="00AA6926">
        <w:rPr>
          <w:noProof/>
        </w:rPr>
        <w:t>10</w:t>
      </w:r>
      <w:r w:rsidR="00146647">
        <w:fldChar w:fldCharType="end"/>
      </w:r>
      <w:r>
        <w:rPr>
          <w:color w:val="FF0000"/>
        </w:rPr>
        <w:t xml:space="preserve"> </w:t>
      </w:r>
      <w:r>
        <w:t>for comparison to three-component system containing a single cosolute</w:t>
      </w:r>
      <w:bookmarkEnd w:id="200"/>
    </w:p>
    <w:p w14:paraId="353C412E" w14:textId="77777777" w:rsidR="00C56CFB" w:rsidRDefault="00C56CFB" w:rsidP="00C56CFB">
      <w:r>
        <w:t xml:space="preserve">A single biopharmaceutical formulation likely contains a mixture of various excipients, not only for stabilisation but for other reasons such as buffering capacity and tonicity </w:t>
      </w:r>
      <w:r>
        <w:fldChar w:fldCharType="begin" w:fldLock="1"/>
      </w:r>
      <w:r>
        <w:instrText>ADDIN CSL_CITATION { "citationItems" : [ { "id" : "ITEM-1", "itemData" : { "DOI" : "10.1517/17425240903199143", "ISSN" : "1744-7593", "PMID" : "19678792", "abstract" : "In the area of peptide and protein pharmaceuticals, both the physical and chemical stability of biopharmaceuticals are critical and need to be optimised when formulating a drug product, in order to optimise the outcome after processing and storage. This review focuses on the effects on the stability from various types of excipient and the choices that have to be made during formulation of drug products containing peptides or proteins. It is illustrated, through examples, how the choice of one excipient over another can affect the stability of a protein drug formulation, along with other problems linked to this choice. The excipients used in pharmaceutical preparations are limited and from an academic point of view there is a clear requirement for new excipients.", "author" : [ { "dropping-particle" : "", "family" : "Jorgensen", "given" : "L", "non-dropping-particle" : "", "parse-names" : false, "suffix" : "" }, { "dropping-particle" : "", "family" : "Hostrup", "given" : "S", "non-dropping-particle" : "", "parse-names" : false, "suffix" : "" }, { "dropping-particle" : "", "family" : "Moeller", "given" : "E H", "non-dropping-particle" : "", "parse-names" : false, "suffix" : "" }, { "dropping-particle" : "", "family" : "Grohganz", "given" : "H", "non-dropping-particle" : "", "parse-names" : false, "suffix" : "" } ], "container-title" : "Expert Opinion on Drug Delivery", "id" : "ITEM-1", "issued" : { "date-parts" : [ [ "2009", "11" ] ] }, "page" : "1219-1230", "title" : "Recent trends in stabilising peptides and proteins in pharmaceutical formulation - considerations in the choice of excipients", "type" : "article-journal", "volume" : "6" }, "uris" : [ "http://www.mendeley.com/documents/?uuid=8bf98923-ee81-40e1-a96a-6352403ea5bb" ] } ], "mendeley" : { "formattedCitation" : "(Jorgensen et al. 2009)", "plainTextFormattedCitation" : "(Jorgensen et al. 2009)", "previouslyFormattedCitation" : "(Jorgensen et al. 2009)" }, "properties" : { "noteIndex" : 0 }, "schema" : "https://github.com/citation-style-language/schema/raw/master/csl-citation.json" }</w:instrText>
      </w:r>
      <w:r>
        <w:fldChar w:fldCharType="separate"/>
      </w:r>
      <w:r w:rsidRPr="00561E3A">
        <w:rPr>
          <w:noProof/>
        </w:rPr>
        <w:t>(Jorgensen et al. 2009)</w:t>
      </w:r>
      <w:r>
        <w:fldChar w:fldCharType="end"/>
      </w:r>
      <w:r>
        <w:t xml:space="preserve">. Similarly in a cell undergoing osmotic stress there are likely a variety of small molecules accumulated as osmolytes </w:t>
      </w:r>
      <w:r>
        <w:fldChar w:fldCharType="begin" w:fldLock="1"/>
      </w:r>
      <w:r>
        <w:instrText>ADDIN CSL_CITATION { "citationItems" : [ { "id" : "ITEM-1", "itemData" : { "author" : [ { "dropping-particle" : "", "family" : "Yancey", "given" : "P H", "non-dropping-particle" : "", "parse-names" : false, "suffix" : "" }, { "dropping-particle" : "", "family" : "Clark", "given" : "M E", "non-dropping-particle" : "", "parse-names" : false, "suffix" : "" }, { "dropping-particle" : "", "family" : "Hand", "given" : "S C", "non-dropping-particle" : "", "parse-names" : false, "suffix" : "" }, { "dropping-particle" : "", "family" : "Bowlus", "given" : "R D", "non-dropping-particle" : "", "parse-names" : false, "suffix" : "" }, { "dropping-particle" : "", "family" : "Somero", "given" : "G N", "non-dropping-particle" : "", "parse-names" : false, "suffix" : "" } ], "container-title" : "Science", "id" : "ITEM-1", "issued" : { "date-parts" : [ [ "1982" ] ] }, "page" : "1214-1222", "title" : "Living with water stress: Evolution of osmolyte systems", "type" : "article-journal", "volume" : "217" }, "uris" : [ "http://www.mendeley.com/documents/?uuid=5c0ecbac-0ed5-485c-b4bd-8986742136e1" ] } ], "mendeley" : { "formattedCitation" : "(Yancey et al. 1982)", "plainTextFormattedCitation" : "(Yancey et al. 1982)", "previouslyFormattedCitation" : "(Yancey et al. 1982)" }, "properties" : { "noteIndex" : 0 }, "schema" : "https://github.com/citation-style-language/schema/raw/master/csl-citation.json" }</w:instrText>
      </w:r>
      <w:r>
        <w:fldChar w:fldCharType="separate"/>
      </w:r>
      <w:r w:rsidRPr="00A4768E">
        <w:rPr>
          <w:noProof/>
        </w:rPr>
        <w:t>(Yancey et al. 1982)</w:t>
      </w:r>
      <w:r>
        <w:fldChar w:fldCharType="end"/>
      </w:r>
      <w:r>
        <w:t xml:space="preserve">. Despite this there is relatively little research into the effects of mixtures of small molecules on protein stability, and whether their effects deviate from additivity. This is probably due to the fact that the multitude of interactions involved in complex mixtures are more difficult to elucidate, as represented in </w:t>
      </w:r>
      <w:r>
        <w:fldChar w:fldCharType="begin"/>
      </w:r>
      <w:r>
        <w:instrText xml:space="preserve"> REF _Ref463618053 \h </w:instrText>
      </w:r>
      <w:r>
        <w:fldChar w:fldCharType="separate"/>
      </w:r>
      <w:r w:rsidR="00AA6926">
        <w:t xml:space="preserve">Figure </w:t>
      </w:r>
      <w:r w:rsidR="00AA6926">
        <w:rPr>
          <w:noProof/>
        </w:rPr>
        <w:t>4</w:t>
      </w:r>
      <w:r w:rsidR="00AA6926">
        <w:noBreakHyphen/>
      </w:r>
      <w:r w:rsidR="00AA6926">
        <w:rPr>
          <w:noProof/>
        </w:rPr>
        <w:t>1</w:t>
      </w:r>
      <w:r>
        <w:fldChar w:fldCharType="end"/>
      </w:r>
      <w:r>
        <w:t>.</w:t>
      </w:r>
    </w:p>
    <w:p w14:paraId="639D4359" w14:textId="77777777" w:rsidR="00C56CFB" w:rsidRDefault="00C56CFB" w:rsidP="00C56CFB">
      <w:r>
        <w:t xml:space="preserve">Although glycine-GdnHCl mixtures have not been studied previously, methylamine-urea mixtures (another stabiliser-destabiliser mixture) are well studied due to the fact that they regularly occur as an osmolyte mixture in a 1:2 ratio in cartilaginous marine fishes, coelacanth and mammalian kidneys </w:t>
      </w:r>
      <w:r>
        <w:fldChar w:fldCharType="begin" w:fldLock="1"/>
      </w:r>
      <w:r>
        <w:instrText>ADDIN CSL_CITATION { "citationItems" : [ { "id" : "ITEM-1", "itemData" : { "author" : [ { "dropping-particle" : "", "family" : "Yancey", "given" : "P H", "non-dropping-particle" : "", "parse-names" : false, "suffix" : "" }, { "dropping-particle" : "", "family" : "Clark", "given" : "M E", "non-dropping-particle" : "", "parse-names" : false, "suffix" : "" }, { "dropping-particle" : "", "family" : "Hand", "given" : "S C", "non-dropping-particle" : "", "parse-names" : false, "suffix" : "" }, { "dropping-particle" : "", "family" : "Bowlus", "given" : "R D", "non-dropping-particle" : "", "parse-names" : false, "suffix" : "" }, { "dropping-particle" : "", "family" : "Somero", "given" : "G N", "non-dropping-particle" : "", "parse-names" : false, "suffix" : "" } ], "container-title" : "Science", "id" : "ITEM-1", "issued" : { "date-parts" : [ [ "1982" ] ] }, "page" : "1214-1222", "title" : "Living with water stress: Evolution of osmolyte systems", "type" : "article-journal", "volume" : "217" }, "uris" : [ "http://www.mendeley.com/documents/?uuid=5c0ecbac-0ed5-485c-b4bd-8986742136e1" ] } ], "mendeley" : { "formattedCitation" : "(Yancey et al. 1982)", "plainTextFormattedCitation" : "(Yancey et al. 1982)", "previouslyFormattedCitation" : "(Yancey et al. 1982)" }, "properties" : { "noteIndex" : 0 }, "schema" : "https://github.com/citation-style-language/schema/raw/master/csl-citation.json" }</w:instrText>
      </w:r>
      <w:r>
        <w:fldChar w:fldCharType="separate"/>
      </w:r>
      <w:r w:rsidRPr="00A4768E">
        <w:rPr>
          <w:noProof/>
        </w:rPr>
        <w:t>(Yancey et al. 1982)</w:t>
      </w:r>
      <w:r>
        <w:fldChar w:fldCharType="end"/>
      </w:r>
      <w:r>
        <w:t xml:space="preserve">. There are data to suggest both additivity </w:t>
      </w:r>
      <w:r>
        <w:fldChar w:fldCharType="begin" w:fldLock="1"/>
      </w:r>
      <w:r>
        <w:instrText>ADDIN CSL_CITATION { "citationItems" : [ { "id" : "ITEM-1", "itemData" : { "DOI" : "10.1110/ps.062610407.to", "author" : [ { "dropping-particle" : "", "family" : "Holthauzen", "given" : "L M F", "non-dropping-particle" : "", "parse-names" : false, "suffix" : "" }, { "dropping-particle" : "", "family" : "Bolen", "given" : "D W", "non-dropping-particle" : "", "parse-names" : false, "suffix" : "" } ], "container-title" : "Protein Science", "id" : "ITEM-1", "issued" : { "date-parts" : [ [ "2007" ] ] }, "page" : "293-298", "title" : "Mixed osmolytes: The degree to which one osmolyte affects the protein stabilizing ability of another", "type" : "article-journal", "volume" : "16" }, "uris" : [ "http://www.mendeley.com/documents/?uuid=840e7504-edb7-4e01-b86f-415d435b9167" ] }, { "id" : "ITEM-2", "itemData" : { "DOI" : "10.1110/ps.0372903", "ISBN" : "0961-8368", "ISSN" : "0961-8368", "PMID" : "12824497", "abstract" : "Standard methods for measuring free energy of protein unfolding by chemical denaturation require complete folding at low concentrations of denaturant so that a native baseline can be observed. Alternatively, proteins that are completely unfolded in the absence of denaturant can be folded by addition of the osmolyte trimethylamine N-oxide (TMAO), and the unfolding free energy can then be calculated through analysis of the refolding transition. However, neither chemical denaturation nor osmolyte-induced refolding alone is sufficient to yield accurate thermodynamic unfolding parameters for partly folded proteins, because neither method produces both native and denatured baselines in a single transition. Here we combine urea denaturation and TMAO stabilization as a means to bring about baseline-resolved structural transitions in partly folded proteins. For Barnase and the Notch ankyrin domain, which both show two-state equilibrium unfolding, we found that DeltaG degrees for unfolding depends linearly on TMAO concentration, and that the sensitivity of DeltaG degrees to urea (the m-value) is TMAO independent. This second observation confirms that urea and TMAO exert independent effects on stability over the range of cosolvent concentrations required to bring about baseline-resolved structural transitions. Thermodynamic parameters calculated using a global fit that assumes additive, linear dependence of DeltaG degrees on each cosolvent are similar to those obtained by standard urea-induced unfolding in the absence of TMAO. Finally, we demonstrate the applicability of this method to measurement of the free energy of unfolding of a partly folded protein, a fragment of the full-length Notch ankyrin domain.", "author" : [ { "dropping-particle" : "", "family" : "Mello", "given" : "C C", "non-dropping-particle" : "", "parse-names" : false, "suffix" : "" }, { "dropping-particle" : "", "family" : "Barrick", "given" : "D", "non-dropping-particle" : "", "parse-names" : false, "suffix" : "" } ], "container-title" : "Protein Science", "id" : "ITEM-2", "issued" : { "date-parts" : [ [ "2003" ] ] }, "page" : "1522-1529", "title" : "Measuring the stability of partly folded proteins using TMAO", "type" : "article-journal", "volume" : "12" }, "uris" : [ "http://www.mendeley.com/documents/?uuid=70152990-2712-4fd3-8dc9-415ea064bec3" ] }, { "id" : "ITEM-3", "itemData" : { "author" : [ { "dropping-particle" : "", "family" : "Lin", "given" : "T Y", "non-dropping-particle" : "", "parse-names" : false, "suffix" : "" }, { "dropping-particle" : "", "family" : "Timasheff", "given" : "S N", "non-dropping-particle" : "", "parse-names" : false, "suffix" : "" } ], "container-title" : "Biochemistry", "id" : "ITEM-3", "issued" : { "date-parts" : [ [ "1994" ] ] }, "page" : "12695-12701", "title" : "Why do some organisms use a urea-methylamine mixture as osmolyte? Thermodynamic compensation of urea and trimethylamine N-oxide interactions with protein", "type" : "article-journal", "volume" : "33" }, "uris" : [ "http://www.mendeley.com/documents/?uuid=1ab61bfa-d914-40da-8f49-814f9b80d429" ] } ], "mendeley" : { "formattedCitation" : "(Holthauzen &amp; Bolen 2007; Mello &amp; Barrick 2003; Lin &amp; Timasheff 1994)", "plainTextFormattedCitation" : "(Holthauzen &amp; Bolen 2007; Mello &amp; Barrick 2003; Lin &amp; Timasheff 1994)", "previouslyFormattedCitation" : "(Holthauzen &amp; Bolen 2007; Mello &amp; Barrick 2003; Lin &amp; Timasheff 1994)" }, "properties" : { "noteIndex" : 0 }, "schema" : "https://github.com/citation-style-language/schema/raw/master/csl-citation.json" }</w:instrText>
      </w:r>
      <w:r>
        <w:fldChar w:fldCharType="separate"/>
      </w:r>
      <w:r w:rsidRPr="00F62755">
        <w:rPr>
          <w:noProof/>
        </w:rPr>
        <w:t>(Holthauzen &amp; Bolen 2007; Mello &amp; Barrick 2003; Lin &amp; Timasheff 1994)</w:t>
      </w:r>
      <w:r>
        <w:fldChar w:fldCharType="end"/>
      </w:r>
      <w:r>
        <w:t xml:space="preserve"> and synergy </w:t>
      </w:r>
      <w:r>
        <w:fldChar w:fldCharType="begin" w:fldLock="1"/>
      </w:r>
      <w:r w:rsidR="007228DB">
        <w:instrText>ADDIN CSL_CITATION { "citationItems" : [ { "id" : "ITEM-1", "itemData" : { "DOI" : "10.1021/jp8113013", "author" : [ { "dropping-particle" : "", "family" : "Venkatesu", "given" : "P", "non-dropping-particle" : "", "parse-names" : false, "suffix" : "" }, { "dropping-particle" : "", "family" : "Lee", "given" : "M J", "non-dropping-particle" : "", "parse-names" : false, "suffix" : "" }, { "dropping-particle" : "", "family" : "Lin", "given" : "H M", "non-dropping-particle" : "", "parse-names" : false, "suffix" : "" } ], "container-title" : "Journal of Physical Chemistry B", "id" : "ITEM-1", "issued" : { "date-parts" : [ [ "2009" ] ] }, "page" : "5327-5338", "title" : "Osmolyte counteracts urea-induced denaturation of a-chymotrypsin", "type" : "article-journal", "volume" : "113" }, "uris" : [ "http://www.mendeley.com/documents/?uuid=d7b014ef-cccc-4287-8891-735d9f03de58" ] }, { "id" : "ITEM-2", "itemData" : { "DOI" : "10.1016/j.abb.2007.07.004", "ISSN" : "0003-9861", "PMID" : "17697669", "abstract" : "To understand trimethylamine N-oxide (TMAO) attenuation of the denaturating effects of urea or guanidine hydrochloride (GdnHCl), we have determined the apparent transfer free energies (DeltaG(tr)(')) of cyclic dipeptides (CDs) from water to TMAO, urea or GdnHCl, and also the blends of TMAO and denaturants (urea or GdnHCl) at a 1:2 ratio as well as various denaturant concentrations in the presence of 1M TMAO, through the solubility measurements, at 25 degrees C. The CDs investigated in the present study included cyclo(Gly-Gly), cyclo(Ala-Ala) and cyclo(Val-Val). The observed DeltaG(tr)(') values indicate that TMAO can stabilize the CDs while urea or GdnHCl can destabilize the CDs. Furthermore, the DeltaG(tr)(') values of the blends of TMAO with urea or GdnHCl revealed that TMAO strongly counteracted the denaturating effects of urea on CDs in all instances, however, TMAO partially counteracted the perturbing effects of GdnHCl on CDs. TMAO counteraction ability of the deleterious effects of denaturants depended on the denaturant-CDs pair. The experimental results were further used to estimate the transfer free energies (Deltag(tr)(')) of the various functional group contributions from water to TMAO, urea or GdnHCl individually and to the combinations of TMAO and the denaturants in various ratios.", "author" : [ { "dropping-particle" : "", "family" : "Venkatesu", "given" : "P", "non-dropping-particle" : "", "parse-names" : false, "suffix" : "" }, { "dropping-particle" : "", "family" : "Lee", "given" : "M J", "non-dropping-particle" : "", "parse-names" : false, "suffix" : "" }, { "dropping-particle" : "", "family" : "Lin", "given" : "H", "non-dropping-particle" : "", "parse-names" : false, "suffix" : "" } ], "container-title" : "Archives of Biochemistry and Biophysics", "id" : "ITEM-2", "issued" : { "date-parts" : [ [ "2007", "10", "1" ] ] }, "page" : "106-115", "title" : "Trimethylamine N-oxide counteracts the denaturing effects of urea or GdnHCl on protein denatured state", "type" : "article-journal", "volume" : "466" }, "uris" : [ "http://www.mendeley.com/documents/?uuid=1f42e1fc-48d5-4d60-886d-e5897e8dd5f5" ] }, { "id" : "ITEM-3", "itemData" : { "DOI" : "10.1371/journal.pone.0072533", "ISSN" : "1932-6203", "PMID" : "24039776", "abstract" : "Human kidney cells are under constant urea stress due to its urine concentrating mechanism. It is believed that the deleterious effect of urea is counteracted by methylamine osmolytes (glycine betaine and glycerophosphocholine) present in kidney cells. A question arises: Do the stabilizing osmolytes, non-methylamines (myo-inositol, sorbitol and taurine) present in the kidney cells also counteract the deleterious effects of urea? To answer this question, we have measured structure, thermodynamic stability (\u0394G D (o)) and functional activity parameters (K m and k cat) of different model proteins in the presence of various concentrations of urea and each non-methylamine osmolyte alone and in combination. We observed that (i) for each protein myo-inositol provides perfect counteraction at 1\u22362 ([myo-inositol]:[urea]) ratio, (ii) any concentration of sorbitol fails to refold urea denatured proteins if it is six times less than that of urea, and (iii) taurine regulates perfect counteraction in a protein specific manner; 1.5\u22362.0, 1.2\u22362.0 and 1.0\u22362.0 ([taurine]:[urea]) ratios for RNase-A, lysozyme and \u03b1-lactalbumin, respectively.", "author" : [ { "dropping-particle" : "", "family" : "Khan", "given" : "S", "non-dropping-particle" : "", "parse-names" : false, "suffix" : "" }, { "dropping-particle" : "", "family" : "Bano", "given" : "Z", "non-dropping-particle" : "", "parse-names" : false, "suffix" : "" }, { "dropping-particle" : "", "family" : "Singh", "given" : "L R", "non-dropping-particle" : "", "parse-names" : false, "suffix" : "" }, { "dropping-particle" : "", "family" : "Hassan", "given" : "M I", "non-dropping-particle" : "", "parse-names" : false, "suffix" : "" }, { "dropping-particle" : "", "family" : "Islam", "given" : "A", "non-dropping-particle" : "", "parse-names" : false, "suffix" : "" }, { "dropping-particle" : "", "family" : "Ahmad", "given" : "F", "non-dropping-particle" : "", "parse-names" : false, "suffix" : "" } ], "container-title" : "PloS One", "id" : "ITEM-3", "issued" : { "date-parts" : [ [ "2013", "1" ] ] }, "page" : "e72533", "title" : "Testing the ability of non-methylamine osmolytes present in kidney cells to counteract the deleterious effects of urea on structure, stability and function of proteins", "type" : "article-journal", "volume" : "8" }, "uris" : [ "http://www.mendeley.com/documents/?uuid=89a951c9-302d-46a3-9abb-af763cfc0243" ] }, { "id" : "ITEM-4", "itemData" : { "author" : [ { "dropping-particle" : "", "family" : "Rosgen", "given" : "J", "non-dropping-particle" : "", "parse-names" : false, "suffix" : "" } ], "container-title" : "Journal of Physical Chemistry B", "id" : "ITEM-4", "issued" : { "date-parts" : [ [ "2015" ] ] }, "page" : "150-157", "title" : "Synergy in protein-osmolyte mixtures", "type" : "article-journal", "volume" : "119" }, "uris" : [ "http://www.mendeley.com/documents/?uuid=e705f93e-99a6-4d71-9a60-ea0717c6dbda" ] } ], "mendeley" : { "formattedCitation" : "(Venkatesu et al. 2009; Venkatesu et al. 2007; Khan et al. 2013a; Rosgen 2015)", "plainTextFormattedCitation" : "(Venkatesu et al. 2009; Venkatesu et al. 2007; Khan et al. 2013a; Rosgen 2015)", "previouslyFormattedCitation" : "(Venkatesu et al. 2009; Venkatesu et al. 2007; Khan et al. 2013a; Rosgen 2015)" }, "properties" : { "noteIndex" : 0 }, "schema" : "https://github.com/citation-style-language/schema/raw/master/csl-citation.json" }</w:instrText>
      </w:r>
      <w:r>
        <w:fldChar w:fldCharType="separate"/>
      </w:r>
      <w:r w:rsidR="0064368A" w:rsidRPr="0064368A">
        <w:rPr>
          <w:noProof/>
        </w:rPr>
        <w:t>(Venkatesu et al. 2009; Venkatesu et al. 2007; Khan et al. 2013a; Rosgen 2015)</w:t>
      </w:r>
      <w:r>
        <w:fldChar w:fldCharType="end"/>
      </w:r>
      <w:r>
        <w:t xml:space="preserve"> in the effects of urea-methylamine mixtures on protein stability, and various molecular mechanisms have been suggested for both. This means that a consensus is far from being reached </w:t>
      </w:r>
      <w:r w:rsidR="00146647">
        <w:t xml:space="preserve">(see section </w:t>
      </w:r>
      <w:r w:rsidR="00146647">
        <w:fldChar w:fldCharType="begin"/>
      </w:r>
      <w:r w:rsidR="00146647">
        <w:instrText xml:space="preserve"> REF _Ref460078607 \r \h </w:instrText>
      </w:r>
      <w:r w:rsidR="00146647">
        <w:fldChar w:fldCharType="separate"/>
      </w:r>
      <w:r w:rsidR="00AA6926">
        <w:t>1.6.1</w:t>
      </w:r>
      <w:r w:rsidR="00146647">
        <w:fldChar w:fldCharType="end"/>
      </w:r>
      <w:r w:rsidR="00146647">
        <w:t xml:space="preserve">) </w:t>
      </w:r>
      <w:r>
        <w:t xml:space="preserve">and so it is still unclear whether the effects of mixtures of </w:t>
      </w:r>
      <w:r w:rsidR="00C3720B">
        <w:t>cosolutes</w:t>
      </w:r>
      <w:r>
        <w:t xml:space="preserve"> can be accurately predicted.</w:t>
      </w:r>
    </w:p>
    <w:p w14:paraId="232D8BAB" w14:textId="77777777" w:rsidR="00C56CFB" w:rsidRPr="009815FA" w:rsidRDefault="00C56CFB" w:rsidP="00C56CFB">
      <w:r>
        <w:t>The aim of this experimental chapter is to quantify the effects of glycine-guanidine hydrochloride (Gly-Gdn) mixtures on the thermal stability of proteins. Through comparison to protein stability effects of arginine and both glycine and guanidin</w:t>
      </w:r>
      <w:r w:rsidR="00AA6FBD">
        <w:t>e</w:t>
      </w:r>
      <w:r>
        <w:t xml:space="preserve"> hydrochloride separately</w:t>
      </w:r>
      <w:r w:rsidR="00AA6FBD">
        <w:t xml:space="preserve"> (Chapter 3)</w:t>
      </w:r>
      <w:r>
        <w:t xml:space="preserve">, but under similar solution conditions, the hypothesis will be challenged that Gly-Gdn mixtures act on protein stability in an additive manner. Alteration of concentration ratios of glycine and </w:t>
      </w:r>
      <w:r w:rsidR="00AA6FBD">
        <w:t>GdnHCl</w:t>
      </w:r>
      <w:r>
        <w:t xml:space="preserve"> from equimolar concentrations should give an indication of whether Gly-Gdn mixtures are </w:t>
      </w:r>
      <w:r w:rsidR="00AA6FBD">
        <w:t>suitable for use</w:t>
      </w:r>
      <w:r>
        <w:t xml:space="preserve"> as a designer excipient in place of arginine through increased stabilising capacity from an increase in glycine concentration.</w:t>
      </w:r>
    </w:p>
    <w:p w14:paraId="2553ECE6" w14:textId="77777777" w:rsidR="00C56CFB" w:rsidRDefault="00C552F2" w:rsidP="000A3469">
      <w:pPr>
        <w:pStyle w:val="Heading2"/>
      </w:pPr>
      <w:bookmarkStart w:id="201" w:name="_Toc485712793"/>
      <w:r>
        <w:t>Materials &amp;</w:t>
      </w:r>
      <w:r w:rsidR="008D6ED0">
        <w:t xml:space="preserve"> M</w:t>
      </w:r>
      <w:r w:rsidR="00C56CFB">
        <w:t>ethods</w:t>
      </w:r>
      <w:bookmarkEnd w:id="201"/>
    </w:p>
    <w:p w14:paraId="1FB3FBDD" w14:textId="77777777" w:rsidR="00C56CFB" w:rsidRDefault="00C56CFB" w:rsidP="00C56CFB">
      <w:pPr>
        <w:pStyle w:val="Heading3"/>
      </w:pPr>
      <w:bookmarkStart w:id="202" w:name="_Toc485712794"/>
      <w:r>
        <w:t>Materials</w:t>
      </w:r>
      <w:bookmarkEnd w:id="202"/>
    </w:p>
    <w:p w14:paraId="56D20BA0" w14:textId="77777777" w:rsidR="00C56CFB" w:rsidRPr="002D0DE4" w:rsidRDefault="00C56CFB" w:rsidP="00C56CFB">
      <w:r>
        <w:t>Proteins albumin from bovine serum (BSA) and lysozyme from hen egg white were purchased in lyophilised powder form from Sigma-Aldrich. Cosolutes L-glycine and guanidine hydrochloride (GdnHCl), and sodium octanoate were also purchased from Sigma-Aldrich and had purities of at least 98%.</w:t>
      </w:r>
    </w:p>
    <w:p w14:paraId="5314D7C2" w14:textId="77777777" w:rsidR="00C56CFB" w:rsidRDefault="00C56CFB" w:rsidP="00C56CFB">
      <w:pPr>
        <w:pStyle w:val="Heading3"/>
      </w:pPr>
      <w:bookmarkStart w:id="203" w:name="_Toc485712795"/>
      <w:r>
        <w:t>Methods</w:t>
      </w:r>
      <w:bookmarkEnd w:id="203"/>
    </w:p>
    <w:p w14:paraId="61A61720" w14:textId="77777777" w:rsidR="00C56CFB" w:rsidRPr="0071611F" w:rsidRDefault="00C56CFB" w:rsidP="00C56CFB">
      <w:pPr>
        <w:pStyle w:val="Heading4"/>
      </w:pPr>
      <w:r>
        <w:t>Sample preparation</w:t>
      </w:r>
    </w:p>
    <w:p w14:paraId="3BD204CF" w14:textId="77777777" w:rsidR="00C56CFB" w:rsidRDefault="00C56CFB" w:rsidP="00C56CFB">
      <w:r>
        <w:t>Methods are similar to those in C</w:t>
      </w:r>
      <w:r w:rsidRPr="00DC2B93">
        <w:t>hapter</w:t>
      </w:r>
      <w:r>
        <w:t xml:space="preserve"> 3. Proteins were dialysed overnight using a Mini 8 kDa membrane dialysis kit (GE Healthcare, Little Chalfont, UK) at 4 °C against HPLC-grade water. Protein concentration was calculated using absorbance measur</w:t>
      </w:r>
      <w:r w:rsidR="00527278">
        <w:t>e</w:t>
      </w:r>
      <w:r>
        <w:t xml:space="preserve">ments at 280 nm using a Jenway 6305 UK-Vis spectrophotometer (Jenway (Bibby Scientific), Staffordshire, UK). Extinction coefficients from Gill &amp; von Hippel, 1989 </w:t>
      </w:r>
      <w:r>
        <w:fldChar w:fldCharType="begin" w:fldLock="1"/>
      </w:r>
      <w:r>
        <w:instrText>ADDIN CSL_CITATION { "citationItems" : [ { "id" : "ITEM-1", "itemData" : { "ISSN" : "0003-2697", "PMID" : "2610349", "abstract" : "Quantitative study of protein-protein and protein-ligand interactions in solution requires accurate determination of protein concentration. Often, for proteins available only in \"molecular biological\" amounts, it is difficult or impossible to make an accurate experimental measurement of the molar extinction coefficient of the protein. Yet without a reliable value of this parameter, one cannot determine protein concentrations by the usual uv spectroscopic means. Fortunately, knowledge of amino acid residue sequence and promoter molecular weight (and thus also of amino acid composition) is generally available through the DNA sequence, which is usually accurately known for most such proteins. In this paper we present a method for calculating accurate (to +/- 5% in most cases) molar extinction coefficients for proteins at 280 nm, simply from knowledge of the amino acid composition. The method is calibrated against 18 \"normal\" globular proteins whose molar extinction coefficients are accurately known, and the assumptions underlying the method, as well as its limitations, are discussed.", "author" : [ { "dropping-particle" : "", "family" : "Gill", "given" : "S C", "non-dropping-particle" : "", "parse-names" : false, "suffix" : "" }, { "dropping-particle" : "", "family" : "Hippel", "given" : "P H", "non-dropping-particle" : "von", "parse-names" : false, "suffix" : "" } ], "container-title" : "Analytical Biochemistry", "id" : "ITEM-1", "issued" : { "date-parts" : [ [ "1989", "11", "1" ] ] }, "page" : "319-326", "title" : "Calculation of protein extinction coefficients from amino acid sequence data", "type" : "article-journal", "volume" : "182" }, "uris" : [ "http://www.mendeley.com/documents/?uuid=67e42691-f854-4907-8b00-d580834cbf0d" ] } ], "mendeley" : { "formattedCitation" : "(Gill &amp; von Hippel 1989)", "plainTextFormattedCitation" : "(Gill &amp; von Hippel 1989)", "previouslyFormattedCitation" : "(Gill &amp; von Hippel 1989)" }, "properties" : { "noteIndex" : 0 }, "schema" : "https://github.com/citation-style-language/schema/raw/master/csl-citation.json" }</w:instrText>
      </w:r>
      <w:r>
        <w:fldChar w:fldCharType="separate"/>
      </w:r>
      <w:r w:rsidRPr="002D0DE4">
        <w:rPr>
          <w:noProof/>
        </w:rPr>
        <w:t>(Gill &amp; von Hippel 1989)</w:t>
      </w:r>
      <w:r>
        <w:fldChar w:fldCharType="end"/>
      </w:r>
      <w:r>
        <w:t xml:space="preserve"> were used to calculate protein concentration. Protein stocks of 2 g/L BSA and 2 g/L lysozyme were made and put to pH 7 using either sodium hydroxide or hydrochloric acid. BSA stocks were dialysed against and diluted in 10 mM sodium octanoate as the protein was unstable in its absence. Protein stocks were kept on ice during experiments and used for a maximum of two days. Where concentration ranges took longer than two days new protein stocks were made from lyophilised powder and dialysed and diluted as above, and melting temp</w:t>
      </w:r>
      <w:r w:rsidR="00527278">
        <w:t xml:space="preserve">eratures </w:t>
      </w:r>
      <w:r>
        <w:t>in the absence of cosolute</w:t>
      </w:r>
      <w:r w:rsidR="00527278">
        <w:t xml:space="preserve"> checked</w:t>
      </w:r>
      <w:r>
        <w:t xml:space="preserve"> for consistency.</w:t>
      </w:r>
    </w:p>
    <w:p w14:paraId="030F5F68" w14:textId="77777777" w:rsidR="00C56CFB" w:rsidRDefault="00C56CFB" w:rsidP="00C56CFB">
      <w:r>
        <w:t>2 M stocks of glycine and guanidine hydrochloride were prepared using HPLC-grade water and put to pH 7. Samples for use in DSC were made by diluting protein stock by half with HPLC-grade water and desired concentrations of glycine and guanidine hydrochloride as a mixture.</w:t>
      </w:r>
    </w:p>
    <w:p w14:paraId="7FCBC2F6" w14:textId="77777777" w:rsidR="00C56CFB" w:rsidRDefault="00C56CFB" w:rsidP="00C56CFB">
      <w:pPr>
        <w:pStyle w:val="Heading4"/>
      </w:pPr>
      <w:r>
        <w:t>Differential Scanning Calorimetry</w:t>
      </w:r>
    </w:p>
    <w:p w14:paraId="470361B0" w14:textId="77777777" w:rsidR="00C56CFB" w:rsidRDefault="00C56CFB" w:rsidP="00C56CFB">
      <w:r>
        <w:t>All samples were degassed for 1 hour at 19 °C prior to DSC scans. Samples were heated at a rate of 1.5 °C/min from 30 – 100 °C with an equilibration period of 600 seconds at a pressure of 3 atmospheres. DSC experiments were carri</w:t>
      </w:r>
      <w:r w:rsidR="00676FD7">
        <w:t>ed out on a TA Instruments Nano-</w:t>
      </w:r>
      <w:r>
        <w:t>DSC (TA Instruments, New Castle, DE, USA). Three repeats were carried out of each experiment.</w:t>
      </w:r>
    </w:p>
    <w:p w14:paraId="67C77354" w14:textId="77777777" w:rsidR="00C56CFB" w:rsidRDefault="00C56CFB" w:rsidP="00C56CFB">
      <w:pPr>
        <w:pStyle w:val="Heading4"/>
      </w:pPr>
      <w:r>
        <w:t>Data analysis</w:t>
      </w:r>
    </w:p>
    <w:p w14:paraId="69A047E9" w14:textId="77777777" w:rsidR="00C56CFB" w:rsidRPr="0071611F" w:rsidRDefault="00C56CFB" w:rsidP="00C56CFB">
      <w:r>
        <w:t>Data were analysed using the Nanoanalyze software provided with the DSC. Water-water baselines were subtracted from the data and the temperature of maximum unfolding of the protein (</w:t>
      </w:r>
      <w:r>
        <w:rPr>
          <w:i/>
        </w:rPr>
        <w:t>T</w:t>
      </w:r>
      <w:r w:rsidRPr="00F17C82">
        <w:rPr>
          <w:vertAlign w:val="subscript"/>
        </w:rPr>
        <w:t>m</w:t>
      </w:r>
      <w:r>
        <w:t>) was calculated as the point at which the maximum relative heat capacity occurred. Other thermodynamic values were recorded but not used in analysis due to doubts over reliability for BSA.</w:t>
      </w:r>
    </w:p>
    <w:p w14:paraId="44F3B326" w14:textId="77777777" w:rsidR="00C56CFB" w:rsidRDefault="008D6ED0" w:rsidP="000A3469">
      <w:pPr>
        <w:pStyle w:val="Heading2"/>
      </w:pPr>
      <w:bookmarkStart w:id="204" w:name="_Toc485712796"/>
      <w:r>
        <w:t>Results &amp; D</w:t>
      </w:r>
      <w:r w:rsidR="00C56CFB">
        <w:t>iscussion</w:t>
      </w:r>
      <w:bookmarkEnd w:id="204"/>
    </w:p>
    <w:p w14:paraId="542C9C29" w14:textId="77777777" w:rsidR="00C56CFB" w:rsidRDefault="00C56CFB" w:rsidP="00C56CFB">
      <w:pPr>
        <w:pStyle w:val="Heading3"/>
      </w:pPr>
      <w:bookmarkStart w:id="205" w:name="_Toc485712797"/>
      <w:r>
        <w:t>Effect of varying concentrations of Gly-Gdn mixtures on protein stability</w:t>
      </w:r>
      <w:bookmarkEnd w:id="205"/>
    </w:p>
    <w:p w14:paraId="4E6FA530" w14:textId="77777777" w:rsidR="00C56CFB" w:rsidRDefault="00C56CFB" w:rsidP="00C56CFB">
      <w:r>
        <w:t>Varying concentrations of Gly-Gdn mixtures were added to BSA and lysozyme and their melting temperatures compared (</w:t>
      </w:r>
      <w:r>
        <w:fldChar w:fldCharType="begin"/>
      </w:r>
      <w:r>
        <w:instrText xml:space="preserve"> REF _Ref463443984 \h </w:instrText>
      </w:r>
      <w:r>
        <w:fldChar w:fldCharType="separate"/>
      </w:r>
      <w:r w:rsidR="00AA6926">
        <w:t xml:space="preserve">Figure </w:t>
      </w:r>
      <w:r w:rsidR="00AA6926">
        <w:rPr>
          <w:noProof/>
        </w:rPr>
        <w:t>4</w:t>
      </w:r>
      <w:r w:rsidR="00AA6926">
        <w:noBreakHyphen/>
      </w:r>
      <w:r w:rsidR="00AA6926">
        <w:rPr>
          <w:noProof/>
        </w:rPr>
        <w:t>2</w:t>
      </w:r>
      <w:r>
        <w:fldChar w:fldCharType="end"/>
      </w:r>
      <w:r w:rsidR="00882E4A">
        <w:t xml:space="preserve">) (raw data values presented in Appendix B). </w:t>
      </w:r>
      <w:r>
        <w:t>Variations in glycine concentration are shown as different plots with increasing GdnHCl concentrations shown on the x axis. For both BSA and lysozyme increasing the concentration of glycine present increased the melting temperature of the protein at all concentrations of GdnHCl. This occurred in a linear manner, i.e. a higher concentration of glycine increased the melting temperature more. At 500 mM GdnHCl, which drastically destabilises both BSA and lysozyme, even the addition of 500 mM glycine did not result in stabilisation (</w:t>
      </w:r>
      <w:r>
        <w:fldChar w:fldCharType="begin"/>
      </w:r>
      <w:r>
        <w:instrText xml:space="preserve"> REF _Ref463443984 \h </w:instrText>
      </w:r>
      <w:r>
        <w:fldChar w:fldCharType="separate"/>
      </w:r>
      <w:r w:rsidR="00AA6926">
        <w:t xml:space="preserve">Figure </w:t>
      </w:r>
      <w:r w:rsidR="00AA6926">
        <w:rPr>
          <w:noProof/>
        </w:rPr>
        <w:t>4</w:t>
      </w:r>
      <w:r w:rsidR="00AA6926">
        <w:noBreakHyphen/>
      </w:r>
      <w:r w:rsidR="00AA6926">
        <w:rPr>
          <w:noProof/>
        </w:rPr>
        <w:t>2</w:t>
      </w:r>
      <w:r>
        <w:fldChar w:fldCharType="end"/>
      </w:r>
      <w:r>
        <w:t xml:space="preserve"> brown circles), although the degree of destabilisation was decreased. At GdnHCl concentrations below 100 mM, which by themselves have very little effect on the melting temperature of both BSA and lysozyme (</w:t>
      </w:r>
      <w:r>
        <w:fldChar w:fldCharType="begin"/>
      </w:r>
      <w:r>
        <w:instrText xml:space="preserve"> REF _Ref463443984 \h </w:instrText>
      </w:r>
      <w:r>
        <w:fldChar w:fldCharType="separate"/>
      </w:r>
      <w:r w:rsidR="00AA6926">
        <w:t xml:space="preserve">Figure </w:t>
      </w:r>
      <w:r w:rsidR="00AA6926">
        <w:rPr>
          <w:noProof/>
        </w:rPr>
        <w:t>4</w:t>
      </w:r>
      <w:r w:rsidR="00AA6926">
        <w:noBreakHyphen/>
      </w:r>
      <w:r w:rsidR="00AA6926">
        <w:rPr>
          <w:noProof/>
        </w:rPr>
        <w:t>2</w:t>
      </w:r>
      <w:r>
        <w:fldChar w:fldCharType="end"/>
      </w:r>
      <w:r>
        <w:t xml:space="preserve"> red circles), even 5 mM glycine resulted in a slight stabilisation of both proteins, with the exception of 5 mM glycine:25 mM GdnHCl with lysozyme (</w:t>
      </w:r>
      <w:r>
        <w:fldChar w:fldCharType="begin"/>
      </w:r>
      <w:r>
        <w:instrText xml:space="preserve"> REF _Ref463443984 \h </w:instrText>
      </w:r>
      <w:r>
        <w:fldChar w:fldCharType="separate"/>
      </w:r>
      <w:r w:rsidR="00AA6926">
        <w:t xml:space="preserve">Figure </w:t>
      </w:r>
      <w:r w:rsidR="00AA6926">
        <w:rPr>
          <w:noProof/>
        </w:rPr>
        <w:t>4</w:t>
      </w:r>
      <w:r w:rsidR="00AA6926">
        <w:noBreakHyphen/>
      </w:r>
      <w:r w:rsidR="00AA6926">
        <w:rPr>
          <w:noProof/>
        </w:rPr>
        <w:t>2</w:t>
      </w:r>
      <w:r>
        <w:fldChar w:fldCharType="end"/>
      </w:r>
      <w:r>
        <w:t xml:space="preserve"> bottom panel). 500 mM glycine when combined with low concentrations of GdnHCl (&lt;100 mM) resulted in almost 5 °C stabilisation for BSA, and 3 °C stabilisation for lysozyme.</w:t>
      </w:r>
    </w:p>
    <w:p w14:paraId="2C21098A" w14:textId="77777777" w:rsidR="00C56CFB" w:rsidRDefault="00C56CFB" w:rsidP="00C56CFB">
      <w:pPr>
        <w:keepNext/>
        <w:framePr w:w="8646" w:hSpace="180" w:wrap="around" w:vAnchor="text" w:hAnchor="text" w:x="1" w:y="1"/>
      </w:pPr>
      <w:r>
        <w:object w:dxaOrig="10441" w:dyaOrig="13321" w14:anchorId="4136A277">
          <v:shape id="_x0000_i1046" type="#_x0000_t75" style="width:6in;height:550.5pt" o:ole="">
            <v:imagedata r:id="rId60" o:title=""/>
          </v:shape>
          <o:OLEObject Type="Embed" ProgID="SigmaPlotGraphicObject.12" ShapeID="_x0000_i1046" DrawAspect="Content" ObjectID="_1559454700" r:id="rId61"/>
        </w:object>
      </w:r>
    </w:p>
    <w:p w14:paraId="0A77CA94" w14:textId="77777777" w:rsidR="00C56CFB" w:rsidRDefault="00C56CFB" w:rsidP="00C56CFB">
      <w:pPr>
        <w:pStyle w:val="Caption"/>
        <w:framePr w:w="8646" w:hSpace="180" w:wrap="around" w:vAnchor="text" w:hAnchor="text" w:x="1" w:y="1"/>
        <w:jc w:val="left"/>
      </w:pPr>
      <w:bookmarkStart w:id="206" w:name="_Ref463443984"/>
      <w:bookmarkStart w:id="207" w:name="_Toc482633185"/>
      <w:r>
        <w:t xml:space="preserve">Figure </w:t>
      </w:r>
      <w:fldSimple w:instr=" STYLEREF 1 \s ">
        <w:r w:rsidR="00AA6926">
          <w:rPr>
            <w:noProof/>
          </w:rPr>
          <w:t>4</w:t>
        </w:r>
      </w:fldSimple>
      <w:r w:rsidR="00BA082C">
        <w:noBreakHyphen/>
      </w:r>
      <w:fldSimple w:instr=" SEQ Figure \* ARABIC \s 1 ">
        <w:r w:rsidR="00AA6926">
          <w:rPr>
            <w:noProof/>
          </w:rPr>
          <w:t>2</w:t>
        </w:r>
      </w:fldSimple>
      <w:bookmarkEnd w:id="206"/>
      <w:r>
        <w:t>. Effect of addition of various concentrations of glycine (see legend) to various concentrations of GdnHCl on the melting temperature of 1 g/L BSA pH 7 (top panel) and 1 g/L lysozyme pH 7 (bottom panel). 0 mM glycine plot (only GdnHCl) is taken from Chapter 3</w:t>
      </w:r>
      <w:bookmarkEnd w:id="207"/>
    </w:p>
    <w:p w14:paraId="30A34245" w14:textId="77777777" w:rsidR="00C56CFB" w:rsidRPr="005E2896" w:rsidRDefault="00C56CFB" w:rsidP="00C56CFB"/>
    <w:p w14:paraId="023214E1" w14:textId="77777777" w:rsidR="00C56CFB" w:rsidRDefault="00C56CFB" w:rsidP="00C56CFB">
      <w:r>
        <w:t>It is therefore clear that the addition of glycine is capable of counteracting the destabilising effects of GdnHCl on both BSA and lysozyme, and so predicted to follow similar trends for other proteins. The concentration of glycine added is proportional t</w:t>
      </w:r>
      <w:r w:rsidR="00527278">
        <w:t>o the degree of counteraction (</w:t>
      </w:r>
      <w:r>
        <w:t xml:space="preserve">proximity to additivity is discussed in the following section </w:t>
      </w:r>
      <w:r>
        <w:fldChar w:fldCharType="begin"/>
      </w:r>
      <w:r>
        <w:instrText xml:space="preserve"> REF _Ref463874881 \r \h </w:instrText>
      </w:r>
      <w:r>
        <w:fldChar w:fldCharType="separate"/>
      </w:r>
      <w:r w:rsidR="00AA6926">
        <w:t>4.3.2</w:t>
      </w:r>
      <w:r>
        <w:fldChar w:fldCharType="end"/>
      </w:r>
      <w:r w:rsidR="00527278">
        <w:t>)</w:t>
      </w:r>
      <w:r>
        <w:t xml:space="preserve">. Low concentrations of GdnHCl (&lt; 100 mM), which should be capable of increasing solubility and suppressing aggregation </w:t>
      </w:r>
      <w:r>
        <w:fldChar w:fldCharType="begin" w:fldLock="1"/>
      </w:r>
      <w:r>
        <w:instrText>ADDIN CSL_CITATION { "citationItems" : [ { "id" : "ITEM-1", "itemData" : { "DOI" : "10.1016/j.bbrc.2003.11.055", "ISSN" : "0006291X", "author" : [ { "dropping-particle" : "", "family" : "Tsumoto", "given" : "K", "non-dropping-particle" : "", "parse-names" : false, "suffix" : "" }, { "dropping-particle" : "", "family" : "Umetsu", "given" : "M", "non-dropping-particle" : "", "parse-names" : false, "suffix" : "" }, { "dropping-particle" : "", "family" : "Kumagai", "given" : "I", "non-dropping-particle" : "", "parse-names" : false, "suffix" : "" }, { "dropping-particle" : "", "family" : "Ejima", "given" : "D", "non-dropping-particle" : "", "parse-names" : false, "suffix" : "" }, { "dropping-particle" : "", "family" : "Arakawa", "given" : "T", "non-dropping-particle" : "", "parse-names" : false, "suffix" : "" } ], "container-title" : "Biochemical and Biophysical Research Communications", "id" : "ITEM-1", "issued" : { "date-parts" : [ [ "2003", "12" ] ] }, "page" : "1383-1386", "title" : "Solubilization of active green fluorescent protein from insoluble particles by guanidine and arginine", "type" : "article-journal", "volume" : "312" }, "uris" : [ "http://www.mendeley.com/documents/?uuid=d95a9241-52c9-41dd-8136-27f5183fb333" ] } ], "mendeley" : { "formattedCitation" : "(Tsumoto et al. 2003)", "plainTextFormattedCitation" : "(Tsumoto et al. 2003)", "previouslyFormattedCitation" : "(Tsumoto et al. 2003)" }, "properties" : { "noteIndex" : 0 }, "schema" : "https://github.com/citation-style-language/schema/raw/master/csl-citation.json" }</w:instrText>
      </w:r>
      <w:r>
        <w:fldChar w:fldCharType="separate"/>
      </w:r>
      <w:r w:rsidRPr="00781871">
        <w:rPr>
          <w:noProof/>
        </w:rPr>
        <w:t>(Tsumoto et al. 2003)</w:t>
      </w:r>
      <w:r>
        <w:fldChar w:fldCharType="end"/>
      </w:r>
      <w:r>
        <w:t>, when mixed with any concentration of glycine still result</w:t>
      </w:r>
      <w:r w:rsidR="00527278">
        <w:t>s</w:t>
      </w:r>
      <w:r>
        <w:t xml:space="preserve"> in protein stabilisation. This means that these specific mixtures may present potential excipient candidates if they are also shown to have similar positive effects on solubility. It also gives an element of choice in terms of the degree of stabilisation and potentially solubilisation required for a particular protein in certain conditions, creating a ‘bespoke excipient’.</w:t>
      </w:r>
    </w:p>
    <w:p w14:paraId="5657BDF9" w14:textId="77777777" w:rsidR="00C56CFB" w:rsidRPr="00F12905" w:rsidRDefault="00C56CFB" w:rsidP="00C56CFB">
      <w:r>
        <w:t xml:space="preserve">By plotting the data from </w:t>
      </w:r>
      <w:r>
        <w:fldChar w:fldCharType="begin"/>
      </w:r>
      <w:r>
        <w:instrText xml:space="preserve"> REF _Ref463443984 \h </w:instrText>
      </w:r>
      <w:r>
        <w:fldChar w:fldCharType="separate"/>
      </w:r>
      <w:r w:rsidR="00AA6926">
        <w:t xml:space="preserve">Figure </w:t>
      </w:r>
      <w:r w:rsidR="00AA6926">
        <w:rPr>
          <w:noProof/>
        </w:rPr>
        <w:t>4</w:t>
      </w:r>
      <w:r w:rsidR="00AA6926">
        <w:noBreakHyphen/>
      </w:r>
      <w:r w:rsidR="00AA6926">
        <w:rPr>
          <w:noProof/>
        </w:rPr>
        <w:t>2</w:t>
      </w:r>
      <w:r>
        <w:fldChar w:fldCharType="end"/>
      </w:r>
      <w:r>
        <w:t xml:space="preserve"> with glycine and GdnHCl switched (GdnHCl concentrations as separate plots, glycine concentration on x axis), it is possible to see more clearly the effects of varying the concentrations of GdnHCl in the Gly-Gdn mixture on the changes in melting temperature of BSA and lysozyme (</w:t>
      </w:r>
      <w:r>
        <w:fldChar w:fldCharType="begin"/>
      </w:r>
      <w:r>
        <w:instrText xml:space="preserve"> REF _Ref463447221 \h </w:instrText>
      </w:r>
      <w:r>
        <w:fldChar w:fldCharType="separate"/>
      </w:r>
      <w:r w:rsidR="00AA6926">
        <w:t xml:space="preserve">Figure </w:t>
      </w:r>
      <w:r w:rsidR="00AA6926">
        <w:rPr>
          <w:noProof/>
        </w:rPr>
        <w:t>4</w:t>
      </w:r>
      <w:r w:rsidR="00AA6926">
        <w:noBreakHyphen/>
      </w:r>
      <w:r w:rsidR="00AA6926">
        <w:rPr>
          <w:noProof/>
        </w:rPr>
        <w:t>3</w:t>
      </w:r>
      <w:r>
        <w:fldChar w:fldCharType="end"/>
      </w:r>
      <w:r>
        <w:t>). It is clear that at low GdnHCl concentrations the stability trends are most similar to glycine in that they result in stabilisation. Only 500 mM GdnHCl results in destabilisation at all glycine concentrations of both BSA and lysozyme. Interestingly 5 mM and 25 mM GdnHCl when paired with all concentrations of glycine are very slightly more stabilising than the glycine alone of the same concentration for both BSA and lysozyme, despite the fact that these two GdnHCl concentrations without glycine have very little effect on protein stability (</w:t>
      </w:r>
      <w:r>
        <w:fldChar w:fldCharType="begin"/>
      </w:r>
      <w:r>
        <w:instrText xml:space="preserve"> REF _Ref463447221 \h </w:instrText>
      </w:r>
      <w:r>
        <w:fldChar w:fldCharType="separate"/>
      </w:r>
      <w:r w:rsidR="00AA6926">
        <w:t xml:space="preserve">Figure </w:t>
      </w:r>
      <w:r w:rsidR="00AA6926">
        <w:rPr>
          <w:noProof/>
        </w:rPr>
        <w:t>4</w:t>
      </w:r>
      <w:r w:rsidR="00AA6926">
        <w:noBreakHyphen/>
      </w:r>
      <w:r w:rsidR="00AA6926">
        <w:rPr>
          <w:noProof/>
        </w:rPr>
        <w:t>3</w:t>
      </w:r>
      <w:r>
        <w:fldChar w:fldCharType="end"/>
      </w:r>
      <w:r>
        <w:t xml:space="preserve"> blue triangles and green squares compared to red circles). It therefore follows that Gly-Gdn mixtures with 5-25 mM GdnHCl could be better stabilising excipient candidates than glycine alone. Their utility would be even greater if they are also shown to improve solubility simultaneously. </w:t>
      </w:r>
    </w:p>
    <w:p w14:paraId="7F1FE92D" w14:textId="77777777" w:rsidR="00C56CFB" w:rsidRDefault="00C56CFB" w:rsidP="00C56CFB">
      <w:pPr>
        <w:keepNext/>
        <w:framePr w:w="9078" w:h="13853" w:hRule="exact" w:hSpace="180" w:wrap="around" w:vAnchor="text" w:hAnchor="text" w:x="1" w:y="267"/>
      </w:pPr>
      <w:r>
        <w:object w:dxaOrig="11145" w:dyaOrig="14371" w14:anchorId="68037835">
          <v:shape id="_x0000_i1047" type="#_x0000_t75" style="width:465pt;height:598.5pt" o:ole="">
            <v:imagedata r:id="rId62" o:title=""/>
          </v:shape>
          <o:OLEObject Type="Embed" ProgID="SigmaPlotGraphicObject.12" ShapeID="_x0000_i1047" DrawAspect="Content" ObjectID="_1559454701" r:id="rId63"/>
        </w:object>
      </w:r>
    </w:p>
    <w:p w14:paraId="06414D86" w14:textId="77777777" w:rsidR="00C56CFB" w:rsidRDefault="00C56CFB" w:rsidP="00C56CFB">
      <w:pPr>
        <w:pStyle w:val="Caption"/>
        <w:framePr w:w="9078" w:h="13853" w:hRule="exact" w:hSpace="180" w:wrap="around" w:vAnchor="text" w:hAnchor="text" w:x="1" w:y="267"/>
        <w:jc w:val="left"/>
      </w:pPr>
      <w:bookmarkStart w:id="208" w:name="_Ref463447221"/>
      <w:bookmarkStart w:id="209" w:name="_Toc482633186"/>
      <w:r>
        <w:t xml:space="preserve">Figure </w:t>
      </w:r>
      <w:fldSimple w:instr=" STYLEREF 1 \s ">
        <w:r w:rsidR="00AA6926">
          <w:rPr>
            <w:noProof/>
          </w:rPr>
          <w:t>4</w:t>
        </w:r>
      </w:fldSimple>
      <w:r w:rsidR="00BA082C">
        <w:noBreakHyphen/>
      </w:r>
      <w:fldSimple w:instr=" SEQ Figure \* ARABIC \s 1 ">
        <w:r w:rsidR="00AA6926">
          <w:rPr>
            <w:noProof/>
          </w:rPr>
          <w:t>3</w:t>
        </w:r>
      </w:fldSimple>
      <w:bookmarkEnd w:id="208"/>
      <w:r>
        <w:t xml:space="preserve">. </w:t>
      </w:r>
      <w:r w:rsidRPr="00E962EE">
        <w:t>Effect of addition of various concentrations of GdnHCl (see legend) to various concentrations of glycine on the melting temperature of 1 g/L BSA pH 7 (top panel) and 1 g/L lysozyme pH 7 (bottom panel). 0 mM GdnHCl plot (only glycine) is taken from Chap</w:t>
      </w:r>
      <w:r>
        <w:t>ter 3</w:t>
      </w:r>
      <w:bookmarkEnd w:id="209"/>
    </w:p>
    <w:p w14:paraId="1247CFFF" w14:textId="77777777" w:rsidR="00C56CFB" w:rsidRPr="00C57F31" w:rsidRDefault="00C56CFB" w:rsidP="00C56CFB">
      <w:r>
        <w:t xml:space="preserve">Although 2:1 urea-methylamine results in counteraction </w:t>
      </w:r>
      <w:r>
        <w:fldChar w:fldCharType="begin" w:fldLock="1"/>
      </w:r>
      <w:r>
        <w:instrText>ADDIN CSL_CITATION { "citationItems" : [ { "id" : "ITEM-1", "itemData" : { "DOI" : "10.1002/jez.1402120207", "ISBN" : "0022-104X", "ISSN" : "0022-104X", "author" : [ { "dropping-particle" : "", "family" : "Yancey", "given" : "P H", "non-dropping-particle" : "", "parse-names" : false, "suffix" : "" }, { "dropping-particle" : "", "family" : "Somero", "given" : "G N", "non-dropping-particle" : "", "parse-names" : false, "suffix" : "" } ], "container-title" : "Journal of Experimental Biology", "id" : "ITEM-1", "issued" : { "date-parts" : [ [ "1980" ] ] }, "page" : "205-213", "title" : "Methylamine osmoregulatory solutes of elasmobranch fishes counteract urea inhibition of enzymes", "type" : "article-journal", "volume" : "212" }, "uris" : [ "http://www.mendeley.com/documents/?uuid=557c0ed4-06a2-40f4-bad3-bc899a1584b3" ] } ], "mendeley" : { "formattedCitation" : "(Yancey &amp; Somero 1980)", "plainTextFormattedCitation" : "(Yancey &amp; Somero 1980)", "previouslyFormattedCitation" : "(Yancey &amp; Somero 1980)" }, "properties" : { "noteIndex" : 0 }, "schema" : "https://github.com/citation-style-language/schema/raw/master/csl-citation.json" }</w:instrText>
      </w:r>
      <w:r>
        <w:fldChar w:fldCharType="separate"/>
      </w:r>
      <w:r w:rsidRPr="007A282E">
        <w:rPr>
          <w:noProof/>
        </w:rPr>
        <w:t>(Yancey &amp; Somero 1980)</w:t>
      </w:r>
      <w:r>
        <w:fldChar w:fldCharType="end"/>
      </w:r>
      <w:r>
        <w:t>, that is not necessarily the case for 1:2 glycine-</w:t>
      </w:r>
      <w:r w:rsidR="00527278">
        <w:t>GdnHCl</w:t>
      </w:r>
      <w:r>
        <w:t xml:space="preserve">. In the case of lysozyme the changes in melting temperature in the presence of 50:100 mM and 25:50 mM Gly-Gdn are very close to zero, similar to what would be expected for urea-methylamine. However, this is not the case for the same mixtures with BSA, and there are also many other concentration combinations for lysozyme that are as close to zero. Also 250:500 mM Gly-Gdn mixtures are destabilising by 3-4 °C for both proteins. This is not unexpected as urea-methylamine mixtures have evolved in certain organisms as an osmolyte strategy, whereas </w:t>
      </w:r>
      <w:r w:rsidR="00527278">
        <w:t>Gly-Gdn</w:t>
      </w:r>
      <w:r>
        <w:t xml:space="preserve"> mixtures have not been subjected to the same evolutionary pressure </w:t>
      </w:r>
      <w:r>
        <w:fldChar w:fldCharType="begin" w:fldLock="1"/>
      </w:r>
      <w:r w:rsidR="0064368A">
        <w:instrText>ADDIN CSL_CITATION { "citationItems" : [ { "id" : "ITEM-1", "itemData" : { "author" : [ { "dropping-particle" : "", "family" : "Yancey", "given" : "P H", "non-dropping-particle" : "", "parse-names" : false, "suffix" : "" }, { "dropping-particle" : "", "family" : "Clark", "given" : "M E", "non-dropping-particle" : "", "parse-names" : false, "suffix" : "" }, { "dropping-particle" : "", "family" : "Hand", "given" : "S C", "non-dropping-particle" : "", "parse-names" : false, "suffix" : "" }, { "dropping-particle" : "", "family" : "Bowlus", "given" : "R D", "non-dropping-particle" : "", "parse-names" : false, "suffix" : "" }, { "dropping-particle" : "", "family" : "Somero", "given" : "G N", "non-dropping-particle" : "", "parse-names" : false, "suffix" : "" } ], "container-title" : "Science", "id" : "ITEM-1", "issued" : { "date-parts" : [ [ "1982" ] ] }, "page" : "1214-1222", "title" : "Living with water stress: Evolution of osmolyte systems", "type" : "article-journal", "volume" : "217" }, "uris" : [ "http://www.mendeley.com/documents/?uuid=5c0ecbac-0ed5-485c-b4bd-8986742136e1" ] } ], "mendeley" : { "formattedCitation" : "(Yancey et al. 1982)", "plainTextFormattedCitation" : "(Yancey et al. 1982)", "previouslyFormattedCitation" : "(Yancey et al. 1982)" }, "properties" : { "noteIndex" : 0 }, "schema" : "https://github.com/citation-style-language/schema/raw/master/csl-citation.json" }</w:instrText>
      </w:r>
      <w:r>
        <w:fldChar w:fldCharType="separate"/>
      </w:r>
      <w:r w:rsidRPr="007A282E">
        <w:rPr>
          <w:noProof/>
        </w:rPr>
        <w:t>(Yancey et al. 1982)</w:t>
      </w:r>
      <w:r>
        <w:fldChar w:fldCharType="end"/>
      </w:r>
    </w:p>
    <w:p w14:paraId="68031398" w14:textId="77777777" w:rsidR="00C56CFB" w:rsidRDefault="00C56CFB" w:rsidP="00C56CFB">
      <w:pPr>
        <w:pStyle w:val="Heading3"/>
      </w:pPr>
      <w:bookmarkStart w:id="210" w:name="_Ref463874881"/>
      <w:bookmarkStart w:id="211" w:name="_Toc485712798"/>
      <w:r>
        <w:t>Equimolar Gly-Gdn mixtures compared to arginine &amp; deviation from additivity</w:t>
      </w:r>
      <w:bookmarkEnd w:id="210"/>
      <w:bookmarkEnd w:id="211"/>
    </w:p>
    <w:p w14:paraId="5913A3A1" w14:textId="77777777" w:rsidR="00C56CFB" w:rsidRDefault="00C56CFB" w:rsidP="00C56CFB">
      <w:r>
        <w:t>The change in melting temperature caused by equimolar Gly-Gdn mixtures of 5 mM, 25 mM, 50 mM, 100 mM and 500 mM was measured for both 1 g/L BSA at pH 7 and 1 g/L lysozyme at pH 7 and compared to the changes in melting temperature of arginine, and the additive sum of glycine and GdnHCl separately, at the same concentrations (</w:t>
      </w:r>
      <w:r>
        <w:fldChar w:fldCharType="begin"/>
      </w:r>
      <w:r>
        <w:instrText xml:space="preserve"> REF _Ref463620414 \h </w:instrText>
      </w:r>
      <w:r>
        <w:fldChar w:fldCharType="separate"/>
      </w:r>
      <w:r w:rsidR="00AA6926">
        <w:t xml:space="preserve">Figure </w:t>
      </w:r>
      <w:r w:rsidR="00AA6926">
        <w:rPr>
          <w:noProof/>
        </w:rPr>
        <w:t>4</w:t>
      </w:r>
      <w:r w:rsidR="00AA6926">
        <w:noBreakHyphen/>
      </w:r>
      <w:r w:rsidR="00AA6926">
        <w:rPr>
          <w:noProof/>
        </w:rPr>
        <w:t>4</w:t>
      </w:r>
      <w:r>
        <w:fldChar w:fldCharType="end"/>
      </w:r>
      <w:r>
        <w:t>). As was shown in the previous chapter, arginine stability trends are very similar to a combination of the glycine stability trends and GdnHCl stability trends added together (</w:t>
      </w:r>
      <w:r>
        <w:fldChar w:fldCharType="begin"/>
      </w:r>
      <w:r>
        <w:instrText xml:space="preserve"> REF _Ref463620414 \h </w:instrText>
      </w:r>
      <w:r>
        <w:fldChar w:fldCharType="separate"/>
      </w:r>
      <w:r w:rsidR="00AA6926">
        <w:t xml:space="preserve">Figure </w:t>
      </w:r>
      <w:r w:rsidR="00AA6926">
        <w:rPr>
          <w:noProof/>
        </w:rPr>
        <w:t>4</w:t>
      </w:r>
      <w:r w:rsidR="00AA6926">
        <w:noBreakHyphen/>
      </w:r>
      <w:r w:rsidR="00AA6926">
        <w:rPr>
          <w:noProof/>
        </w:rPr>
        <w:t>4</w:t>
      </w:r>
      <w:r>
        <w:fldChar w:fldCharType="end"/>
      </w:r>
      <w:r>
        <w:t xml:space="preserve"> red circles &amp; green triangles respectively). </w:t>
      </w:r>
      <w:r w:rsidR="00527278">
        <w:t xml:space="preserve">Equimolar </w:t>
      </w:r>
      <w:r>
        <w:t>Gly-Gdn mixtures have a very similar effect on the thermal stability of BSA in that at low concentrations (&lt;100 mM) it stabilises by approximately 2 °C and destabilises when present at higher concentrations (</w:t>
      </w:r>
      <w:r>
        <w:fldChar w:fldCharType="begin"/>
      </w:r>
      <w:r>
        <w:instrText xml:space="preserve"> REF _Ref463620414 \h </w:instrText>
      </w:r>
      <w:r>
        <w:fldChar w:fldCharType="separate"/>
      </w:r>
      <w:r w:rsidR="00AA6926">
        <w:t xml:space="preserve">Figure </w:t>
      </w:r>
      <w:r w:rsidR="00AA6926">
        <w:rPr>
          <w:noProof/>
        </w:rPr>
        <w:t>4</w:t>
      </w:r>
      <w:r w:rsidR="00AA6926">
        <w:noBreakHyphen/>
      </w:r>
      <w:r w:rsidR="00AA6926">
        <w:rPr>
          <w:noProof/>
        </w:rPr>
        <w:t>4</w:t>
      </w:r>
      <w:r>
        <w:fldChar w:fldCharType="end"/>
      </w:r>
      <w:r>
        <w:t xml:space="preserve"> top panel blue squares). The effects of equimolar Gly-Gdn mixtures on lysozyme also demonstrate a similar trend to arginine in that destabilisation occurs at high concentrations. However, all melting temperatures of lysozyme in equimolar Gly-Gdn mixtures are almost 1 °C higher than the melting temperatures in the same concentration of arginine (</w:t>
      </w:r>
      <w:r>
        <w:fldChar w:fldCharType="begin"/>
      </w:r>
      <w:r>
        <w:instrText xml:space="preserve"> REF _Ref463620414 \h </w:instrText>
      </w:r>
      <w:r>
        <w:fldChar w:fldCharType="separate"/>
      </w:r>
      <w:r w:rsidR="00AA6926">
        <w:t xml:space="preserve">Figure </w:t>
      </w:r>
      <w:r w:rsidR="00AA6926">
        <w:rPr>
          <w:noProof/>
        </w:rPr>
        <w:t>4</w:t>
      </w:r>
      <w:r w:rsidR="00AA6926">
        <w:noBreakHyphen/>
      </w:r>
      <w:r w:rsidR="00AA6926">
        <w:rPr>
          <w:noProof/>
        </w:rPr>
        <w:t>4</w:t>
      </w:r>
      <w:r>
        <w:fldChar w:fldCharType="end"/>
      </w:r>
      <w:r>
        <w:t xml:space="preserve"> bottom panel blue squares).</w:t>
      </w:r>
    </w:p>
    <w:p w14:paraId="61794987" w14:textId="77777777" w:rsidR="00C56CFB" w:rsidRDefault="00DB3655" w:rsidP="00DB3655">
      <w:pPr>
        <w:keepNext/>
        <w:framePr w:w="8746" w:hSpace="180" w:wrap="around" w:vAnchor="text" w:hAnchor="page" w:x="2401" w:y="-374"/>
      </w:pPr>
      <w:r>
        <w:object w:dxaOrig="10471" w:dyaOrig="13560" w14:anchorId="6827864F">
          <v:shape id="_x0000_i1048" type="#_x0000_t75" style="width:403.5pt;height:522.75pt" o:ole="">
            <v:imagedata r:id="rId64" o:title=""/>
          </v:shape>
          <o:OLEObject Type="Embed" ProgID="SigmaPlotGraphicObject.12" ShapeID="_x0000_i1048" DrawAspect="Content" ObjectID="_1559454702" r:id="rId65"/>
        </w:object>
      </w:r>
    </w:p>
    <w:p w14:paraId="0506AB6B" w14:textId="77777777" w:rsidR="00C56CFB" w:rsidRDefault="00C56CFB" w:rsidP="00DB3655">
      <w:pPr>
        <w:pStyle w:val="Caption"/>
        <w:framePr w:w="8746" w:hSpace="180" w:wrap="around" w:vAnchor="text" w:hAnchor="page" w:x="2401" w:y="-374"/>
        <w:jc w:val="left"/>
      </w:pPr>
      <w:bookmarkStart w:id="212" w:name="_Ref463620414"/>
      <w:bookmarkStart w:id="213" w:name="_Toc482633187"/>
      <w:r>
        <w:t xml:space="preserve">Figure </w:t>
      </w:r>
      <w:fldSimple w:instr=" STYLEREF 1 \s ">
        <w:r w:rsidR="00AA6926">
          <w:rPr>
            <w:noProof/>
          </w:rPr>
          <w:t>4</w:t>
        </w:r>
      </w:fldSimple>
      <w:r w:rsidR="00BA082C">
        <w:noBreakHyphen/>
      </w:r>
      <w:fldSimple w:instr=" SEQ Figure \* ARABIC \s 1 ">
        <w:r w:rsidR="00AA6926">
          <w:rPr>
            <w:noProof/>
          </w:rPr>
          <w:t>4</w:t>
        </w:r>
      </w:fldSimple>
      <w:bookmarkEnd w:id="212"/>
      <w:r>
        <w:t xml:space="preserve">. </w:t>
      </w:r>
      <w:r w:rsidRPr="008666E0">
        <w:t>Changes in melting temperature of 1 g/L BSA pH 7 (top panel), and 1 g/L Lysozyme pH7 in the presence of Gly-Gdn equimolar mixtures (blue squares) compared to arginine (red circles) and the sum of glycine and GdnHCl separately (green triangles). Arginin</w:t>
      </w:r>
      <w:r>
        <w:t>e and Gly+GdnHCl data sets are taken from Chapter 3. Dotted line shows no change in melting temperature to guide the eye</w:t>
      </w:r>
      <w:bookmarkEnd w:id="213"/>
    </w:p>
    <w:p w14:paraId="6BEAE682" w14:textId="77777777" w:rsidR="00C56CFB" w:rsidRDefault="00C56CFB" w:rsidP="00C56CFB">
      <w:r>
        <w:t xml:space="preserve">This would indicate that the mixtures of glycine and GdnHCl are acting on protein stability via similar mechanisms to those observed when they are separate in solution, or those seen for arginine. This is especially true with BSA as the trends appear to be very close to additivity. Therefore glycine is likely weakly and nonspecifically interacting with polar groups and the peptide backbone at low concentrations and acting via the competition for water mechanism at high concentrations. GdnHCl is likely being pushed onto apolar parts of the protein due to it being weakly hydrated and water-water interactions being stronger than </w:t>
      </w:r>
      <w:r w:rsidR="007965D2">
        <w:t>GdnHCl</w:t>
      </w:r>
      <w:r>
        <w:t xml:space="preserve">-water or water-protein interactions. The Gly-Gdn mixtures’ effects on lysozyme are probably governed by similar mechanisms, as their stability trends are similar to arginine and the sum of glycine and GdnHCl separately. There are plenty of previous studies to suggest that small molecules in mixtures act independently and additively on protein stability including urea with sarcosine </w:t>
      </w:r>
      <w:r>
        <w:fldChar w:fldCharType="begin" w:fldLock="1"/>
      </w:r>
      <w:r>
        <w:instrText>ADDIN CSL_CITATION { "citationItems" : [ { "id" : "ITEM-1", "itemData" : { "DOI" : "10.1110/ps.062610407.to", "author" : [ { "dropping-particle" : "", "family" : "Holthauzen", "given" : "L M F", "non-dropping-particle" : "", "parse-names" : false, "suffix" : "" }, { "dropping-particle" : "", "family" : "Bolen", "given" : "D W", "non-dropping-particle" : "", "parse-names" : false, "suffix" : "" } ], "container-title" : "Protein Science", "id" : "ITEM-1", "issued" : { "date-parts" : [ [ "2007" ] ] }, "page" : "293-298", "title" : "Mixed osmolytes: The degree to which one osmolyte affects the protein stabilizing ability of another", "type" : "article-journal", "volume" : "16" }, "uris" : [ "http://www.mendeley.com/documents/?uuid=840e7504-edb7-4e01-b86f-415d435b9167" ] } ], "mendeley" : { "formattedCitation" : "(Holthauzen &amp; Bolen 2007)", "plainTextFormattedCitation" : "(Holthauzen &amp; Bolen 2007)", "previouslyFormattedCitation" : "(Holthauzen &amp; Bolen 2007)" }, "properties" : { "noteIndex" : 0 }, "schema" : "https://github.com/citation-style-language/schema/raw/master/csl-citation.json" }</w:instrText>
      </w:r>
      <w:r>
        <w:fldChar w:fldCharType="separate"/>
      </w:r>
      <w:r w:rsidRPr="002D751A">
        <w:rPr>
          <w:noProof/>
        </w:rPr>
        <w:t>(Holthauzen &amp; Bolen 2007)</w:t>
      </w:r>
      <w:r>
        <w:fldChar w:fldCharType="end"/>
      </w:r>
      <w:r>
        <w:t xml:space="preserve"> and TMAO </w:t>
      </w:r>
      <w:r>
        <w:fldChar w:fldCharType="begin" w:fldLock="1"/>
      </w:r>
      <w:r>
        <w:instrText>ADDIN CSL_CITATION { "citationItems" : [ { "id" : "ITEM-1", "itemData" : { "DOI" : "10.1110/ps.0372903", "ISBN" : "0961-8368", "ISSN" : "0961-8368", "PMID" : "12824497", "abstract" : "Standard methods for measuring free energy of protein unfolding by chemical denaturation require complete folding at low concentrations of denaturant so that a native baseline can be observed. Alternatively, proteins that are completely unfolded in the absence of denaturant can be folded by addition of the osmolyte trimethylamine N-oxide (TMAO), and the unfolding free energy can then be calculated through analysis of the refolding transition. However, neither chemical denaturation nor osmolyte-induced refolding alone is sufficient to yield accurate thermodynamic unfolding parameters for partly folded proteins, because neither method produces both native and denatured baselines in a single transition. Here we combine urea denaturation and TMAO stabilization as a means to bring about baseline-resolved structural transitions in partly folded proteins. For Barnase and the Notch ankyrin domain, which both show two-state equilibrium unfolding, we found that DeltaG degrees for unfolding depends linearly on TMAO concentration, and that the sensitivity of DeltaG degrees to urea (the m-value) is TMAO independent. This second observation confirms that urea and TMAO exert independent effects on stability over the range of cosolvent concentrations required to bring about baseline-resolved structural transitions. Thermodynamic parameters calculated using a global fit that assumes additive, linear dependence of DeltaG degrees on each cosolvent are similar to those obtained by standard urea-induced unfolding in the absence of TMAO. Finally, we demonstrate the applicability of this method to measurement of the free energy of unfolding of a partly folded protein, a fragment of the full-length Notch ankyrin domain.", "author" : [ { "dropping-particle" : "", "family" : "Mello", "given" : "C C", "non-dropping-particle" : "", "parse-names" : false, "suffix" : "" }, { "dropping-particle" : "", "family" : "Barrick", "given" : "D", "non-dropping-particle" : "", "parse-names" : false, "suffix" : "" } ], "container-title" : "Protein Science", "id" : "ITEM-1", "issued" : { "date-parts" : [ [ "2003" ] ] }, "page" : "1522-1529", "title" : "Measuring the stability of partly folded proteins using TMAO", "type" : "article-journal", "volume" : "12" }, "uris" : [ "http://www.mendeley.com/documents/?uuid=70152990-2712-4fd3-8dc9-415ea064bec3" ] } ], "mendeley" : { "formattedCitation" : "(Mello &amp; Barrick 2003)", "plainTextFormattedCitation" : "(Mello &amp; Barrick 2003)", "previouslyFormattedCitation" : "(Mello &amp; Barrick 2003)" }, "properties" : { "noteIndex" : 0 }, "schema" : "https://github.com/citation-style-language/schema/raw/master/csl-citation.json" }</w:instrText>
      </w:r>
      <w:r>
        <w:fldChar w:fldCharType="separate"/>
      </w:r>
      <w:r w:rsidRPr="002D751A">
        <w:rPr>
          <w:noProof/>
        </w:rPr>
        <w:t>(Mello &amp; Barrick 2003)</w:t>
      </w:r>
      <w:r>
        <w:fldChar w:fldCharType="end"/>
      </w:r>
      <w:r>
        <w:t xml:space="preserve">. Poddar et al. also found that monosaccharide mixtures were additive when compared to monosaccharides separately, although oligosaccharides made of the same monosaccharides were less stable, which is different to the trend seen here as arginine also acts similarly </w:t>
      </w:r>
      <w:r>
        <w:fldChar w:fldCharType="begin" w:fldLock="1"/>
      </w:r>
      <w:r>
        <w:instrText>ADDIN CSL_CITATION { "citationItems" : [ { "id" : "ITEM-1", "itemData" : { "DOI" : "10.1016/j.bpc.2008.09.013", "ISBN" : "1873-4200 (Electronic) 0301-4622 (Linking)", "ISSN" : "03014622", "PMID" : "18835508", "abstract" : "Thermal denaturation curves of ribonuclease-A were measured by monitoring changes in the far-UV circular dichroism (CD) spectra in the presence of different concentrations of six sugars (glucose, fructose, galactose, sucrose, raffinose and stachyose) and mixture of monosaccharide constituents of each oligosaccharide at various pH values in the range of 6.0-2.0. These measurements gave values of Tm (midpoint of denaturation), ??Hm (enthalpy change at Tm), ??Cp (constant-pressure heat capacity change) under a given solvent condition. Using these values of ??Hm, Tm and ??Cp in appropriate thermodynamic relations, thermodynamic parameters at 25????C, namely, ??GD o (Gibbs energy change), ??HD o (enthalpy change), and ??SD o (entropy change) were determined at a given pH and concentration of each sugar (including its mixture of monosaccharide constituents). Our main conclusions are: (i) each sugar stabilizes the protein in terms of Tm and ??GD o, and this stabilization is under enthalpic control, (ii) the protein stabilization by the oligosaccharide is significantly less than that by the equimolar concentration of the constituent monosaccharides, and (iii) the stabilization by monosaccharides in a mixture is fully additive. Furthermore, measurements of the far- and near-UV CD spectra suggested that secondary and tertiary structures of protein in their native and denatured states are not perturbed on the addition of sugars. ?? 2008 Elsevier B.V. All rights reserved.", "author" : [ { "dropping-particle" : "", "family" : "Poddar", "given" : "N K", "non-dropping-particle" : "", "parse-names" : false, "suffix" : "" }, { "dropping-particle" : "", "family" : "Ansari", "given" : "Z A", "non-dropping-particle" : "", "parse-names" : false, "suffix" : "" }, { "dropping-particle" : "", "family" : "Brojen Singh", "given" : "R K", "non-dropping-particle" : "", "parse-names" : false, "suffix" : "" }, { "dropping-particle" : "", "family" : "Moosavi-Movahedi", "given" : "A A", "non-dropping-particle" : "", "parse-names" : false, "suffix" : "" }, { "dropping-particle" : "", "family" : "Ahmad", "given" : "F", "non-dropping-particle" : "", "parse-names" : false, "suffix" : "" } ], "container-title" : "Biophysical Chemistry", "id" : "ITEM-1", "issued" : { "date-parts" : [ [ "2008" ] ] }, "page" : "120-129", "publisher" : "Elsevier B.V.", "title" : "Effect of monomeric and oligomeric sugar osmolytes on deltaGD, the Gibbs energy of stabilization of the protein at different pH values: Is the sum effect of monosaccharide individually additive in a mixture?", "type" : "article-journal", "volume" : "138" }, "uris" : [ "http://www.mendeley.com/documents/?uuid=569eff96-0841-4709-83b9-a2fdcc3f9203" ] } ], "mendeley" : { "formattedCitation" : "(Poddar et al. 2008)", "plainTextFormattedCitation" : "(Poddar et al. 2008)", "previouslyFormattedCitation" : "(Poddar et al. 2008)" }, "properties" : { "noteIndex" : 0 }, "schema" : "https://github.com/citation-style-language/schema/raw/master/csl-citation.json" }</w:instrText>
      </w:r>
      <w:r>
        <w:fldChar w:fldCharType="separate"/>
      </w:r>
      <w:r w:rsidRPr="002D751A">
        <w:rPr>
          <w:noProof/>
        </w:rPr>
        <w:t>(Poddar et al. 2008)</w:t>
      </w:r>
      <w:r>
        <w:fldChar w:fldCharType="end"/>
      </w:r>
      <w:r>
        <w:t>.</w:t>
      </w:r>
    </w:p>
    <w:p w14:paraId="2D9A03BC" w14:textId="77777777" w:rsidR="00C56CFB" w:rsidRDefault="00C56CFB" w:rsidP="00C56CFB">
      <w:r>
        <w:t xml:space="preserve">However, there is obviously a mechanism here specifically in the case of lysozyme causing the mixtures to be more stabilising than expected at all concentrations, that does not occur in the case of BSA. An argument has been made previously to suggest that in the case of mixtures, synergy is the norm rather than the exception as additivity would require the complete absence of any interactions between the two cosolutes, whether directly or indirectly </w:t>
      </w:r>
      <w:r>
        <w:fldChar w:fldCharType="begin" w:fldLock="1"/>
      </w:r>
      <w:r>
        <w:instrText>ADDIN CSL_CITATION { "citationItems" : [ { "id" : "ITEM-1", "itemData" : { "author" : [ { "dropping-particle" : "", "family" : "Rosgen", "given" : "J", "non-dropping-particle" : "", "parse-names" : false, "suffix" : "" } ], "container-title" : "Journal of Physical Chemistry B", "id" : "ITEM-1", "issued" : { "date-parts" : [ [ "2015" ] ] }, "page" : "150-157", "title" : "Synergy in protein-osmolyte mixtures", "type" : "article-journal", "volume" : "119" }, "uris" : [ "http://www.mendeley.com/documents/?uuid=e705f93e-99a6-4d71-9a60-ea0717c6dbda" ] } ], "mendeley" : { "formattedCitation" : "(Rosgen 2015)", "plainTextFormattedCitation" : "(Rosgen 2015)", "previouslyFormattedCitation" : "(Rosgen 2015)" }, "properties" : { "noteIndex" : 0 }, "schema" : "https://github.com/citation-style-language/schema/raw/master/csl-citation.json" }</w:instrText>
      </w:r>
      <w:r>
        <w:fldChar w:fldCharType="separate"/>
      </w:r>
      <w:r w:rsidRPr="00900CEA">
        <w:rPr>
          <w:noProof/>
        </w:rPr>
        <w:t>(Rosgen 2015)</w:t>
      </w:r>
      <w:r>
        <w:fldChar w:fldCharType="end"/>
      </w:r>
      <w:r>
        <w:t xml:space="preserve">. This is represented by ‘cosolute 1-cosolute 2 interactions’ in </w:t>
      </w:r>
      <w:r>
        <w:fldChar w:fldCharType="begin"/>
      </w:r>
      <w:r>
        <w:instrText xml:space="preserve"> REF _Ref463618053 \h </w:instrText>
      </w:r>
      <w:r>
        <w:fldChar w:fldCharType="separate"/>
      </w:r>
      <w:r w:rsidR="00AA6926">
        <w:t xml:space="preserve">Figure </w:t>
      </w:r>
      <w:r w:rsidR="00AA6926">
        <w:rPr>
          <w:noProof/>
        </w:rPr>
        <w:t>4</w:t>
      </w:r>
      <w:r w:rsidR="00AA6926">
        <w:noBreakHyphen/>
      </w:r>
      <w:r w:rsidR="00AA6926">
        <w:rPr>
          <w:noProof/>
        </w:rPr>
        <w:t>1</w:t>
      </w:r>
      <w:r>
        <w:fldChar w:fldCharType="end"/>
      </w:r>
      <w:r>
        <w:t xml:space="preserve">. There are a number of methylamine-urea studies that show synergistic effects on protein stability, resulting in more effective stabilisation than expected </w:t>
      </w:r>
      <w:r>
        <w:fldChar w:fldCharType="begin" w:fldLock="1"/>
      </w:r>
      <w:r>
        <w:instrText>ADDIN CSL_CITATION { "citationItems" : [ { "id" : "ITEM-1", "itemData" : { "DOI" : "10.1016/j.abb.2007.07.004", "ISSN" : "0003-9861", "PMID" : "17697669", "abstract" : "To understand trimethylamine N-oxide (TMAO) attenuation of the denaturating effects of urea or guanidine hydrochloride (GdnHCl), we have determined the apparent transfer free energies (DeltaG(tr)(')) of cyclic dipeptides (CDs) from water to TMAO, urea or GdnHCl, and also the blends of TMAO and denaturants (urea or GdnHCl) at a 1:2 ratio as well as various denaturant concentrations in the presence of 1M TMAO, through the solubility measurements, at 25 degrees C. The CDs investigated in the present study included cyclo(Gly-Gly), cyclo(Ala-Ala) and cyclo(Val-Val). The observed DeltaG(tr)(') values indicate that TMAO can stabilize the CDs while urea or GdnHCl can destabilize the CDs. Furthermore, the DeltaG(tr)(') values of the blends of TMAO with urea or GdnHCl revealed that TMAO strongly counteracted the denaturating effects of urea on CDs in all instances, however, TMAO partially counteracted the perturbing effects of GdnHCl on CDs. TMAO counteraction ability of the deleterious effects of denaturants depended on the denaturant-CDs pair. The experimental results were further used to estimate the transfer free energies (Deltag(tr)(')) of the various functional group contributions from water to TMAO, urea or GdnHCl individually and to the combinations of TMAO and the denaturants in various ratios.", "author" : [ { "dropping-particle" : "", "family" : "Venkatesu", "given" : "P", "non-dropping-particle" : "", "parse-names" : false, "suffix" : "" }, { "dropping-particle" : "", "family" : "Lee", "given" : "M J", "non-dropping-particle" : "", "parse-names" : false, "suffix" : "" }, { "dropping-particle" : "", "family" : "Lin", "given" : "H", "non-dropping-particle" : "", "parse-names" : false, "suffix" : "" } ], "container-title" : "Archives of Biochemistry and Biophysics", "id" : "ITEM-1", "issued" : { "date-parts" : [ [ "2007", "10", "1" ] ] }, "page" : "106-115", "title" : "Trimethylamine N-oxide counteracts the denaturing effects of urea or GdnHCl on protein denatured state", "type" : "article-journal", "volume" : "466" }, "uris" : [ "http://www.mendeley.com/documents/?uuid=1f42e1fc-48d5-4d60-886d-e5897e8dd5f5" ] }, { "id" : "ITEM-2", "itemData" : { "DOI" : "10.1021/jp8113013", "author" : [ { "dropping-particle" : "", "family" : "Venkatesu", "given" : "P", "non-dropping-particle" : "", "parse-names" : false, "suffix" : "" }, { "dropping-particle" : "", "family" : "Lee", "given" : "M J", "non-dropping-particle" : "", "parse-names" : false, "suffix" : "" }, { "dropping-particle" : "", "family" : "Lin", "given" : "H M", "non-dropping-particle" : "", "parse-names" : false, "suffix" : "" } ], "container-title" : "Journal of Physical Chemistry B", "id" : "ITEM-2", "issued" : { "date-parts" : [ [ "2009" ] ] }, "page" : "5327-5338", "title" : "Osmolyte counteracts urea-induced denaturation of a-chymotrypsin", "type" : "article-journal", "volume" : "113" }, "uris" : [ "http://www.mendeley.com/documents/?uuid=d7b014ef-cccc-4287-8891-735d9f03de58" ] } ], "mendeley" : { "formattedCitation" : "(Venkatesu et al. 2007; Venkatesu et al. 2009)", "plainTextFormattedCitation" : "(Venkatesu et al. 2007; Venkatesu et al. 2009)", "previouslyFormattedCitation" : "(Venkatesu et al. 2007; Venkatesu et al. 2009)" }, "properties" : { "noteIndex" : 0 }, "schema" : "https://github.com/citation-style-language/schema/raw/master/csl-citation.json" }</w:instrText>
      </w:r>
      <w:r>
        <w:fldChar w:fldCharType="separate"/>
      </w:r>
      <w:r w:rsidRPr="00BA4789">
        <w:rPr>
          <w:noProof/>
        </w:rPr>
        <w:t>(Venkatesu et al. 2007; Venkatesu et al. 2009)</w:t>
      </w:r>
      <w:r>
        <w:fldChar w:fldCharType="end"/>
      </w:r>
      <w:r>
        <w:t xml:space="preserve">, similar to that seen for lysozyme. As with many stabilising </w:t>
      </w:r>
      <w:r w:rsidR="007965D2">
        <w:t>cosolutes</w:t>
      </w:r>
      <w:r>
        <w:t xml:space="preserve">, methylamines are generally shown to have strong hydration </w:t>
      </w:r>
      <w:r>
        <w:fldChar w:fldCharType="begin" w:fldLock="1"/>
      </w:r>
      <w:r w:rsidR="00E11F61">
        <w:instrText>ADDIN CSL_CITATION { "citationItems" : [ { "id" : "ITEM-1", "itemData" : { "DOI" : "10.1021/jp904001m", "ISSN" : "1520-5207", "PMID" : "19813739", "abstract" : "The influence of urea and trimethylamine-N-oxide (TMAO) on the structure of water and secondary structure of hen egg white lysozyme (HEWL) has been investigated. The hydration of these osmolytes was studied in aqueous solutions by means of FTIR spectra of HDO isotopically diluted in H(2)O. The difference spectra procedure was applied to remove the contribution of bulk water and thus to separate the spectra of solute-affected HDO. The structural-energetic characteristic of these solute-affected water molecules shows that, on average, water affected by TMAO forms stronger H-bonds and is more ordered than pure water. In the case of urea, the H-bonds are very similar to those in pure water. To facilitate the interpretation of the obtained spectral results, calorimetric measurements, DFT calculations, and molecular dynamics (MD) simulations of aqueous osmolyte clusters were performed. All of these results confirmed that the interactions of TMAO with water molecules are much stronger than those of urea with water. Additional ATR FTIR measurements were performed to characterize the influence of the examined osmolytes on the secondary structure of HEW lysozyme. The type of interactions (direct or indirect) was determined, based on the second derivatives of ATR protein spectra record during an increase in the osmolyte concentration. The changes in the amide I band shape caused by urea or TMAO were found to correlate quite well with changes in the water structure around these osmolytes.", "author" : [ { "dropping-particle" : "", "family" : "Panuszko", "given" : "A", "non-dropping-particle" : "", "parse-names" : false, "suffix" : "" }, { "dropping-particle" : "", "family" : "Bru\u017adziak", "given" : "P", "non-dropping-particle" : "", "parse-names" : false, "suffix" : "" }, { "dropping-particle" : "", "family" : "Zielkiewicz", "given" : "J", "non-dropping-particle" : "", "parse-names" : false, "suffix" : "" }, { "dropping-particle" : "", "family" : "Wyrzykowski", "given" : "D", "non-dropping-particle" : "", "parse-names" : false, "suffix" : "" }, { "dropping-particle" : "", "family" : "Stangret", "given" : "J", "non-dropping-particle" : "", "parse-names" : false, "suffix" : "" } ], "container-title" : "Journal of Physical Chemistry B", "id" : "ITEM-1", "issued" : { "date-parts" : [ [ "2009", "11", "5" ] ] }, "page" : "14797-14809", "title" : "Effects of urea and trimethylamine-N-oxide on the properties of water and the secondary structure of hen egg white lysozyme", "type" : "article-journal", "volume" : "113" }, "uris" : [ "http://www.mendeley.com/documents/?uuid=cafed9f2-84ee-48d3-9de6-2d5b6536fd18" ] } ], "mendeley" : { "formattedCitation" : "(Panuszko et al. 2009)", "plainTextFormattedCitation" : "(Panuszko et al. 2009)", "previouslyFormattedCitation" : "(Panuszko et al. 2009)" }, "properties" : { "noteIndex" : 0 }, "schema" : "https://github.com/citation-style-language/schema/raw/master/csl-citation.json" }</w:instrText>
      </w:r>
      <w:r>
        <w:fldChar w:fldCharType="separate"/>
      </w:r>
      <w:r w:rsidRPr="00D43EF0">
        <w:rPr>
          <w:noProof/>
        </w:rPr>
        <w:t>(Panuszko et al. 2009)</w:t>
      </w:r>
      <w:r>
        <w:fldChar w:fldCharType="end"/>
      </w:r>
      <w:r>
        <w:t xml:space="preserve">. Urea has been demonstrated via a number of molecular dynamics simulations to prefer solvation of methylamines over proteins, which would result in a weakening of its destabilising effects as it will participate in less destabilising interactions with the protein if it is ‘locked up’ in methylamine hydration shells </w:t>
      </w:r>
      <w:r>
        <w:fldChar w:fldCharType="begin" w:fldLock="1"/>
      </w:r>
      <w:r w:rsidR="00924827">
        <w:instrText>ADDIN CSL_CITATION { "citationItems" : [ { "id" : "ITEM-1", "itemData" : { "DOI" : "10.1021/ja0685506", "ISBN" : "0002-7863", "ISSN" : "0002-7863", "PMID" : "17373796", "abstract" : "The structural and energetic properties of solutions containing water, urea, and trimethylamine-N-oxide (TMAO) are examined using molecular dynamics simulations. Such systems are of interest mainly because TMAO acts to counter the protein denaturing effect of urea. Even at relatively high concentration, TMAO is found to fit well into the urea-water structure. The underlying solution structure is influenced by TMAO, but these perturbations tend to be modest. The TMAO-water and TMAO-urea interaction energies make an important contribution to the total energy in solutions where counter-denaturing effects are expected. TMAO-water and TMAO-urea hydrogen bonds have the largest hydrogen-bond energies in the system. Additionally, TMAO cannot hydrogen bond with itself, and hence it interacts strongly with water and urea. These observations suggest that the mechanism of TMAO counter denaturation is simply that water and urea prefer to solvate TMAO rather than the protein, hence inhibiting its unfolding.", "author" : [ { "dropping-particle" : "", "family" : "Paul", "given" : "S", "non-dropping-particle" : "", "parse-names" : false, "suffix" : "" }, { "dropping-particle" : "", "family" : "Patey", "given" : "G N", "non-dropping-particle" : "", "parse-names" : false, "suffix" : "" } ], "container-title" : "Journal of the American Chemical Society", "id" : "ITEM-1", "issued" : { "date-parts" : [ [ "2007" ] ] }, "page" : "4476-4482", "title" : "Structure and interaction in aqueous urea-trimethylamine-N-oxide solutions", "type" : "article-journal", "volume" : "129" }, "uris" : [ "http://www.mendeley.com/documents/?uuid=61fdeb02-cfe2-41f2-b51e-191401f585e8" ] }, { "id" : "ITEM-2", "itemData" : { "DOI" : "10.1063/1.4821615", "ISBN" : "1089-7690 (Electronic)\\r0021-9606 (Linking)", "ISSN" : "00219606", "PMID" : "24070312", "abstract" : "Glycine betaine (GB) is one of the most important osmolyte which is known to stabilize proteins as well as counteract the denaturing effect of urea. There have been many studies indicating protein stabilization and counteraction of the effect of urea by GB. However, the exact mechanism of counteraction is still debated and is of important research interest. In this study, distribution functions, hydrogen bonds, and energetics were analysed to understand different interactions between GB and urea, and their solvation properties in presence of each other. The results show that in the GB-urea mixture, GB acted as a stronger osmolyte and urea became a weaker denaturing agent than its individual counterparts. The increase in the solvation of urea and GB in GB-urea mixture and their mutual interactions through hydrogen bonding and coulombic energy resulted in more involvement of GB and urea with solvent as well as with themselves. This might result in the increase of the exclusion of GB from protein surface and decrease in the protein-urea interactions in the mixture. This synergistic behavior might be the prime reason for the counteraction of denaturing effect of urea by GB.", "author" : [ { "dropping-particle" : "", "family" : "Kumar", "given" : "N", "non-dropping-particle" : "", "parse-names" : false, "suffix" : "" }, { "dropping-particle" : "", "family" : "Kishore", "given" : "N", "non-dropping-particle" : "", "parse-names" : false, "suffix" : "" } ], "container-title" : "Journal of Chemical Physics", "id" : "ITEM-2", "issued" : { "date-parts" : [ [ "2013" ] ] }, "page" : "115104", "title" : "Synergistic behavior of glycine betaine-urea mixture: A molecular dynamics study", "type" : "article-journal", "volume" : "139" }, "uris" : [ "http://www.mendeley.com/documents/?uuid=1dbbee11-21e7-48e8-8646-05d90aca1c0a" ] }, { "id" : "ITEM-3", "itemData" : { "author" : [ { "dropping-particle" : "", "family" : "Sarma", "given" : "R", "non-dropping-particle" : "", "parse-names" : false, "suffix" : "" }, { "dropping-particle" : "", "family" : "Paul", "given" : "S", "non-dropping-particle" : "", "parse-names" : false, "suffix" : "" } ], "container-title" : "Journal of Physical Chemistry B", "id" : "ITEM-3", "issued" : { "date-parts" : [ [ "2013" ] ] }, "page" : "5691-5704", "title" : "Exploring the molecular mechanism of trimethylamine-N-oxide\u2019s ability to counteract the protein denaturing effects of urea", "type" : "article-journal", "volume" : "117" }, "uris" : [ "http://www.mendeley.com/documents/?uuid=65d0a1e6-b2b7-4b56-a116-6d3691f13de4" ] } ], "mendeley" : { "formattedCitation" : "(Paul &amp; Patey 2007; Kumar &amp; Kishore 2013; Sarma &amp; Paul 2013)", "plainTextFormattedCitation" : "(Paul &amp; Patey 2007; Kumar &amp; Kishore 2013; Sarma &amp; Paul 2013)", "previouslyFormattedCitation" : "(Paul &amp; Patey 2007; Kumar &amp; Kishore 2013; Sarma &amp; Paul 2013)" }, "properties" : { "noteIndex" : 0 }, "schema" : "https://github.com/citation-style-language/schema/raw/master/csl-citation.json" }</w:instrText>
      </w:r>
      <w:r>
        <w:fldChar w:fldCharType="separate"/>
      </w:r>
      <w:r w:rsidRPr="00D43EF0">
        <w:rPr>
          <w:noProof/>
        </w:rPr>
        <w:t>(Paul &amp; Patey 2007; Kumar &amp; Kishore 2013; Sarma &amp; Paul 2013)</w:t>
      </w:r>
      <w:r>
        <w:fldChar w:fldCharType="end"/>
      </w:r>
      <w:r>
        <w:t xml:space="preserve">.  </w:t>
      </w:r>
    </w:p>
    <w:p w14:paraId="088E1C8A" w14:textId="77777777" w:rsidR="00C56CFB" w:rsidRDefault="00C56CFB" w:rsidP="00C56CFB">
      <w:r>
        <w:t>Glycine is strongly hydrated and GdnHCl is weakly hydrated</w:t>
      </w:r>
      <w:r w:rsidRPr="00D43EF0">
        <w:t xml:space="preserve"> </w:t>
      </w:r>
      <w:r>
        <w:t>as discussed in Chapter 3. This results in a counteraction of two opposing mechanisms resulting in an additive effect on protein stability as is seen for arginine, and is visible from the BSA stability trends in Gly-Gdn mixtures (</w:t>
      </w:r>
      <w:r>
        <w:fldChar w:fldCharType="begin"/>
      </w:r>
      <w:r>
        <w:instrText xml:space="preserve"> REF _Ref463620414 \h </w:instrText>
      </w:r>
      <w:r>
        <w:fldChar w:fldCharType="separate"/>
      </w:r>
      <w:r w:rsidR="00AA6926">
        <w:t xml:space="preserve">Figure </w:t>
      </w:r>
      <w:r w:rsidR="00AA6926">
        <w:rPr>
          <w:noProof/>
        </w:rPr>
        <w:t>4</w:t>
      </w:r>
      <w:r w:rsidR="00AA6926">
        <w:noBreakHyphen/>
      </w:r>
      <w:r w:rsidR="00AA6926">
        <w:rPr>
          <w:noProof/>
        </w:rPr>
        <w:t>4</w:t>
      </w:r>
      <w:r>
        <w:fldChar w:fldCharType="end"/>
      </w:r>
      <w:r>
        <w:t xml:space="preserve"> top panel). GdnHCl is pushed onto hydrophobic parts of the protein due to strong water-water interactions and its weak hydration </w:t>
      </w:r>
      <w:r>
        <w:fldChar w:fldCharType="begin" w:fldLock="1"/>
      </w:r>
      <w:r w:rsidR="00FF6FB8">
        <w:instrText>ADDIN CSL_CITATION { "citationItems" : [ { "id" : "ITEM-1", "itemData" : { "DOI" : "10.1073/pnas.0735920100", "ISBN" : "0027-8424", "ISSN" : "0027-8424", "PMID" : "12684536", "abstract" : "Neutron diffraction experiments were carried out on aqueous solutions containing either guanidinium or thiocyanate ions. The first-order difference method of neutron diffraction and isotopic substitution was applied, and the hydration structures of two of nature's strongest denaturant ions were determined. Each ion is shown to interact weakly with water: Guanidinium has no recognizable hydration shell and is one of the most weakly hydrated cations yet characterized. Hydration of thiocyanate is characterized by a low coordination number involving around one hydrogen-bonded water molecule and approximately two water molecules weakly interacting through \"hydration bonds.\" The weak hydration of these denaturant ions strongly supports suggestions that a major contribution to the denaturant effect is the preferential interaction of the denaturant with the protein surface. By contrast, solute species such as many sugars and related polyols that stabilize proteins are strongly hydrated and are thus preferentially retained in the bulk solvent and excluded from the protein surface.", "author" : [ { "dropping-particle" : "", "family" : "Mason", "given" : "P E", "non-dropping-particle" : "", "parse-names" : false, "suffix" : "" }, { "dropping-particle" : "", "family" : "Neilson", "given" : "G W", "non-dropping-particle" : "", "parse-names" : false, "suffix" : "" }, { "dropping-particle" : "", "family" : "Dempsey", "given" : "C E", "non-dropping-particle" : "", "parse-names" : false, "suffix" : "" }, { "dropping-particle" : "", "family" : "Barnes", "given" : "a C", "non-dropping-particle" : "", "parse-names" : false, "suffix" : "" }, { "dropping-particle" : "", "family" : "Cruickshank", "given" : "J M", "non-dropping-particle" : "", "parse-names" : false, "suffix" : "" } ], "container-title" : "Proceedings of the National Academy of Sciences of the United States of America", "id" : "ITEM-1", "issued" : { "date-parts" : [ [ "2003" ] ] }, "page" : "4557-4561", "title" : "The hydration structure of guanidinium and thiocyanate ions: implications for protein stability in aqueous solution", "type" : "article-journal", "volume" : "100" }, "uris" : [ "http://www.mendeley.com/documents/?uuid=fccb80eb-7117-4ad4-802b-afe82b067ce7" ] }, { "id" : "ITEM-2", "itemData" : { "DOI" : "10.1073/pnas.92.12.5553", "ISSN" : "0027-8424", "PMID" : "7539920", "abstract" : "Aqueous gel sieving chromatography on Sephadex G-10 of the Group IA cations (Li+, Na+, K+, Rb+, Cs+) plus NH4+ as the Cl- salts, in combination with previous results for the halide anions (F-, Cl-, Br-, I-) as the Na+ salts [Washabaugh, M.W. &amp; Collins, K.D. (1986) J. Biol. Chem. 261, 12477-12485], leads to the following conclusions. (i) The small monovalent ions (Li+, Na+, F-) flow through the gel with water molecules attached, whereas the large monovalent ions (K+, Rb+, Cs+, Cl-, Br-, I-) adsorb to the nonpolar surface of the gel, a process requiring partial dehydration of the ion and implying that these ions bind the immediately adjacent water molecules weakly. (ii) The transition from strong to weak hydration occurs at a radius of about 1.78 A for the monovalent anions, compared with a radius of about 1.06 A for the monovalent cations (using ionic radii), indicating that the anions are more strongly hydrated than the cations for a given charge density. (iii) The anions show larger deviations from ideal behavior (an elution position corresponding to the anhydrous molecular weight) than do the cations and dominate the chromatographic behavior of the neutral salts. These results are interpreted to mean that weakly hydrated ions (chaotropes) are \"pushed\" onto weakly hydrated surfaces by strong water-water interactions and that the transition from strong ionic hydration to weak ionic hydration occurs where the strength of ion-water interactions approximately equals the strength of water-water interactions in bulk solution.", "author" : [ { "dropping-particle" : "", "family" : "Collins", "given" : "K D", "non-dropping-particle" : "", "parse-names" : false, "suffix" : "" } ], "container-title" : "Proceedings of the National Academy of Sciences of the United States of America", "id" : "ITEM-2", "issued" : { "date-parts" : [ [ "1995" ] ] }, "page" : "5553-5557", "title" : "Sticky ions in biological systems", "type" : "article-journal", "volume" : "92" }, "uris" : [ "http://www.mendeley.com/documents/?uuid=0946f1f7-9d90-41a6-bccc-8475b46985cb" ] } ], "mendeley" : { "formattedCitation" : "(Mason et al. 2003; Collins 1995)", "plainTextFormattedCitation" : "(Mason et al. 2003; Collins 1995)", "previouslyFormattedCitation" : "(Mason et al. 2003; Collins 1995)" }, "properties" : { "noteIndex" : 0 }, "schema" : "https://github.com/citation-style-language/schema/raw/master/csl-citation.json" }</w:instrText>
      </w:r>
      <w:r>
        <w:fldChar w:fldCharType="separate"/>
      </w:r>
      <w:r w:rsidRPr="000845C3">
        <w:rPr>
          <w:noProof/>
        </w:rPr>
        <w:t>(Mason et al. 2003; Collins 1995)</w:t>
      </w:r>
      <w:r>
        <w:fldChar w:fldCharType="end"/>
      </w:r>
      <w:r>
        <w:t>. It therefore follows that GdnHCl, similar to urea, would prefer to also be pushed onto a glycine molecule rather than interact with water. In the case of BSA, it appears that GdnHCl still prefers to interact with the protein rather than glycine, as the stability trends do not differ from additivity. However, in the case of lysozyme it appears that GdnHCl is potentially interacting with glycine at least slightly preferentially over the protein. This would result in less destabilisation by GdnHCl. This is probably due to the positive net charge of lysozyme, which will at least slightly repel the positively charged GdnHCl, making it slightly more favourable for it to interact with glycine. Therefore the order of interaction preference for GdnHCl is as follows from least preferred to most preferred:</w:t>
      </w:r>
    </w:p>
    <w:p w14:paraId="4EE99A6C" w14:textId="77777777" w:rsidR="00C56CFB" w:rsidRDefault="00C56CFB" w:rsidP="00C56CFB">
      <w:pPr>
        <w:jc w:val="center"/>
        <w:rPr>
          <w:b/>
        </w:rPr>
      </w:pPr>
      <w:r w:rsidRPr="00776AC2">
        <w:rPr>
          <w:b/>
        </w:rPr>
        <w:t>Water</w:t>
      </w:r>
      <w:r>
        <w:rPr>
          <w:b/>
        </w:rPr>
        <w:t xml:space="preserve"> </w:t>
      </w:r>
      <w:r w:rsidRPr="00776AC2">
        <w:rPr>
          <w:b/>
        </w:rPr>
        <w:t>&lt;</w:t>
      </w:r>
      <w:r>
        <w:rPr>
          <w:b/>
        </w:rPr>
        <w:t xml:space="preserve"> Lysozyme &lt; G</w:t>
      </w:r>
      <w:r w:rsidRPr="00776AC2">
        <w:rPr>
          <w:b/>
        </w:rPr>
        <w:t>lycine</w:t>
      </w:r>
      <w:r>
        <w:rPr>
          <w:b/>
        </w:rPr>
        <w:t xml:space="preserve"> </w:t>
      </w:r>
      <w:r w:rsidRPr="00776AC2">
        <w:rPr>
          <w:b/>
        </w:rPr>
        <w:t>&lt;</w:t>
      </w:r>
      <w:r>
        <w:rPr>
          <w:b/>
        </w:rPr>
        <w:t xml:space="preserve"> </w:t>
      </w:r>
      <w:r w:rsidRPr="00776AC2">
        <w:rPr>
          <w:b/>
        </w:rPr>
        <w:t>BSA</w:t>
      </w:r>
    </w:p>
    <w:p w14:paraId="72D5F53A" w14:textId="43EE6530" w:rsidR="00C56CFB" w:rsidRPr="00776AC2" w:rsidRDefault="00C56CFB" w:rsidP="00C56CFB">
      <w:commentRangeStart w:id="214"/>
      <w:r>
        <w:t>The preference of interaction with glycine over lysozyme of course is not apparent until the three molecules are in solution together, whi</w:t>
      </w:r>
      <w:r w:rsidR="007965D2">
        <w:t>ch is why arginine, and glycine+</w:t>
      </w:r>
      <w:r w:rsidR="00341DA1">
        <w:t>GdnHCl trends are similar to those seen</w:t>
      </w:r>
      <w:r>
        <w:t xml:space="preserve"> for lysozyme and BSA in Chapter 3.</w:t>
      </w:r>
      <w:commentRangeEnd w:id="214"/>
      <w:r w:rsidR="00341DA1">
        <w:rPr>
          <w:rStyle w:val="CommentReference"/>
        </w:rPr>
        <w:commentReference w:id="214"/>
      </w:r>
    </w:p>
    <w:p w14:paraId="152DA3AA" w14:textId="77777777" w:rsidR="00C56CFB" w:rsidRDefault="00C56CFB" w:rsidP="00C56CFB">
      <w:r w:rsidRPr="00B94FCF">
        <w:t>The changes in melting temperature expected for a certain concentration of Gly-Gdn mixture if the effects of the two cosolutes are additive can be calculated from the sum of the effects of the two cosolutes separately on the changes in melting temperature of BSA and lysozyme, which have been done in Chapter 3. This value can then be subtracted from the change in melting temperature of the Gly-Gdn mixture at that particular concentration (</w:t>
      </w:r>
      <w:r w:rsidRPr="00B94FCF">
        <w:fldChar w:fldCharType="begin"/>
      </w:r>
      <w:r w:rsidRPr="00B94FCF">
        <w:instrText xml:space="preserve"> REF _Ref463443984 \h </w:instrText>
      </w:r>
      <w:r w:rsidRPr="00B94FCF">
        <w:fldChar w:fldCharType="separate"/>
      </w:r>
      <w:r w:rsidR="00AA6926">
        <w:t xml:space="preserve">Figure </w:t>
      </w:r>
      <w:r w:rsidR="00AA6926">
        <w:rPr>
          <w:noProof/>
        </w:rPr>
        <w:t>4</w:t>
      </w:r>
      <w:r w:rsidR="00AA6926">
        <w:noBreakHyphen/>
      </w:r>
      <w:r w:rsidR="00AA6926">
        <w:rPr>
          <w:noProof/>
        </w:rPr>
        <w:t>2</w:t>
      </w:r>
      <w:r w:rsidRPr="00B94FCF">
        <w:fldChar w:fldCharType="end"/>
      </w:r>
      <w:r w:rsidRPr="00B94FCF">
        <w:t>/</w:t>
      </w:r>
      <w:r w:rsidRPr="00B94FCF">
        <w:fldChar w:fldCharType="begin"/>
      </w:r>
      <w:r w:rsidRPr="00B94FCF">
        <w:instrText xml:space="preserve"> REF _Ref463447221 \h </w:instrText>
      </w:r>
      <w:r w:rsidRPr="00B94FCF">
        <w:fldChar w:fldCharType="separate"/>
      </w:r>
      <w:r w:rsidR="00AA6926">
        <w:t xml:space="preserve">Figure </w:t>
      </w:r>
      <w:r w:rsidR="00AA6926">
        <w:rPr>
          <w:noProof/>
        </w:rPr>
        <w:t>4</w:t>
      </w:r>
      <w:r w:rsidR="00AA6926">
        <w:noBreakHyphen/>
      </w:r>
      <w:r w:rsidR="00AA6926">
        <w:rPr>
          <w:noProof/>
        </w:rPr>
        <w:t>3</w:t>
      </w:r>
      <w:r w:rsidRPr="00B94FCF">
        <w:fldChar w:fldCharType="end"/>
      </w:r>
      <w:r w:rsidRPr="00B94FCF">
        <w:t>) to obtain a value corresponding to the deviation from additivity of that particular mixture concentration in degrees Celsius. This data is plotted for all data points for BSA and lysozyme in</w:t>
      </w:r>
      <w:r w:rsidR="007965D2">
        <w:t xml:space="preserve"> </w:t>
      </w:r>
      <w:r w:rsidR="007965D2">
        <w:fldChar w:fldCharType="begin"/>
      </w:r>
      <w:r w:rsidR="007965D2">
        <w:instrText xml:space="preserve"> REF _Ref465691887 \h </w:instrText>
      </w:r>
      <w:r w:rsidR="007965D2">
        <w:fldChar w:fldCharType="separate"/>
      </w:r>
      <w:r w:rsidR="00AA6926">
        <w:t xml:space="preserve">Figure </w:t>
      </w:r>
      <w:r w:rsidR="00AA6926">
        <w:rPr>
          <w:noProof/>
        </w:rPr>
        <w:t>4</w:t>
      </w:r>
      <w:r w:rsidR="00AA6926">
        <w:noBreakHyphen/>
      </w:r>
      <w:r w:rsidR="00AA6926">
        <w:rPr>
          <w:noProof/>
        </w:rPr>
        <w:t>5</w:t>
      </w:r>
      <w:r w:rsidR="007965D2">
        <w:fldChar w:fldCharType="end"/>
      </w:r>
      <w:r>
        <w:t xml:space="preserve">. In agreement with </w:t>
      </w:r>
      <w:r>
        <w:fldChar w:fldCharType="begin"/>
      </w:r>
      <w:r>
        <w:instrText xml:space="preserve"> REF _Ref463620414 \h </w:instrText>
      </w:r>
      <w:r>
        <w:fldChar w:fldCharType="separate"/>
      </w:r>
      <w:r w:rsidR="00AA6926">
        <w:t xml:space="preserve">Figure </w:t>
      </w:r>
      <w:r w:rsidR="00AA6926">
        <w:rPr>
          <w:noProof/>
        </w:rPr>
        <w:t>4</w:t>
      </w:r>
      <w:r w:rsidR="00AA6926">
        <w:noBreakHyphen/>
      </w:r>
      <w:r w:rsidR="00AA6926">
        <w:rPr>
          <w:noProof/>
        </w:rPr>
        <w:t>4</w:t>
      </w:r>
      <w:r>
        <w:fldChar w:fldCharType="end"/>
      </w:r>
      <w:r>
        <w:t xml:space="preserve">, almost all concentrations of Gly-Gdn mixtures are more stabilising than expected for additivity for lysozyme, therefore further supporting the theory that at least some of the GdnHCl </w:t>
      </w:r>
      <w:r w:rsidR="007965D2">
        <w:t xml:space="preserve">prefers </w:t>
      </w:r>
      <w:r>
        <w:t>to interact with the glycine molecules rather than the lysozyme, resulting in less severe destabilisation. The effects on protein stability that are closer to additivity, or even very slightly less stabilising than expected for additivity, are all in the presence of 500 mM GdnHCl. Due to the high concentration of GdnHCl it is likely that the slight preference for interaction with glycine is not enough to counteract the interaction with lysozyme resulting in destabilisation.</w:t>
      </w:r>
    </w:p>
    <w:p w14:paraId="12EC7253" w14:textId="77777777" w:rsidR="00657474" w:rsidRDefault="00657474" w:rsidP="00657474">
      <w:pPr>
        <w:keepNext/>
        <w:framePr w:w="8938" w:hSpace="180" w:wrap="around" w:vAnchor="text" w:hAnchor="text" w:x="1" w:y="1"/>
      </w:pPr>
      <w:r>
        <w:object w:dxaOrig="10590" w:dyaOrig="13305" w14:anchorId="4F58649B">
          <v:shape id="_x0000_i1049" type="#_x0000_t75" style="width:447pt;height:562.5pt" o:ole="">
            <v:imagedata r:id="rId66" o:title=""/>
          </v:shape>
          <o:OLEObject Type="Embed" ProgID="SigmaPlotGraphicObject.12" ShapeID="_x0000_i1049" DrawAspect="Content" ObjectID="_1559454703" r:id="rId67"/>
        </w:object>
      </w:r>
    </w:p>
    <w:p w14:paraId="13EA8B29" w14:textId="77777777" w:rsidR="00657474" w:rsidRDefault="00657474" w:rsidP="00657474">
      <w:pPr>
        <w:pStyle w:val="Caption"/>
        <w:framePr w:w="8938" w:hSpace="180" w:wrap="around" w:vAnchor="text" w:hAnchor="text" w:x="1" w:y="1"/>
        <w:jc w:val="left"/>
      </w:pPr>
      <w:bookmarkStart w:id="215" w:name="_Ref465691887"/>
      <w:bookmarkStart w:id="216" w:name="_Toc482633188"/>
      <w:r>
        <w:t xml:space="preserve">Figure </w:t>
      </w:r>
      <w:fldSimple w:instr=" STYLEREF 1 \s ">
        <w:r w:rsidR="00AA6926">
          <w:rPr>
            <w:noProof/>
          </w:rPr>
          <w:t>4</w:t>
        </w:r>
      </w:fldSimple>
      <w:r w:rsidR="00BA082C">
        <w:noBreakHyphen/>
      </w:r>
      <w:fldSimple w:instr=" SEQ Figure \* ARABIC \s 1 ">
        <w:r w:rsidR="00AA6926">
          <w:rPr>
            <w:noProof/>
          </w:rPr>
          <w:t>5</w:t>
        </w:r>
      </w:fldSimple>
      <w:bookmarkEnd w:id="215"/>
      <w:r>
        <w:t>. Deviation of the change in melting temperature of 1 g/L BSA pH 7 (top panel), and 1 g/L Lysozyme pH 7 (bottom panel) in Gly-Gdn mixtures from the changes in melting temperature expected for additivity. Additivity is based on the changes in melting temperature of the two proteins in the presence of glycine and GdnHCl separately seen in Chapter 3. Dotted line shows no deviation from additive effects on thermal stability</w:t>
      </w:r>
      <w:bookmarkEnd w:id="216"/>
    </w:p>
    <w:p w14:paraId="27E94F6E" w14:textId="77777777" w:rsidR="00657474" w:rsidRPr="00B94FCF" w:rsidRDefault="00657474" w:rsidP="00C56CFB"/>
    <w:p w14:paraId="3C98F6E5" w14:textId="77777777" w:rsidR="00C56CFB" w:rsidRPr="009B21F7" w:rsidRDefault="00C56CFB" w:rsidP="00C56CFB">
      <w:r w:rsidRPr="006D2B8A">
        <w:t>In the case of BSA 5 mM and 25 mM GdnHCl with all glycine concentrations were more stabilising than expected for additivity, whereas higher concentrations of GdnHCl (50, 100, 500 mM) with most glycine concentrations (with the exception of 25 mM) were more destabilising than expected for additivity (</w:t>
      </w:r>
      <w:r w:rsidR="00657474">
        <w:fldChar w:fldCharType="begin"/>
      </w:r>
      <w:r w:rsidR="00657474">
        <w:instrText xml:space="preserve"> REF _Ref465691887 \h </w:instrText>
      </w:r>
      <w:r w:rsidR="00657474">
        <w:fldChar w:fldCharType="separate"/>
      </w:r>
      <w:r w:rsidR="00AA6926">
        <w:t xml:space="preserve">Figure </w:t>
      </w:r>
      <w:r w:rsidR="00AA6926">
        <w:rPr>
          <w:noProof/>
        </w:rPr>
        <w:t>4</w:t>
      </w:r>
      <w:r w:rsidR="00AA6926">
        <w:noBreakHyphen/>
      </w:r>
      <w:r w:rsidR="00AA6926">
        <w:rPr>
          <w:noProof/>
        </w:rPr>
        <w:t>5</w:t>
      </w:r>
      <w:r w:rsidR="00657474">
        <w:fldChar w:fldCharType="end"/>
      </w:r>
      <w:r w:rsidR="00657474">
        <w:t xml:space="preserve"> </w:t>
      </w:r>
      <w:r w:rsidRPr="006D2B8A">
        <w:t>top panel). It is interesting to note that 50, 100 or 500 mM GdnHCl in combination with most glycine concentrations were more destabilising</w:t>
      </w:r>
      <w:r w:rsidR="007965D2">
        <w:t xml:space="preserve"> to BSA</w:t>
      </w:r>
      <w:r w:rsidRPr="006D2B8A">
        <w:t xml:space="preserve"> than expected for additivity, representing a switch from more stabilising than expected to more destabilising than expected.</w:t>
      </w:r>
      <w:r>
        <w:t xml:space="preserve"> A</w:t>
      </w:r>
      <w:r w:rsidRPr="00394679">
        <w:t xml:space="preserve">lmost all concentrations of Gly-Gdn mixture cause changes in melting temperature within 1 </w:t>
      </w:r>
      <w:r w:rsidRPr="00394679">
        <w:rPr>
          <w:rStyle w:val="company"/>
        </w:rPr>
        <w:t>°C of that expected for additivity for BSA, and so deviations from additivity are all relatively small.</w:t>
      </w:r>
      <w:r>
        <w:rPr>
          <w:rStyle w:val="company"/>
        </w:rPr>
        <w:t xml:space="preserve"> The changes in melting temperature for lysozyme are also fairly close to additivity, but show a much clearer trend in deviation towards synergistic stabilisation.</w:t>
      </w:r>
    </w:p>
    <w:p w14:paraId="5344710D" w14:textId="77777777" w:rsidR="00C56CFB" w:rsidRDefault="00C56CFB" w:rsidP="000A3469">
      <w:pPr>
        <w:pStyle w:val="Heading2"/>
      </w:pPr>
      <w:bookmarkStart w:id="217" w:name="_Toc485712799"/>
      <w:r>
        <w:t>Conclusions</w:t>
      </w:r>
      <w:bookmarkEnd w:id="217"/>
    </w:p>
    <w:p w14:paraId="03B1F2F7" w14:textId="77777777" w:rsidR="00C56CFB" w:rsidRDefault="00C56CFB" w:rsidP="00C56CFB">
      <w:r>
        <w:t xml:space="preserve">Gly-Gdn mixtures are shown to have mostly predictable effects on the stability of both BSA and lysozyme, and very closely follow the trends seen for arginine and for the sum of glycine and GdnHCl separately. Gly-Gdn mixtures have more stabilising effects than predicted for additivity on lysozyme, but not on BSA. This stabilising synergy of Gly-Gdn mixtures has been seen previously for urea-methylamine mixtures, and this can be explained mechanistically </w:t>
      </w:r>
      <w:r w:rsidR="004616B6">
        <w:t>by</w:t>
      </w:r>
      <w:r>
        <w:t xml:space="preserve"> GdnHCl slightly preferring to interact with glycine over both water and lysozyme, due to repulsion by lysozyme’s positive charge. This is not seen for BSA as GdnHCl still prefers to interact with the protein over both water and glycine. Despite this slight deviation from additivity, the concentration of glycine present in the Gly-Gdn mixture still has a proportional stabilising effect on both proteins at all GdnHCl concentrations. Interestingly the presence of 5 mM or 25 mM GdnHCl in a mixture with all glycine concentrations is slightly more stabilising than glycine alone on both proteins, meaning t</w:t>
      </w:r>
      <w:r w:rsidR="004616B6">
        <w:t>his mixture could be a more effective</w:t>
      </w:r>
      <w:r>
        <w:t xml:space="preserve"> stabilising excipient than glycine.</w:t>
      </w:r>
    </w:p>
    <w:p w14:paraId="5CC2AF24" w14:textId="77777777" w:rsidR="00C56CFB" w:rsidRDefault="00C56CFB" w:rsidP="00C56CFB">
      <w:r>
        <w:t>Due to the fact that Gly-Gdn mixtures have predictable, or more stabilising than predicted, effects on protein stability they present a possible candidate for a designer excipient in place of arginine. If the degree of solubilisation and aggregation-prevention are also shown to be predictable for Gly-Gdn mixtures, bespoke ratios of the two molecules can be chosen to increase or decrease both stability and solubility to better fit the requirements for specific formulations.</w:t>
      </w:r>
    </w:p>
    <w:p w14:paraId="33C5E7DF" w14:textId="77777777" w:rsidR="00C56CFB" w:rsidRDefault="00C56CFB" w:rsidP="00C56CFB">
      <w:r>
        <w:br w:type="page"/>
      </w:r>
    </w:p>
    <w:p w14:paraId="4A5D3026" w14:textId="77777777" w:rsidR="00C82B9F" w:rsidRDefault="00C56CFB" w:rsidP="00C82B9F">
      <w:pPr>
        <w:pStyle w:val="Heading1"/>
      </w:pPr>
      <w:bookmarkStart w:id="218" w:name="_Toc485712800"/>
      <w:r>
        <w:t xml:space="preserve">Experimental evidence of </w:t>
      </w:r>
      <w:r w:rsidRPr="00472F27">
        <w:t xml:space="preserve">arginine </w:t>
      </w:r>
      <w:r>
        <w:t>self-association</w:t>
      </w:r>
      <w:r w:rsidRPr="00472F27">
        <w:t xml:space="preserve"> </w:t>
      </w:r>
      <w:r>
        <w:t xml:space="preserve">and elucidation of the mechanisms involved in clustering </w:t>
      </w:r>
      <w:r w:rsidRPr="00472F27">
        <w:t>studied by Nanoparticle Tracking Analysis</w:t>
      </w:r>
      <w:bookmarkEnd w:id="218"/>
    </w:p>
    <w:p w14:paraId="740D0F59" w14:textId="77777777" w:rsidR="00C82B9F" w:rsidRDefault="00C82B9F" w:rsidP="00C82B9F">
      <w:pPr>
        <w:rPr>
          <w:rFonts w:cstheme="majorBidi"/>
          <w:sz w:val="40"/>
          <w:szCs w:val="28"/>
        </w:rPr>
      </w:pPr>
      <w:r>
        <w:br w:type="page"/>
      </w:r>
    </w:p>
    <w:p w14:paraId="3412B89A" w14:textId="77777777" w:rsidR="00C56CFB" w:rsidRDefault="00C56CFB" w:rsidP="000A3469">
      <w:pPr>
        <w:pStyle w:val="Heading2"/>
      </w:pPr>
      <w:bookmarkStart w:id="219" w:name="_Toc485712801"/>
      <w:r>
        <w:t>Introduction</w:t>
      </w:r>
      <w:bookmarkEnd w:id="219"/>
    </w:p>
    <w:p w14:paraId="4D40BBBE" w14:textId="77777777" w:rsidR="00C56CFB" w:rsidRDefault="00C56CFB" w:rsidP="00C56CFB">
      <w:r>
        <w:t xml:space="preserve">Arginine’s popularity as an excipient stems from the fact that it is consistently able to suppress aggregation of aggregation-prone proteins, and facilitate refolding of inclusion bodies, similarly to guanidine hydrochloride (GdnHCl), but without the strong denaturing effects </w:t>
      </w:r>
      <w:r>
        <w:fldChar w:fldCharType="begin" w:fldLock="1"/>
      </w:r>
      <w:r w:rsidR="00924827">
        <w:instrText>ADDIN CSL_CITATION { "citationItems" : [ { "id" : "ITEM-1", "itemData" : { "DOI" : "10.1016/j.bpc.2006.12.007", "ISSN" : "0301-4622", "PMID" : "17257734", "abstract" : "Arginine has been used to suppress protein aggregation and protein-protein or protein-surface interactions during protein refolding and purification. While its biotechnology applications are gradually expanding, the mechanism of these effects of arginine has not been fully elucidated. Arginine is more effective at higher concentrations, an indication of weak interactions with the proteins. The effects of weakly interacting additives, such as arginine, on protein solubility, stability and aggregation have been explained from three different approaches: i.e., (1) the effects of additives on the structure of water, (2) the interactions of additives with the amino acid side chains and peptide bonds and (3) the preferential interactions of additives with the proteins. Here we have examined these properties of arginine and compared with those of other additives, e.g., guanidine hydrochloride (GdnHCl) and certain amino acids and amines. GdnHCl is a strong salting-in agent and denatures proteins, while betaine is a protein stabilizer. Several amino acids and amine compounds, including betaine, which stabilize the proteins, are strongly excluded; i.e., the proteins are preferentially hydrated in these solutions. On the other hand, GdnHCl preferentially binds to the proteins. Arginine is intermediate between these two extreme cases and shows a more complicated pattern of interactions with the proteins. The effects of additives on water structure, e.g., the surface tension of aqueous solution of the additives and the solubility of amino acids in the presence of additives also shed light on the mechanism of the effects of the additives on protein aggregation. While arginine increases the surface tension of water, it favorably interacts with most amino acid side chains and the peptide bonds, a property shared with GdnHCl. Thus, we propose that while arginine is similar to GdnHCl in the amino acid level, arginine interacts with the proteins differently from GdnHCl.", "author" : [ { "dropping-particle" : "", "family" : "Arakawa", "given" : "T", "non-dropping-particle" : "", "parse-names" : false, "suffix" : "" }, { "dropping-particle" : "", "family" : "Ejima", "given" : "D", "non-dropping-particle" : "", "parse-names" : false, "suffix" : "" }, { "dropping-particle" : "", "family" : "Tsumoto", "given" : "K", "non-dropping-particle" : "", "parse-names" : false, "suffix" : "" }, { "dropping-particle" : "", "family" : "Obeyama", "given" : "N", "non-dropping-particle" : "", "parse-names" : false, "suffix" : "" }, { "dropping-particle" : "", "family" : "Tanaka", "given" : "Y", "non-dropping-particle" : "", "parse-names" : false, "suffix" : "" }, { "dropping-particle" : "", "family" : "Kita", "given" : "Y", "non-dropping-particle" : "", "parse-names" : false, "suffix" : "" }, { "dropping-particle" : "", "family" : "Timasheff", "given" : "S N", "non-dropping-particle" : "", "parse-names" : false, "suffix" : "" } ], "container-title" : "Biophysical Chemistry", "id" : "ITEM-1", "issued" : { "date-parts" : [ [ "2007", "4" ] ] }, "note" : "Review talking about how arginine suppresses aggregation of proteins by separating out surface tension effects, amino acid solubility in arginine solutions and preferential interaction parameters.", "page" : "1-8", "title" : "Suppression of protein interactions by arginine: A proposed mechanism of the arginine effects", "type" : "article-journal", "volume" : "127" }, "uris" : [ "http://www.mendeley.com/documents/?uuid=ffbe080e-828f-4a45-8644-aa9950c99e46" ] }, { "id" : "ITEM-2", "itemData" : { "DOI" : "10.1016/j.pep.2005.03.028", "ISSN" : "1046-5928", "PMID" : "15893471", "abstract" : "Arginine is a useful solvent additive for many applications, including refolding and solubilization of proteins from insoluble pellets, and suppression of protein aggregation and non-specific adsorption during formulation and purification. However, there is a concern that arginine may be a protein-denaturant, which may limit the expansion of its applications. Such concern arises from the facts that arginine decreases melting temperature and perturbs the spectroscopic properties of certain proteins and contains a guanidinium group, which is a critical chemical structure for denaturing activity of guanidine hydrochloride. Here, we show that although arginine does lower the melting temperatures of certain proteins, the extent is insufficient to cause denaturation of proteins at or below room temperature. The proteins described here show enzymatic activity and folded structure in the presence of arginine, although the local structure around aromatic amino acids is perturbed by arginine. Arginine differs from guandinine hydrochloride in the mode of interactions with proteins, which may be a primary reason why arginine is not a protein-denaturant.", "author" : [ { "dropping-particle" : "", "family" : "Ishibashi", "given" : "M", "non-dropping-particle" : "", "parse-names" : false, "suffix" : "" }, { "dropping-particle" : "", "family" : "Tsumoto", "given" : "K", "non-dropping-particle" : "", "parse-names" : false, "suffix" : "" }, { "dropping-particle" : "", "family" : "Tokunaga", "given" : "M", "non-dropping-particle" : "", "parse-names" : false, "suffix" : "" }, { "dropping-particle" : "", "family" : "Ejima", "given" : "D", "non-dropping-particle" : "", "parse-names" : false, "suffix" : "" }, { "dropping-particle" : "", "family" : "Kita", "given" : "Y", "non-dropping-particle" : "", "parse-names" : false, "suffix" : "" }, { "dropping-particle" : "", "family" : "Arakawa", "given" : "T", "non-dropping-particle" : "", "parse-names" : false, "suffix" : "" } ], "container-title" : "Protein Expression &amp; Purification", "id" : "ITEM-2", "issued" : { "date-parts" : [ [ "2005", "7" ] ] }, "page" : "1-6", "title" : "Is arginine a protein-denaturant?", "type" : "article-journal", "volume" : "42" }, "uris" : [ "http://www.mendeley.com/documents/?uuid=4f7780e5-385c-4f63-97dc-cb62626ee94e" ] }, { "id" : "ITEM-3", "itemData" : { "DOI" : "10.1002/btpr.563", "ISBN" : "8756-7938", "ISSN" : "87567938", "PMID" : "21360837", "abstract" : "Arginine is one of the commonly used additives to enhance refolding yield of proteins, to suppress aggregation of proteins, and to increase solubility of proteins, and yet the molecular interactions that contribute to the role of arginine are unclear. Here, we present experiments, using bovine serum albumin (BSA), lysozyme (LYZ), and \u03b2-lactoglobulin (BLG) as model proteins, to show that arginine can enhance heat-induced aggregation of concentrated protein solutions, contrary to the conventional belief that arginine is a universal suppressor of aggregation. Results show that the enhancement in aggregation is caused only for BSA and BLG, but not for LYZ, indicating that arginine's preferential interactions with certain residues over others could determine the effect of the additive on aggregation. We use this previously unrecognized behavior of arginine, in combination with density functional theory calculations, to identify the molecular-level interactions of arginine with various residues that determine arginine's role as an enhancer or suppressor of aggregation of proteins. The experimental and computational results suggest that the guanidinium group of arginine promotes aggregation through the hydrogen-bond-based bridging interactions with the acidic residues of a protein, whereas the binding of the guanidinium group to aromatic residues (aggregation-prone) contributes to the stability and solubilization of the proteins. The approach, we describe here, can be used to select suitable additives to stabilize a protein solution at high concentrations based on an analysis of the amino acid content of the protein.", "author" : [ { "dropping-particle" : "", "family" : "Shah", "given" : "D", "non-dropping-particle" : "", "parse-names" : false, "suffix" : "" }, { "dropping-particle" : "", "family" : "Shaikh", "given" : "A R", "non-dropping-particle" : "", "parse-names" : false, "suffix" : "" }, { "dropping-particle" : "", "family" : "Peng", "given" : "X", "non-dropping-particle" : "", "parse-names" : false, "suffix" : "" }, { "dropping-particle" : "", "family" : "Rajagopalan", "given" : "R", "non-dropping-particle" : "", "parse-names" : false, "suffix" : "" } ], "container-title" : "Biotechnology Progress", "id" : "ITEM-3", "issued" : { "date-parts" : [ [ "2011" ] ] }, "page" : "513-520", "title" : "Effects of arginine on heat-induced aggregation of concentrated protein solutions", "type" : "article-journal", "volume" : "27" }, "uris" : [ "http://www.mendeley.com/documents/?uuid=b8dbdd7a-9c06-4434-beea-9c014ce81066" ] }, { "id" : "ITEM-4", "itemData" : { "DOI" : "10.2174/138920109788488851", "ISBN" : "1389-2010", "ISSN" : "13892010", "PMID" : "19519416", "abstract" : "L-Arginine is one of the most commonly used and most generally applicable suppressors of protein aggregation. Its effect as enhancer of in vitro protein refolding was serendi</w:instrText>
      </w:r>
      <w:r w:rsidR="00924827" w:rsidRPr="00E3274E">
        <w:rPr>
          <w:lang w:val="it-IT"/>
        </w:rPr>
        <w:instrText>pitously discovered two decades ago. This article aims at giving a brief overview about the discovery of the arginine effect, the range of its applications that have been explored over the past two decades, and of the current state of the discussion regarding the mechanisms responsible for the action of L-arginine as suppressor of aggregation.", "author" : [ { "dropping-particle" : "", "family" : "Lange", "given" : "C", "non-dropping-particle" : "", "parse-names" : false, "suffix" : "" }, { "dropping-particle" : "", "family" : "Rudolph", "given" : "R", "non-dropping-particle" : "", "parse-names" : false, "suffix" : "" } ], "container-title" : "Current Pharmaceutical Biotechnology", "id" : "ITEM-4", "issued" : { "date-parts" : [ [ "2009" ] ] }, "page" : "408-414", "title" : "Suppression of protein aggregation by L-arginine", "type" : "article-journal", "volume" : "10" }, "uris" : [ "http://www.mendeley.com/documents/?uuid=d4d46f41-3146-434c-b9cb-09b3d8519bdc" ] } ], "mendeley" : { "formattedCitation" : "(Arakawa, Ejima, et al. 2007; Ishibashi et al. 2005; Shah et al. 2011; Lange &amp; Rudolph 2009)", "plainTextFormattedCitation" : "(Arakawa, Ejima, et al. 2007; Ishibashi et al. 2005; Shah et al. 2011; Lange &amp; Rudolph 2009)", "previouslyFormattedCitation" : "(Arakawa, Ejima, et al. 2007; Ishibashi et al. 2005; Shah et al. 2011; Lange &amp; Rudolph 2009)" }, "properties" : { "noteIndex" : 0 }, "schema" : "https://github.com/citation-style-language/schema/raw/master/csl-citation.json" }</w:instrText>
      </w:r>
      <w:r>
        <w:fldChar w:fldCharType="separate"/>
      </w:r>
      <w:r w:rsidR="0064368A" w:rsidRPr="00E3274E">
        <w:rPr>
          <w:noProof/>
          <w:lang w:val="it-IT"/>
        </w:rPr>
        <w:t>(Arakawa, Ejima, et al. 2007; Ishibashi et al. 2005; Shah et al. 2011; Lange &amp; Rudolph 2009)</w:t>
      </w:r>
      <w:r>
        <w:fldChar w:fldCharType="end"/>
      </w:r>
      <w:r w:rsidRPr="00E3274E">
        <w:rPr>
          <w:lang w:val="it-IT"/>
        </w:rPr>
        <w:t xml:space="preserve">. </w:t>
      </w:r>
      <w:r>
        <w:t xml:space="preserve">Although other experimental data contained in this thesis shows that arginine may destabilise proteins, it is clear that it does not do so to the same extent as GdnHCl, and its positive effects on aggregation are proven within the literature </w:t>
      </w:r>
      <w:r>
        <w:fldChar w:fldCharType="begin" w:fldLock="1"/>
      </w:r>
      <w:r w:rsidR="0080367E">
        <w:instrText>ADDIN CSL_CITATION { "citationItems" : [ { "id" : "ITEM-1", "itemData" : { "DOI" : "10.1021/bi047528r", "ISSN" : "0006-2960", "PMID" : "15779919", "abstract" : "The amino acid arginine is frequently used as a solution additive to stabilize proteins against aggregation, especially in the process of protein refolding. Despite arginine's prevalence, the mechanism by which it stabilizes proteins is not presently understood. We propose that arginine deters aggregation by slowing protein-protein association reactions, with only a small concomitant effect on protein folding. The associated rate effect was observed experimentally in association of globular proteins (insulin and a monoclonal anti-insulin) and in refolding of carbonic anhydrase. We suggest that this effect arises because arginine is preferentially excluded from protein-protein encounter complexes but not from dissociated protein molecules. Such an effect is predicted by our gap effect theory [Baynes and Trout (2004) Biophys. J. 87, 1631] for \"neutral crowder\" additives such as arginine which are significantly larger than water but have only a small effect on the free energies of isolated protein molecules. The effect of arginine on refolding of carbonic anhydrase was also shown to be consistent with this hypothesis.", "author" : [ { "dropping-particle" : "", "family" : "Baynes", "given" : "B M", "non-dropping-particle" : "", "parse-names" : false, "suffix" : "" }, { "dropping-particle" : "", "family" : "Wang", "given" : "D I C", "non-dropping-particle" : "", "parse-names" : false, "suffix" : "" }, { "dropping-particle" : "", "family" : "Trout", "given" : "B L", "non-dropping-particle" : "", "parse-names" : false, "suffix" : "" } ], "container-title" : "Biochemistry", "id" : "ITEM-1", "issued" : { "date-parts" : [ [ "2005", "3", "29" ] ] }, "page" : "4919-25", "title" : "Role of arginine in the stabilization of proteins against aggregation", "type" : "article-journal", "volume" : "44" }, "uris" : [ "http://www.mendeley.com/documents/?uuid=b1b8fb50-9a0b-42d9-9b1d-411fe98e714e" ] }, { "id" : "ITEM-2", "itemData" : { "DOI" : "10.1021/jp108399g", "ISSN" : "1520-5207", "PMID" : "20925358", "abstract" : "Aqueous arginine solutions are used extensively for inhibiting protein aggregation. There are several theories proposed to explain the effect of arginine on protein stability, but the exact mechanism is still not clear. To understand the mechanism of protein cosolvent interaction, the intraprotein, protein-solvent, and intrasolvent interactions have to be understood. Molecular dynamics simulations of aqueous arginine solutions were carried out for experimentally accessible concentrations and temperature ranges to study the structure of the solution and its energetic properties and obtain insight into the mechanism by which arginine inhibits protein aggregation. Simulations of proteins (\u03b1-chymotrypsinogen A and melittin) were performed. Structurally, the most striking feature of the aqueous arginine solutions is the self-association of arginine molecules. Arginine shows a marked tendency to form clusters with head to tail hydrogen bonding. Due to the presence of the three charged groups, there are several possible configurations in which arginine molecules interact. At relatively high concentrations, these arginine clusters associate with other clusters and monomeric arginine molecules to form large clusters. The hydrogen bonds between arginine molecules were found to be stronger than those between arginine and water, which makes the process of self-association enthalpically favorable. From the simulation of the proteins in aqueous arginine solution, arginine is found to interact with the aromatic and charged side chains of surface residues. A probable mechanism of the effect of arginine on protein stability consistent with our findings is proposed. In particular, arginine interacts with aromatic and charged residues due to cation-\u03c0 interaction and salt-bridge formation, respectively, to stabilize the partially unfolded intermediates. The self-interaction of arginine leads to the formation of clusters which, due to their size, crowd out the protein-protein interaction. The mechanisms proposed in the literature are analyzed on the basis of the simulation results reported in this paper and recent experimental data.", "author" : [ { "dropping-particle" : "", "family" : "Shukla", "given" : "D", "non-dropping-particle" : "", "parse-names" : false, "suffix" : "" }, { "dropping-particle" : "", "family" : "Trout", "given" : "B L", "non-dropping-particle" : "", "parse-names" : false, "suffix" : "" } ], "container-title" : "Journal of Physical Chemistry B", "id" : "ITEM-2", "issued" : { "date-parts" : [ [ "2010", "10", "28" ] ] }, "page" : "13426-13438", "title" : "Interaction of arginine with proteins and the mechanism by which it inhibits aggregation", "type" : "article-journal", "volume" : "114" }, "uris" : [ "http://www.mendeley.com/documents/?uuid=dbec9b1d-1c9e-4add-bea5-97fc49a049c2" ] }, { "id" : "ITEM-3", "itemData" : { "DOI" : "10.1021/bp070209h", "ISSN" : "87567938", "PMID" : "17900136", "abstract" : "Prevention of undesirable protein aggregation is an extremely important strategy in protein science, medicine, and biotechnology. Arginine is one of the most widely used low molecular weight solution additives effective in suppressing aggregation, assisting refolding of aggregated proteins, and enhancing the solubility of aggregation-prone unfolded molecules in vitro. However, the mechanism of suppression of protein aggregation by arginine is not well understood. To address the mechanism, two model systems have been investigated: protection of alcohol dehydrogenase (ADH) and insulin from heat- and dithiothreitol-induced aggregation, respectively, in the presence of arginine. Using dynamic light scattering (DLS) technique, we have demonstrated the concentration-dependent suppression of light scattering intensity of both ADH and insulin aggregates upon addition of arginine to the incubation medium, a significant effect being revealed in the physiological concentration range of arginine (1-10 mM). DLS studies showed that arginine shifted the populations of nanoparticles with higher hydrodynamic radii to the lower ones, suggesting that the preventive effect of arginine on the protein aggregation process arises because it suppresses intermolecular interactions among aggregation-prone molecules. The results of turbidity measurements were also shown to be consistent with these findings.", "author" : [ { "dropping-particle" : "", "family" : "Lyutova", "given" : "E M", "non-dropping-particle" : "", "parse-names" : false, "suffix" : "" }, { "dropping-particle" : "", "family" : "Kasakov", "given" : "A S", "non-dropping-particle" : "", "parse-names" : false, "suffix" : "" }, { "dropping-particle" : "", "family" : "Gurvits", "given" : "B Y", "non-dropping-particle" : "", "parse-names" : false, "suffix" : "" } ], "container-title" : "Biotechnology Progress", "id" : "ITEM-3", "issued" : { "date-parts" : [ [ "2007" ] ] }, "page" : "1411-1416", "title" : "Effects of arginine on kinetics of protein aggregation studied by dynamic laser light scattering and tubidimetry techniques", "type" : "article-journal", "volume" : "23" }, "uris" : [ "http://www.mendeley.com/documents/?uuid=da379a8e-4ab0-405b-9b28-fb3d98cd18f9" ] }, { "id" : "ITEM-4", "itemData" : { "DOI" : "10.1155/2012/434289", "ISSN" : "16878000", "PMID" : "22848214", "abstract" : "Static and dynamic light scattering were used to investigate the effects of L-arginine, commonly used to inhibit protein aggregation, on the initial aggregation kinetics of solutions of bovine insulin in 20% acetic acid and 0.1 M NaCl as a model system for amyloidosis. Measurements were made as a function of insulin concentration (0.5-2.0 mM), quench temperature (60-85\u00b0C), and arginine concentration (10-500 mM). Aggregation kinetics under all conditions had a lag phase, whose duration decreased with increasing temperature and with increasing insulin concentration but which increased by up to a factor of 8 with increasing added arginine. Further, the initial growth rate after the lag phase also slowed by up to a factor of about 20 in the presence of increasing concentrations of arginine. From the temperature dependence of the lag phase duration, we find that the nucleation activation energy doubles from 17 \u00b1 5 to 36 \u00b1 3 kcal/mol in the presence of 500 mM arginine.", "author" : [ { "dropping-particle" : "", "family" : "Varughese", "given" : "M M", "non-dropping-particle" : "", "parse-names" : false, "suffix" : "" }, { "dropping-particle" : "", "family" : "Newman", "given" : "J", "non-dropping-particle" : "", "parse-names" : false, "suffix" : "" } ], "container-title" : "Journal of Biophysics", "id" : "ITEM-4", "issued" : { "date-parts" : [ [ "2012" ] ] }, "page" : "e434289", "title" : "Inhibitory effects of arginine on the aggregation of bovine insulin", "type" : "article-journal" }, "uris" : [ "http://www.mendeley.com/documents/?uuid=0500721c-4596-4643-b4e6-d680b5bef261" ] } ], "mendeley" : { "formattedCitation" : "(Baynes et al. 2005; Shukla &amp; Trout 2010; Lyutova et al. 2007; Varughese &amp; Newman 2012)", "plainTextFormattedCitation" : "(Baynes et al. 2005; Shukla &amp; Trout 2010; Lyutova et al. 2007; Varughese &amp; Newman 2012)", "previouslyFormattedCitation" : "(Baynes et al. 2005; Shukla &amp; Trout 2010; Lyutova et al. 2007; Varughese &amp; Newman 2012)" }, "properties" : { "noteIndex" : 0 }, "schema" : "https://github.com/citation-style-language/schema/raw/master/csl-citation.json" }</w:instrText>
      </w:r>
      <w:r>
        <w:fldChar w:fldCharType="separate"/>
      </w:r>
      <w:r w:rsidRPr="00A23543">
        <w:rPr>
          <w:noProof/>
        </w:rPr>
        <w:t>(Baynes et al. 2005; Shukla &amp; Trout 2010; Lyutova et al. 2007; Varughese &amp; Newman 2012)</w:t>
      </w:r>
      <w:r>
        <w:fldChar w:fldCharType="end"/>
      </w:r>
      <w:r>
        <w:t>. This makes arginine unique in its abilities and at odds with the classification of small molecules into ‘kosmotropes’ and ‘chaotropes’ based on their effects on stability and solubility i.e. molecules that solubilise proteins and prevent aggregation are expected to destabilise. Although this has garnered a lot of attention from the pharmaceutical industry and scientific community there is yet to be a clear and decisive explanation for arginine’s unusual actions on proteins.</w:t>
      </w:r>
    </w:p>
    <w:p w14:paraId="476F5305" w14:textId="77777777" w:rsidR="00C56CFB" w:rsidRDefault="00C56CFB" w:rsidP="00C56CFB">
      <w:r>
        <w:t xml:space="preserve">Arginine was recently shown to exhibit interesting preferential interaction behaviour, in that it preferentially interacts with proteins when present at low concentrations, but is preferentially excluded at high concentrations </w:t>
      </w:r>
      <w:r>
        <w:fldChar w:fldCharType="begin" w:fldLock="1"/>
      </w:r>
      <w:r w:rsidR="00E11F61">
        <w:instrText>ADDIN CSL_CITATION { "citationItems" : [ { "id" : "ITEM-1", "itemData" : { "DOI" : "10.1021/jp108586b", "ISSN" : "1520-5207", "PMID" : "21186800", "abstract" : "Preferential interaction coefficients provide a thermodynamic measure to quantify the interactions between cosolutes and a protein. Preferential interactions of cosolutes can be measured experimentally using dialysis/densimetry and vapor pressure osmometry (VPO) techniques. The cosolute arginine is a widely used aggregation suppressor with a seemingly unique behavior. Its role in protein aggregation has been studied extensively, although a complete mechanistic understanding of its behavior is lacking. Moreover, due to experimental limitations, experimental preferential interaction data for arginine has only been reported at low concentrations. Schneider and Trout ( J. Phys. Chem. B 2009 , 113 , 7 ) have reported experimental preferential interaction data for argHCl (up to 0.7 m), and their study raised several interesting questions about the preferential interaction of arginine with proteins. Arginine is attracted to proteins at low concentrations but it was highly excluded at high concentrations. Furthermore, the preferential interaction coefficient values were found to vary as a square of the concentration, which is different from commonly observed linear relationship for other cosolutes like urea, glycerol, guanidinium hydrochloride, etc. In this study, preferential interaction coefficients of argHCl have been estimated computationally for two proteins (lysozyme and \u03b1-chymotripsinogen A) for a large concentration range (up to 2.8 m). On the basis of these results, the molecular level interactions responsible for the nonlinear exclusion of arginine from the protein surface are identified.", "author" : [ { "dropping-particle" : "", "family" : "Shukla", "given" : "D", "non-dropping-particle" : "", "parse-names" : false, "suffix" : "" }, { "dropping-particle" : "", "family" : "Trout", "given" : "B L", "non-dropping-particle" : "", "parse-names" : false, "suffix" : "" } ], "container-title" : "Journal of Physical Chemistry B", "id" : "ITEM-1", "issued" : { "date-parts" : [ [ "2011", "2", "10" ] ] }, "page" : "1243-1253", "publisher" : "American Chemical Society", "title" : "Preferential interaction coefficients of proteins in aqueous arginine solutions and their molecular origins", "type" : "article-journal", "volume" : "115" }, "uris" : [ "http://www.mendeley.com/documents/?uuid=a81e5778-ff76-4fd8-a37b-129997e8d378" ] } ], "mendeley" : { "formattedCitation" : "(Shukla &amp; Trout 2011a)", "plainTextFormattedCitation" : "(Shukla &amp; Trout 2011a)", "previouslyFormattedCitation" : "(Shukla &amp; Trout 2011a)" }, "properties" : { "noteIndex" : 0 }, "schema" : "https://github.com/citation-style-language/schema/raw/master/csl-citation.json" }</w:instrText>
      </w:r>
      <w:r>
        <w:fldChar w:fldCharType="separate"/>
      </w:r>
      <w:r w:rsidR="0064368A" w:rsidRPr="0064368A">
        <w:rPr>
          <w:noProof/>
        </w:rPr>
        <w:t>(Shukla &amp; Trout 2011a)</w:t>
      </w:r>
      <w:r>
        <w:fldChar w:fldCharType="end"/>
      </w:r>
      <w:r>
        <w:t>. Such nonlinear preferential interaction values are rare amongst small molecules, and as such it is assumed that this must be related to arginine’s unique actions on proteins. Three potential mechanisms were proposed to explain this behaviour and therefore its effects on aggregation; interactions between the guanidinium (Gdn) group and tryptophan side chains, neutral cr</w:t>
      </w:r>
      <w:r w:rsidR="00657474">
        <w:t xml:space="preserve">owder behaviour as explained in section </w:t>
      </w:r>
      <w:r w:rsidR="00657474">
        <w:fldChar w:fldCharType="begin"/>
      </w:r>
      <w:r w:rsidR="00657474">
        <w:instrText xml:space="preserve"> REF _Ref459970839 \r \h </w:instrText>
      </w:r>
      <w:r w:rsidR="00657474">
        <w:fldChar w:fldCharType="separate"/>
      </w:r>
      <w:r w:rsidR="00AA6926">
        <w:t>1.7.1.1</w:t>
      </w:r>
      <w:r w:rsidR="00657474">
        <w:fldChar w:fldCharType="end"/>
      </w:r>
      <w:r w:rsidR="00657474">
        <w:t xml:space="preserve"> </w:t>
      </w:r>
      <w:r w:rsidRPr="00B331ED">
        <w:fldChar w:fldCharType="begin" w:fldLock="1"/>
      </w:r>
      <w:r w:rsidR="00924827">
        <w:instrText>ADDIN CSL_CITATION { "citationItems" : [ { "id" : "ITEM-1", "itemData" : { "DOI" : "10.1529/biophysj.104.042473", "ISBN" : "0006-3495 (Print)\\n0006-3495 (Linking)", "ISSN" : "00063495", "PMID" : "15345542", "abstract" : "We have developed a statistical-mechanical model of the effect of solution additives on protein association reactions. This model incorporates solvent radial distribution functions obtained from all-atom molecular dynamics simulations of particular proteins into simple models of protein interactions. In this way, the effects of additives can be computed along the entire association/dissociation reaction coordinate. We used the model to test our hypothesis that a class of large solution additives, which we term \"neutral crowders,\" can slow protein association and dissociation by being preferentially excluded from protein-protein encounter complexes, in a manner analogous to osmotic stress. The magnitude of this proposed \"gap effect\" was probed for two simple model systems: the association of two spheres and the association of two planes. Our results suggest that for a protein of 20 A radius, an 8 A additive can increase the free energy barrier for association and dissociation by as much as 3-6 kcal/mol. Because the proposed gap effect is present only for reactions involving multiple molecules, it can be exploited to develop novel additives that affect protein association reactions although having little or no effect on unimolecular reactions such as protein folding. This idea has many potential applications in areas such as the stabilization of proteins against aggregation during folding and in pharmaceutical formulations.", "author" : [ { "dropping-particle" : "", "family" : "Baynes", "given" : "B M", "non-dropping-particle" : "", "parse-names" : false, "suffix" : "" }, { "dropping-particle" : "", "family" : "Trout", "given" : "B L", "non-dropping-particle" : "", "parse-names" : false, "suffix" : "" } ], "container-title" : "Biophysical Journal", "id" : "ITEM-1", "issued" : { "date-parts" : [ [ "2004" ] ] }, "page" : "1631-1639", "title" : "Rational design of solution additives for the prevention of protein aggregation", "type" : "article-journal", "volume" : "87" }, "uris" : [ "http://www.mendeley.com/documents/?uuid=4af50292-3aa3-4fef-a9f0-eee103f8ad50" ] } ], "mendeley" : { "formattedCitation" : "(Baynes &amp; Trout 2004)", "plainTextFormattedCitation" : "(Baynes &amp; Trout 2004)", "previouslyFormattedCitation" : "(Baynes &amp; Trout 2004)" }, "properties" : { "noteIndex" : 0 }, "schema" : "https://github.com/citation-style-language/schema/raw/master/csl-citation.json" }</w:instrText>
      </w:r>
      <w:r w:rsidRPr="00B331ED">
        <w:fldChar w:fldCharType="separate"/>
      </w:r>
      <w:r w:rsidRPr="00B331ED">
        <w:rPr>
          <w:noProof/>
        </w:rPr>
        <w:t>(Baynes &amp; Trout 2004)</w:t>
      </w:r>
      <w:r w:rsidRPr="00B331ED">
        <w:fldChar w:fldCharType="end"/>
      </w:r>
      <w:r w:rsidRPr="00B331ED">
        <w:t>,</w:t>
      </w:r>
      <w:r>
        <w:t xml:space="preserve"> and arginine stacking or self-association in solution </w:t>
      </w:r>
      <w:r>
        <w:fldChar w:fldCharType="begin" w:fldLock="1"/>
      </w:r>
      <w:r>
        <w:instrText>ADDIN CSL_CITATION { "citationItems" : [ { "id" : "ITEM-1", "itemData" : { "DOI" : "10.1021/jp108399g", "ISSN" : "1520-5207", "PMID" : "20925358", "abstract" : "Aqueous arginine solutions are used extensively for inhibiting protein aggregation. There are several theories proposed to explain the effect of arginine on protein stability, but the exact mechanism is still not clear. To understand the mechanism of protein cosolvent interaction, the intraprotein, protein-solvent, and intrasolvent interactions have to be understood. Molecular dynamics simulations of aqueous arginine solutions were carried out for experimentally accessible concentrations and temperature ranges to study the structure of the solution and its energetic properties and obtain insight into the mechanism by which arginine inhibits protein aggregation. Simulations of proteins (\u03b1-chymotrypsinogen A and melittin) were performed. Structurally, the most striking feature of the aqueous arginine solutions is the self-association of arginine molecules. Arginine shows a marked tendency to form clusters with head to tail hydrogen bonding. Due to the presence of the three charged groups, there are several possible configurations in which arginine molecules interact. At relatively high concentrations, these arginine clusters associate with other clusters and monomeric arginine molecules to form large clusters. The hydrogen bonds between arginine molecules were found to be stronger than those between arginine and water, which makes the process of self-association enthalpically favorable. From the simulation of the proteins in aqueous arginine solution, arginine is found to interact with the aromatic and charged side chains of surface residues. A probable mechanism of the effect of arginine on protein stability consistent with our findings is proposed. In particular, arginine interacts with aromatic and charged residues due to cation-\u03c0 interaction and salt-bridge formation, respectively, to stabilize the partially unfolded intermediates. The self-interaction of arginine leads to the formation of clusters which, due to their size, crowd out the protein-protein interaction. The mechanisms proposed in the literature are analyzed on the basis of the simulation results reported in this paper and recent experimental data.", "author" : [ { "dropping-particle" : "", "family" : "Shukla", "given" : "D", "non-dropping-particle" : "", "parse-names" : false, "suffix" : "" }, { "dropping-particle" : "", "family" : "Trout", "given" : "B L", "non-dropping-particle" : "", "parse-names" : false, "suffix" : "" } ], "container-title" : "Journal of Physical Chemistry B", "id" : "ITEM-1", "issued" : { "date-parts" : [ [ "2010", "10", "28" ] ] }, "page" : "13426-13438", "title" : "Interaction of arginine with proteins and the mechanism by which it inhibits aggregation", "type" : "article-journal", "volume" : "114" }, "uris" : [ "http://www.mendeley.com/documents/?uuid=dbec9b1d-1c9e-4add-bea5-97fc49a049c2" ] } ], "mendeley" : { "formattedCitation" : "(Shukla &amp; Trout 2010)", "plainTextFormattedCitation" : "(Shukla &amp; Trout 2010)", "previouslyFormattedCitation" : "(Shukla &amp; Trout 2010)" }, "properties" : { "noteIndex" : 0 }, "schema" : "https://github.com/citation-style-language/schema/raw/master/csl-citation.json" }</w:instrText>
      </w:r>
      <w:r>
        <w:fldChar w:fldCharType="separate"/>
      </w:r>
      <w:r w:rsidRPr="00B331ED">
        <w:rPr>
          <w:noProof/>
        </w:rPr>
        <w:t>(Shukla &amp; Trout 2010)</w:t>
      </w:r>
      <w:r>
        <w:fldChar w:fldCharType="end"/>
      </w:r>
      <w:r>
        <w:t>.</w:t>
      </w:r>
    </w:p>
    <w:p w14:paraId="14D0CF58" w14:textId="77777777" w:rsidR="00C56CFB" w:rsidRDefault="00C56CFB" w:rsidP="00C56CFB">
      <w:r>
        <w:t>Amongst the many different interactions that can occur in a solution containi</w:t>
      </w:r>
      <w:r w:rsidR="00005943">
        <w:t xml:space="preserve">ng protein, water and cosolute (see </w:t>
      </w:r>
      <w:r w:rsidR="00005943">
        <w:fldChar w:fldCharType="begin"/>
      </w:r>
      <w:r w:rsidR="00005943">
        <w:instrText xml:space="preserve"> REF _Ref453860916 \h </w:instrText>
      </w:r>
      <w:r w:rsidR="00005943">
        <w:fldChar w:fldCharType="separate"/>
      </w:r>
      <w:r w:rsidR="00AA6926">
        <w:t xml:space="preserve">Figure </w:t>
      </w:r>
      <w:r w:rsidR="00AA6926">
        <w:rPr>
          <w:noProof/>
        </w:rPr>
        <w:t>1</w:t>
      </w:r>
      <w:r w:rsidR="00AA6926">
        <w:noBreakHyphen/>
      </w:r>
      <w:r w:rsidR="00AA6926">
        <w:rPr>
          <w:noProof/>
        </w:rPr>
        <w:t>10</w:t>
      </w:r>
      <w:r w:rsidR="00005943">
        <w:fldChar w:fldCharType="end"/>
      </w:r>
      <w:r>
        <w:t xml:space="preserve">), cosolute-cosolute interactions are probably the type that are explored the least. A number of molecular dynamics (MD) simulations have been conducted recently that suggest the possibility of arginine self-association in solution and how this might influence its effects on protein aggregation </w:t>
      </w:r>
      <w:r>
        <w:fldChar w:fldCharType="begin" w:fldLock="1"/>
      </w:r>
      <w:r>
        <w:instrText>ADDIN CSL_CITATION { "citationItems" : [ { "id" : "ITEM-1", "itemData" : { "DOI" : "10.1021/jp108399g", "ISSN" : "1520-5207", "PMID" : "20925358", "abstract" : "Aqueous arginine solutions are used extensively for inhibiting protein aggregation. There are several theories proposed to explain the effect of arginine on protein stability, but the exact mechanism is still not clear. To understand the mechanism of protein cosolvent interaction, the intraprotein, protein-solvent, and intrasolvent interactions have to be understood. Molecular dynamics simulations of aqueous arginine solutions were carried out for experimentally accessible concentrations and temperature ranges to study the structure of the solution and its energetic properties and obtain insight into the mechanism by which arginine inhibits protein aggregation. Simulations of proteins (\u03b1-chymotrypsinogen A and melittin) were performed. Structurally, the most striking feature of the aqueous arginine solutions is the self-association of arginine molecules. Arginine shows a marked tendency to form clusters with head to tail hydrogen bonding. Due to the presence of the three charged groups, there are several possible configurations in which arginine molecules interact. At relatively high concentrations, these arginine clusters associate with other clusters and monomeric arginine molecules to form large clusters. The hydrogen bonds between arginine molecules were found to be stronger than those between arginine and water, which makes the process of self-association enthalpically favorable. From the simulation of the proteins in aqueous arginine solution, arginine is found to interact with the aromatic and charged side chains of surface residues. A probable mechanism of the effect of arginine on protein stability consistent with our findings is proposed. In particular, arginine interacts with aromatic and charged residues due to cation-\u03c0 interaction and salt-bridge formation, respectively, to stabilize the partially unfolded intermediates. The self-interaction of arginine leads to the formation of clusters which, due to their size, crowd out the protein-protein interaction. The mechanisms proposed in the literature are analyzed on the basis of the simulation results reported in this paper and recent experimental data.", "author" : [ { "dropping-particle" : "", "family" : "Shukla", "given" : "D", "non-dropping-particle" : "", "parse-names" : false, "suffix" : "" }, { "dropping-particle" : "", "family" : "Trout", "given" : "B L", "non-dropping-particle" : "", "parse-names" : false, "suffix" : "" } ], "container-title" : "Journal of Physical Chemistry B", "id" : "ITEM-1", "issued" : { "date-parts" : [ [ "2010", "10", "28" ] ] }, "page" : "13426-13438", "title" : "Interaction of arginine with proteins and the mechanism by which it inhibits aggregation", "type" : "article-journal", "volume" : "114" }, "uris" : [ "http://www.mendeley.com/documents/?uuid=dbec9b1d-1c9e-4add-bea5-97fc49a049c2" ] }, { "id" : "ITEM-2", "itemData" : { "DOI" : "10.1021/jp111920y", "ISSN" : "15206106", "PMID" : "21568311", "abstract" : "L-Arginine hydrochloride is a very important aggregation suppressor for which there has been much attention given regarding elucidating its mechanism of action. Little consideration, however, has been given toward other salt forms besides chloride, even though the counterion likely imparts a large influence per the Hofmeister Series. Here, we report an in depth analysis of the role the counterion plays in the aggregation suppression behavior of arginine. Consistent with the empirical Hofmeister series, we found that the aggregation suppression ability of other arginine salt forms on a model protein (\u03b1-chymotrypsinogen) follows the order: H(2)PO(4)(-) &gt; SO(4)(2-) &gt; citrate(2-) &gt; acetate(-) \u2248 F(-) \u2248 Cl(-) &gt; Br(-) &gt; I(-) \u2248 SCN(-). Mechanistically, preferential interaction and osmotic virial coefficient measurements, in addition to molecular dynamics simulations, indicate that attractive ion-ion interactions, particularly attractive interactions between arginine molecules, play a dominate role in the observed behavior. Furthermore, it appears that dihydrogen phosphate, sulfate, and citrate have strong attractive interactions with the guanidinium group of arginine, which seems to contribute to the superior aggregation suppression ability of those salt forms by bridging together multiple arginine molecules into clusters. These results not only further our understanding of how arginine influences protein stability, they also help to elucidate the mechanism behind the Hofmeister Series. This should help to improve biopharmaceutical stabilization through the use of other arginine salts and possibly, the development of novel excipients.", "author" : [ { "dropping-particle" : "", "family" : "Schneider", "given" : "C P", "non-dropping-particle" : "", "parse-names" : false, "suffix" : "" }, { "dropping-particle" : "", "family" : "Shukla", "given" : "D", "non-dropping-particle" : "", "parse-names" : false, "suffix" : "" }, { "dropping-particle" : "", "family" : "Trout", "given" : "B L", "non-dropping-particle" : "", "parse-names" : false, "suffix" : "" } ], "container-title" : "Journal of Physical Chemistry B", "id" : "ITEM-2", "issued" : { "date-parts" : [ [ "2011" ] ] }, "page" : "7447-7458", "title" : "Arginine and the hofmeister series: The role of ion-ion interactions in protein aggregation suppression", "type" : "article-journal", "volume" : "115" }, "uris" : [ "http://www.mendeley.com/documents/?uuid=add3a612-a355-4fbb-a5e9-6ed61df00344" ] }, { "id" : "ITEM-3", "itemData" : { "DOI" : "10.1021/cb300440x", "ISSN" : "15548929", "PMID" : "23138654", "abstract" : "Arginine is one of the most prominent residues in protein interactions, and arginine hydrochloride is widely used as an additive in protein solutions because of its exceptional effects on protein association and folding. The molecular origins of arginine effects on protein processes remain, however, controversial, and little is known about the molecular interactions between arginine cations and protein surfaces in aqueous arginine solutions. In this study, we report a unique biochemical phenomenon whereby clusters of arginine cations (Arg(+)) are associated with a protein surface. The formation of protein-associated Arg(+) clusters is initiated by Arg(+) ions that associate with specific protein surface loci through cooperative interactions with protein guanidinium and carboxyl groups. Molecular dynamics simulations indicate that protein-associated Arg(+) ions subsequently attract other Arg(+) ions and form dynamic cation clusters that extend further than 10 \u00c5 from the protein surface. The effects of arginine on the thermal stability and size of lysozyme and ovalbumin are measured over a wide concentration range (0 to 2 M), and we find that the formation of protein-associated Arg(+) clusters consistently explains the complex effects of arginine on protein stability and size. This study elucidates the molecular mechanisms and implications of cluster formation of Arg(+) ions at a protein surface, and the findings of this study may be used to manipulate synthetic and biological systems through arginine-derived groups.", "author" : [ { "dropping-particle" : "", "family" : "Vagenende", "given" : "V", "non-dropping-particle" : "", "parse-names" : false, "suffix" : "" }, { "dropping-particle" : "", "family" : "Han", "given" : "A X", "non-dropping-particle" : "", "parse-names" : false, "suffix" : "" }, { "dropping-particle" : "", "family" : "Mueller", "given" : "M", "non-dropping-particle" : "", "parse-names" : false, "suffix" : "" }, { "dropping-particle" : "", "family" : "Trout", "given" : "B L", "non-dropping-particle" : "", "parse-names" : false, "suffix" : "" } ], "container-title" : "ACS Chemical Biology", "id" : "ITEM-3", "issued" : { "date-parts" : [ [ "2013" ] ] }, "page" : "416-422", "title" : "Protein-associated cation clusters in aqueous arginine solutions and their effects on protein stability and size", "type" : "article-journal", "volume" : "8" }, "uris" : [ "http://www.mendeley.com/documents/?uuid=1b8af2ac-8920-4412-a424-6595a3d7e71c" ] } ], "mendeley" : { "formattedCitation" : "(Shukla &amp; Trout 2010; Schneider et al. 2011; Vagenende et al. 2013)", "plainTextFormattedCitation" : "(Shukla &amp; Trout 2010; Schneider et al. 2011; Vagenende et al. 2013)", "previouslyFormattedCitation" : "(Shukla &amp; Trout 2010; Schneider et al. 2011; Vagenende et al. 2013)" }, "properties" : { "noteIndex" : 0 }, "schema" : "https://github.com/citation-style-language/schema/raw/master/csl-citation.json" }</w:instrText>
      </w:r>
      <w:r>
        <w:fldChar w:fldCharType="separate"/>
      </w:r>
      <w:r w:rsidRPr="008C5BEA">
        <w:rPr>
          <w:noProof/>
        </w:rPr>
        <w:t>(Shukla &amp; Trout 2010; Schneider et al. 2011; Vagenende et al. 2013)</w:t>
      </w:r>
      <w:r>
        <w:fldChar w:fldCharType="end"/>
      </w:r>
      <w:r>
        <w:t xml:space="preserve">, but there is still a lack of direct experimental proof of such clustering behaviour. Equally the interactions causing arginine self-association, and why this appears to be a property unique to arginine amongst the amino acids, have yet to be elucidated. </w:t>
      </w:r>
    </w:p>
    <w:p w14:paraId="29AF255B" w14:textId="77777777" w:rsidR="00C56CFB" w:rsidRDefault="00C56CFB" w:rsidP="00C56CFB">
      <w:r>
        <w:t xml:space="preserve">An MD simulation by Trout and coworkers demonstrated that arginine is capable of self-associating via three separate interactions including head-to-tail hydrogen bonding between the Gdn group and the carboxylate group, hydrogen bonding between the N-terminal and C-terminal with the sidechains orientated in opposite directions, and Gdn-Gdn stacking </w:t>
      </w:r>
      <w:r>
        <w:fldChar w:fldCharType="begin" w:fldLock="1"/>
      </w:r>
      <w:r>
        <w:instrText>ADDIN CSL_CITATION { "citationItems" : [ { "id" : "ITEM-1", "itemData" : { "DOI" : "10.1021/jp108399g", "ISSN" : "1520-5207", "PMID" : "20925358", "abstract" : "Aqueous arginine solutions are used extensively for inhibiting protein aggregation. There are several theories proposed to explain the effect of arginine on protein stability, but the exact mechanism is still not clear. To understand the mechanism of protein cosolvent interaction, the intraprotein, protein-solvent, and intrasolvent interactions have to be understood. Molecular dynamics simulations of aqueous arginine solutions were carried out for experimentally accessible concentrations and temperature ranges to study the structure of the solution and its energetic properties and obtain insight into the mechanism by which arginine inhibits protein aggregation. Simulations of proteins (\u03b1-chymotrypsinogen A and melittin) were performed. Structurally, the most striking feature of the aqueous arginine solutions is the self-association of arginine molecules. Arginine shows a marked tendency to form clusters with head to tail hydrogen bonding. Due to the presence of the three charged groups, there are several possible configurations in which arginine molecules interact. At relatively high concentrations, these arginine clusters associate with other clusters and monomeric arginine molecules to form large clusters. The hydrogen bonds between arginine molecules were found to be stronger than those between arginine and water, which makes the process of self-association enthalpically favorable. From the simulation of the proteins in aqueous arginine solution, arginine is found to interact with the aromatic and charged side chains of surface residues. A probable mechanism of the effect of arginine on protein stability consistent with our findings is proposed. In particular, arginine interacts with aromatic and charged residues due to cation-\u03c0 interaction and salt-bridge formation, respectively, to stabilize the partially unfolded intermediates. The self-interaction of arginine leads to the formation of clusters which, due to their size, crowd out the protein-protein interaction. The mechanisms proposed in the literature are analyzed on the basis of the simulation results reported in this paper and recent experimental data.", "author" : [ { "dropping-particle" : "", "family" : "Shukla", "given" : "D", "non-dropping-particle" : "", "parse-names" : false, "suffix" : "" }, { "dropping-particle" : "", "family" : "Trout", "given" : "B L", "non-dropping-particle" : "", "parse-names" : false, "suffix" : "" } ], "container-title" : "Journal of Physical Chemistry B", "id" : "ITEM-1", "issued" : { "date-parts" : [ [ "2010", "10", "28" ] ] }, "page" : "13426-13438", "title" : "Interaction of arginine with proteins and the mechanism by which it inhibits aggregation", "type" : "article-journal", "volume" : "114" }, "uris" : [ "http://www.mendeley.com/documents/?uuid=dbec9b1d-1c9e-4add-bea5-97fc49a049c2" ] } ], "mendeley" : { "formattedCitation" : "(Shukla &amp; Trout 2010)", "plainTextFormattedCitation" : "(Shukla &amp; Trout 2010)", "previouslyFormattedCitation" : "(Shukla &amp; Trout 2010)" }, "properties" : { "noteIndex" : 0 }, "schema" : "https://github.com/citation-style-language/schema/raw/master/csl-citation.json" }</w:instrText>
      </w:r>
      <w:r>
        <w:fldChar w:fldCharType="separate"/>
      </w:r>
      <w:r w:rsidRPr="00E26ED9">
        <w:rPr>
          <w:noProof/>
        </w:rPr>
        <w:t>(Shukla &amp; Trout 2010)</w:t>
      </w:r>
      <w:r>
        <w:fldChar w:fldCharType="end"/>
      </w:r>
      <w:r>
        <w:t xml:space="preserve">. Although defying electrostatics, the Gdn-Gdn stacking theory is backed up by other studies showing self-association of Gdn ions in solution </w:t>
      </w:r>
      <w:r>
        <w:fldChar w:fldCharType="begin" w:fldLock="1"/>
      </w:r>
      <w:r>
        <w:instrText>ADDIN CSL_CITATION { "citationItems" : [ { "id" : "ITEM-1", "itemData" : { "DOI" : "10.1021/ja040034x", "author" : [ { "dropping-particle" : "", "family" : "Mason", "given" : "P E", "non-dropping-particle" : "", "parse-names" : false, "suffix" : "" }, { "dropping-particle" : "", "family" : "Neilson", "given" : "G W", "non-dropping-particle" : "", "parse-names" : false, "suffix" : "" }, { "dropping-particle" : "", "family" : "Enderby", "given" : "J E", "non-dropping-particle" : "", "parse-names" : false, "suffix" : "" }, { "dropping-particle" : "", "family" : "Saboungi", "given" : "M L", "non-dropping-particle" : "", "parse-names" : false, "suffix" : "" }, { "dropping-particle" : "", "family" : "Dempsey", "given" : "C E", "non-dropping-particle" : "", "parse-names" : false, "suffix" : "" }, { "dropping-particle" : "", "family" : "Mackerell", "given" : "A D", "non-dropping-particle" : "", "parse-names" : false, "suffix" : "" }, { "dropping-particle" : "", "family" : "Brady", "given" : "J W", "non-dropping-particle" : "", "parse-names" : false, "suffix" : "" } ], "container-title" : "Journal of the American Chemical Society", "id" : "ITEM-1", "issued" : { "date-parts" : [ [ "2004" ] ] }, "page" : "11462-11470", "title" : "The structure of aqueous guanidinium chloride solutions", "type" : "article-journal", "volume" : "126" }, "uris" : [ "http://www.mendeley.com/documents/?uuid=dcd77331-9619-41cd-a08e-15ca0f9e5576" ] } ], "mendeley" : { "formattedCitation" : "(Mason et al. 2004)", "plainTextFormattedCitation" : "(Mason et al. 2004)", "previouslyFormattedCitation" : "(Mason et al. 2004)" }, "properties" : { "noteIndex" : 0 }, "schema" : "https://github.com/citation-style-language/schema/raw/master/csl-citation.json" }</w:instrText>
      </w:r>
      <w:r>
        <w:fldChar w:fldCharType="separate"/>
      </w:r>
      <w:r w:rsidRPr="00E26ED9">
        <w:rPr>
          <w:noProof/>
        </w:rPr>
        <w:t>(Mason et al. 2004)</w:t>
      </w:r>
      <w:r>
        <w:fldChar w:fldCharType="end"/>
      </w:r>
      <w:r>
        <w:t xml:space="preserve">, and arginine-arginine interactions within and between protein subunits via Gdn-Gdn stacking </w:t>
      </w:r>
      <w:r>
        <w:fldChar w:fldCharType="begin" w:fldLock="1"/>
      </w:r>
      <w:r w:rsidR="00E11F61">
        <w:instrText>ADDIN CSL_CITATION { "citationItems" : [ { "id" : "ITEM-1", "itemData" : { "DOI" : "10.1021/jp902377q", "ISSN" : "1520-6106", "PMID" : "19354258", "abstract" : "Molecular dynamics simulations show significant like-charge pairing of guanidinium side chains in aqueous poly-arginine, while this effect is absent in aqueous poly-lysine containing ammonium-terminated side chains. This behavior of the guanidinium group is revealed also by protein database searches, having important biochemical implications. Combination of molecular dynamics simulations with explicit solvent and ab initio calculations employing a polarizable continuum model of water allows one to rationalize the formation of contact ion pairs between guanidinium cations in terms of individual interactions at the molecular level.", "author" : [ { "dropping-particle" : "", "family" : "Vondr\u00e1sek", "given" : "J", "non-dropping-particle" : "", "parse-names" : false, "suffix" : "" }, { "dropping-particle" : "", "family" : "Mason", "given" : "P E", "non-dropping-particle" : "", "parse-names" : false, "suffix" : "" }, { "dropping-particle" : "", "family" : "Heyda", "given" : "J", "non-dropping-particle" : "", "parse-names" : false, "suffix" : "" }, { "dropping-particle" : "", "family" : "Collins", "given" : "K D", "non-dropping-particle" : "", "parse-names" : false, "suffix" : "" }, { "dropping-particle" : "", "family" : "Jungwirth", "given" : "P", "non-dropping-particle" : "", "parse-names" : false, "suffix" : "" } ], "container-title" : "Journal of Physical Chemistry B Letters", "id" : "ITEM-1", "issued" : { "date-parts" : [ [ "2009", "7", "9" ] ] }, "page" : "9041-9045", "title" : "The molecular origin of like-charge arginine-arginine pairing in water", "type" : "article-journal", "volume" : "113" }, "uris" : [ "http://www.mendeley.com/documents/?uuid=2b4d5602-cb6f-4b2e-9f59-c43b7ae046d8" ] } ], "mendeley" : { "formattedCitation" : "(Vondr\u00e1sek et al. 2009)", "plainTextFormattedCitation" : "(Vondr\u00e1sek et al. 2009)", "previouslyFormattedCitation" : "(Vondr\u00e1sek et al. 2009)" }, "properties" : { "noteIndex" : 0 }, "schema" : "https://github.com/citation-style-language/schema/raw/master/csl-citation.json" }</w:instrText>
      </w:r>
      <w:r>
        <w:fldChar w:fldCharType="separate"/>
      </w:r>
      <w:r w:rsidRPr="00E26ED9">
        <w:rPr>
          <w:noProof/>
        </w:rPr>
        <w:t>(Vondrásek et al. 2009)</w:t>
      </w:r>
      <w:r>
        <w:fldChar w:fldCharType="end"/>
      </w:r>
      <w:r>
        <w:t xml:space="preserve">. Stacking </w:t>
      </w:r>
      <w:r w:rsidR="004616B6">
        <w:t xml:space="preserve">between protein subunits </w:t>
      </w:r>
      <w:r>
        <w:t>was shown to be absent between the ammonium-based lysine sidechains. This meant that Gdn-stacking was attributed to the fact that it is weakly hydrated and planar, and as such prefers to interact with itself rather than water; a hypothesis also supported by the GdnHCl stability studies discussed earlier in this thesis. The head-to-tail stacking hypothesis has been supported by data demonstrating large arginine clusters with the presence of a hydrophobic surface caused b</w:t>
      </w:r>
      <w:r w:rsidR="00F14F27">
        <w:t>y the lining up of the alkyl</w:t>
      </w:r>
      <w:r>
        <w:t xml:space="preserve"> chains </w:t>
      </w:r>
      <w:r>
        <w:fldChar w:fldCharType="begin" w:fldLock="1"/>
      </w:r>
      <w:r>
        <w:instrText>ADDIN CSL_CITATION { "citationItems" : [ { "id" : "ITEM-1", "itemData" : { "DOI" : "10.1371/journal.pone.0001176", "ISSN" : "1932-6203", "PMID" : "18000547", "abstract" : "BACKGROUND: Aggregation of unfolded proteins occurs mainly through the exposed hydrophobic surfaces. Any mechanism of inhibition of this aggregation should explain the prevention of these hydrophobic interactions. Though arginine is prevalently used as an aggregation suppressor, its mechanism of action is not clearly understood. We propose a mechanism based on the hydrophobic interactions of arginine. METHODOLOGY: We have analyzed arginine solution for its hydrotropic effect by pyrene solubility and the presence of hydrophobic environment by 1-anilino-8-naphthalene sulfonic acid fluorescence. Mass spectroscopic analyses show that arginine forms molecular clusters in the gas phase and the cluster composition is dependent on the solution conditions. Light scattering studies indicate that arginine exists as clusters in solution. In the presence of arginine, the reverse phase chromatographic elution profile of Alzheimer's amyloid beta 1-42 (Abeta(1-42)) peptide is modified. Changes in the hydrodynamic volume of Abeta(1-42) in the presence of arginine measured by size exclusion chromatography show that arginine binds to Abeta(1-42). Arginine increases the solubility of Abeta(1-42) peptide in aqueous medium. It decreases the aggregation of Abeta(1-42) as observed by atomic force microscopy. CONCLUSIONS: Based on our experimental results we propose that molecular clusters of arginine in aqueous solutions display a hydrophobic surface by the alignment of its three methylene groups. The hydrophobic surfaces present on the proteins interact with the hydrophobic surface presented by the arginine clusters. The masking of hydrophobic surface inhibits protein-protein aggregation. This mechanism is also responsible for the hydrotropic effect of arginine on various compounds. It is also explained why other amino acids fail to inhibit the protein aggregation.", "author" : [ { "dropping-particle" : "", "family" : "Das", "given" : "U", "non-dropping-particle" : "", "parse-names" : false, "suffix" : "" }, { "dropping-particle" : "", "family" : "Hariprasad", "given" : "G", "non-dropping-particle" : "", "parse-names" : false, "suffix" : "" }, { "dropping-particle" : "", "family" : "Ethayathulla", "given" : "A S", "non-dropping-particle" : "", "parse-names" : false, "suffix" : "" }, { "dropping-particle" : "", "family" : "Manral", "given" : "P", "non-dropping-particle" : "", "parse-names" : false, "suffix" : "" }, { "dropping-particle" : "", "family" : "Das", "given" : "T K", "non-dropping-particle" : "", "parse-names" : false, "suffix" : "" }, { "dropping-particle" : "", "family" : "Pasha", "given" : "S", "non-dropping-particle" : "", "parse-names" : false, "suffix" : "" }, { "dropping-particle" : "", "family" : "Mann", "given" : "A", "non-dropping-particle" : "", "parse-names" : false, "suffix" : "" }, { "dropping-particle" : "", "family" : "Ganguli", "given" : "M", "non-dropping-particle" : "", "parse-names" : false, "suffix" : "" }, { "dropping-particle" : "", "family" : "Verma", "given" : "A K", "non-dropping-particle" : "", "parse-names" : false, "suffix" : "" }, { "dropping-particle" : "", "family" : "Bhat", "given" : "R", "non-dropping-particle" : "", "parse-names" : false, "suffix" : "" }, { "dropping-particle" : "", "family" : "Chandrayan", "given" : "S K", "non-dropping-particle" : "", "parse-names" : false, "suffix" : "" }, { "dropping-particle" : "", "family" : "Ahmed", "given" : "S", "non-dropping-particle" : "", "parse-names" : false, "suffix" : "" }, { "dropping-particle" : "", "family" : "Sharma", "given" : "S", "non-dropping-particle" : "", "parse-names" : false, "suffix" : "" }, { "dropping-particle" : "", "family" : "Kaur", "given" : "P", "non-dropping-particle" : "", "parse-names" : false, "suffix" : "" }, { "dropping-particle" : "", "family" : "Singh", "given" : "T P", "non-dropping-particle" : "", "parse-names" : false, "suffix" : "" }, { "dropping-particle" : "", "family" : "Srinivasan", "given" : "A", "non-dropping-particle" : "", "parse-names" : false, "suffix" : "" } ], "container-title" : "PloS One", "id" : "ITEM-1", "issued" : { "date-parts" : [ [ "2007", "1" ] ] }, "note" : "Experimental evidence of arginine forming molecular clusters displaying a hydrophobic surface by alignment of three methylene groups. Inhibition of aggregation caused by this hydrophobic surface interacting with hydrophobic surface on protein. Explains why other amino acids don't inhibit aggregation", "page" : "e1176", "title" : "Inhibition of protein aggregation: Supramolecular assemblies of arginine hold the key", "type" : "article-journal", "volume" : "2" }, "uris" : [ "http://www.mendeley.com/documents/?uuid=e4e8db8b-5276-44cd-91e1-05cdc67dc926" ] } ], "mendeley" : { "formattedCitation" : "(Das et al. 2007)", "plainTextFormattedCitation" : "(Das et al. 2007)", "previouslyFormattedCitation" : "(Das et al. 2007)" }, "properties" : { "noteIndex" : 0 }, "schema" : "https://github.com/citation-style-language/schema/raw/master/csl-citation.json" }</w:instrText>
      </w:r>
      <w:r>
        <w:fldChar w:fldCharType="separate"/>
      </w:r>
      <w:r w:rsidRPr="001C3E89">
        <w:rPr>
          <w:noProof/>
        </w:rPr>
        <w:t>(Das et al. 2007)</w:t>
      </w:r>
      <w:r>
        <w:fldChar w:fldCharType="end"/>
      </w:r>
      <w:r>
        <w:t>. It was proposed that this hydrophobic surface interacts with hydrophobic surfaces of the unfolded protein and therefore prevents protein aggregation. It is clear that no singular interaction has so far definitively proven to be the cause of arginine clustering in solution.</w:t>
      </w:r>
    </w:p>
    <w:p w14:paraId="3F38EB5A" w14:textId="77777777" w:rsidR="00C56CFB" w:rsidRPr="00D202A8" w:rsidRDefault="00C56CFB" w:rsidP="00C56CFB">
      <w:r>
        <w:t>The aim of this work is to provide direct experimental evidence of arginine self-association in solution to support the variety of MD simulations that are already available in the literature. It also aims to elucidate the mechanisms involved in arginine self-association through comparison of the effects of temperature and salt screening, and analysis of potential self-association of lysine and GdnHCl in solution under sim</w:t>
      </w:r>
      <w:r w:rsidR="00005943">
        <w:t>ilar conditions for comparison.</w:t>
      </w:r>
    </w:p>
    <w:p w14:paraId="05A9A6A1" w14:textId="77777777" w:rsidR="00C56CFB" w:rsidRDefault="00C552F2" w:rsidP="000A3469">
      <w:pPr>
        <w:pStyle w:val="Heading2"/>
      </w:pPr>
      <w:bookmarkStart w:id="220" w:name="_Toc485712802"/>
      <w:r>
        <w:t>Materials &amp;</w:t>
      </w:r>
      <w:r w:rsidR="00C56CFB">
        <w:t xml:space="preserve"> Methods</w:t>
      </w:r>
      <w:bookmarkEnd w:id="220"/>
    </w:p>
    <w:p w14:paraId="586A142D" w14:textId="77777777" w:rsidR="00C56CFB" w:rsidRDefault="00C56CFB" w:rsidP="00C56CFB">
      <w:pPr>
        <w:pStyle w:val="Heading3"/>
      </w:pPr>
      <w:bookmarkStart w:id="221" w:name="_Toc485712803"/>
      <w:r>
        <w:t>Materials</w:t>
      </w:r>
      <w:bookmarkEnd w:id="221"/>
    </w:p>
    <w:p w14:paraId="7894EA32" w14:textId="77777777" w:rsidR="00C56CFB" w:rsidRPr="002C7D81" w:rsidRDefault="00C56CFB">
      <w:r>
        <w:t>L-arginine, lysine hydrate and guanidine hydrochloride (GdnHCl) were all purchased in lyophilised powder form from Sigma-Aldrich with purities of more than 98, 97 and 99% respectively. Sodium chloride (NaCl) was also purchased from Sigma-Aldrich in powder form with a purity of more than 99%. CHROMASOLV HPLC grade water was also purchased from Sigma-Aldrich.</w:t>
      </w:r>
    </w:p>
    <w:p w14:paraId="03E976EE" w14:textId="77777777" w:rsidR="00C56CFB" w:rsidRDefault="00C56CFB" w:rsidP="00C56CFB">
      <w:pPr>
        <w:pStyle w:val="Heading3"/>
      </w:pPr>
      <w:bookmarkStart w:id="222" w:name="_Toc485712804"/>
      <w:r>
        <w:t>Methods</w:t>
      </w:r>
      <w:bookmarkEnd w:id="222"/>
    </w:p>
    <w:p w14:paraId="2E843831" w14:textId="77777777" w:rsidR="00C56CFB" w:rsidRDefault="00C56CFB" w:rsidP="00C56CFB">
      <w:pPr>
        <w:pStyle w:val="Heading4"/>
      </w:pPr>
      <w:r>
        <w:t>Sample Preparation</w:t>
      </w:r>
    </w:p>
    <w:p w14:paraId="216C7E54" w14:textId="1E322218" w:rsidR="00C56CFB" w:rsidRPr="00D35F0C" w:rsidRDefault="00C56CFB">
      <w:r>
        <w:t>1 M arginine, 1 M lysine and 2 M GdnHCl solutions were disso</w:t>
      </w:r>
      <w:r w:rsidR="00C27149">
        <w:t xml:space="preserve">lved in HPLC-grade water and </w:t>
      </w:r>
      <w:commentRangeStart w:id="223"/>
      <w:r w:rsidR="00C27149">
        <w:t>altered</w:t>
      </w:r>
      <w:r>
        <w:t xml:space="preserve"> </w:t>
      </w:r>
      <w:commentRangeEnd w:id="223"/>
      <w:r w:rsidR="00C27149">
        <w:rPr>
          <w:rStyle w:val="CommentReference"/>
        </w:rPr>
        <w:commentReference w:id="223"/>
      </w:r>
      <w:r>
        <w:t xml:space="preserve">to pH 7 using dilute hydrochloric acid. The required concentrations for analysis were made using the stock, diluting to 1 mL using HPLC-grade water and being left to equilibrate at room temperature for 30 minutes. Stocks were regularly inverted to avoid settling of nanoparticles. For the NaCl screening experiments a 1 M NaCl stock was made up as above and </w:t>
      </w:r>
      <w:r w:rsidR="003466A3">
        <w:t xml:space="preserve">diluted to the </w:t>
      </w:r>
      <w:r>
        <w:t xml:space="preserve">required concentration </w:t>
      </w:r>
      <w:r w:rsidR="003466A3">
        <w:t>to be included</w:t>
      </w:r>
      <w:r>
        <w:t xml:space="preserve"> in the 1 mL solution.</w:t>
      </w:r>
    </w:p>
    <w:p w14:paraId="5A371DC7" w14:textId="77777777" w:rsidR="00C56CFB" w:rsidRDefault="00C56CFB" w:rsidP="00C56CFB">
      <w:pPr>
        <w:pStyle w:val="Heading4"/>
      </w:pPr>
      <w:r>
        <w:t>Nanoparticle Tracking Analysis (NTA) measurements</w:t>
      </w:r>
    </w:p>
    <w:p w14:paraId="0F7E3D27" w14:textId="77777777" w:rsidR="00C56CFB" w:rsidRDefault="00C56CFB">
      <w:r>
        <w:t>Concentration and size distribution of nanoparticles were analysed using a NanoSight LM10 system with a NanoSight LM14 viewing unit used for temperature control (NanoSight Ltd., Amesbury, UK). HPLC-grade water used for dissolving the cosolutes was analysed using the highest camera level used during the analysis as a control to ensure nanoparticle contamination was minimal. All water control tracks showed a concentration of 0 particles/mL.</w:t>
      </w:r>
    </w:p>
    <w:p w14:paraId="78FCBD2F" w14:textId="77777777" w:rsidR="00C56CFB" w:rsidRDefault="00C56CFB">
      <w:r>
        <w:t xml:space="preserve">Samples of differing concentrations of cosolute (arginine, lysine or GdnHCl) at pH 7 were inserted into the sample chamber using a sterile syringe. The temperature was set to 25 </w:t>
      </w:r>
      <w:r>
        <w:rPr>
          <w:rFonts w:ascii="Times New Roman" w:hAnsi="Times New Roman" w:cs="Times New Roman"/>
        </w:rPr>
        <w:t>°</w:t>
      </w:r>
      <w:r>
        <w:t xml:space="preserve">C using the LM14 temperature control and left for 5 minutes to equilibrate. For samples that were measured at 50 </w:t>
      </w:r>
      <w:r>
        <w:rPr>
          <w:rFonts w:ascii="Times New Roman" w:hAnsi="Times New Roman" w:cs="Times New Roman"/>
        </w:rPr>
        <w:t>°</w:t>
      </w:r>
      <w:r>
        <w:t xml:space="preserve">C the sample chamber was subsequently heated to 50 </w:t>
      </w:r>
      <w:r>
        <w:rPr>
          <w:rFonts w:ascii="Times New Roman" w:hAnsi="Times New Roman" w:cs="Times New Roman"/>
        </w:rPr>
        <w:t>°</w:t>
      </w:r>
      <w:r>
        <w:t>C and left to equilibrate for 10 minutes, to ensure that any changes in cluster formation had occurred. Three sets of 90 second video (suitable for polydisperse samples) were captured for each sample and averaged. Camera level was altered for each sample individually to provide the best contrast between particles and background. It had an overall tendency to be higher for low concentrations and lower for higher concentrations. The arginine experiment was repeated with a different batch to check that impurities were not the cause of nanoparticle formation. This showed similar results within experimental error.</w:t>
      </w:r>
    </w:p>
    <w:p w14:paraId="12F2A0E0" w14:textId="77777777" w:rsidR="00C56CFB" w:rsidRDefault="00C56CFB">
      <w:r>
        <w:t xml:space="preserve">NanoSight NTA 2.3 software was used to analyse the videos. During analysis detection threshold was set to 10, minimum expected size at auto, temperature was set to that of the LM14 viewing unit and viscosity was set manually to the values obtained using the A&amp;D Vibro Viscometer as described below. </w:t>
      </w:r>
    </w:p>
    <w:p w14:paraId="01125AF7" w14:textId="77777777" w:rsidR="00C56CFB" w:rsidRPr="00D35F0C" w:rsidRDefault="00C56CFB">
      <w:r>
        <w:t xml:space="preserve"> Screening experiments of arginine interactions using NaCl were carried out as above. A second control of 1 M NaCl solution was carried out and showed a comparatively low average concentration of 0.13x10</w:t>
      </w:r>
      <w:r>
        <w:rPr>
          <w:vertAlign w:val="superscript"/>
        </w:rPr>
        <w:t>8</w:t>
      </w:r>
      <w:r>
        <w:t xml:space="preserve"> particles/mL, which is within the expected concentration for impurities and will not affect the analysis of the screening experiments.</w:t>
      </w:r>
    </w:p>
    <w:p w14:paraId="383861F0" w14:textId="77777777" w:rsidR="00C56CFB" w:rsidRDefault="00C56CFB" w:rsidP="00C56CFB">
      <w:pPr>
        <w:pStyle w:val="Heading4"/>
      </w:pPr>
      <w:r>
        <w:t>Viscosity Measurements</w:t>
      </w:r>
    </w:p>
    <w:p w14:paraId="66121478" w14:textId="77777777" w:rsidR="00C56CFB" w:rsidRDefault="00C56CFB" w:rsidP="00C56CFB">
      <w:r>
        <w:t>Viscosity measurements were taken using an A&amp;D Vibro Viscometer SV-1A (A&amp;D Company Limited, Tokyo, Japan). Equipment was calibrated with HPLC grade water at the desired temperature between each measurement, using values of 0.89 mPa</w:t>
      </w:r>
      <w:r>
        <w:rPr>
          <w:rFonts w:ascii="Times New Roman" w:hAnsi="Times New Roman" w:cs="Times New Roman"/>
        </w:rPr>
        <w:t>·</w:t>
      </w:r>
      <w:r>
        <w:t xml:space="preserve">s at </w:t>
      </w:r>
      <w:r w:rsidRPr="00DC0F58">
        <w:t xml:space="preserve">25 </w:t>
      </w:r>
      <w:r w:rsidRPr="00DC0F58">
        <w:rPr>
          <w:rFonts w:ascii="Times New Roman" w:hAnsi="Times New Roman" w:cs="Times New Roman"/>
        </w:rPr>
        <w:t>°</w:t>
      </w:r>
      <w:r w:rsidRPr="00DC0F58">
        <w:t>C and 0.55 mPa</w:t>
      </w:r>
      <w:r w:rsidRPr="00DC0F58">
        <w:rPr>
          <w:rFonts w:ascii="Times New Roman" w:hAnsi="Times New Roman" w:cs="Times New Roman"/>
        </w:rPr>
        <w:t>·</w:t>
      </w:r>
      <w:r w:rsidRPr="00DC0F58">
        <w:t xml:space="preserve">s at 50 </w:t>
      </w:r>
      <w:r w:rsidRPr="00DC0F58">
        <w:rPr>
          <w:rFonts w:ascii="Times New Roman" w:hAnsi="Times New Roman" w:cs="Times New Roman"/>
        </w:rPr>
        <w:t>°</w:t>
      </w:r>
      <w:r w:rsidRPr="00DC0F58">
        <w:t>C</w:t>
      </w:r>
      <w:r>
        <w:t xml:space="preserve">. Samples were heated beyond 50 </w:t>
      </w:r>
      <w:r w:rsidRPr="00DC0F58">
        <w:rPr>
          <w:rFonts w:ascii="Times New Roman" w:hAnsi="Times New Roman" w:cs="Times New Roman"/>
        </w:rPr>
        <w:t>°</w:t>
      </w:r>
      <w:r w:rsidRPr="00DC0F58">
        <w:t>C</w:t>
      </w:r>
      <w:r>
        <w:t xml:space="preserve"> or 25 </w:t>
      </w:r>
      <w:r w:rsidRPr="00DC0F58">
        <w:rPr>
          <w:rFonts w:ascii="Times New Roman" w:hAnsi="Times New Roman" w:cs="Times New Roman"/>
        </w:rPr>
        <w:t>°</w:t>
      </w:r>
      <w:r w:rsidRPr="00DC0F58">
        <w:t>C</w:t>
      </w:r>
      <w:r>
        <w:t xml:space="preserve">, depending on the data required, and allowed to cool down whilst measurements were taken at the desired temperatures. Viscosity measurements were recorded and inputted into the NTA software for tracking analysis. </w:t>
      </w:r>
      <w:r w:rsidRPr="007236B2">
        <w:t>The measurements taken that differed from the viscosity of water were as follows:</w:t>
      </w:r>
    </w:p>
    <w:p w14:paraId="5EA8348E" w14:textId="77777777" w:rsidR="00C56CFB" w:rsidRDefault="00C56CFB" w:rsidP="00FB0CA1">
      <w:pPr>
        <w:pStyle w:val="Caption"/>
        <w:keepNext/>
        <w:jc w:val="left"/>
      </w:pPr>
      <w:r>
        <w:t xml:space="preserve">Table </w:t>
      </w:r>
      <w:fldSimple w:instr=" STYLEREF 1 \s ">
        <w:r w:rsidR="00AA6926">
          <w:rPr>
            <w:noProof/>
          </w:rPr>
          <w:t>5</w:t>
        </w:r>
      </w:fldSimple>
      <w:r>
        <w:noBreakHyphen/>
      </w:r>
      <w:fldSimple w:instr=" SEQ Table \* ARABIC \s 1 ">
        <w:r w:rsidR="00AA6926">
          <w:rPr>
            <w:noProof/>
          </w:rPr>
          <w:t>1</w:t>
        </w:r>
      </w:fldSimple>
      <w:r>
        <w:t xml:space="preserve">. </w:t>
      </w:r>
      <w:r w:rsidRPr="00991F28">
        <w:t>Viscosity measurements taken for arginine, lysine and GdnHCl that differed from the measurements of pure water. All measurements were done at pH 7</w:t>
      </w:r>
    </w:p>
    <w:tbl>
      <w:tblPr>
        <w:tblStyle w:val="LightShading"/>
        <w:tblW w:w="5000" w:type="pct"/>
        <w:tblLook w:val="04A0" w:firstRow="1" w:lastRow="0" w:firstColumn="1" w:lastColumn="0" w:noHBand="0" w:noVBand="1"/>
      </w:tblPr>
      <w:tblGrid>
        <w:gridCol w:w="2223"/>
        <w:gridCol w:w="1952"/>
        <w:gridCol w:w="2541"/>
        <w:gridCol w:w="2004"/>
      </w:tblGrid>
      <w:tr w:rsidR="00C56CFB" w14:paraId="38FC0ACA"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pct"/>
            <w:shd w:val="clear" w:color="auto" w:fill="auto"/>
          </w:tcPr>
          <w:p w14:paraId="75F51A2D" w14:textId="77777777" w:rsidR="00C56CFB" w:rsidRPr="00855828" w:rsidRDefault="00C56CFB">
            <w:pPr>
              <w:rPr>
                <w:sz w:val="20"/>
                <w:szCs w:val="20"/>
              </w:rPr>
            </w:pPr>
            <w:r w:rsidRPr="00855828">
              <w:rPr>
                <w:sz w:val="20"/>
                <w:szCs w:val="20"/>
              </w:rPr>
              <w:t>Cosolute</w:t>
            </w:r>
          </w:p>
        </w:tc>
        <w:tc>
          <w:tcPr>
            <w:tcW w:w="1119" w:type="pct"/>
            <w:shd w:val="clear" w:color="auto" w:fill="auto"/>
          </w:tcPr>
          <w:p w14:paraId="56FA3472" w14:textId="77777777" w:rsidR="00C56CFB" w:rsidRPr="00855828" w:rsidRDefault="00C56CFB" w:rsidP="00C56CFB">
            <w:pPr>
              <w:cnfStyle w:val="100000000000" w:firstRow="1" w:lastRow="0" w:firstColumn="0" w:lastColumn="0" w:oddVBand="0" w:evenVBand="0" w:oddHBand="0" w:evenHBand="0" w:firstRowFirstColumn="0" w:firstRowLastColumn="0" w:lastRowFirstColumn="0" w:lastRowLastColumn="0"/>
              <w:rPr>
                <w:sz w:val="20"/>
                <w:szCs w:val="20"/>
              </w:rPr>
            </w:pPr>
            <w:r w:rsidRPr="00855828">
              <w:rPr>
                <w:sz w:val="20"/>
                <w:szCs w:val="20"/>
              </w:rPr>
              <w:t>Concentration (mM)</w:t>
            </w:r>
          </w:p>
        </w:tc>
        <w:tc>
          <w:tcPr>
            <w:tcW w:w="1457" w:type="pct"/>
            <w:shd w:val="clear" w:color="auto" w:fill="auto"/>
          </w:tcPr>
          <w:p w14:paraId="57BADC3E" w14:textId="77777777" w:rsidR="00C56CFB" w:rsidRPr="00855828" w:rsidRDefault="00C56CFB">
            <w:pPr>
              <w:cnfStyle w:val="100000000000" w:firstRow="1" w:lastRow="0" w:firstColumn="0" w:lastColumn="0" w:oddVBand="0" w:evenVBand="0" w:oddHBand="0" w:evenHBand="0" w:firstRowFirstColumn="0" w:firstRowLastColumn="0" w:lastRowFirstColumn="0" w:lastRowLastColumn="0"/>
              <w:rPr>
                <w:sz w:val="20"/>
                <w:szCs w:val="20"/>
              </w:rPr>
            </w:pPr>
            <w:r w:rsidRPr="00855828">
              <w:rPr>
                <w:sz w:val="20"/>
                <w:szCs w:val="20"/>
              </w:rPr>
              <w:t>Temperature (</w:t>
            </w:r>
            <w:r w:rsidRPr="00855828">
              <w:rPr>
                <w:rFonts w:ascii="Times New Roman" w:hAnsi="Times New Roman" w:cs="Times New Roman"/>
                <w:sz w:val="20"/>
                <w:szCs w:val="20"/>
              </w:rPr>
              <w:t>°</w:t>
            </w:r>
            <w:r w:rsidRPr="00855828">
              <w:rPr>
                <w:sz w:val="20"/>
                <w:szCs w:val="20"/>
              </w:rPr>
              <w:t>C)</w:t>
            </w:r>
          </w:p>
        </w:tc>
        <w:tc>
          <w:tcPr>
            <w:tcW w:w="1149" w:type="pct"/>
            <w:shd w:val="clear" w:color="auto" w:fill="auto"/>
          </w:tcPr>
          <w:p w14:paraId="36A026C4" w14:textId="77777777" w:rsidR="00C56CFB" w:rsidRPr="00855828" w:rsidRDefault="00C56CFB">
            <w:pPr>
              <w:cnfStyle w:val="100000000000" w:firstRow="1" w:lastRow="0" w:firstColumn="0" w:lastColumn="0" w:oddVBand="0" w:evenVBand="0" w:oddHBand="0" w:evenHBand="0" w:firstRowFirstColumn="0" w:firstRowLastColumn="0" w:lastRowFirstColumn="0" w:lastRowLastColumn="0"/>
              <w:rPr>
                <w:sz w:val="20"/>
                <w:szCs w:val="20"/>
              </w:rPr>
            </w:pPr>
            <w:r w:rsidRPr="00855828">
              <w:rPr>
                <w:sz w:val="20"/>
                <w:szCs w:val="20"/>
              </w:rPr>
              <w:t>Viscosity (mPa</w:t>
            </w:r>
            <w:r w:rsidRPr="00855828">
              <w:rPr>
                <w:rFonts w:ascii="Times New Roman" w:hAnsi="Times New Roman" w:cs="Times New Roman"/>
                <w:sz w:val="20"/>
                <w:szCs w:val="20"/>
              </w:rPr>
              <w:t>·</w:t>
            </w:r>
            <w:r w:rsidRPr="00855828">
              <w:rPr>
                <w:sz w:val="20"/>
                <w:szCs w:val="20"/>
              </w:rPr>
              <w:t>s)</w:t>
            </w:r>
          </w:p>
        </w:tc>
      </w:tr>
      <w:tr w:rsidR="00C56CFB" w14:paraId="6C4D9F82"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pct"/>
            <w:shd w:val="clear" w:color="auto" w:fill="auto"/>
          </w:tcPr>
          <w:p w14:paraId="3836BC34" w14:textId="77777777" w:rsidR="00C56CFB" w:rsidRPr="00855828" w:rsidRDefault="00C56CFB" w:rsidP="00C56CFB">
            <w:pPr>
              <w:spacing w:before="0" w:after="0"/>
              <w:rPr>
                <w:b w:val="0"/>
                <w:sz w:val="20"/>
                <w:szCs w:val="20"/>
              </w:rPr>
            </w:pPr>
            <w:r w:rsidRPr="00855828">
              <w:rPr>
                <w:b w:val="0"/>
                <w:sz w:val="20"/>
                <w:szCs w:val="20"/>
              </w:rPr>
              <w:t>Arginine</w:t>
            </w:r>
          </w:p>
        </w:tc>
        <w:tc>
          <w:tcPr>
            <w:tcW w:w="1119" w:type="pct"/>
            <w:shd w:val="clear" w:color="auto" w:fill="auto"/>
          </w:tcPr>
          <w:p w14:paraId="26DEE20C" w14:textId="77777777" w:rsidR="00C56CFB" w:rsidRPr="00855828"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855828">
              <w:rPr>
                <w:sz w:val="20"/>
                <w:szCs w:val="20"/>
              </w:rPr>
              <w:t>750</w:t>
            </w:r>
          </w:p>
        </w:tc>
        <w:tc>
          <w:tcPr>
            <w:tcW w:w="1457" w:type="pct"/>
            <w:shd w:val="clear" w:color="auto" w:fill="auto"/>
          </w:tcPr>
          <w:p w14:paraId="4F92A0F4" w14:textId="77777777" w:rsidR="00C56CFB" w:rsidRPr="00855828"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855828">
              <w:rPr>
                <w:sz w:val="20"/>
                <w:szCs w:val="20"/>
              </w:rPr>
              <w:t>25</w:t>
            </w:r>
          </w:p>
        </w:tc>
        <w:tc>
          <w:tcPr>
            <w:tcW w:w="1149" w:type="pct"/>
            <w:shd w:val="clear" w:color="auto" w:fill="auto"/>
          </w:tcPr>
          <w:p w14:paraId="47358C21" w14:textId="77777777" w:rsidR="00C56CFB" w:rsidRPr="00855828"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855828">
              <w:rPr>
                <w:sz w:val="20"/>
                <w:szCs w:val="20"/>
              </w:rPr>
              <w:t>1.27</w:t>
            </w:r>
          </w:p>
        </w:tc>
      </w:tr>
      <w:tr w:rsidR="00C56CFB" w14:paraId="1BD3BBE7" w14:textId="77777777" w:rsidTr="00DB3655">
        <w:tc>
          <w:tcPr>
            <w:cnfStyle w:val="001000000000" w:firstRow="0" w:lastRow="0" w:firstColumn="1" w:lastColumn="0" w:oddVBand="0" w:evenVBand="0" w:oddHBand="0" w:evenHBand="0" w:firstRowFirstColumn="0" w:firstRowLastColumn="0" w:lastRowFirstColumn="0" w:lastRowLastColumn="0"/>
            <w:tcW w:w="1275" w:type="pct"/>
            <w:shd w:val="clear" w:color="auto" w:fill="auto"/>
          </w:tcPr>
          <w:p w14:paraId="78ED300A" w14:textId="77777777" w:rsidR="00C56CFB" w:rsidRPr="00855828" w:rsidRDefault="00C56CFB" w:rsidP="00C56CFB">
            <w:pPr>
              <w:spacing w:before="0" w:after="0"/>
              <w:rPr>
                <w:b w:val="0"/>
                <w:sz w:val="20"/>
                <w:szCs w:val="20"/>
              </w:rPr>
            </w:pPr>
            <w:r w:rsidRPr="00855828">
              <w:rPr>
                <w:b w:val="0"/>
                <w:sz w:val="20"/>
                <w:szCs w:val="20"/>
              </w:rPr>
              <w:t>Arginine</w:t>
            </w:r>
          </w:p>
        </w:tc>
        <w:tc>
          <w:tcPr>
            <w:tcW w:w="1119" w:type="pct"/>
            <w:shd w:val="clear" w:color="auto" w:fill="auto"/>
          </w:tcPr>
          <w:p w14:paraId="3E58EC8A" w14:textId="77777777" w:rsidR="00C56CFB" w:rsidRPr="00855828"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855828">
              <w:rPr>
                <w:sz w:val="20"/>
                <w:szCs w:val="20"/>
              </w:rPr>
              <w:t>1000</w:t>
            </w:r>
          </w:p>
        </w:tc>
        <w:tc>
          <w:tcPr>
            <w:tcW w:w="1457" w:type="pct"/>
            <w:shd w:val="clear" w:color="auto" w:fill="auto"/>
          </w:tcPr>
          <w:p w14:paraId="74773C2D" w14:textId="77777777" w:rsidR="00C56CFB" w:rsidRPr="00855828"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855828">
              <w:rPr>
                <w:sz w:val="20"/>
                <w:szCs w:val="20"/>
              </w:rPr>
              <w:t>25</w:t>
            </w:r>
          </w:p>
        </w:tc>
        <w:tc>
          <w:tcPr>
            <w:tcW w:w="1149" w:type="pct"/>
            <w:shd w:val="clear" w:color="auto" w:fill="auto"/>
          </w:tcPr>
          <w:p w14:paraId="1D4C8695" w14:textId="77777777" w:rsidR="00C56CFB" w:rsidRPr="00855828"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855828">
              <w:rPr>
                <w:sz w:val="20"/>
                <w:szCs w:val="20"/>
              </w:rPr>
              <w:t>1.36</w:t>
            </w:r>
          </w:p>
        </w:tc>
      </w:tr>
      <w:tr w:rsidR="00C56CFB" w14:paraId="25A0DDA5"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pct"/>
            <w:shd w:val="clear" w:color="auto" w:fill="auto"/>
          </w:tcPr>
          <w:p w14:paraId="24DC421E" w14:textId="77777777" w:rsidR="00C56CFB" w:rsidRPr="00855828" w:rsidRDefault="00C56CFB" w:rsidP="00C56CFB">
            <w:pPr>
              <w:spacing w:before="0" w:after="0"/>
              <w:rPr>
                <w:b w:val="0"/>
                <w:sz w:val="20"/>
                <w:szCs w:val="20"/>
              </w:rPr>
            </w:pPr>
            <w:r w:rsidRPr="00855828">
              <w:rPr>
                <w:b w:val="0"/>
                <w:sz w:val="20"/>
                <w:szCs w:val="20"/>
              </w:rPr>
              <w:t>Arginine</w:t>
            </w:r>
          </w:p>
        </w:tc>
        <w:tc>
          <w:tcPr>
            <w:tcW w:w="1119" w:type="pct"/>
            <w:shd w:val="clear" w:color="auto" w:fill="auto"/>
          </w:tcPr>
          <w:p w14:paraId="30E15164" w14:textId="77777777" w:rsidR="00C56CFB" w:rsidRPr="00855828"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855828">
              <w:rPr>
                <w:sz w:val="20"/>
                <w:szCs w:val="20"/>
              </w:rPr>
              <w:t>750</w:t>
            </w:r>
          </w:p>
        </w:tc>
        <w:tc>
          <w:tcPr>
            <w:tcW w:w="1457" w:type="pct"/>
            <w:shd w:val="clear" w:color="auto" w:fill="auto"/>
          </w:tcPr>
          <w:p w14:paraId="4EFC30A9" w14:textId="77777777" w:rsidR="00C56CFB" w:rsidRPr="00855828"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855828">
              <w:rPr>
                <w:sz w:val="20"/>
                <w:szCs w:val="20"/>
              </w:rPr>
              <w:t>50</w:t>
            </w:r>
          </w:p>
        </w:tc>
        <w:tc>
          <w:tcPr>
            <w:tcW w:w="1149" w:type="pct"/>
            <w:shd w:val="clear" w:color="auto" w:fill="auto"/>
          </w:tcPr>
          <w:p w14:paraId="3BE39A3D" w14:textId="77777777" w:rsidR="00C56CFB" w:rsidRPr="00855828"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855828">
              <w:rPr>
                <w:sz w:val="20"/>
                <w:szCs w:val="20"/>
              </w:rPr>
              <w:t>0.73</w:t>
            </w:r>
          </w:p>
        </w:tc>
      </w:tr>
      <w:tr w:rsidR="00C56CFB" w14:paraId="39BC1D14" w14:textId="77777777" w:rsidTr="00DB3655">
        <w:tc>
          <w:tcPr>
            <w:cnfStyle w:val="001000000000" w:firstRow="0" w:lastRow="0" w:firstColumn="1" w:lastColumn="0" w:oddVBand="0" w:evenVBand="0" w:oddHBand="0" w:evenHBand="0" w:firstRowFirstColumn="0" w:firstRowLastColumn="0" w:lastRowFirstColumn="0" w:lastRowLastColumn="0"/>
            <w:tcW w:w="1275" w:type="pct"/>
            <w:shd w:val="clear" w:color="auto" w:fill="auto"/>
          </w:tcPr>
          <w:p w14:paraId="2763C15C" w14:textId="77777777" w:rsidR="00C56CFB" w:rsidRPr="00855828" w:rsidRDefault="00C56CFB" w:rsidP="00C56CFB">
            <w:pPr>
              <w:spacing w:before="0" w:after="0"/>
              <w:rPr>
                <w:b w:val="0"/>
                <w:sz w:val="20"/>
                <w:szCs w:val="20"/>
              </w:rPr>
            </w:pPr>
            <w:r w:rsidRPr="00855828">
              <w:rPr>
                <w:b w:val="0"/>
                <w:sz w:val="20"/>
                <w:szCs w:val="20"/>
              </w:rPr>
              <w:t>Arginine</w:t>
            </w:r>
          </w:p>
        </w:tc>
        <w:tc>
          <w:tcPr>
            <w:tcW w:w="1119" w:type="pct"/>
            <w:shd w:val="clear" w:color="auto" w:fill="auto"/>
          </w:tcPr>
          <w:p w14:paraId="38FDA5AA" w14:textId="77777777" w:rsidR="00C56CFB" w:rsidRPr="00855828"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855828">
              <w:rPr>
                <w:sz w:val="20"/>
                <w:szCs w:val="20"/>
              </w:rPr>
              <w:t>1000</w:t>
            </w:r>
          </w:p>
        </w:tc>
        <w:tc>
          <w:tcPr>
            <w:tcW w:w="1457" w:type="pct"/>
            <w:shd w:val="clear" w:color="auto" w:fill="auto"/>
          </w:tcPr>
          <w:p w14:paraId="75C929EB" w14:textId="77777777" w:rsidR="00C56CFB" w:rsidRPr="00855828"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855828">
              <w:rPr>
                <w:sz w:val="20"/>
                <w:szCs w:val="20"/>
              </w:rPr>
              <w:t>50</w:t>
            </w:r>
          </w:p>
        </w:tc>
        <w:tc>
          <w:tcPr>
            <w:tcW w:w="1149" w:type="pct"/>
            <w:shd w:val="clear" w:color="auto" w:fill="auto"/>
          </w:tcPr>
          <w:p w14:paraId="415A214B" w14:textId="77777777" w:rsidR="00C56CFB" w:rsidRPr="00855828"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855828">
              <w:rPr>
                <w:sz w:val="20"/>
                <w:szCs w:val="20"/>
              </w:rPr>
              <w:t>0.81</w:t>
            </w:r>
          </w:p>
        </w:tc>
      </w:tr>
      <w:tr w:rsidR="00C56CFB" w14:paraId="1DD74E4C"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pct"/>
            <w:shd w:val="clear" w:color="auto" w:fill="auto"/>
          </w:tcPr>
          <w:p w14:paraId="00B45226" w14:textId="77777777" w:rsidR="00C56CFB" w:rsidRPr="00855828" w:rsidRDefault="00C56CFB" w:rsidP="00C56CFB">
            <w:pPr>
              <w:spacing w:before="0" w:after="0"/>
              <w:rPr>
                <w:b w:val="0"/>
                <w:sz w:val="20"/>
                <w:szCs w:val="20"/>
              </w:rPr>
            </w:pPr>
            <w:r w:rsidRPr="00855828">
              <w:rPr>
                <w:b w:val="0"/>
                <w:sz w:val="20"/>
                <w:szCs w:val="20"/>
              </w:rPr>
              <w:t>Lysine</w:t>
            </w:r>
          </w:p>
        </w:tc>
        <w:tc>
          <w:tcPr>
            <w:tcW w:w="1119" w:type="pct"/>
            <w:shd w:val="clear" w:color="auto" w:fill="auto"/>
          </w:tcPr>
          <w:p w14:paraId="20C03307" w14:textId="77777777" w:rsidR="00C56CFB" w:rsidRPr="00855828"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855828">
              <w:rPr>
                <w:sz w:val="20"/>
                <w:szCs w:val="20"/>
              </w:rPr>
              <w:t>250</w:t>
            </w:r>
          </w:p>
        </w:tc>
        <w:tc>
          <w:tcPr>
            <w:tcW w:w="1457" w:type="pct"/>
            <w:shd w:val="clear" w:color="auto" w:fill="auto"/>
          </w:tcPr>
          <w:p w14:paraId="0872685E" w14:textId="77777777" w:rsidR="00C56CFB" w:rsidRPr="00855828"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855828">
              <w:rPr>
                <w:sz w:val="20"/>
                <w:szCs w:val="20"/>
              </w:rPr>
              <w:t>25</w:t>
            </w:r>
          </w:p>
        </w:tc>
        <w:tc>
          <w:tcPr>
            <w:tcW w:w="1149" w:type="pct"/>
            <w:shd w:val="clear" w:color="auto" w:fill="auto"/>
          </w:tcPr>
          <w:p w14:paraId="281A8E71" w14:textId="77777777" w:rsidR="00C56CFB" w:rsidRPr="00855828"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855828">
              <w:rPr>
                <w:sz w:val="20"/>
                <w:szCs w:val="20"/>
              </w:rPr>
              <w:t>0.93</w:t>
            </w:r>
          </w:p>
        </w:tc>
      </w:tr>
      <w:tr w:rsidR="00C56CFB" w14:paraId="2EC82570" w14:textId="77777777" w:rsidTr="00DB3655">
        <w:tc>
          <w:tcPr>
            <w:cnfStyle w:val="001000000000" w:firstRow="0" w:lastRow="0" w:firstColumn="1" w:lastColumn="0" w:oddVBand="0" w:evenVBand="0" w:oddHBand="0" w:evenHBand="0" w:firstRowFirstColumn="0" w:firstRowLastColumn="0" w:lastRowFirstColumn="0" w:lastRowLastColumn="0"/>
            <w:tcW w:w="1275" w:type="pct"/>
            <w:shd w:val="clear" w:color="auto" w:fill="auto"/>
          </w:tcPr>
          <w:p w14:paraId="67E36F25" w14:textId="77777777" w:rsidR="00C56CFB" w:rsidRPr="00855828" w:rsidRDefault="00C56CFB" w:rsidP="00C56CFB">
            <w:pPr>
              <w:spacing w:before="0" w:after="0"/>
              <w:rPr>
                <w:b w:val="0"/>
                <w:sz w:val="20"/>
                <w:szCs w:val="20"/>
              </w:rPr>
            </w:pPr>
            <w:r w:rsidRPr="00855828">
              <w:rPr>
                <w:b w:val="0"/>
                <w:sz w:val="20"/>
                <w:szCs w:val="20"/>
              </w:rPr>
              <w:t>Lysine</w:t>
            </w:r>
          </w:p>
        </w:tc>
        <w:tc>
          <w:tcPr>
            <w:tcW w:w="1119" w:type="pct"/>
            <w:shd w:val="clear" w:color="auto" w:fill="auto"/>
          </w:tcPr>
          <w:p w14:paraId="1B2BC31C" w14:textId="77777777" w:rsidR="00C56CFB" w:rsidRPr="00855828"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855828">
              <w:rPr>
                <w:sz w:val="20"/>
                <w:szCs w:val="20"/>
              </w:rPr>
              <w:t>500</w:t>
            </w:r>
          </w:p>
        </w:tc>
        <w:tc>
          <w:tcPr>
            <w:tcW w:w="1457" w:type="pct"/>
            <w:shd w:val="clear" w:color="auto" w:fill="auto"/>
          </w:tcPr>
          <w:p w14:paraId="78E8D11A" w14:textId="77777777" w:rsidR="00C56CFB" w:rsidRPr="00855828"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855828">
              <w:rPr>
                <w:sz w:val="20"/>
                <w:szCs w:val="20"/>
              </w:rPr>
              <w:t>25</w:t>
            </w:r>
          </w:p>
        </w:tc>
        <w:tc>
          <w:tcPr>
            <w:tcW w:w="1149" w:type="pct"/>
            <w:shd w:val="clear" w:color="auto" w:fill="auto"/>
          </w:tcPr>
          <w:p w14:paraId="16AABAAC" w14:textId="77777777" w:rsidR="00C56CFB" w:rsidRPr="00855828"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855828">
              <w:rPr>
                <w:sz w:val="20"/>
                <w:szCs w:val="20"/>
              </w:rPr>
              <w:t>1.06</w:t>
            </w:r>
          </w:p>
        </w:tc>
      </w:tr>
      <w:tr w:rsidR="00C56CFB" w14:paraId="545C8BF0"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pct"/>
            <w:shd w:val="clear" w:color="auto" w:fill="auto"/>
          </w:tcPr>
          <w:p w14:paraId="4F510211" w14:textId="77777777" w:rsidR="00C56CFB" w:rsidRPr="00855828" w:rsidRDefault="00C56CFB" w:rsidP="00C56CFB">
            <w:pPr>
              <w:spacing w:before="0" w:after="0"/>
              <w:rPr>
                <w:b w:val="0"/>
                <w:sz w:val="20"/>
                <w:szCs w:val="20"/>
              </w:rPr>
            </w:pPr>
            <w:r w:rsidRPr="00855828">
              <w:rPr>
                <w:b w:val="0"/>
                <w:sz w:val="20"/>
                <w:szCs w:val="20"/>
              </w:rPr>
              <w:t>Lysine</w:t>
            </w:r>
          </w:p>
        </w:tc>
        <w:tc>
          <w:tcPr>
            <w:tcW w:w="1119" w:type="pct"/>
            <w:shd w:val="clear" w:color="auto" w:fill="auto"/>
          </w:tcPr>
          <w:p w14:paraId="71C931D8" w14:textId="77777777" w:rsidR="00C56CFB" w:rsidRPr="00855828"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855828">
              <w:rPr>
                <w:sz w:val="20"/>
                <w:szCs w:val="20"/>
              </w:rPr>
              <w:t>750</w:t>
            </w:r>
          </w:p>
        </w:tc>
        <w:tc>
          <w:tcPr>
            <w:tcW w:w="1457" w:type="pct"/>
            <w:shd w:val="clear" w:color="auto" w:fill="auto"/>
          </w:tcPr>
          <w:p w14:paraId="4E8A2C58" w14:textId="77777777" w:rsidR="00C56CFB" w:rsidRPr="00855828"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855828">
              <w:rPr>
                <w:sz w:val="20"/>
                <w:szCs w:val="20"/>
              </w:rPr>
              <w:t>25</w:t>
            </w:r>
          </w:p>
        </w:tc>
        <w:tc>
          <w:tcPr>
            <w:tcW w:w="1149" w:type="pct"/>
            <w:shd w:val="clear" w:color="auto" w:fill="auto"/>
          </w:tcPr>
          <w:p w14:paraId="25D415FF" w14:textId="77777777" w:rsidR="00C56CFB" w:rsidRPr="00855828"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855828">
              <w:rPr>
                <w:sz w:val="20"/>
                <w:szCs w:val="20"/>
              </w:rPr>
              <w:t>1.23</w:t>
            </w:r>
          </w:p>
        </w:tc>
      </w:tr>
      <w:tr w:rsidR="00C56CFB" w14:paraId="744FCAC4" w14:textId="77777777" w:rsidTr="00DB3655">
        <w:tc>
          <w:tcPr>
            <w:cnfStyle w:val="001000000000" w:firstRow="0" w:lastRow="0" w:firstColumn="1" w:lastColumn="0" w:oddVBand="0" w:evenVBand="0" w:oddHBand="0" w:evenHBand="0" w:firstRowFirstColumn="0" w:firstRowLastColumn="0" w:lastRowFirstColumn="0" w:lastRowLastColumn="0"/>
            <w:tcW w:w="1275" w:type="pct"/>
            <w:shd w:val="clear" w:color="auto" w:fill="auto"/>
          </w:tcPr>
          <w:p w14:paraId="7D7147C8" w14:textId="77777777" w:rsidR="00C56CFB" w:rsidRPr="00855828" w:rsidRDefault="00C56CFB" w:rsidP="00C56CFB">
            <w:pPr>
              <w:spacing w:before="0" w:after="0"/>
              <w:rPr>
                <w:b w:val="0"/>
                <w:sz w:val="20"/>
                <w:szCs w:val="20"/>
              </w:rPr>
            </w:pPr>
            <w:r w:rsidRPr="00855828">
              <w:rPr>
                <w:b w:val="0"/>
                <w:sz w:val="20"/>
                <w:szCs w:val="20"/>
              </w:rPr>
              <w:t>Lysine</w:t>
            </w:r>
          </w:p>
        </w:tc>
        <w:tc>
          <w:tcPr>
            <w:tcW w:w="1119" w:type="pct"/>
            <w:shd w:val="clear" w:color="auto" w:fill="auto"/>
          </w:tcPr>
          <w:p w14:paraId="7DDBBC70" w14:textId="77777777" w:rsidR="00C56CFB" w:rsidRPr="00855828"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855828">
              <w:rPr>
                <w:sz w:val="20"/>
                <w:szCs w:val="20"/>
              </w:rPr>
              <w:t>1000</w:t>
            </w:r>
          </w:p>
        </w:tc>
        <w:tc>
          <w:tcPr>
            <w:tcW w:w="1457" w:type="pct"/>
            <w:shd w:val="clear" w:color="auto" w:fill="auto"/>
          </w:tcPr>
          <w:p w14:paraId="71D90D65" w14:textId="77777777" w:rsidR="00C56CFB" w:rsidRPr="00855828"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855828">
              <w:rPr>
                <w:sz w:val="20"/>
                <w:szCs w:val="20"/>
              </w:rPr>
              <w:t>25</w:t>
            </w:r>
          </w:p>
        </w:tc>
        <w:tc>
          <w:tcPr>
            <w:tcW w:w="1149" w:type="pct"/>
            <w:shd w:val="clear" w:color="auto" w:fill="auto"/>
          </w:tcPr>
          <w:p w14:paraId="2EE3CD82" w14:textId="77777777" w:rsidR="00C56CFB" w:rsidRPr="00855828"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855828">
              <w:rPr>
                <w:sz w:val="20"/>
                <w:szCs w:val="20"/>
              </w:rPr>
              <w:t>1.34</w:t>
            </w:r>
          </w:p>
        </w:tc>
      </w:tr>
      <w:tr w:rsidR="00C56CFB" w14:paraId="1C255744"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pct"/>
            <w:shd w:val="clear" w:color="auto" w:fill="auto"/>
          </w:tcPr>
          <w:p w14:paraId="3422B98A" w14:textId="77777777" w:rsidR="00C56CFB" w:rsidRPr="00855828" w:rsidRDefault="00C56CFB" w:rsidP="00C56CFB">
            <w:pPr>
              <w:spacing w:before="0" w:after="0"/>
              <w:rPr>
                <w:b w:val="0"/>
                <w:sz w:val="20"/>
                <w:szCs w:val="20"/>
              </w:rPr>
            </w:pPr>
            <w:r w:rsidRPr="00855828">
              <w:rPr>
                <w:b w:val="0"/>
                <w:sz w:val="20"/>
                <w:szCs w:val="20"/>
              </w:rPr>
              <w:t>GdnHCl</w:t>
            </w:r>
          </w:p>
        </w:tc>
        <w:tc>
          <w:tcPr>
            <w:tcW w:w="1119" w:type="pct"/>
            <w:shd w:val="clear" w:color="auto" w:fill="auto"/>
          </w:tcPr>
          <w:p w14:paraId="3334B22F" w14:textId="77777777" w:rsidR="00C56CFB" w:rsidRPr="00855828"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855828">
              <w:rPr>
                <w:sz w:val="20"/>
                <w:szCs w:val="20"/>
              </w:rPr>
              <w:t>750</w:t>
            </w:r>
          </w:p>
        </w:tc>
        <w:tc>
          <w:tcPr>
            <w:tcW w:w="1457" w:type="pct"/>
            <w:shd w:val="clear" w:color="auto" w:fill="auto"/>
          </w:tcPr>
          <w:p w14:paraId="07A480C1" w14:textId="77777777" w:rsidR="00C56CFB" w:rsidRPr="00855828"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855828">
              <w:rPr>
                <w:sz w:val="20"/>
                <w:szCs w:val="20"/>
              </w:rPr>
              <w:t>25</w:t>
            </w:r>
          </w:p>
        </w:tc>
        <w:tc>
          <w:tcPr>
            <w:tcW w:w="1149" w:type="pct"/>
            <w:shd w:val="clear" w:color="auto" w:fill="auto"/>
          </w:tcPr>
          <w:p w14:paraId="4CEC311F" w14:textId="77777777" w:rsidR="00C56CFB" w:rsidRPr="00855828"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855828">
              <w:rPr>
                <w:sz w:val="20"/>
                <w:szCs w:val="20"/>
              </w:rPr>
              <w:t>0.91</w:t>
            </w:r>
          </w:p>
        </w:tc>
      </w:tr>
      <w:tr w:rsidR="00C56CFB" w14:paraId="46FA5201" w14:textId="77777777" w:rsidTr="00DB3655">
        <w:tc>
          <w:tcPr>
            <w:cnfStyle w:val="001000000000" w:firstRow="0" w:lastRow="0" w:firstColumn="1" w:lastColumn="0" w:oddVBand="0" w:evenVBand="0" w:oddHBand="0" w:evenHBand="0" w:firstRowFirstColumn="0" w:firstRowLastColumn="0" w:lastRowFirstColumn="0" w:lastRowLastColumn="0"/>
            <w:tcW w:w="1275" w:type="pct"/>
            <w:shd w:val="clear" w:color="auto" w:fill="auto"/>
          </w:tcPr>
          <w:p w14:paraId="5F919FD9" w14:textId="77777777" w:rsidR="00C56CFB" w:rsidRPr="00855828" w:rsidRDefault="00C56CFB" w:rsidP="00C56CFB">
            <w:pPr>
              <w:spacing w:before="0" w:after="0"/>
              <w:rPr>
                <w:b w:val="0"/>
                <w:sz w:val="20"/>
                <w:szCs w:val="20"/>
              </w:rPr>
            </w:pPr>
            <w:r w:rsidRPr="00855828">
              <w:rPr>
                <w:b w:val="0"/>
                <w:sz w:val="20"/>
                <w:szCs w:val="20"/>
              </w:rPr>
              <w:t>GdnHCl</w:t>
            </w:r>
          </w:p>
        </w:tc>
        <w:tc>
          <w:tcPr>
            <w:tcW w:w="1119" w:type="pct"/>
            <w:shd w:val="clear" w:color="auto" w:fill="auto"/>
          </w:tcPr>
          <w:p w14:paraId="70AE20FE" w14:textId="77777777" w:rsidR="00C56CFB" w:rsidRPr="00855828"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855828">
              <w:rPr>
                <w:sz w:val="20"/>
                <w:szCs w:val="20"/>
              </w:rPr>
              <w:t>1000</w:t>
            </w:r>
          </w:p>
        </w:tc>
        <w:tc>
          <w:tcPr>
            <w:tcW w:w="1457" w:type="pct"/>
            <w:shd w:val="clear" w:color="auto" w:fill="auto"/>
          </w:tcPr>
          <w:p w14:paraId="6334B651" w14:textId="77777777" w:rsidR="00C56CFB" w:rsidRPr="00855828"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855828">
              <w:rPr>
                <w:sz w:val="20"/>
                <w:szCs w:val="20"/>
              </w:rPr>
              <w:t>25</w:t>
            </w:r>
          </w:p>
        </w:tc>
        <w:tc>
          <w:tcPr>
            <w:tcW w:w="1149" w:type="pct"/>
            <w:shd w:val="clear" w:color="auto" w:fill="auto"/>
          </w:tcPr>
          <w:p w14:paraId="78433FFA" w14:textId="77777777" w:rsidR="00C56CFB" w:rsidRPr="00855828"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855828">
              <w:rPr>
                <w:sz w:val="20"/>
                <w:szCs w:val="20"/>
              </w:rPr>
              <w:t>0.98</w:t>
            </w:r>
          </w:p>
        </w:tc>
      </w:tr>
    </w:tbl>
    <w:p w14:paraId="0C28D7B1" w14:textId="77777777" w:rsidR="00C56CFB" w:rsidRDefault="00C56CFB"/>
    <w:p w14:paraId="15E76749" w14:textId="77777777" w:rsidR="00C56CFB" w:rsidRDefault="00C56CFB" w:rsidP="00FB0CA1">
      <w:pPr>
        <w:pStyle w:val="Caption"/>
        <w:jc w:val="left"/>
      </w:pPr>
      <w:r>
        <w:t xml:space="preserve">Table </w:t>
      </w:r>
      <w:fldSimple w:instr=" STYLEREF 1 \s ">
        <w:r w:rsidR="00AA6926">
          <w:rPr>
            <w:noProof/>
          </w:rPr>
          <w:t>5</w:t>
        </w:r>
      </w:fldSimple>
      <w:r>
        <w:noBreakHyphen/>
      </w:r>
      <w:fldSimple w:instr=" SEQ Table \* ARABIC \s 1 ">
        <w:r w:rsidR="00AA6926">
          <w:rPr>
            <w:noProof/>
          </w:rPr>
          <w:t>2</w:t>
        </w:r>
      </w:fldSimple>
      <w:r>
        <w:t>. Viscosity measurements taken for arginine NaCl mixtures that differed from the measurements of pure water. All measurements were done at pH 7</w:t>
      </w:r>
    </w:p>
    <w:tbl>
      <w:tblPr>
        <w:tblStyle w:val="LightShading"/>
        <w:tblW w:w="0" w:type="auto"/>
        <w:tblLook w:val="04A0" w:firstRow="1" w:lastRow="0" w:firstColumn="1" w:lastColumn="0" w:noHBand="0" w:noVBand="1"/>
      </w:tblPr>
      <w:tblGrid>
        <w:gridCol w:w="2180"/>
        <w:gridCol w:w="2180"/>
        <w:gridCol w:w="2180"/>
        <w:gridCol w:w="2180"/>
      </w:tblGrid>
      <w:tr w:rsidR="00C56CFB" w14:paraId="07B42321"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69722805" w14:textId="77777777" w:rsidR="00C56CFB" w:rsidRPr="00855828" w:rsidRDefault="00C56CFB">
            <w:pPr>
              <w:rPr>
                <w:sz w:val="20"/>
                <w:szCs w:val="20"/>
              </w:rPr>
            </w:pPr>
            <w:r w:rsidRPr="00855828">
              <w:rPr>
                <w:sz w:val="20"/>
                <w:szCs w:val="20"/>
              </w:rPr>
              <w:t>Arginine Concentration (mM)</w:t>
            </w:r>
          </w:p>
        </w:tc>
        <w:tc>
          <w:tcPr>
            <w:tcW w:w="2180" w:type="dxa"/>
            <w:shd w:val="clear" w:color="auto" w:fill="auto"/>
          </w:tcPr>
          <w:p w14:paraId="5B76331D" w14:textId="77777777" w:rsidR="00C56CFB" w:rsidRPr="00855828" w:rsidRDefault="00C56CFB">
            <w:pPr>
              <w:cnfStyle w:val="100000000000" w:firstRow="1" w:lastRow="0" w:firstColumn="0" w:lastColumn="0" w:oddVBand="0" w:evenVBand="0" w:oddHBand="0" w:evenHBand="0" w:firstRowFirstColumn="0" w:firstRowLastColumn="0" w:lastRowFirstColumn="0" w:lastRowLastColumn="0"/>
              <w:rPr>
                <w:sz w:val="20"/>
                <w:szCs w:val="20"/>
              </w:rPr>
            </w:pPr>
            <w:r w:rsidRPr="00855828">
              <w:rPr>
                <w:sz w:val="20"/>
                <w:szCs w:val="20"/>
              </w:rPr>
              <w:t>NaCl concentration (mM)</w:t>
            </w:r>
          </w:p>
        </w:tc>
        <w:tc>
          <w:tcPr>
            <w:tcW w:w="2180" w:type="dxa"/>
            <w:shd w:val="clear" w:color="auto" w:fill="auto"/>
          </w:tcPr>
          <w:p w14:paraId="6093BD92" w14:textId="77777777" w:rsidR="00C56CFB" w:rsidRPr="00855828" w:rsidRDefault="00C56CFB">
            <w:pPr>
              <w:cnfStyle w:val="100000000000" w:firstRow="1" w:lastRow="0" w:firstColumn="0" w:lastColumn="0" w:oddVBand="0" w:evenVBand="0" w:oddHBand="0" w:evenHBand="0" w:firstRowFirstColumn="0" w:firstRowLastColumn="0" w:lastRowFirstColumn="0" w:lastRowLastColumn="0"/>
              <w:rPr>
                <w:sz w:val="20"/>
                <w:szCs w:val="20"/>
              </w:rPr>
            </w:pPr>
            <w:r w:rsidRPr="00855828">
              <w:rPr>
                <w:sz w:val="20"/>
                <w:szCs w:val="20"/>
              </w:rPr>
              <w:t>Temperature (</w:t>
            </w:r>
            <w:r w:rsidRPr="00855828">
              <w:rPr>
                <w:rFonts w:ascii="Times New Roman" w:hAnsi="Times New Roman" w:cs="Times New Roman"/>
                <w:sz w:val="20"/>
                <w:szCs w:val="20"/>
              </w:rPr>
              <w:t>°</w:t>
            </w:r>
            <w:r w:rsidRPr="00855828">
              <w:rPr>
                <w:sz w:val="20"/>
                <w:szCs w:val="20"/>
              </w:rPr>
              <w:t>C)</w:t>
            </w:r>
          </w:p>
        </w:tc>
        <w:tc>
          <w:tcPr>
            <w:tcW w:w="2180" w:type="dxa"/>
            <w:shd w:val="clear" w:color="auto" w:fill="auto"/>
          </w:tcPr>
          <w:p w14:paraId="1EDC624F" w14:textId="77777777" w:rsidR="00C56CFB" w:rsidRPr="00855828" w:rsidRDefault="00C56CFB">
            <w:pPr>
              <w:cnfStyle w:val="100000000000" w:firstRow="1" w:lastRow="0" w:firstColumn="0" w:lastColumn="0" w:oddVBand="0" w:evenVBand="0" w:oddHBand="0" w:evenHBand="0" w:firstRowFirstColumn="0" w:firstRowLastColumn="0" w:lastRowFirstColumn="0" w:lastRowLastColumn="0"/>
              <w:rPr>
                <w:sz w:val="20"/>
                <w:szCs w:val="20"/>
              </w:rPr>
            </w:pPr>
            <w:r w:rsidRPr="00855828">
              <w:rPr>
                <w:sz w:val="20"/>
                <w:szCs w:val="20"/>
              </w:rPr>
              <w:t>Viscosity (mPa</w:t>
            </w:r>
            <w:r w:rsidRPr="00855828">
              <w:rPr>
                <w:rFonts w:ascii="Times New Roman" w:hAnsi="Times New Roman" w:cs="Times New Roman"/>
                <w:sz w:val="20"/>
                <w:szCs w:val="20"/>
              </w:rPr>
              <w:t>·</w:t>
            </w:r>
            <w:r w:rsidRPr="00855828">
              <w:rPr>
                <w:sz w:val="20"/>
                <w:szCs w:val="20"/>
              </w:rPr>
              <w:t>s)</w:t>
            </w:r>
          </w:p>
        </w:tc>
      </w:tr>
      <w:tr w:rsidR="00C56CFB" w14:paraId="57B0D60C"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24B465D5" w14:textId="77777777" w:rsidR="00C56CFB" w:rsidRPr="00855828" w:rsidRDefault="00C56CFB" w:rsidP="00C56CFB">
            <w:pPr>
              <w:spacing w:before="0" w:after="0"/>
              <w:rPr>
                <w:b w:val="0"/>
                <w:sz w:val="20"/>
                <w:szCs w:val="20"/>
              </w:rPr>
            </w:pPr>
            <w:r w:rsidRPr="00855828">
              <w:rPr>
                <w:b w:val="0"/>
                <w:sz w:val="20"/>
                <w:szCs w:val="20"/>
              </w:rPr>
              <w:t>500</w:t>
            </w:r>
          </w:p>
        </w:tc>
        <w:tc>
          <w:tcPr>
            <w:tcW w:w="2180" w:type="dxa"/>
            <w:shd w:val="clear" w:color="auto" w:fill="auto"/>
          </w:tcPr>
          <w:p w14:paraId="37B362BD" w14:textId="77777777" w:rsidR="00C56CFB" w:rsidRPr="00855828"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855828">
              <w:rPr>
                <w:sz w:val="20"/>
                <w:szCs w:val="20"/>
              </w:rPr>
              <w:t>50</w:t>
            </w:r>
          </w:p>
        </w:tc>
        <w:tc>
          <w:tcPr>
            <w:tcW w:w="2180" w:type="dxa"/>
            <w:shd w:val="clear" w:color="auto" w:fill="auto"/>
          </w:tcPr>
          <w:p w14:paraId="77DFB5A3" w14:textId="77777777" w:rsidR="00C56CFB" w:rsidRPr="00855828"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855828">
              <w:rPr>
                <w:sz w:val="20"/>
                <w:szCs w:val="20"/>
              </w:rPr>
              <w:t>25</w:t>
            </w:r>
          </w:p>
        </w:tc>
        <w:tc>
          <w:tcPr>
            <w:tcW w:w="2180" w:type="dxa"/>
            <w:shd w:val="clear" w:color="auto" w:fill="auto"/>
          </w:tcPr>
          <w:p w14:paraId="5C482B45" w14:textId="77777777" w:rsidR="00C56CFB" w:rsidRPr="00855828"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855828">
              <w:rPr>
                <w:sz w:val="20"/>
                <w:szCs w:val="20"/>
              </w:rPr>
              <w:t>1.01</w:t>
            </w:r>
          </w:p>
        </w:tc>
      </w:tr>
      <w:tr w:rsidR="00C56CFB" w14:paraId="4D2C3D30"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36107E59" w14:textId="77777777" w:rsidR="00C56CFB" w:rsidRPr="00855828" w:rsidRDefault="00C56CFB" w:rsidP="00C56CFB">
            <w:pPr>
              <w:spacing w:before="0" w:after="0"/>
              <w:rPr>
                <w:b w:val="0"/>
                <w:sz w:val="20"/>
                <w:szCs w:val="20"/>
              </w:rPr>
            </w:pPr>
            <w:r w:rsidRPr="00855828">
              <w:rPr>
                <w:b w:val="0"/>
                <w:sz w:val="20"/>
                <w:szCs w:val="20"/>
              </w:rPr>
              <w:t>500</w:t>
            </w:r>
          </w:p>
        </w:tc>
        <w:tc>
          <w:tcPr>
            <w:tcW w:w="2180" w:type="dxa"/>
            <w:shd w:val="clear" w:color="auto" w:fill="auto"/>
          </w:tcPr>
          <w:p w14:paraId="31CBFD11" w14:textId="77777777" w:rsidR="00C56CFB" w:rsidRPr="00855828"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855828">
              <w:rPr>
                <w:sz w:val="20"/>
                <w:szCs w:val="20"/>
              </w:rPr>
              <w:t>50</w:t>
            </w:r>
          </w:p>
        </w:tc>
        <w:tc>
          <w:tcPr>
            <w:tcW w:w="2180" w:type="dxa"/>
            <w:shd w:val="clear" w:color="auto" w:fill="auto"/>
          </w:tcPr>
          <w:p w14:paraId="79B83BC1" w14:textId="77777777" w:rsidR="00C56CFB" w:rsidRPr="00855828"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855828">
              <w:rPr>
                <w:sz w:val="20"/>
                <w:szCs w:val="20"/>
              </w:rPr>
              <w:t>50</w:t>
            </w:r>
          </w:p>
        </w:tc>
        <w:tc>
          <w:tcPr>
            <w:tcW w:w="2180" w:type="dxa"/>
            <w:shd w:val="clear" w:color="auto" w:fill="auto"/>
          </w:tcPr>
          <w:p w14:paraId="2BD95F5D" w14:textId="77777777" w:rsidR="00C56CFB" w:rsidRPr="00855828"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855828">
              <w:rPr>
                <w:sz w:val="20"/>
                <w:szCs w:val="20"/>
              </w:rPr>
              <w:t>0.60</w:t>
            </w:r>
          </w:p>
        </w:tc>
      </w:tr>
      <w:tr w:rsidR="00C56CFB" w14:paraId="4A1A8E7A"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35344270" w14:textId="77777777" w:rsidR="00C56CFB" w:rsidRPr="00855828" w:rsidRDefault="00C56CFB" w:rsidP="00C56CFB">
            <w:pPr>
              <w:spacing w:before="0" w:after="0"/>
              <w:rPr>
                <w:b w:val="0"/>
                <w:sz w:val="20"/>
                <w:szCs w:val="20"/>
              </w:rPr>
            </w:pPr>
            <w:r w:rsidRPr="00855828">
              <w:rPr>
                <w:b w:val="0"/>
                <w:sz w:val="20"/>
                <w:szCs w:val="20"/>
              </w:rPr>
              <w:t>500</w:t>
            </w:r>
          </w:p>
        </w:tc>
        <w:tc>
          <w:tcPr>
            <w:tcW w:w="2180" w:type="dxa"/>
            <w:shd w:val="clear" w:color="auto" w:fill="auto"/>
          </w:tcPr>
          <w:p w14:paraId="30E5A106" w14:textId="77777777" w:rsidR="00C56CFB" w:rsidRPr="00855828"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855828">
              <w:rPr>
                <w:sz w:val="20"/>
                <w:szCs w:val="20"/>
              </w:rPr>
              <w:t>500</w:t>
            </w:r>
          </w:p>
        </w:tc>
        <w:tc>
          <w:tcPr>
            <w:tcW w:w="2180" w:type="dxa"/>
            <w:shd w:val="clear" w:color="auto" w:fill="auto"/>
          </w:tcPr>
          <w:p w14:paraId="745F30F4" w14:textId="77777777" w:rsidR="00C56CFB" w:rsidRPr="00855828"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855828">
              <w:rPr>
                <w:sz w:val="20"/>
                <w:szCs w:val="20"/>
              </w:rPr>
              <w:t>25</w:t>
            </w:r>
          </w:p>
        </w:tc>
        <w:tc>
          <w:tcPr>
            <w:tcW w:w="2180" w:type="dxa"/>
            <w:shd w:val="clear" w:color="auto" w:fill="auto"/>
          </w:tcPr>
          <w:p w14:paraId="02E5EF50" w14:textId="77777777" w:rsidR="00C56CFB" w:rsidRPr="00855828" w:rsidRDefault="00C56CFB" w:rsidP="00C56CFB">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855828">
              <w:rPr>
                <w:sz w:val="20"/>
                <w:szCs w:val="20"/>
              </w:rPr>
              <w:t>1.12</w:t>
            </w:r>
          </w:p>
        </w:tc>
      </w:tr>
      <w:tr w:rsidR="00C56CFB" w14:paraId="7DB03E21"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77D8C3EC" w14:textId="77777777" w:rsidR="00C56CFB" w:rsidRPr="00855828" w:rsidRDefault="00C56CFB" w:rsidP="00C56CFB">
            <w:pPr>
              <w:spacing w:before="0" w:after="0"/>
              <w:rPr>
                <w:b w:val="0"/>
                <w:sz w:val="20"/>
                <w:szCs w:val="20"/>
              </w:rPr>
            </w:pPr>
            <w:r w:rsidRPr="00855828">
              <w:rPr>
                <w:b w:val="0"/>
                <w:sz w:val="20"/>
                <w:szCs w:val="20"/>
              </w:rPr>
              <w:t>500</w:t>
            </w:r>
          </w:p>
        </w:tc>
        <w:tc>
          <w:tcPr>
            <w:tcW w:w="2180" w:type="dxa"/>
            <w:shd w:val="clear" w:color="auto" w:fill="auto"/>
          </w:tcPr>
          <w:p w14:paraId="51E13144" w14:textId="77777777" w:rsidR="00C56CFB" w:rsidRPr="00855828"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855828">
              <w:rPr>
                <w:sz w:val="20"/>
                <w:szCs w:val="20"/>
              </w:rPr>
              <w:t>500</w:t>
            </w:r>
          </w:p>
        </w:tc>
        <w:tc>
          <w:tcPr>
            <w:tcW w:w="2180" w:type="dxa"/>
            <w:shd w:val="clear" w:color="auto" w:fill="auto"/>
          </w:tcPr>
          <w:p w14:paraId="472BD359" w14:textId="77777777" w:rsidR="00C56CFB" w:rsidRPr="00855828"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855828">
              <w:rPr>
                <w:sz w:val="20"/>
                <w:szCs w:val="20"/>
              </w:rPr>
              <w:t>50</w:t>
            </w:r>
          </w:p>
        </w:tc>
        <w:tc>
          <w:tcPr>
            <w:tcW w:w="2180" w:type="dxa"/>
            <w:shd w:val="clear" w:color="auto" w:fill="auto"/>
          </w:tcPr>
          <w:p w14:paraId="7757C868" w14:textId="77777777" w:rsidR="00C56CFB" w:rsidRPr="00855828" w:rsidRDefault="00C56CFB" w:rsidP="00C56CF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855828">
              <w:rPr>
                <w:sz w:val="20"/>
                <w:szCs w:val="20"/>
              </w:rPr>
              <w:t>0.61</w:t>
            </w:r>
          </w:p>
        </w:tc>
      </w:tr>
    </w:tbl>
    <w:p w14:paraId="6D4C7E08" w14:textId="77777777" w:rsidR="00C56CFB" w:rsidRDefault="00C56CFB">
      <w:pPr>
        <w:spacing w:before="0" w:after="200" w:line="276" w:lineRule="auto"/>
        <w:rPr>
          <w:rFonts w:eastAsiaTheme="majorEastAsia" w:cstheme="majorBidi"/>
          <w:b/>
          <w:bCs/>
          <w:sz w:val="32"/>
          <w:szCs w:val="26"/>
        </w:rPr>
      </w:pPr>
    </w:p>
    <w:p w14:paraId="2A8BF776" w14:textId="77777777" w:rsidR="00C56CFB" w:rsidRDefault="00C552F2" w:rsidP="000A3469">
      <w:pPr>
        <w:pStyle w:val="Heading2"/>
      </w:pPr>
      <w:bookmarkStart w:id="224" w:name="_Toc485712805"/>
      <w:r>
        <w:t>Results &amp;</w:t>
      </w:r>
      <w:r w:rsidR="00C56CFB">
        <w:t xml:space="preserve"> Discussion</w:t>
      </w:r>
      <w:bookmarkEnd w:id="224"/>
    </w:p>
    <w:p w14:paraId="56A13BC3" w14:textId="77777777" w:rsidR="00C56CFB" w:rsidRDefault="00C56CFB" w:rsidP="00C56CFB">
      <w:pPr>
        <w:pStyle w:val="Heading3"/>
      </w:pPr>
      <w:bookmarkStart w:id="225" w:name="_Toc485712806"/>
      <w:r>
        <w:t>Exte</w:t>
      </w:r>
      <w:r w:rsidR="00C552F2">
        <w:t>nt of clustering of arginine &amp;</w:t>
      </w:r>
      <w:r>
        <w:t xml:space="preserve"> relation to effects on stability and solubility</w:t>
      </w:r>
      <w:bookmarkEnd w:id="225"/>
    </w:p>
    <w:p w14:paraId="027E9623" w14:textId="77777777" w:rsidR="00C56CFB" w:rsidRPr="00553EC1" w:rsidRDefault="00C56CFB" w:rsidP="00C56CFB">
      <w:r>
        <w:t>Arginine of various concentrations dissolved in HPLC-grade water was tracked using the NTA equipment first at 25 °C and then at 50 °C giving the nanoparticle concentration and size distribution of the nanoparticles, from which the mean nanoparticle size and mode nanoparticle size are calculated by the NTA software. Th</w:t>
      </w:r>
      <w:r w:rsidR="00882E4A">
        <w:t>is data is presented in full in Appendix C.</w:t>
      </w:r>
      <w:r>
        <w:t xml:space="preserve"> The nanoparticle concentration with increasing arginine concentration is shown in </w:t>
      </w:r>
      <w:r>
        <w:fldChar w:fldCharType="begin"/>
      </w:r>
      <w:r>
        <w:instrText xml:space="preserve"> REF _Ref464115808 \h </w:instrText>
      </w:r>
      <w:r>
        <w:fldChar w:fldCharType="separate"/>
      </w:r>
      <w:r w:rsidR="00AA6926">
        <w:t xml:space="preserve">Figure </w:t>
      </w:r>
      <w:r w:rsidR="00AA6926">
        <w:rPr>
          <w:noProof/>
        </w:rPr>
        <w:t>5</w:t>
      </w:r>
      <w:r w:rsidR="00AA6926">
        <w:noBreakHyphen/>
      </w:r>
      <w:r w:rsidR="00AA6926">
        <w:rPr>
          <w:noProof/>
        </w:rPr>
        <w:t>1</w:t>
      </w:r>
      <w:r>
        <w:fldChar w:fldCharType="end"/>
      </w:r>
      <w:r>
        <w:t xml:space="preserve">, which clearly shows the existence of nanoparticle-size clusters even at low concentrations. Single frame images from the videos captured for all arginine concentrations at 25 °C are shown in </w:t>
      </w:r>
      <w:r>
        <w:fldChar w:fldCharType="begin"/>
      </w:r>
      <w:r>
        <w:instrText xml:space="preserve"> REF _Ref464139886 \h </w:instrText>
      </w:r>
      <w:r>
        <w:fldChar w:fldCharType="separate"/>
      </w:r>
      <w:r w:rsidR="00AA6926">
        <w:t xml:space="preserve">Figure </w:t>
      </w:r>
      <w:r w:rsidR="00AA6926">
        <w:rPr>
          <w:noProof/>
        </w:rPr>
        <w:t>5</w:t>
      </w:r>
      <w:r w:rsidR="00AA6926">
        <w:noBreakHyphen/>
      </w:r>
      <w:r w:rsidR="00AA6926">
        <w:rPr>
          <w:noProof/>
        </w:rPr>
        <w:t>2</w:t>
      </w:r>
      <w:r>
        <w:fldChar w:fldCharType="end"/>
      </w:r>
      <w:r>
        <w:t xml:space="preserve">, demonstrating the unmistakeable increase in nanoparticle concentration. The hydrodynamic diameter of a singular arginine molecule is less than 1 nm </w:t>
      </w:r>
      <w:r>
        <w:fldChar w:fldCharType="begin" w:fldLock="1"/>
      </w:r>
      <w:r w:rsidR="0080367E">
        <w:instrText>ADDIN CSL_CITATION { "citationItems" : [ { "id" : "ITEM-1", "itemData" : { "abstract" : "Modeling electrophoresis of peptides, proteins, DNA, blood cells and colloids is based on classical electrokinetic theory. The coupled field equations-Poisson, Navier-Stokes or Brinkman, and ion transport equations are solved numerically to calculate the electrophoretic mobilities. First, free solution electrophoretic mobility expressions are derived for weakly charged rigid bead arrays. Variables include the number of beads (N), their size (radius), charge, distribution (configuration), salt type, and salt concentration. We apply these mobility expressions to rings, rigid rods, and wormlike chain models and then apply the approach to the electrophoretic mobilities and translational diffusion constants of weakly charged peptides. It is shown that our bead model can predict the electrophoretic mobilities accurately. In order to make the method applicable at higher salt concentrations and/or to models consisting of larger sized subunits, account is taken of the finite size of the beads making up the model structure. For highly charged particles, it is also necessary to account for ion relaxation. This ion relaxation effect is accounted for by correcting \u201cunrelaxed\u201d mobilities on the basis of model size and average electrostatic surface, or \u201czeta\u201d potential. With these corrections our model can be applied to the system with absolute electrophoretic mobilities exceeding approximately 0.20 cm2/kV sec and also models involving larger subunits. This includes bead models of duplex DNA. Along somewhat different lines, we have investigated the electrophoresis of colloidal particles with an inner hard core and an outer diffusive layer (\u201chairy\u201d particles). An electrokinetic gel layer model of a spherical, highly charged colloid particle developed previously, is extended in several ways. The charge of the particle is assumed to arise from the deprotonation of acidic groups that are uniformly distributed over a portion (or all) of the gel layer. Free energy considerations coupled with Poisson-Boltzmann theory is used to calculate the change of the local pKa of the acidic groups depending on the local electrostatic environment. Based on the modeling of electrophoresis and viscosity, we predict that the thickness of the gel layer decreases as the salt concentration increases. And only the outermost portion of the gel layer is charged.", "author" : [ { "dropping-particle" : "", "family" : "Xin", "given" : "Y", "non-dropping-particle" : "", "parse-names" : false, "suffix" : "" } ], "container-title" : "Georgia State University, USA", "id" : "ITEM-1", "issued" : { "date-parts" : [ [ "2007" ] ] }, "title" : "Electrokinetic modeling of free solution electrophoresis. PhD Thesis", "type" : "article-journal" }, "uris" : [ "http://www.mendeley.com/documents/?uuid=8a1623a5-e2f8-4c48-88f6-31f8d253fe5f" ] } ], "mendeley" : { "formattedCitation" : "(Xin 2007)", "plainTextFormattedCitation" : "(Xin 2007)", "previouslyFormattedCitation" : "(Xin 2007)" }, "properties" : { "noteIndex" : 0 }, "schema" : "https://github.com/citation-style-language/schema/raw/master/csl-citation.json" }</w:instrText>
      </w:r>
      <w:r>
        <w:fldChar w:fldCharType="separate"/>
      </w:r>
      <w:r w:rsidRPr="008D60AC">
        <w:rPr>
          <w:noProof/>
        </w:rPr>
        <w:t>(Xin 2007)</w:t>
      </w:r>
      <w:r>
        <w:fldChar w:fldCharType="end"/>
      </w:r>
      <w:r>
        <w:t xml:space="preserve">. The lower size detection limit of the NTA instrument is approximately 30-40 nm for biological molecules with low refractive index such as arginine, meaning that all of the </w:t>
      </w:r>
      <w:r w:rsidR="005D4A6A">
        <w:t>clusters detected here have to contain a substantial number of arginine molecules</w:t>
      </w:r>
      <w:r>
        <w:t>.</w:t>
      </w:r>
    </w:p>
    <w:p w14:paraId="4D527E94" w14:textId="77777777" w:rsidR="00C56CFB" w:rsidRPr="00E01A97" w:rsidRDefault="00C56CFB" w:rsidP="00C56CFB"/>
    <w:p w14:paraId="70CEC0A4" w14:textId="77777777" w:rsidR="00C56CFB" w:rsidRDefault="00C56CFB" w:rsidP="00C56CFB">
      <w:pPr>
        <w:keepNext/>
        <w:framePr w:w="8390" w:hSpace="180" w:wrap="around" w:vAnchor="text" w:hAnchor="text" w:x="1" w:y="3"/>
      </w:pPr>
      <w:r>
        <w:object w:dxaOrig="9001" w:dyaOrig="6825" w14:anchorId="0D187B55">
          <v:shape id="_x0000_i1050" type="#_x0000_t75" style="width:415.5pt;height:315pt" o:ole="">
            <v:imagedata r:id="rId68" o:title=""/>
          </v:shape>
          <o:OLEObject Type="Embed" ProgID="SigmaPlotGraphicObject.12" ShapeID="_x0000_i1050" DrawAspect="Content" ObjectID="_1559454704" r:id="rId69"/>
        </w:object>
      </w:r>
    </w:p>
    <w:p w14:paraId="46C1525B" w14:textId="77777777" w:rsidR="00C56CFB" w:rsidRDefault="00C56CFB" w:rsidP="00FB0CA1">
      <w:pPr>
        <w:pStyle w:val="Caption"/>
        <w:framePr w:w="8390" w:hSpace="180" w:wrap="around" w:vAnchor="text" w:hAnchor="text" w:x="1" w:y="3"/>
        <w:jc w:val="left"/>
      </w:pPr>
      <w:bookmarkStart w:id="226" w:name="_Ref464115808"/>
      <w:bookmarkStart w:id="227" w:name="_Toc482633189"/>
      <w:r>
        <w:t xml:space="preserve">Figure </w:t>
      </w:r>
      <w:fldSimple w:instr=" STYLEREF 1 \s ">
        <w:r w:rsidR="00AA6926">
          <w:rPr>
            <w:noProof/>
          </w:rPr>
          <w:t>5</w:t>
        </w:r>
      </w:fldSimple>
      <w:r w:rsidR="00BA082C">
        <w:noBreakHyphen/>
      </w:r>
      <w:fldSimple w:instr=" SEQ Figure \* ARABIC \s 1 ">
        <w:r w:rsidR="00AA6926">
          <w:rPr>
            <w:noProof/>
          </w:rPr>
          <w:t>1</w:t>
        </w:r>
      </w:fldSimple>
      <w:bookmarkEnd w:id="226"/>
      <w:r>
        <w:t xml:space="preserve">. </w:t>
      </w:r>
      <w:r w:rsidRPr="002242FF">
        <w:t>Nanoparticle (&gt;30nm) concentration in arginine solutions at 25 °C and 50 °C</w:t>
      </w:r>
      <w:bookmarkEnd w:id="227"/>
    </w:p>
    <w:p w14:paraId="018153CA" w14:textId="77777777" w:rsidR="00C56CFB" w:rsidRDefault="00C56CFB" w:rsidP="00C56CFB">
      <w:pPr>
        <w:pStyle w:val="Caption"/>
      </w:pPr>
    </w:p>
    <w:p w14:paraId="597820FB" w14:textId="77777777" w:rsidR="00C56CFB" w:rsidRDefault="00C56CFB" w:rsidP="00C56CFB">
      <w:pPr>
        <w:keepNext/>
      </w:pPr>
      <w:r>
        <w:object w:dxaOrig="8100" w:dyaOrig="10801" w14:anchorId="7F402A5E">
          <v:shape id="_x0000_i1051" type="#_x0000_t75" style="width:405.75pt;height:540pt" o:ole="">
            <v:imagedata r:id="rId70" o:title=""/>
          </v:shape>
          <o:OLEObject Type="Embed" ProgID="Acrobat.Document.DC" ShapeID="_x0000_i1051" DrawAspect="Content" ObjectID="_1559454705" r:id="rId71"/>
        </w:object>
      </w:r>
    </w:p>
    <w:p w14:paraId="70962AA7" w14:textId="77777777" w:rsidR="00C56CFB" w:rsidRPr="001D50E6" w:rsidRDefault="00C56CFB" w:rsidP="00FB0CA1">
      <w:pPr>
        <w:pStyle w:val="Caption"/>
        <w:jc w:val="left"/>
      </w:pPr>
      <w:bookmarkStart w:id="228" w:name="_Ref464139886"/>
      <w:bookmarkStart w:id="229" w:name="_Toc482633190"/>
      <w:r>
        <w:t xml:space="preserve">Figure </w:t>
      </w:r>
      <w:fldSimple w:instr=" STYLEREF 1 \s ">
        <w:r w:rsidR="00AA6926">
          <w:rPr>
            <w:noProof/>
          </w:rPr>
          <w:t>5</w:t>
        </w:r>
      </w:fldSimple>
      <w:r w:rsidR="00BA082C">
        <w:noBreakHyphen/>
      </w:r>
      <w:fldSimple w:instr=" SEQ Figure \* ARABIC \s 1 ">
        <w:r w:rsidR="00AA6926">
          <w:rPr>
            <w:noProof/>
          </w:rPr>
          <w:t>2</w:t>
        </w:r>
      </w:fldSimple>
      <w:bookmarkEnd w:id="228"/>
      <w:r>
        <w:t xml:space="preserve">. </w:t>
      </w:r>
      <w:r w:rsidRPr="008C53FC">
        <w:t>NTA images captured from videos of increasing concentrations of arginine at 25 °C, showing the increase in nanoparticle formation. These images are not indicative of absolute size of nanoparticles but purely a representation of the number of particles</w:t>
      </w:r>
      <w:r>
        <w:t xml:space="preserve"> that scattered light during video capture</w:t>
      </w:r>
      <w:bookmarkEnd w:id="229"/>
    </w:p>
    <w:p w14:paraId="4BEF3C6F" w14:textId="77777777" w:rsidR="00C56CFB" w:rsidRDefault="00C56CFB" w:rsidP="00C56CFB">
      <w:r>
        <w:t>At arginine concentrations of 0.5 – 100 mM the nanoparticle concentration stays fairly constant and is below 100x10</w:t>
      </w:r>
      <w:r>
        <w:rPr>
          <w:vertAlign w:val="superscript"/>
        </w:rPr>
        <w:t>6</w:t>
      </w:r>
      <w:r>
        <w:t xml:space="preserve"> particles per mL at both temperatures. Above 100 mM nanoparticle concentration increases drastically, reaching almost 600x10</w:t>
      </w:r>
      <w:r>
        <w:rPr>
          <w:vertAlign w:val="superscript"/>
        </w:rPr>
        <w:t>6</w:t>
      </w:r>
      <w:r>
        <w:t xml:space="preserve"> particles per mL at an arginine concentration of 1 M for both temperatures (</w:t>
      </w:r>
      <w:r>
        <w:fldChar w:fldCharType="begin"/>
      </w:r>
      <w:r>
        <w:instrText xml:space="preserve"> REF _Ref464115808 \h </w:instrText>
      </w:r>
      <w:r>
        <w:fldChar w:fldCharType="separate"/>
      </w:r>
      <w:r w:rsidR="00AA6926">
        <w:t xml:space="preserve">Figure </w:t>
      </w:r>
      <w:r w:rsidR="00AA6926">
        <w:rPr>
          <w:noProof/>
        </w:rPr>
        <w:t>5</w:t>
      </w:r>
      <w:r w:rsidR="00AA6926">
        <w:noBreakHyphen/>
      </w:r>
      <w:r w:rsidR="00AA6926">
        <w:rPr>
          <w:noProof/>
        </w:rPr>
        <w:t>1</w:t>
      </w:r>
      <w:r>
        <w:fldChar w:fldCharType="end"/>
      </w:r>
      <w:r>
        <w:t xml:space="preserve">). The nanoparticle concentration is slightly lower at 50 °C than 25 °C for almost all arginine concentrations, but the trends are near identical meaning that clustering behaviour is minimally affected by temperature changes within this range. </w:t>
      </w:r>
    </w:p>
    <w:p w14:paraId="33EE3A3A" w14:textId="77777777" w:rsidR="00C56CFB" w:rsidRDefault="00C56CFB" w:rsidP="00C56CFB">
      <w:r>
        <w:t xml:space="preserve">Increased clustering at higher concentrations has previously been used to explain the changes in preferential interaction parameters resulting in preferential exclusion of arginine at high concentrations </w:t>
      </w:r>
      <w:r>
        <w:fldChar w:fldCharType="begin" w:fldLock="1"/>
      </w:r>
      <w:r w:rsidR="00E11F61">
        <w:instrText>ADDIN CSL_CITATION { "citationItems" : [ { "id" : "ITEM-1", "itemData" : { "DOI" : "10.1021/jp108586b", "ISSN" : "1520-5207", "PMID" : "21186800", "abstract" : "Preferential interaction coefficients provide a thermodynamic measure to quantify the interactions between cosolutes and a protein. Preferential interactions of cosolutes can be measured experimentally using dialysis/densimetry and vapor pressure osmometry (VPO) techniques. The cosolute arginine is a widely used aggregation suppressor with a seemingly unique behavior. Its role in protein aggregation has been studied extensively, although a complete mechanistic understanding of its behavior is lacking. Moreover, due to experimental limitations, experimental preferential interaction data for arginine has only been reported at low concentrations. Schneider and Trout ( J. Phys. Chem. B 2009 , 113 , 7 ) have reported experimental preferential interaction data for argHCl (up to 0.7 m), and their study raised several interesting questions about the preferential interaction of arginine with proteins. Arginine is attracted to proteins at low concentrations but it was highly excluded at high concentrations. Furthermore, the preferential interaction coefficient values were found to vary as a square of the concentration, which is different from commonly observed linear relationship for other cosolutes like urea, glycerol, guanidinium hydrochloride, etc. In this study, preferential interaction coefficients of argHCl have been estimated computationally for two proteins (lysozyme and \u03b1-chymotripsinogen A) for a large concentration range (up to 2.8 m). On the basis of these results, the molecular level interactions responsible for the nonlinear exclusion of arginine from the protein surface are identified.", "author" : [ { "dropping-particle" : "", "family" : "Shukla", "given" : "D", "non-dropping-particle" : "", "parse-names" : false, "suffix" : "" }, { "dropping-particle" : "", "family" : "Trout", "given" : "B L", "non-dropping-particle" : "", "parse-names" : false, "suffix" : "" } ], "container-title" : "Journal of Physical Chemistry B", "id" : "ITEM-1", "issued" : { "date-parts" : [ [ "2011", "2", "10" ] ] }, "page" : "1243-1253", "publisher" : "American Chemical Society", "title" : "Preferential interaction coefficients of proteins in aqueous arginine solutions and their molecular origins", "type" : "article-journal", "volume" : "115" }, "uris" : [ "http://www.mendeley.com/documents/?uuid=a81e5778-ff76-4fd8-a37b-129997e8d378" ] } ], "mendeley" : { "formattedCitation" : "(Shukla &amp; Trout 2011a)", "plainTextFormattedCitation" : "(Shukla &amp; Trout 2011a)", "previouslyFormattedCitation" : "(Shukla &amp; Trout 2011a)" }, "properties" : { "noteIndex" : 0 }, "schema" : "https://github.com/citation-style-language/schema/raw/master/csl-citation.json" }</w:instrText>
      </w:r>
      <w:r>
        <w:fldChar w:fldCharType="separate"/>
      </w:r>
      <w:r w:rsidR="0064368A" w:rsidRPr="0064368A">
        <w:rPr>
          <w:noProof/>
        </w:rPr>
        <w:t>(Shukla &amp; Trout 2011a)</w:t>
      </w:r>
      <w:r>
        <w:fldChar w:fldCharType="end"/>
      </w:r>
      <w:r>
        <w:t xml:space="preserve">, and to explain the levelling off of arginine’s aggregation prevention capabilities </w:t>
      </w:r>
      <w:r>
        <w:fldChar w:fldCharType="begin" w:fldLock="1"/>
      </w:r>
      <w:r>
        <w:instrText>ADDIN CSL_CITATION { "citationItems" : [ { "id" : "ITEM-1", "itemData" : { "DOI" : "10.1021/jp808042w", "ISSN" : "1520-6106", "PMID" : "19199688", "abstract" : "The relatively new technique of vapor pressure osmometry was utilized to determine the preferential interaction of five common solution additives (arginine HCl, guanidine HCl, glycerol, glucose, and urea) using three different model proteins (BSA, lysozyme, and alpha-chymotrypsinogen). Results for guanidine, glycerol, glucose, and urea are comparable to literature values, which utilized the dialysis/densimetry technique. However, values for arginine differ greatly from literature values, making it unclear what is the nature of arginine-protein interactions. A repeat of the dialysis/densimetry measurements reported in the literature supports the vapor pressure osmometry measurements and reveals a never before seen trend in the interaction of arginine with proteins as a function of concentration. This trend is dependent on the protein size and shows arginine to be unique among solution additives. For concentrations below 0.5 M, arginine has a preferential interaction coefficient near zero (slightly greater than zero for small proteins but decreases as the size of the protein increases), which indicates that arginine is neither strongly bound nor excluded from the protein surface. This trend differs greatly from cosolutes that influence the protein folding equilibrium. However, as the concentration of arginine increases beyond 0.5 M, arginine becomes increasingly excluded. Such behavior might be indicative of the protein surface becoming saturated with arginine, thus causing any additional arginine added to the solution to be excluded from interacting with the surface. All of this behavior is most likely the result of a balance between the affinity arginine has for the peptide backbone and certain amino acids and the repulsion generated by surface tension increment and volume exclusion effects [Arakawa et al. Biophysical Chemistry 2007, 127, 1]. In addition, such behavior may explain why arginine has little effect on protein folding equilibrium but is an effective aggregation suppressor.", "author" : [ { "dropping-particle" : "", "family" : "Schneider", "given" : "C P", "non-dropping-particle" : "", "parse-names" : false, "suffix" : "" }, { "dropping-particle" : "", "family" : "Trout", "given" : "B L", "non-dropping-particle" : "", "parse-names" : false, "suffix" : "" } ], "container-title" : "Journal of Physical Chemistry B", "id" : "ITEM-1", "issued" : { "date-parts" : [ [ "2009", "2", "19" ] ] }, "page" : "2050-2058", "title" : "Investigation of cosolute-protein preferential interaction coefficients: New insight into the mechanism by which arginine inhibits aggregation", "type" : "article-journal", "volume" : "113" }, "uris" : [ "http://www.mendeley.com/documents/?uuid=9eed0480-0f78-439e-accc-1dcb3b07e260" ] }, { "id" : "ITEM-2", "itemData" : { "DOI" : "10.1021/jp111920y", "ISSN" : "15206106", "PMID" : "21568311", "abstract" : "L-Arginine hydrochloride is a very important aggregation suppressor for which there has been much attention given regarding elucidating its mechanism of action. Little consideration, however, has been given toward other salt forms besides chloride, even though the counterion likely imparts a large influence per the Hofmeister Series. Here, we report an in depth analysis of the role the counterion plays in the aggregation suppression behavior of arginine. Consistent with the empirical Hofmeister series, we found that the aggregation suppression ability of other arginine salt forms on a model protein (\u03b1-chymotrypsinogen) follows the order: H(2)PO(4)(-) &gt; SO(4)(2-) &gt; citrate(2-) &gt; acetate(-) \u2248 F(-) \u2248 Cl(-) &gt; Br(-) &gt; I(-) \u2248 SCN(-). Mechanistically, preferential interaction and osmotic virial coefficient measurements, in addition to molecular dynamics simulations, indicate that attractive ion-ion interactions, particularly attractive interactions between arginine molecules, play a dominate role in the observed behavior. Furthermore, it appears that dihydrogen phosphate, sulfate, and citrate have strong attractive interactions with the guanidinium group of arginine, which seems to contribute to the superior aggregation suppression ability of those salt forms by bridging together multiple arginine molecules into clusters. These results not only further our understanding of how arginine influences protein stability, they also help to elucidate the mechanism behind the Hofmeister Series. This should help to improve biopharmaceutical stabilization through the use of other arginine salts and possibly, the development of novel excipients.", "author" : [ { "dropping-particle" : "", "family" : "Schneider", "given" : "C P", "non-dropping-particle" : "", "parse-names" : false, "suffix" : "" }, { "dropping-particle" : "", "family" : "Shukla", "given" : "D", "non-dropping-particle" : "", "parse-names" : false, "suffix" : "" }, { "dropping-particle" : "", "family" : "Trout", "given" : "B L", "non-dropping-particle" : "", "parse-names" : false, "suffix" : "" } ], "container-title" : "Journal of Physical Chemistry B", "id" : "ITEM-2", "issued" : { "date-parts" : [ [ "2011" ] ] }, "page" : "7447-7458", "title" : "Arginine and the hofmeister series: The role of ion-ion interactions in protein aggregation suppression", "type" : "article-journal", "volume" : "115" }, "uris" : [ "http://www.mendeley.com/documents/?uuid=add3a612-a355-4fbb-a5e9-6ed61df00344" ] }, { "id" : "ITEM-3", "itemData" : { "DOI" : "10.1021/jp108399g", "ISSN" : "1520-5207", "PMID" : "20925358", "abstract" : "Aqueous arginine solutions are used extensively for inhibiting protein aggregation. There are several theories proposed to explain the effect of arginine on protein stability, but the exact mechanism is still not clear. To understand the mechanism of protein cosolvent interaction, the intraprotein, protein-solvent, and intrasolvent interactions have to be understood. Molecular dynamics simulations of aqueous arginine solutions were carried out for experimentally accessible concentrations and temperature ranges to study the structure of the solution and its energetic properties and obtain insight into the mechanism by which arginine inhibits protein aggregation. Simulations of proteins (\u03b1-chymotrypsinogen A and melittin) were performed. Structurally, the most striking feature of the aqueous arginine solutions is the self-association of arginine molecules. Arginine shows a marked tendency to form clusters with head to tail hydrogen bonding. Due to the presence of the three charged groups, there are several possible configurations in which arginine molecules interact. At relatively high concentrations, these arginine clusters associate with other clusters and monomeric arginine molecules to form large clusters. The hydrogen bonds between arginine molecules were found to be stronger than those between arginine and water, which makes the process of self-association enthalpically favorable. From the simulation of the proteins in aqueous arginine solution, arginine is found to interact with the aromatic and charged side chains of surface residues. A probable mechanism of the effect of arginine on protein stability consistent with our findings is proposed. In particular, arginine interacts with aromatic and charged residues due to cation-\u03c0 interaction and salt-bridge formation, respectively, to stabilize the partially unfolded intermediates. The self-interaction of arginine leads to the formation of clusters which, due to their size, crowd out the protein-protein interaction. The mechanisms proposed in the literature are analyzed on the basis of the simulation results reported in this paper and recent experimental data.", "author" : [ { "dropping-particle" : "", "family" : "Shukla", "given" : "D", "non-dropping-particle" : "", "parse-names" : false, "suffix" : "" }, { "dropping-particle" : "", "family" : "Trout", "given" : "B L", "non-dropping-particle" : "", "parse-names" : false, "suffix" : "" } ], "container-title" : "Journal of Physical Chemistry B", "id" : "ITEM-3", "issued" : { "date-parts" : [ [ "2010", "10", "28" ] ] }, "page" : "13426-13438", "title" : "Interaction of arginine with proteins and the mechanism by which it inhibits aggregation", "type" : "article-journal", "volume" : "114" }, "uris" : [ "http://www.mendeley.com/documents/?uuid=dbec9b1d-1c9e-4add-bea5-97fc49a049c2" ] } ], "mendeley" : { "formattedCitation" : "(Schneider &amp; Trout 2009; Schneider et al. 2011; Shukla &amp; Trout 2010)", "plainTextFormattedCitation" : "(Schneider &amp; Trout 2009; Schneider et al. 2011; Shukla &amp; Trout 2010)", "previouslyFormattedCitation" : "(Schneider &amp; Trout 2009; Schneider et al. 2011; Shukla &amp; Trout 2010)" }, "properties" : { "noteIndex" : 0 }, "schema" : "https://github.com/citation-style-language/schema/raw/master/csl-citation.json" }</w:instrText>
      </w:r>
      <w:r>
        <w:fldChar w:fldCharType="separate"/>
      </w:r>
      <w:r w:rsidRPr="006B3C49">
        <w:rPr>
          <w:noProof/>
        </w:rPr>
        <w:t>(Schneider &amp; Trout 2009; Schneider et al. 2011; Shukla &amp; Trout 2010)</w:t>
      </w:r>
      <w:r>
        <w:fldChar w:fldCharType="end"/>
      </w:r>
      <w:r>
        <w:t xml:space="preserve">. Similar concentration-dependent clustering behaviour of trehalose was also thought to result in ‘kosmotropic’ behaviour (i.e. increased stability and aggregation) </w:t>
      </w:r>
      <w:r>
        <w:fldChar w:fldCharType="begin" w:fldLock="1"/>
      </w:r>
      <w:r>
        <w:instrText>ADDIN CSL_CITATION { "citationItems" : [ { "id" : "ITEM-1", "itemData" : { "DOI" : "10.1021/jp109780n", "ISBN" : "9722651374", "ISSN" : "15205207", "PMID" : "21186829", "abstract" : "In aqueous solutions, trehalose possesses a high propensity to form hydrogen bonds with water as well as other trehalose molecules. This hydrogen bonding not only affects water structure but also promotes extensive concentration dependent aggregation of trehalose molecules, which may impact trehalose's role as a protective cosolute to biomacromolecules. To study the association of trehalose in aqueous solutions over a wide concentration range, we used molecular dynamics simulations based on two different force fields, as well as vapor pressure osmometry. By analyzing trehalose cluster size and fractal dimension in simulations, we estimate the cluster percolation threshold at 1.5-2.2 m. Experimentally, trehalose solutions showed positive deviations from ideal van't Hoff's law that grew with concentration. These variations in osmotic pressure can be explained using a simple equation of state that accounts for the repulsive excluded volume interactions between trehalose molecules as well as attractions reflected in sugar clustering. We find that simulations with both applied force fields result in reasonable representations of the solution equation of state. However, in contrast to experiments, the balance between the repulsive and attractive trehalose-trehalose interactions in simulations results in a slightly negative deviation from ideality, probably due to the moderately overaggregative nature of the force fields used.", "author" : [ { "dropping-particle" : "", "family" : "Sapir", "given" : "L", "non-dropping-particle" : "", "parse-names" : false, "suffix" : "" }, { "dropping-particle" : "", "family" : "Harries", "given" : "D", "non-dropping-particle" : "", "parse-names" : false, "suffix" : "" } ], "container-title" : "Journal of Physical Chemistry B", "id" : "ITEM-1", "issued" : { "date-parts" : [ [ "2011" ] ] }, "page" : "624-634", "title" : "Linking trehalose self-association with binary aqueous solution equation of state", "type" : "article-journal", "volume" : "115" }, "uris" : [ "http://www.mendeley.com/documents/?uuid=4a96b81b-6c56-4cda-9768-6cbdba739ee4" ] } ], "mendeley" : { "formattedCitation" : "(Sapir &amp; Harries 2011)", "plainTextFormattedCitation" : "(Sapir &amp; Harries 2011)", "previouslyFormattedCitation" : "(Sapir &amp; Harries 2011)" }, "properties" : { "noteIndex" : 0 }, "schema" : "https://github.com/citation-style-language/schema/raw/master/csl-citation.json" }</w:instrText>
      </w:r>
      <w:r>
        <w:fldChar w:fldCharType="separate"/>
      </w:r>
      <w:r w:rsidRPr="008F6F90">
        <w:rPr>
          <w:noProof/>
        </w:rPr>
        <w:t>(Sapir &amp; Harries 2011)</w:t>
      </w:r>
      <w:r>
        <w:fldChar w:fldCharType="end"/>
      </w:r>
      <w:r>
        <w:t>. Interestingly this two-stage behaviour, with a switch at 100 mM, mimics the two-stage stabilisation/destabilisation behaviour seen with arginine in previous chapters of this thesis. However, in this case an increase in the nanoparticle concentration of arginine corresponds with increased destabilisation rather than stabilisation, representing the opposite of the trends and explanations previously seen.</w:t>
      </w:r>
    </w:p>
    <w:p w14:paraId="553C9CFC" w14:textId="6175073A" w:rsidR="00C56CFB" w:rsidRDefault="00C56CFB" w:rsidP="00C56CFB">
      <w:r>
        <w:t xml:space="preserve">In previous chapters arginine was found to act as an additive mixture of its functional groups glycine and </w:t>
      </w:r>
      <w:r w:rsidR="00C74BE0">
        <w:t>Gdn</w:t>
      </w:r>
      <w:r>
        <w:t xml:space="preserve"> on protein stability. Therefore there were no visible effects originating from the presence of the three-carbon chain, nor the fact that glyc</w:t>
      </w:r>
      <w:r w:rsidR="00C74BE0">
        <w:t>ine and Gdn</w:t>
      </w:r>
      <w:r>
        <w:t xml:space="preserve"> </w:t>
      </w:r>
      <w:r w:rsidR="00C76959">
        <w:t xml:space="preserve">groups </w:t>
      </w:r>
      <w:r>
        <w:t xml:space="preserve">were joined </w:t>
      </w:r>
      <w:r w:rsidR="00C76959">
        <w:t xml:space="preserve">in a single molecule </w:t>
      </w:r>
      <w:r>
        <w:t>rather than separate in solution. It follows that the occurrence of arginine clustering in solution is unlikely to play a role in arginine’s effects on protein thermal stability, as the effects are still predicted to be additive. This does not necessarily mean tha</w:t>
      </w:r>
      <w:r w:rsidR="00C76959">
        <w:t>t the clustering behaviour is not</w:t>
      </w:r>
      <w:r>
        <w:t xml:space="preserve"> responsible for arginine’s effects on aggregation and solubility. One of the suggested mechanisms unique to arginine that explains its positive effects on protein solubility and aggregation is the ‘gap effect’ or ‘neutral crowder’ theory, which incorporates the occurrence of arginine clustering </w:t>
      </w:r>
      <w:r>
        <w:fldChar w:fldCharType="begin" w:fldLock="1"/>
      </w:r>
      <w:r w:rsidR="002764B5">
        <w:instrText>ADDIN CSL_CITATION { "citationItems" : [ { "id" : "ITEM-1", "itemData" : { "DOI" : "10.1529/biophysj.104.042473", "ISBN" : "0006-3495 (Print)\\n0006-3495 (Linking)", "ISSN" : "00063495", "PMID" : "15345542", "abstract" : "We have developed a statistical-mechanical model of the effect of solution additives on protein association reactions. This model incorporates solvent radial distribution functions obtained from all-atom molecular dynamics simulations of particular proteins into simple models of protein interactions. In this way, the effects of additives can be computed along the entire association/dissociation reaction coordinate. We used the model to test our hypothesis that a class of large solution additives, which we term \"neutral crowders,\" can slow protein association and dissociation by being preferentially excluded from protein-protein encounter complexes, in a manner analogous to osmotic stress. The magnitude of this proposed \"gap effect\" was probed for two simple model systems: the association of two spheres and the association of two planes. Our results suggest that for a protein of 20 A radius, an 8 A additive can increase the free energy barrier for association and dissociation by as much as 3-6 kcal/mol. Because the proposed gap effect is present only for reactions involving multiple molecules, it can be exploited to develop novel additives that affect protein association reactions although having little or no effect on unimolecular reactions such as protein folding. This idea has many potential applications in areas such as the stabilization of proteins against aggregation during folding and in pharmaceutical formulations.", "author" : [ { "dropping-particle" : "", "family" : "Baynes", "given" : "B M", "non-dropping-particle" : "", "parse-names" : false, "suffix" : "" }, { "dropping-particle" : "", "family" : "Trout", "given" : "B L", "non-dropping-particle" : "", "parse-names" : false, "suffix" : "" } ], "container-title" : "Biophysical Journal", "id" : "ITEM-1", "issued" : { "date-parts" : [ [ "2004" ] ] }, "page" : "1631-1639", "title" : "Rational design of solution additives for the prevention of protein aggregation", "type" : "article-journal", "volume" : "87" }, "uris" : [ "http://www.mendeley.com/documents/?uuid=4af50292-3aa3-4fef-a9f0-eee103f8ad50" ] }, { "id" : "ITEM-2", "itemData" : { "DOI" : "10.1021/bi047528r", "ISSN" : "0006-2960", "PMID" : "15779919", "abstract" : "The amino acid arginine is frequently used as a solution additive to stabilize proteins against aggregation, especially in the process of protein refolding. Despite arginine's prevalence, the mechanism by which it stabilizes proteins is not presently understood. We propose that arginine deters aggregation by slowing protein-protein association reactions, with only a small concomitant effect on protein folding. The associated rate effect was observed experimentally in association of globular proteins (insulin and a monoclonal anti-insulin) and in refolding of carbonic anhydrase. We suggest that this effect arises because arginine is preferentially excluded from protein-protein encounter complexes but not from dissociated protein molecules. Such an effect is predicted by our gap effect theory [Baynes and Trout (2004) Biophys. J. 87, 1631] for \"neutral crowder\" additives such as arginine which are significantly larger than water but have only a small effect on the free energies of isolated protein molecules. The effect of arginine on refolding of carbonic anhydrase was also shown to be consistent with this hypothesis.", "author" : [ { "dropping-particle" : "", "family" : "Baynes", "given" : "B M", "non-dropping-particle" : "", "parse-names" : false, "suffix" : "" }, { "dropping-particle" : "", "family" : "Wang", "given" : "D I C", "non-dropping-particle" : "", "parse-names" : false, "suffix" : "" }, { "dropping-particle" : "", "family" : "Trout", "given" : "B L", "non-dropping-particle" : "", "parse-names" : false, "suffix" : "" } ], "container-title" : "Biochemistry", "id" : "ITEM-2", "issued" : { "date-parts" : [ [ "2005", "3", "29" ] ] }, "page" : "4919-25", "title" : "Role of arginine in the stabilization of proteins against aggregation", "type" : "article-journal", "volume" : "44" }, "uris" : [ "http://www.mendeley.com/documents/?uuid=b1b8fb50-9a0b-42d9-9b1d-411fe98e714e" ] }, { "id" : "ITEM-3", "itemData" : { "abstract" : "In order to develop protein formulations that limit aggregation, researchers heuristi- cally screen potential solution additives (excipients). Such screening is necessary be- cause current understanding of mechanisms of aggregation and molecular-level effects of additives on aggregation is limited. In this study, we developed a statistical- mechanical method in order to model the thermodynamic effects of additives in molecular-level detail. This method uses no adjustable parameters and was vali- dated by quantitative comparison with experimental data on proteins in glycerol and urea solutions. We then applied our molecular simulation technique to study the mechanism by which arginine, a common refolding buffer additive, deters protein aggregation. We find that arginine acts as a weak surfactant at the protein-solvent interface, with its guanidino group tending to face the protein. We propose that arginine is a member of a class of anti-aggregation additives, which we term \"neutral crowders,\" characterized by their (1) negligible effect on the free energy of isolated protein molecules and (2) large size relative to water. With a simplified statistical- mechanical model, we have shown that such additives selectively increase the free energy of protein-protein encounter complexes by being preferentially-excluded from the gap between the protein molecules in such complexes. This \"gap effect\" will therefore slow protein association reactions. We showed experimentally that, in ac- cordance with the gap effect model predictions, arginine slows association of model globular proteins (antibody+antigen) and of folding intermediates and aggregates of carbonic anhydrase II. We predict that neutral crowders larger than arginine will be superior anti-aggregation additives.", "author" : [ { "dropping-particle" : "", "family" : "Baynes", "given" : "B M", "non-dropping-particle" : "", "parse-names" : false, "suffix" : "" } ], "container-title" : "Massachusetts Institute of Technology, USA", "id" : "ITEM-3", "issued" : { "date-parts" : [ [ "2004" ] ] }, "title" : "Stabilization of proteins against aggregation by solution additives. PhD Thesis", "type" : "article-journal" }, "uris" : [ "http://www.mendeley.com/documents/?uuid=584aba10-3923-4573-ba53-272ca760cad7" ] } ], "mendeley" : { "formattedCitation" : "(Baynes &amp; Trout 2004; Baynes et al. 2005; Baynes 2004)", "plainTextFormattedCitation" : "(Baynes &amp; Trout 2004; Baynes et al. 2005; Baynes 2004)", "previouslyFormattedCitation" : "(Baynes &amp; Trout 2004; Baynes et al. 2005; Baynes 2004)" }, "properties" : { "noteIndex" : 0 }, "schema" : "https://github.com/citation-style-language/schema/raw/master/csl-citation.json" }</w:instrText>
      </w:r>
      <w:r>
        <w:fldChar w:fldCharType="separate"/>
      </w:r>
      <w:r w:rsidRPr="00EB1B5E">
        <w:rPr>
          <w:noProof/>
        </w:rPr>
        <w:t>(Baynes &amp; Trout 2004; Baynes et al. 2005; Baynes 2004)</w:t>
      </w:r>
      <w:r>
        <w:fldChar w:fldCharType="end"/>
      </w:r>
      <w:r>
        <w:t xml:space="preserve">. In this theory arginine is neither attracted nor repelled from the protein surface, but due to its size being larger than water there is an increase in </w:t>
      </w:r>
      <w:r w:rsidR="005B09CF">
        <w:t xml:space="preserve">the </w:t>
      </w:r>
      <w:r>
        <w:t xml:space="preserve">energetic penalty for it being excluded from a protein-protein interface, which slows down aggregation and precipitation of the protein. If arginine is self-associating the molecules will be larger and so this effect will be more pronounced. Due to this being a mechanism that only affects processes that involve multiple proteins, it will have very little effect on protein stability. Baynes and coworkers </w:t>
      </w:r>
      <w:commentRangeStart w:id="230"/>
      <w:r w:rsidR="00C27149">
        <w:t xml:space="preserve">(Baynes &amp; Trout 2004; Baynes et al. 2005; Baynes 2004) </w:t>
      </w:r>
      <w:commentRangeEnd w:id="230"/>
      <w:r w:rsidR="00C27149">
        <w:rPr>
          <w:rStyle w:val="CommentReference"/>
        </w:rPr>
        <w:commentReference w:id="230"/>
      </w:r>
      <w:r>
        <w:t>argued that this meant arginine has neutral effects on protein stability, which is not what was seen in previous chapters. Here it is suggested that this ‘neutral crowder’ effect does not contribute as a mechanism in protein stability, but is possibly the mechanism that links the effect of arginine on aggregation and solubility with the clustering behaviour observed here and elsewhere. It is entirely possible that different mechanisms govern protein stability and solubility/aggregation, and so the mechanisms governing protein stability shown in previous chapters still stand.</w:t>
      </w:r>
    </w:p>
    <w:p w14:paraId="115F4831" w14:textId="77777777" w:rsidR="00C56CFB" w:rsidRDefault="00C56CFB" w:rsidP="00C56CFB">
      <w:r>
        <w:t xml:space="preserve">In terms of the sizes of nanoparticles visualised in the arginine solutions, the averages at both 25 °C and 50 °C are shown in </w:t>
      </w:r>
      <w:r>
        <w:fldChar w:fldCharType="begin"/>
      </w:r>
      <w:r>
        <w:instrText xml:space="preserve"> REF _Ref464139719 \h </w:instrText>
      </w:r>
      <w:r>
        <w:fldChar w:fldCharType="separate"/>
      </w:r>
      <w:r w:rsidR="00AA6926">
        <w:t xml:space="preserve">Figure </w:t>
      </w:r>
      <w:r w:rsidR="00AA6926">
        <w:rPr>
          <w:noProof/>
        </w:rPr>
        <w:t>5</w:t>
      </w:r>
      <w:r w:rsidR="00AA6926">
        <w:noBreakHyphen/>
      </w:r>
      <w:r w:rsidR="00AA6926">
        <w:rPr>
          <w:noProof/>
        </w:rPr>
        <w:t>3</w:t>
      </w:r>
      <w:r>
        <w:fldChar w:fldCharType="end"/>
      </w:r>
      <w:r>
        <w:t xml:space="preserve">. The size distribution profiles of representative NTA tracks of various concentrations of arginine at 25 °C and 50 °C are shown in </w:t>
      </w:r>
      <w:r>
        <w:fldChar w:fldCharType="begin"/>
      </w:r>
      <w:r>
        <w:instrText xml:space="preserve"> REF _Ref464140044 \h </w:instrText>
      </w:r>
      <w:r>
        <w:fldChar w:fldCharType="separate"/>
      </w:r>
      <w:r w:rsidR="00AA6926">
        <w:t xml:space="preserve">Figure </w:t>
      </w:r>
      <w:r w:rsidR="00AA6926">
        <w:rPr>
          <w:noProof/>
        </w:rPr>
        <w:t>5</w:t>
      </w:r>
      <w:r w:rsidR="00AA6926">
        <w:noBreakHyphen/>
      </w:r>
      <w:r w:rsidR="00AA6926">
        <w:rPr>
          <w:noProof/>
        </w:rPr>
        <w:t>4</w:t>
      </w:r>
      <w:r>
        <w:fldChar w:fldCharType="end"/>
      </w:r>
      <w:r>
        <w:t xml:space="preserve"> and </w:t>
      </w:r>
      <w:r>
        <w:fldChar w:fldCharType="begin"/>
      </w:r>
      <w:r>
        <w:instrText xml:space="preserve"> REF _Ref464140049 \h </w:instrText>
      </w:r>
      <w:r>
        <w:fldChar w:fldCharType="separate"/>
      </w:r>
      <w:r w:rsidR="00AA6926">
        <w:t xml:space="preserve">Figure </w:t>
      </w:r>
      <w:r w:rsidR="00AA6926">
        <w:rPr>
          <w:noProof/>
        </w:rPr>
        <w:t>5</w:t>
      </w:r>
      <w:r w:rsidR="00AA6926">
        <w:noBreakHyphen/>
      </w:r>
      <w:r w:rsidR="00AA6926">
        <w:rPr>
          <w:noProof/>
        </w:rPr>
        <w:t>5</w:t>
      </w:r>
      <w:r>
        <w:fldChar w:fldCharType="end"/>
      </w:r>
      <w:r>
        <w:t xml:space="preserve"> respectively. </w:t>
      </w:r>
      <w:r>
        <w:fldChar w:fldCharType="begin"/>
      </w:r>
      <w:r>
        <w:instrText xml:space="preserve"> REF _Ref464139719 \h </w:instrText>
      </w:r>
      <w:r>
        <w:fldChar w:fldCharType="separate"/>
      </w:r>
      <w:r w:rsidR="00AA6926">
        <w:t xml:space="preserve">Figure </w:t>
      </w:r>
      <w:r w:rsidR="00AA6926">
        <w:rPr>
          <w:noProof/>
        </w:rPr>
        <w:t>5</w:t>
      </w:r>
      <w:r w:rsidR="00AA6926">
        <w:noBreakHyphen/>
      </w:r>
      <w:r w:rsidR="00AA6926">
        <w:rPr>
          <w:noProof/>
        </w:rPr>
        <w:t>3</w:t>
      </w:r>
      <w:r>
        <w:fldChar w:fldCharType="end"/>
      </w:r>
      <w:r>
        <w:t xml:space="preserve"> shows that the average sizes of the nanoparticles do not vary substantially with an increase in concentration or temperature and are usually around 150-250 nm. This may explain the differences in effects of cosolute clustering on protein interactions, as trehalose clusters were shown to increase in size with increasing concentration </w:t>
      </w:r>
      <w:r>
        <w:fldChar w:fldCharType="begin" w:fldLock="1"/>
      </w:r>
      <w:r>
        <w:instrText>ADDIN CSL_CITATION { "citationItems" : [ { "id" : "ITEM-1", "itemData" : { "DOI" : "10.1021/jp071946z", "ISBN" : "1520-6106", "ISSN" : "1520-6106", "PMID" : "17629322", "abstract" : "The influence of three well-known disaccharides, namely, trehalose, maltose, and sucrose, on some structural and dynamical properties of lysozyme has been investigated by means of molecular dynamics computer simulations in the 37-60 wt % concentration range. The effects of sugars on the protein conformation are found to be relatively weak, in agreement with the preferential hydration of lysozyme. Conversely, sugars seem to increase significantly the relaxation times of the protein. These effects are shown to be correlated to the fractional solvent accessibilities of lysozyme residues and further support the slaving of protein dynamics. Moreover, a significant increase in the relaxation times of lysozyme, sugars, and water molecules is observed within the studied concentration range and may result from the percolation of the hydrogen-bond network of sugar molecules. This percolation appears to be of primary importance to explain the influence of sugars on the dynamical properties of lysozyme and water.", "author" : [ { "dropping-particle" : "", "family" : "Lerbret", "given" : "A", "non-dropping-particle" : "", "parse-names" : false, "suffix" : "" }, { "dropping-particle" : "", "family" : "Bordat", "given" : "P", "non-dropping-particle" : "", "parse-names" : false, "suffix" : "" }, { "dropping-particle" : "", "family" : "Affouard", "given" : "F", "non-dropping-particle" : "", "parse-names" : false, "suffix" : "" }, { "dropping-particle" : "", "family" : "H\u00e9doux", "given" : "A", "non-dropping-particle" : "", "parse-names" : false, "suffix" : "" }, { "dropping-particle" : "", "family" : "Guinet", "given" : "Y", "non-dropping-particle" : "", "parse-names" : false, "suffix" : "" }, { "dropping-particle" : "", "family" : "Descamps", "given" : "M", "non-dropping-particle" : "", "parse-names" : false, "suffix" : "" } ], "container-title" : "Journal of Physical Chemistry B", "id" : "ITEM-1", "issued" : { "date-parts" : [ [ "2007" ] ] }, "page" : "9410-9420", "title" : "How do trehalose, maltose, and sucrose influence some structural and dynamical properties of lysozyme? Insight from molecular dynamics simulations", "type" : "article-journal", "volume" : "111" }, "uris" : [ "http://www.mendeley.com/documents/?uuid=280e9c1c-6bf5-4e6c-b85c-743f17dfb3b9" ] } ], "mendeley" : { "formattedCitation" : "(Lerbret et al. 2007)", "plainTextFormattedCitation" : "(Lerbret et al. 2007)", "previouslyFormattedCitation" : "(Lerbret et al. 2007)" }, "properties" : { "noteIndex" : 0 }, "schema" : "https://github.com/citation-style-language/schema/raw/master/csl-citation.json" }</w:instrText>
      </w:r>
      <w:r>
        <w:fldChar w:fldCharType="separate"/>
      </w:r>
      <w:r w:rsidRPr="0071678B">
        <w:rPr>
          <w:noProof/>
        </w:rPr>
        <w:t>(Lerbret et al. 2007)</w:t>
      </w:r>
      <w:r>
        <w:fldChar w:fldCharType="end"/>
      </w:r>
      <w:r>
        <w:t>. The size distribution profiles of arginine clusters in solution demonstrate polydispersed solutions, i.e. clusters of a variety of sizes, which become more polydispersed as the concentration increases (</w:t>
      </w:r>
      <w:r>
        <w:fldChar w:fldCharType="begin"/>
      </w:r>
      <w:r>
        <w:instrText xml:space="preserve"> REF _Ref464140044 \h </w:instrText>
      </w:r>
      <w:r>
        <w:fldChar w:fldCharType="separate"/>
      </w:r>
      <w:r w:rsidR="00AA6926">
        <w:t xml:space="preserve">Figure </w:t>
      </w:r>
      <w:r w:rsidR="00AA6926">
        <w:rPr>
          <w:noProof/>
        </w:rPr>
        <w:t>5</w:t>
      </w:r>
      <w:r w:rsidR="00AA6926">
        <w:noBreakHyphen/>
      </w:r>
      <w:r w:rsidR="00AA6926">
        <w:rPr>
          <w:noProof/>
        </w:rPr>
        <w:t>4</w:t>
      </w:r>
      <w:r>
        <w:fldChar w:fldCharType="end"/>
      </w:r>
      <w:r>
        <w:t xml:space="preserve">; </w:t>
      </w:r>
      <w:r>
        <w:fldChar w:fldCharType="begin"/>
      </w:r>
      <w:r>
        <w:instrText xml:space="preserve"> REF _Ref464140049 \h </w:instrText>
      </w:r>
      <w:r>
        <w:fldChar w:fldCharType="separate"/>
      </w:r>
      <w:r w:rsidR="00AA6926">
        <w:t xml:space="preserve">Figure </w:t>
      </w:r>
      <w:r w:rsidR="00AA6926">
        <w:rPr>
          <w:noProof/>
        </w:rPr>
        <w:t>5</w:t>
      </w:r>
      <w:r w:rsidR="00AA6926">
        <w:noBreakHyphen/>
      </w:r>
      <w:r w:rsidR="00AA6926">
        <w:rPr>
          <w:noProof/>
        </w:rPr>
        <w:t>5</w:t>
      </w:r>
      <w:r>
        <w:fldChar w:fldCharType="end"/>
      </w:r>
      <w:r>
        <w:t xml:space="preserve">). This is true for both temperatures studied. It is entirely possible that there are arginine clusters occurring in solution that are too small to be detected by NTA. If these become large enough to be detected with increased arginine concentration, this would result in an increase in nanoparticle concentration, but not necessarily in average size, as is seen here. For this reason, any conclusions on size differences should be made with this in mind. However, mode numbers are unlikely to be affected by the </w:t>
      </w:r>
      <w:r w:rsidR="0045129C">
        <w:t>exclusion</w:t>
      </w:r>
      <w:r>
        <w:t xml:space="preserve"> of the smaller nanoparticles, and as these do not alter it can be concluded that nanoparticle average size doesn’t appear to be affected by concentration.</w:t>
      </w:r>
    </w:p>
    <w:p w14:paraId="0F612EB6" w14:textId="77777777" w:rsidR="00C56CFB" w:rsidRDefault="00C56CFB" w:rsidP="00FB0CA1">
      <w:pPr>
        <w:framePr w:w="8326" w:hSpace="180" w:wrap="around" w:vAnchor="text" w:hAnchor="text" w:x="1" w:y="1"/>
      </w:pPr>
      <w:r>
        <w:t xml:space="preserve"> </w:t>
      </w:r>
    </w:p>
    <w:p w14:paraId="1E49A45B" w14:textId="77777777" w:rsidR="00C56CFB" w:rsidRDefault="00C56CFB" w:rsidP="00FB0CA1">
      <w:pPr>
        <w:framePr w:w="8326" w:hSpace="180" w:wrap="around" w:vAnchor="text" w:hAnchor="text" w:x="1" w:y="1"/>
      </w:pPr>
      <w:r>
        <w:object w:dxaOrig="8566" w:dyaOrig="6825" w14:anchorId="5BA644B8">
          <v:shape id="_x0000_i1052" type="#_x0000_t75" style="width:372pt;height:295.5pt" o:ole="">
            <v:imagedata r:id="rId72" o:title=""/>
          </v:shape>
          <o:OLEObject Type="Embed" ProgID="SigmaPlotGraphicObject.12" ShapeID="_x0000_i1052" DrawAspect="Content" ObjectID="_1559454706" r:id="rId73"/>
        </w:object>
      </w:r>
    </w:p>
    <w:p w14:paraId="0A32FF4B" w14:textId="77777777" w:rsidR="00C56CFB" w:rsidRDefault="00C56CFB" w:rsidP="00FB0CA1">
      <w:pPr>
        <w:framePr w:w="8326" w:hSpace="180" w:wrap="around" w:vAnchor="text" w:hAnchor="text" w:x="1" w:y="1"/>
      </w:pPr>
      <w:r>
        <w:object w:dxaOrig="8566" w:dyaOrig="6825" w14:anchorId="14A72854">
          <v:shape id="_x0000_i1053" type="#_x0000_t75" style="width:5in;height:286.5pt" o:ole="">
            <v:imagedata r:id="rId74" o:title=""/>
          </v:shape>
          <o:OLEObject Type="Embed" ProgID="SigmaPlotGraphicObject.12" ShapeID="_x0000_i1053" DrawAspect="Content" ObjectID="_1559454707" r:id="rId75"/>
        </w:object>
      </w:r>
    </w:p>
    <w:p w14:paraId="6178979E" w14:textId="77777777" w:rsidR="00C56CFB" w:rsidRDefault="00C56CFB" w:rsidP="00FB0CA1">
      <w:pPr>
        <w:pStyle w:val="Caption"/>
        <w:framePr w:w="8326" w:hSpace="180" w:wrap="around" w:vAnchor="text" w:hAnchor="text" w:x="1" w:y="1"/>
        <w:jc w:val="left"/>
      </w:pPr>
      <w:bookmarkStart w:id="231" w:name="_Ref464139719"/>
      <w:bookmarkStart w:id="232" w:name="_Toc482633191"/>
      <w:r>
        <w:t xml:space="preserve">Figure </w:t>
      </w:r>
      <w:fldSimple w:instr=" STYLEREF 1 \s ">
        <w:r w:rsidR="00AA6926">
          <w:rPr>
            <w:noProof/>
          </w:rPr>
          <w:t>5</w:t>
        </w:r>
      </w:fldSimple>
      <w:r w:rsidR="00BA082C">
        <w:noBreakHyphen/>
      </w:r>
      <w:fldSimple w:instr=" SEQ Figure \* ARABIC \s 1 ">
        <w:r w:rsidR="00AA6926">
          <w:rPr>
            <w:noProof/>
          </w:rPr>
          <w:t>3</w:t>
        </w:r>
      </w:fldSimple>
      <w:bookmarkEnd w:id="231"/>
      <w:r>
        <w:t xml:space="preserve">. </w:t>
      </w:r>
      <w:r w:rsidRPr="00697680">
        <w:t>Average nanoparticle sizes of arginine at 25 °C (upper panel) and 50 °C (lower panel) at various millimolar concentrations</w:t>
      </w:r>
      <w:bookmarkEnd w:id="232"/>
    </w:p>
    <w:p w14:paraId="6A5D6B27" w14:textId="77777777" w:rsidR="00C56CFB" w:rsidRDefault="00C56CFB" w:rsidP="00C56CFB"/>
    <w:p w14:paraId="1CE4A072" w14:textId="77777777" w:rsidR="00C56CFB" w:rsidRDefault="00C56CFB" w:rsidP="00C56CFB">
      <w:pPr>
        <w:keepNext/>
        <w:framePr w:w="9510" w:hSpace="180" w:wrap="around" w:vAnchor="text" w:hAnchor="text" w:x="1" w:y="1"/>
      </w:pPr>
      <w:r>
        <w:object w:dxaOrig="10981" w:dyaOrig="8086" w14:anchorId="6BC2DE0D">
          <v:shape id="_x0000_i1054" type="#_x0000_t75" style="width:476.25pt;height:349.5pt" o:ole="">
            <v:imagedata r:id="rId76" o:title=""/>
          </v:shape>
          <o:OLEObject Type="Embed" ProgID="SigmaPlotGraphicObject.12" ShapeID="_x0000_i1054" DrawAspect="Content" ObjectID="_1559454708" r:id="rId77"/>
        </w:object>
      </w:r>
    </w:p>
    <w:p w14:paraId="09EBF0C3" w14:textId="77777777" w:rsidR="00C56CFB" w:rsidRDefault="00C56CFB" w:rsidP="00FB0CA1">
      <w:pPr>
        <w:pStyle w:val="Caption"/>
        <w:jc w:val="left"/>
      </w:pPr>
      <w:bookmarkStart w:id="233" w:name="_Ref464140044"/>
      <w:bookmarkStart w:id="234" w:name="_Toc482633192"/>
      <w:r>
        <w:t xml:space="preserve">Figure </w:t>
      </w:r>
      <w:fldSimple w:instr=" STYLEREF 1 \s ">
        <w:r w:rsidR="00AA6926">
          <w:rPr>
            <w:noProof/>
          </w:rPr>
          <w:t>5</w:t>
        </w:r>
      </w:fldSimple>
      <w:r w:rsidR="00BA082C">
        <w:noBreakHyphen/>
      </w:r>
      <w:fldSimple w:instr=" SEQ Figure \* ARABIC \s 1 ">
        <w:r w:rsidR="00AA6926">
          <w:rPr>
            <w:noProof/>
          </w:rPr>
          <w:t>4</w:t>
        </w:r>
      </w:fldSimple>
      <w:bookmarkEnd w:id="233"/>
      <w:r>
        <w:t>. Nanoparticle size distributions of arginine at 25 °C of increasing concentrations</w:t>
      </w:r>
      <w:r w:rsidR="0045129C">
        <w:t xml:space="preserve"> demonstrating the increase in polydispersity</w:t>
      </w:r>
      <w:r>
        <w:t>. Four concentrations are shown as representative of the concentration range: 0.5 mM (upper left panel); 5 mM (upper right panel); 100 mM (lower left panel); 500 mM (lower right panel)</w:t>
      </w:r>
      <w:bookmarkEnd w:id="234"/>
    </w:p>
    <w:p w14:paraId="3B8016EC" w14:textId="77777777" w:rsidR="00C56CFB" w:rsidRDefault="00C56CFB" w:rsidP="00C56CFB">
      <w:pPr>
        <w:pStyle w:val="Caption"/>
      </w:pPr>
    </w:p>
    <w:p w14:paraId="3BFC2A69" w14:textId="77777777" w:rsidR="00C56CFB" w:rsidRDefault="00C56CFB" w:rsidP="00C56CFB">
      <w:pPr>
        <w:keepNext/>
        <w:framePr w:w="9374" w:hSpace="180" w:wrap="around" w:vAnchor="text" w:hAnchor="text" w:x="1" w:y="1"/>
      </w:pPr>
      <w:r>
        <w:object w:dxaOrig="11925" w:dyaOrig="8671" w14:anchorId="2DCD9A20">
          <v:shape id="_x0000_i1055" type="#_x0000_t75" style="width:484.5pt;height:351.75pt" o:ole="">
            <v:imagedata r:id="rId78" o:title=""/>
          </v:shape>
          <o:OLEObject Type="Embed" ProgID="SigmaPlotGraphicObject.12" ShapeID="_x0000_i1055" DrawAspect="Content" ObjectID="_1559454709" r:id="rId79"/>
        </w:object>
      </w:r>
    </w:p>
    <w:p w14:paraId="53F3CD58" w14:textId="77777777" w:rsidR="00C56CFB" w:rsidRDefault="00C56CFB" w:rsidP="00FB0CA1">
      <w:pPr>
        <w:pStyle w:val="Caption"/>
        <w:framePr w:w="9374" w:hSpace="180" w:wrap="around" w:vAnchor="text" w:hAnchor="text" w:x="1" w:y="1"/>
        <w:jc w:val="left"/>
      </w:pPr>
      <w:bookmarkStart w:id="235" w:name="_Ref464140049"/>
      <w:bookmarkStart w:id="236" w:name="_Toc482633193"/>
      <w:r>
        <w:t xml:space="preserve">Figure </w:t>
      </w:r>
      <w:fldSimple w:instr=" STYLEREF 1 \s ">
        <w:r w:rsidR="00AA6926">
          <w:rPr>
            <w:noProof/>
          </w:rPr>
          <w:t>5</w:t>
        </w:r>
      </w:fldSimple>
      <w:r w:rsidR="00BA082C">
        <w:noBreakHyphen/>
      </w:r>
      <w:fldSimple w:instr=" SEQ Figure \* ARABIC \s 1 ">
        <w:r w:rsidR="00AA6926">
          <w:rPr>
            <w:noProof/>
          </w:rPr>
          <w:t>5</w:t>
        </w:r>
      </w:fldSimple>
      <w:bookmarkEnd w:id="235"/>
      <w:r>
        <w:t xml:space="preserve">. </w:t>
      </w:r>
      <w:r w:rsidRPr="003A5925">
        <w:t>Nanoparticle size</w:t>
      </w:r>
      <w:r>
        <w:t xml:space="preserve"> distributions of arginine at 50</w:t>
      </w:r>
      <w:r w:rsidRPr="003A5925">
        <w:t xml:space="preserve"> °C of increasing concentrations</w:t>
      </w:r>
      <w:r w:rsidR="0045129C">
        <w:t xml:space="preserve"> demonstrating the increase in polydispersity</w:t>
      </w:r>
      <w:r w:rsidRPr="003A5925">
        <w:t>. Four concentrations are shown as representative of the concentration range: 0.5 mM (upper left panel); 5 mM (upper right panel); 100 mM (lower left panel); 500 mM (lower</w:t>
      </w:r>
      <w:r>
        <w:t xml:space="preserve"> right panel)</w:t>
      </w:r>
      <w:bookmarkEnd w:id="236"/>
    </w:p>
    <w:p w14:paraId="4B198295" w14:textId="77777777" w:rsidR="00C56CFB" w:rsidRPr="00EF5BD5" w:rsidRDefault="00C56CFB" w:rsidP="00C56CFB"/>
    <w:p w14:paraId="2CB37143" w14:textId="77777777" w:rsidR="00C56CFB" w:rsidRPr="00FA3255" w:rsidRDefault="00C56CFB" w:rsidP="00C56CFB">
      <w:pPr>
        <w:pStyle w:val="Caption"/>
      </w:pPr>
    </w:p>
    <w:p w14:paraId="7B0CD6BA" w14:textId="77777777" w:rsidR="00C56CFB" w:rsidRPr="00437CA6" w:rsidRDefault="00C56CFB" w:rsidP="00C56CFB"/>
    <w:p w14:paraId="36969109" w14:textId="77777777" w:rsidR="00C56CFB" w:rsidRPr="00D10F8F" w:rsidRDefault="00C56CFB" w:rsidP="00C56CFB"/>
    <w:p w14:paraId="4946DCA9" w14:textId="77777777" w:rsidR="00C56CFB" w:rsidRDefault="00C56CFB" w:rsidP="00C56CFB">
      <w:pPr>
        <w:pStyle w:val="Heading3"/>
      </w:pPr>
      <w:bookmarkStart w:id="237" w:name="_Toc485712807"/>
      <w:r>
        <w:t xml:space="preserve">Establishing </w:t>
      </w:r>
      <w:r w:rsidR="0045129C">
        <w:t xml:space="preserve">the </w:t>
      </w:r>
      <w:r>
        <w:t xml:space="preserve">interactions </w:t>
      </w:r>
      <w:r w:rsidR="0045129C">
        <w:t>involved</w:t>
      </w:r>
      <w:r>
        <w:t xml:space="preserve"> in arginine clustering</w:t>
      </w:r>
      <w:bookmarkEnd w:id="237"/>
    </w:p>
    <w:p w14:paraId="3E8C29CB" w14:textId="77777777" w:rsidR="00C56CFB" w:rsidRDefault="00C552F2" w:rsidP="00C56CFB">
      <w:pPr>
        <w:pStyle w:val="Heading4"/>
      </w:pPr>
      <w:r>
        <w:t>Arginine &amp;</w:t>
      </w:r>
      <w:r w:rsidR="00C56CFB">
        <w:t xml:space="preserve"> NaCl screening</w:t>
      </w:r>
    </w:p>
    <w:p w14:paraId="222C27E4" w14:textId="77777777" w:rsidR="00C56CFB" w:rsidRPr="00E006F1" w:rsidRDefault="00C56CFB" w:rsidP="00C56CFB">
      <w:r>
        <w:t>Equimolar NaCl was added to arginine solutions of low concentration (50 mM) and high concentration (500 mM) in order to determine if it had an effect on the extent of arginine clustering.</w:t>
      </w:r>
      <w:r w:rsidR="00882E4A">
        <w:t xml:space="preserve"> Further data is presented in Appendix C2.</w:t>
      </w:r>
      <w:r>
        <w:t xml:space="preserve"> The presence of a neutral salt such as NaCl should act to screen electrostatic interactions, therefore determining if electrostatics play a role in arginine clustering. </w:t>
      </w:r>
      <w:r>
        <w:fldChar w:fldCharType="begin"/>
      </w:r>
      <w:r>
        <w:instrText xml:space="preserve"> REF _Ref464208377 \h </w:instrText>
      </w:r>
      <w:r>
        <w:fldChar w:fldCharType="separate"/>
      </w:r>
      <w:r w:rsidR="00AA6926">
        <w:t xml:space="preserve">Figure </w:t>
      </w:r>
      <w:r w:rsidR="00AA6926">
        <w:rPr>
          <w:noProof/>
        </w:rPr>
        <w:t>5</w:t>
      </w:r>
      <w:r w:rsidR="00AA6926">
        <w:noBreakHyphen/>
      </w:r>
      <w:r w:rsidR="00AA6926">
        <w:rPr>
          <w:noProof/>
        </w:rPr>
        <w:t>6</w:t>
      </w:r>
      <w:r>
        <w:fldChar w:fldCharType="end"/>
      </w:r>
      <w:r>
        <w:t xml:space="preserve"> shows the effect of the addition of 50 mM NaCl to 50 mM arginine at both 25 °C and 50 °C on nanoparticle concentration. The addition of 50 mM NaCl results in a decrease in nanoparticle concentration at both temperatures, and as such is screening at least some of the interactions responsible for arginine cluster formation. Therefore at least some of the interactions involved in arginine clustering are electrostatic. This is likely to be between the positively charged Gdn group, and the negatively charged carboxylate group, resulting in head-to-tail stacking. This has been seen in a number of MD simulations, although has generally been attributed to hydrogen bonding over electrostatics </w:t>
      </w:r>
      <w:r>
        <w:fldChar w:fldCharType="begin" w:fldLock="1"/>
      </w:r>
      <w:r w:rsidR="00E11F61">
        <w:instrText>ADDIN CSL_CITATION { "citationItems" : [ { "id" : "ITEM-1", "itemData" : { "DOI" : "10.1021/jp108399g", "ISSN" : "1520-5207", "PMID" : "20925358", "abstract" : "Aqueous arginine solutions are used extensively for inhibiting protein aggregation. There are several theories proposed to explain the effect of arginine on protein stability, but the exact mechanism is still not clear. To understand the mechanism of protein cosolvent interaction, the intraprotein, protein-solvent, and intrasolvent interactions have to be understood. Molecular dynamics simulations of aqueous arginine solutions were carried out for experimentally accessible concentrations and temperature ranges to study the structure of the solution and its energetic properties and obtain insight into the mechanism by which arginine inhibits protein aggregation. Simulations of proteins (\u03b1-chymotrypsinogen A and melittin) were performed. Structurally, the most striking feature of the aqueous arginine solutions is the self-association of arginine molecules. Arginine shows a marked tendency to form clusters with head to tail hydrogen bonding. Due to the presence of the three charged groups, there are several possible configurations in which arginine molecules interact. At relatively high concentrations, these arginine clusters associate with other clusters and monomeric arginine molecules to form large clusters. The hydrogen bonds between arginine molecules were found to be stronger than those between arginine and water, which makes the process of self-association enthalpically favorable. From the simulation of the proteins in aqueous arginine solution, arginine is found to interact with the aromatic and charged side chains of surface residues. A probable mechanism of the effect of arginine on protein stability consistent with our findings is proposed. In particular, arginine interacts with aromatic and charged residues due to cation-\u03c0 interaction and salt-bridge formation, respectively, to stabilize the partially unfolded intermediates. The self-interaction of arginine leads to the formation of clusters which, due to their size, crowd out the protein-protein interaction. The mechanisms proposed in the literature are analyzed on the basis of the simulation results reported in this paper and recent experimental data.", "author" : [ { "dropping-particle" : "", "family" : "Shukla", "given" : "D", "non-dropping-particle" : "", "parse-names" : false, "suffix" : "" }, { "dropping-particle" : "", "family" : "Trout", "given" : "B L", "non-dropping-particle" : "", "parse-names" : false, "suffix" : "" } ], "container-title" : "Journal of Physical Chemistry B", "id" : "ITEM-1", "issued" : { "date-parts" : [ [ "2010", "10", "28" ] ] }, "page" : "13426-13438", "title" : "Interaction of arginine with proteins and the mechanism by which it inhibits aggregation", "type" : "article-journal", "volume" : "114" }, "uris" : [ "http://www.mendeley.com/documents/?uuid=dbec9b1d-1c9e-4add-bea5-97fc49a049c2" ] }, { "id" : "ITEM-2", "itemData" : { "DOI" : "10.1002/btpr.1766", "ISSN" : "87567938", "PMID" : "23794528", "abstract" : "L-arginine (Arg), L-homoarginine (HArg), L-arginine ethylester (ArgEE), and L-arginine methylester (ArgME) were found effective in inhibiting protein aggregation, but the molecular mechanisms are not clear. Herein, stopped-flow fluorescence spectroscopy, isothermal titration calorimetry, and mass spectroscopy were used to investigate the folding kinetics of lysozyme and the interactions of the additives with lysozyme. It was found that the interactions of ArgME and ArgEE with lysozyme were similar to that of guanidine hydrochloride and were much stronger than those of Arg and HArg. The binding forces were all mainly hydrogen bonding and cation-\u03c0 interaction from the guanidinium group, but their differences in molecular states led to the significantly different binding strengths. The additives formed molecular clusters in an increasing order of ArgEE, ArgME, HArg, and Arg. Arg and HArg mainly formed annular clusters with head-to-tail bonding, while ArgME and ArgEE formed linear clusters with guanidinium groups stacking. The interactions between the additives and lysozyme were positively related to the monomer contents. That is, the monomers were the primary species that participated in the direct interactions due to their intact guanidinium groups and small sizes, while the clusters performed as barriers to crowd out the protein-protein interactions for aggregation. Thus, it is concluded that the effects of Arg and its derivatives on protein aggregation stemmed from the direct interactions by the monomers and the crowding effects by the clusters. Interplay of the two effects led to the differences in their inhibition effects on protein aggregation.", "author" : [ { "dropping-particle" : "", "family" : "Gao", "given" : "M T", "non-dropping-particle" : "", "parse-names" : false, "suffix" : "" }, { "dropping-particle" : "", "family" : "Dong", "given" : "X Y", "non-dropping-particle" : "", "parse-names" : false, "suffix" : "" }, { "dropping-particle" : "", "family" : "Sun", "given" : "Y", "non-dropping-particle" : "", "parse-names" : false, "suffix" : "" } ], "container-title" : "Biotechnology Progress", "id" : "ITEM-2", "issued" : { "date-parts" : [ [ "2013" ] ] }, "page" : "1316-1324", "title" : "Interactions between L-arginine/L-arginine derivatives and lysozyme and implications to their inhibition effects on protein aggregation", "type" : "article-journal", "volume" : "29" }, "uris" : [ "http://www.mendeley.com/documents/?uuid=9c063c3c-cbf7-45da-b23f-917022e23827" ] }, { "id" : "ITEM-3", "itemData" : { "DOI" : "10.1021/ja205215t", "ISSN" : "1520-5126", "PMID" : "21973239", "abstract" : "Protein stability in ionic solutions depends on the delicate balance between protein-ion and ion-ion interactions. For molecular ions containing multiple charged groups, the role of ion-ion interactions is particularly important. In this study, we show how the interplay between homo- and heteroion pairing influences protein stability using polyarginine salts as a model system. For the chloride salts, protein thermostability decreases as the size of the peptide increases, indicating enhanced binding to the protein. Moreover, it indicates reduced homoion pairing between Gdm(+) and carboxylate groups that is largely responsible for aggregation suppression, rather than denaturation, in monomeric arginine solutions. However, for the sulfate salts, strong heteroion pairing between the Gdm(+) groups and the sulfate counterions compensates for the loss of homoion pairing and, in return, leads to enhanced thermostability and a dramatically reduced (up to 10-30 times) rate of protein aggregation. Molecular dynamics simulations reveal how this ion pairing enhances conformational stability and, at the same time, reduces protein association. This study provides insight into complex ion effects on protein stability and serves as an example of how these intrasolvent interactions can be leveraged to enhance protein stability.", "author" : [ { "dropping-particle" : "", "family" : "Shukla", "given" : "D", "non-dropping-particle" : "", "parse-names" : false, "suffix" : "" }, { "dropping-particle" : "", "family" : "Schneider", "given" : "C P", "non-dropping-particle" : "", "parse-names" : false, "suffix" : "" }, { "dropping-particle" : "", "family" : "Trout", "given" : "B L", "non-dropping-particle" : "", "parse-names" : false, "suffix" : "" } ], "container-title" : "Journal of the American Chemical Society", "id" : "ITEM-3", "issued" : { "date-parts" : [ [ "2011", "11", "23" ] ] }, "page" : "18713-18718", "title" : "Complex interactions between molecular ions in solution and their effect on protein stability", "type" : "article-journal", "volume" : "133" }, "uris" : [ "http://www.mendeley.com/documents/?uuid=bf3d8b7f-7511-4e27-8154-a4660873b30e" ] } ], "mendeley" : { "formattedCitation" : "(Shukla &amp; Trout 2010; Gao et al. 2013; Shukla et al. 2011a)", "plainTextFormattedCitation" : "(Shukla &amp; Trout 2010; Gao et al. 2013; Shukla et al. 2011a)", "previouslyFormattedCitation" : "(Shukla &amp; Trout 2010; Gao et al. 2013; Shukla et al. 2011a)" }, "properties" : { "noteIndex" : 0 }, "schema" : "https://github.com/citation-style-language/schema/raw/master/csl-citation.json" }</w:instrText>
      </w:r>
      <w:r>
        <w:fldChar w:fldCharType="separate"/>
      </w:r>
      <w:r w:rsidR="0064368A" w:rsidRPr="0064368A">
        <w:rPr>
          <w:noProof/>
        </w:rPr>
        <w:t>(Shukla &amp; Trout 2010; Gao et al. 2013; Shukla et al. 2011a)</w:t>
      </w:r>
      <w:r>
        <w:fldChar w:fldCharType="end"/>
      </w:r>
      <w:r>
        <w:t xml:space="preserve">. In the presence of 50 mM NaCl there are still some visible clusters remaining, however these values are approaching the nanoparticle concentration seen for the 1 M NaCl control, which is attributed to small amounts of dust contamination. The amount of contamination may be slightly less for lower concentrations of NaCl as the contamination originates from the salt rather than the HPLC-grade water (as shown from HPLC-grade water controls). As such the nanoparticles seen at 50 mM NaCl are still likely to be formed mostly by arginine. Therefore, as suggested previously in the literature, arginine clusters are not formed by a single interaction, and so others also need to be explored </w:t>
      </w:r>
      <w:r>
        <w:fldChar w:fldCharType="begin" w:fldLock="1"/>
      </w:r>
      <w:r>
        <w:instrText>ADDIN CSL_CITATION { "citationItems" : [ { "id" : "ITEM-1", "itemData" : { "DOI" : "10.1021/jp108399g", "ISSN" : "1520-5207", "PMID" : "20925358", "abstract" : "Aqueous arginine solutions are used extensively for inhibiting protein aggregation. There are several theories proposed to explain the effect of arginine on protein stability, but the exact mechanism is still not clear. To understand the mechanism of protein cosolvent interaction, the intraprotein, protein-solvent, and intrasolvent interactions have to be understood. Molecular dynamics simulations of aqueous arginine solutions were carried out for experimentally accessible concentrations and temperature ranges to study the structure of the solution and its energetic properties and obtain insight into the mechanism by which arginine inhibits protein aggregation. Simulations of proteins (\u03b1-chymotrypsinogen A and melittin) were performed. Structurally, the most striking feature of the aqueous arginine solutions is the self-association of arginine molecules. Arginine shows a marked tendency to form clusters with head to tail hydrogen bonding. Due to the presence of the three charged groups, there are several possible configurations in which arginine molecules interact. At relatively high concentrations, these arginine clusters associate with other clusters and monomeric arginine molecules to form large clusters. The hydrogen bonds between arginine molecules were found to be stronger than those between arginine and water, which makes the process of self-association enthalpically favorable. From the simulation of the proteins in aqueous arginine solution, arginine is found to interact with the aromatic and charged side chains of surface residues. A probable mechanism of the effect of arginine on protein stability consistent with our findings is proposed. In particular, arginine interacts with aromatic and charged residues due to cation-\u03c0 interaction and salt-bridge formation, respectively, to stabilize the partially unfolded intermediates. The self-interaction of arginine leads to the formation of clusters which, due to their size, crowd out the protein-protein interaction. The mechanisms proposed in the literature are analyzed on the basis of the simulation results reported in this paper and recent experimental data.", "author" : [ { "dropping-particle" : "", "family" : "Shukla", "given" : "D", "non-dropping-particle" : "", "parse-names" : false, "suffix" : "" }, { "dropping-particle" : "", "family" : "Trout", "given" : "B L", "non-dropping-particle" : "", "parse-names" : false, "suffix" : "" } ], "container-title" : "Journal of Physical Chemistry B", "id" : "ITEM-1", "issued" : { "date-parts" : [ [ "2010", "10", "28" ] ] }, "page" : "13426-13438", "title" : "Interaction of arginine with proteins and the mechanism by which it inhibits aggregation", "type" : "article-journal", "volume" : "114" }, "uris" : [ "http://www.mendeley.com/documents/?uuid=dbec9b1d-1c9e-4add-bea5-97fc49a049c2" ] }, { "id" : "ITEM-2", "itemData" : { "DOI" : "10.1021/cb300440x", "ISSN" : "15548929", "PMID" : "23138654", "abstract" : "Arginine is one of the most prominent residues in protein interactions, and arginine hydrochloride is widely used as an additive in protein solutions because of its exceptional effects on protein association and folding. The molecular origins of arginine effects on protein processes remain, however, controversial, and little is known about the molecular interactions between arginine cations and protein surfaces in aqueous arginine solutions. In this study, we report a unique biochemical phenomenon whereby clusters of arginine cations (Arg(+)) are associated with a protein surface. The formation of protein-associated Arg(+) clusters is initiated by Arg(+) ions that associate with specific protein surface loci through cooperative interactions with protein guanidinium and carboxyl groups. Molecular dynamics simulations indicate that protein-associated Arg(+) ions subsequently attract other Arg(+) ions and form dynamic cation clusters that extend further than 10 \u00c5 from the protein surface. The effects of arginine on the thermal stability and size of lysozyme and ovalbumin are measured over a wide concentration range (0 to 2 M), and we find that the formation of protein-associated Arg(+) clusters consistently explains the complex effects of arginine on protein stability and size. This study elucidates the molecular mechanisms and implications of cluster formation of Arg(+) ions at a protein surface, and the findings of this study may be used to manipulate synthetic and biological systems through arginine-derived groups.", "author" : [ { "dropping-particle" : "", "family" : "Vagenende", "given" : "V", "non-dropping-particle" : "", "parse-names" : false, "suffix" : "" }, { "dropping-particle" : "", "family" : "Han", "given" : "A X", "non-dropping-particle" : "", "parse-names" : false, "suffix" : "" }, { "dropping-particle" : "", "family" : "Mueller", "given" : "M", "non-dropping-particle" : "", "parse-names" : false, "suffix" : "" }, { "dropping-particle" : "", "family" : "Trout", "given" : "B L", "non-dropping-particle" : "", "parse-names" : false, "suffix" : "" } ], "container-title" : "ACS Chemical Biology", "id" : "ITEM-2", "issued" : { "date-parts" : [ [ "2013" ] ] }, "page" : "416-422", "title" : "Protein-associated cation clusters in aqueous arginine solutions and their effects on protein stability and size", "type" : "article-journal", "volume" : "8" }, "uris" : [ "http://www.mendeley.com/documents/?uuid=1b8af2ac-8920-4412-a424-6595a3d7e71c" ] } ], "mendeley" : { "formattedCitation" : "(Shukla &amp; Trout 2010; Vagenende et al. 2013)", "plainTextFormattedCitation" : "(Shukla &amp; Trout 2010; Vagenende et al. 2013)", "previouslyFormattedCitation" : "(Shukla &amp; Trout 2010; Vagenende et al. 2013)" }, "properties" : { "noteIndex" : 0 }, "schema" : "https://github.com/citation-style-language/schema/raw/master/csl-citation.json" }</w:instrText>
      </w:r>
      <w:r>
        <w:fldChar w:fldCharType="separate"/>
      </w:r>
      <w:r w:rsidRPr="00850CF7">
        <w:rPr>
          <w:noProof/>
        </w:rPr>
        <w:t>(Shukla &amp; Trout 2010; Vagenende et al. 2013)</w:t>
      </w:r>
      <w:r>
        <w:fldChar w:fldCharType="end"/>
      </w:r>
      <w:r>
        <w:t>.</w:t>
      </w:r>
    </w:p>
    <w:p w14:paraId="130312D3" w14:textId="77777777" w:rsidR="00C56CFB" w:rsidRDefault="00C56CFB" w:rsidP="00C56CFB">
      <w:pPr>
        <w:keepNext/>
        <w:framePr w:w="8090" w:hSpace="180" w:wrap="around" w:vAnchor="text" w:hAnchor="text" w:x="1" w:y="1"/>
      </w:pPr>
      <w:r>
        <w:object w:dxaOrig="8880" w:dyaOrig="6825" w14:anchorId="439E8BC6">
          <v:shape id="_x0000_i1056" type="#_x0000_t75" style="width:404.25pt;height:310.5pt" o:ole="">
            <v:imagedata r:id="rId80" o:title=""/>
          </v:shape>
          <o:OLEObject Type="Embed" ProgID="SigmaPlotGraphicObject.12" ShapeID="_x0000_i1056" DrawAspect="Content" ObjectID="_1559454710" r:id="rId81"/>
        </w:object>
      </w:r>
    </w:p>
    <w:p w14:paraId="77F5D695" w14:textId="77777777" w:rsidR="00C56CFB" w:rsidRDefault="00C56CFB" w:rsidP="00FB0CA1">
      <w:pPr>
        <w:pStyle w:val="Caption"/>
        <w:framePr w:w="8090" w:hSpace="180" w:wrap="around" w:vAnchor="text" w:hAnchor="text" w:x="1" w:y="1"/>
        <w:jc w:val="left"/>
      </w:pPr>
      <w:bookmarkStart w:id="238" w:name="_Ref464208377"/>
      <w:bookmarkStart w:id="239" w:name="_Toc482633194"/>
      <w:r>
        <w:t xml:space="preserve">Figure </w:t>
      </w:r>
      <w:fldSimple w:instr=" STYLEREF 1 \s ">
        <w:r w:rsidR="00AA6926">
          <w:rPr>
            <w:noProof/>
          </w:rPr>
          <w:t>5</w:t>
        </w:r>
      </w:fldSimple>
      <w:r w:rsidR="00BA082C">
        <w:noBreakHyphen/>
      </w:r>
      <w:fldSimple w:instr=" SEQ Figure \* ARABIC \s 1 ">
        <w:r w:rsidR="00AA6926">
          <w:rPr>
            <w:noProof/>
          </w:rPr>
          <w:t>6</w:t>
        </w:r>
      </w:fldSimple>
      <w:bookmarkEnd w:id="238"/>
      <w:r>
        <w:t xml:space="preserve">. </w:t>
      </w:r>
      <w:r w:rsidRPr="00BB5ADE">
        <w:t>Nanoparticle (&gt;30 nm) concentration of a 50 mM arginine sample in the absence (left bars) and the presence (right bars) of 50 mM NaCl at both 25 °C (red bars) and 50 °C (green bars)</w:t>
      </w:r>
      <w:bookmarkEnd w:id="239"/>
    </w:p>
    <w:p w14:paraId="2D35F93B" w14:textId="77777777" w:rsidR="00C56CFB" w:rsidRPr="00D10F8F" w:rsidRDefault="00C56CFB" w:rsidP="00C56CFB"/>
    <w:p w14:paraId="0AA723E1" w14:textId="77777777" w:rsidR="00C56CFB" w:rsidRPr="0050267F" w:rsidRDefault="00C56CFB" w:rsidP="00C56CFB">
      <w:r>
        <w:t>Due to the two-stage trend in nanoparticle concentration with increasing arginine concentration 500 mM arginine was also screened with equimolar NaCl (</w:t>
      </w:r>
      <w:r>
        <w:fldChar w:fldCharType="begin"/>
      </w:r>
      <w:r>
        <w:instrText xml:space="preserve"> REF _Ref464210534 \h </w:instrText>
      </w:r>
      <w:r>
        <w:fldChar w:fldCharType="separate"/>
      </w:r>
      <w:r w:rsidR="00AA6926">
        <w:t xml:space="preserve">Figure </w:t>
      </w:r>
      <w:r w:rsidR="00AA6926">
        <w:rPr>
          <w:noProof/>
        </w:rPr>
        <w:t>5</w:t>
      </w:r>
      <w:r w:rsidR="00AA6926">
        <w:noBreakHyphen/>
      </w:r>
      <w:r w:rsidR="00AA6926">
        <w:rPr>
          <w:noProof/>
        </w:rPr>
        <w:t>7</w:t>
      </w:r>
      <w:r>
        <w:fldChar w:fldCharType="end"/>
      </w:r>
      <w:r>
        <w:t>), in order to determine if the interactions governing the cluster formation differed between the concentration-dependent stages. The concentration of nanoparticles decreased in the presence of equimolar NaCl for 500 mM arginine, although there are still nanoparticles visible, as with 50 mM arginine. Therefore at high concentrations it appears that electrostatics play a role in arginine cluster formation, but other interactions are also responsible, similar to low concentrations.</w:t>
      </w:r>
    </w:p>
    <w:p w14:paraId="4918213D" w14:textId="77777777" w:rsidR="00C56CFB" w:rsidRDefault="00C56CFB" w:rsidP="00C56CFB">
      <w:pPr>
        <w:keepNext/>
        <w:framePr w:w="8155" w:hSpace="180" w:wrap="around" w:vAnchor="text" w:hAnchor="text" w:x="1" w:y="1"/>
      </w:pPr>
      <w:r>
        <w:object w:dxaOrig="9001" w:dyaOrig="6825" w14:anchorId="34651614">
          <v:shape id="_x0000_i1057" type="#_x0000_t75" style="width:408pt;height:309pt" o:ole="">
            <v:imagedata r:id="rId82" o:title=""/>
          </v:shape>
          <o:OLEObject Type="Embed" ProgID="SigmaPlotGraphicObject.12" ShapeID="_x0000_i1057" DrawAspect="Content" ObjectID="_1559454711" r:id="rId83"/>
        </w:object>
      </w:r>
    </w:p>
    <w:p w14:paraId="3DC00B56" w14:textId="77777777" w:rsidR="00C56CFB" w:rsidRDefault="00C56CFB" w:rsidP="00FB0CA1">
      <w:pPr>
        <w:pStyle w:val="Caption"/>
        <w:framePr w:w="8155" w:hSpace="180" w:wrap="around" w:vAnchor="text" w:hAnchor="text" w:x="1" w:y="1"/>
        <w:jc w:val="left"/>
      </w:pPr>
      <w:bookmarkStart w:id="240" w:name="_Ref464210534"/>
      <w:bookmarkStart w:id="241" w:name="_Toc482633195"/>
      <w:r>
        <w:t xml:space="preserve">Figure </w:t>
      </w:r>
      <w:fldSimple w:instr=" STYLEREF 1 \s ">
        <w:r w:rsidR="00AA6926">
          <w:rPr>
            <w:noProof/>
          </w:rPr>
          <w:t>5</w:t>
        </w:r>
      </w:fldSimple>
      <w:r w:rsidR="00BA082C">
        <w:noBreakHyphen/>
      </w:r>
      <w:fldSimple w:instr=" SEQ Figure \* ARABIC \s 1 ">
        <w:r w:rsidR="00AA6926">
          <w:rPr>
            <w:noProof/>
          </w:rPr>
          <w:t>7</w:t>
        </w:r>
      </w:fldSimple>
      <w:bookmarkEnd w:id="240"/>
      <w:r>
        <w:t xml:space="preserve">. </w:t>
      </w:r>
      <w:r w:rsidRPr="000B52A0">
        <w:t>Nanoparticle (&gt;30 nm) concentration of a 50</w:t>
      </w:r>
      <w:r>
        <w:t>0</w:t>
      </w:r>
      <w:r w:rsidRPr="000B52A0">
        <w:t xml:space="preserve"> mM arginine sample in the absence (left bars) and the presence (right bars) of 50</w:t>
      </w:r>
      <w:r>
        <w:t>0</w:t>
      </w:r>
      <w:r w:rsidRPr="000B52A0">
        <w:t xml:space="preserve"> mM NaCl at both 25 °C (red bars) and 50 °C (green bars)</w:t>
      </w:r>
      <w:bookmarkEnd w:id="241"/>
    </w:p>
    <w:p w14:paraId="0B7FA47B" w14:textId="77777777" w:rsidR="00C56CFB" w:rsidRPr="001D726F" w:rsidRDefault="00C56CFB" w:rsidP="00C56CFB"/>
    <w:p w14:paraId="3AD5CC0A" w14:textId="77777777" w:rsidR="00C56CFB" w:rsidRDefault="00C56CFB" w:rsidP="00C56CFB">
      <w:pPr>
        <w:pStyle w:val="Heading4"/>
      </w:pPr>
      <w:r>
        <w:t>Lysine clustering and relevance to arginine clustering interactions</w:t>
      </w:r>
    </w:p>
    <w:p w14:paraId="37016ECE" w14:textId="77777777" w:rsidR="00C56CFB" w:rsidRDefault="00C56CFB" w:rsidP="00C56CFB">
      <w:r>
        <w:t>Various concentrations of lysine in HPLC grade wat</w:t>
      </w:r>
      <w:r w:rsidR="00C74BE0">
        <w:t>er at pH 7 25 °C were tracked using NTA</w:t>
      </w:r>
      <w:r>
        <w:t xml:space="preserve"> to detect whether clustering behaviour was present. As lysine is also an amino acid containing a positively charged side chain, the hypothesis here was that if lysine also stacked to the same extent as arginine, this would give evidence of head-to-tail stacking between the positively charged side chain and the carboxylate group.</w:t>
      </w:r>
    </w:p>
    <w:p w14:paraId="4D04A023" w14:textId="77777777" w:rsidR="00C56CFB" w:rsidRPr="00FC2FAB" w:rsidRDefault="00C56CFB" w:rsidP="00C56CFB">
      <w:r>
        <w:fldChar w:fldCharType="begin"/>
      </w:r>
      <w:r>
        <w:instrText xml:space="preserve"> REF _Ref464465548 \h </w:instrText>
      </w:r>
      <w:r>
        <w:fldChar w:fldCharType="separate"/>
      </w:r>
      <w:r w:rsidR="00AA6926">
        <w:t xml:space="preserve">Figure </w:t>
      </w:r>
      <w:r w:rsidR="00AA6926">
        <w:rPr>
          <w:noProof/>
        </w:rPr>
        <w:t>5</w:t>
      </w:r>
      <w:r w:rsidR="00AA6926">
        <w:noBreakHyphen/>
      </w:r>
      <w:r w:rsidR="00AA6926">
        <w:rPr>
          <w:noProof/>
        </w:rPr>
        <w:t>8</w:t>
      </w:r>
      <w:r>
        <w:fldChar w:fldCharType="end"/>
      </w:r>
      <w:r>
        <w:t xml:space="preserve"> shows the nanoparticle concentration in various lysine concentrations. Size data and distributions, as</w:t>
      </w:r>
      <w:r w:rsidR="0032413F">
        <w:t xml:space="preserve"> well as raw data, are shown in Appendix C3. </w:t>
      </w:r>
      <w:r>
        <w:t>Size distributions are very similar to arginine and do not vary with concentration. Lysine is shown to self-associate here, with a similar two-stage trend to arginine, although not as strongly. Below 100 mM, nanoparticles are detected, but the concentration is maintained below 200x10</w:t>
      </w:r>
      <w:r w:rsidRPr="003F0712">
        <w:rPr>
          <w:vertAlign w:val="superscript"/>
        </w:rPr>
        <w:t>6</w:t>
      </w:r>
      <w:r>
        <w:t xml:space="preserve"> particles/mL. Above 100 mM there appears to be a slight increase in nanoparticle concentration, reaching 300x10</w:t>
      </w:r>
      <w:r w:rsidRPr="003F0712">
        <w:rPr>
          <w:vertAlign w:val="superscript"/>
        </w:rPr>
        <w:t>6</w:t>
      </w:r>
      <w:r>
        <w:t xml:space="preserve"> particles/mL at 1 M lysine. As </w:t>
      </w:r>
      <w:r w:rsidR="00C74BE0">
        <w:t xml:space="preserve">singular </w:t>
      </w:r>
      <w:r>
        <w:t xml:space="preserve">lysine molecules are very close in size to arginine, this means that lysine has </w:t>
      </w:r>
      <w:r w:rsidR="00005943">
        <w:t>a lower</w:t>
      </w:r>
      <w:r>
        <w:t xml:space="preserve"> propensity to self-associate than arginine.</w:t>
      </w:r>
    </w:p>
    <w:p w14:paraId="45804D9C" w14:textId="77777777" w:rsidR="00C56CFB" w:rsidRDefault="00C56CFB" w:rsidP="00C56CFB">
      <w:pPr>
        <w:keepNext/>
        <w:framePr w:w="9205" w:h="7999" w:hRule="exact" w:hSpace="180" w:wrap="around" w:vAnchor="text" w:hAnchor="page" w:x="2106" w:y="1"/>
      </w:pPr>
      <w:r>
        <w:object w:dxaOrig="8955" w:dyaOrig="6780" w14:anchorId="250CCD5E">
          <v:shape id="_x0000_i1058" type="#_x0000_t75" style="width:409.5pt;height:309pt" o:ole="">
            <v:imagedata r:id="rId84" o:title=""/>
          </v:shape>
          <o:OLEObject Type="Embed" ProgID="SigmaPlotGraphicObject.12" ShapeID="_x0000_i1058" DrawAspect="Content" ObjectID="_1559454712" r:id="rId85"/>
        </w:object>
      </w:r>
    </w:p>
    <w:p w14:paraId="662E2CEA" w14:textId="77777777" w:rsidR="00C56CFB" w:rsidRDefault="00C56CFB" w:rsidP="00FB0CA1">
      <w:pPr>
        <w:pStyle w:val="Caption"/>
        <w:framePr w:w="9205" w:h="7999" w:hRule="exact" w:hSpace="180" w:wrap="around" w:vAnchor="text" w:hAnchor="page" w:x="2106" w:y="1"/>
        <w:jc w:val="left"/>
      </w:pPr>
      <w:bookmarkStart w:id="242" w:name="_Ref464465548"/>
      <w:bookmarkStart w:id="243" w:name="_Toc482633196"/>
      <w:r>
        <w:t xml:space="preserve">Figure </w:t>
      </w:r>
      <w:fldSimple w:instr=" STYLEREF 1 \s ">
        <w:r w:rsidR="00AA6926">
          <w:rPr>
            <w:noProof/>
          </w:rPr>
          <w:t>5</w:t>
        </w:r>
      </w:fldSimple>
      <w:r w:rsidR="00BA082C">
        <w:noBreakHyphen/>
      </w:r>
      <w:fldSimple w:instr=" SEQ Figure \* ARABIC \s 1 ">
        <w:r w:rsidR="00AA6926">
          <w:rPr>
            <w:noProof/>
          </w:rPr>
          <w:t>8</w:t>
        </w:r>
      </w:fldSimple>
      <w:bookmarkEnd w:id="242"/>
      <w:r>
        <w:t>. Nanoparticle (&gt;30 nm) concentration of lysine solutions at 25 °C</w:t>
      </w:r>
      <w:bookmarkEnd w:id="243"/>
    </w:p>
    <w:p w14:paraId="147E05A5" w14:textId="77777777" w:rsidR="00C56CFB" w:rsidRPr="00D16F52" w:rsidRDefault="00C56CFB" w:rsidP="00C56CFB">
      <w:r>
        <w:t xml:space="preserve">Lysine has previously been shown to not participate in the same stacking behaviour as arginine, which was attributed to the presence of the spherical ammonium group rather than the planar guanidinium group, resulting in less attractive interactions between lysine molecules </w:t>
      </w:r>
      <w:r>
        <w:fldChar w:fldCharType="begin" w:fldLock="1"/>
      </w:r>
      <w:r w:rsidR="00E11F61">
        <w:instrText>ADDIN CSL_CITATION { "citationItems" : [ { "id" : "ITEM-1", "itemData" : { "DOI" : "10.1021/jp902377q", "ISSN" : "1520-6106", "PMID" : "19354258", "abstract" : "Molecular dynamics simulations show significant like-charge pairing of guanidinium side chains in aqueous poly-arginine, while this effect is absent in aqueous poly-lysine containing ammonium-terminated side chains. This behavior of the guanidinium group is revealed also by protein database searches, having important biochemical implications. Combination of molecular dynamics simulations with explicit solvent and ab initio calculations employing a polarizable continuum model of water allows one to rationalize the formation of contact ion pairs between guanidinium cations in terms of individual interactions at the molecular level.", "author" : [ { "dropping-particle" : "", "family" : "Vondr\u00e1sek", "given" : "J", "non-dropping-particle" : "", "parse-names" : false, "suffix" : "" }, { "dropping-particle" : "", "family" : "Mason", "given" : "P E", "non-dropping-particle" : "", "parse-names" : false, "suffix" : "" }, { "dropping-particle" : "", "family" : "Heyda", "given" : "J", "non-dropping-particle" : "", "parse-names" : false, "suffix" : "" }, { "dropping-particle" : "", "family" : "Collins", "given" : "K D", "non-dropping-particle" : "", "parse-names" : false, "suffix" : "" }, { "dropping-particle" : "", "family" : "Jungwirth", "given" : "P", "non-dropping-particle" : "", "parse-names" : false, "suffix" : "" } ], "container-title" : "Journal of Physical Chemistry B Letters", "id" : "ITEM-1", "issued" : { "date-parts" : [ [ "2009", "7", "9" ] ] }, "page" : "9041-9045", "title" : "The molecular origin of like-charge arginine-arginine pairing in water", "type" : "article-journal", "volume" : "113" }, "uris" : [ "http://www.mendeley.com/documents/?uuid=2b4d5602-cb6f-4b2e-9f59-c43b7ae046d8" ] } ], "mendeley" : { "formattedCitation" : "(Vondr\u00e1sek et al. 2009)", "plainTextFormattedCitation" : "(Vondr\u00e1sek et al. 2009)", "previouslyFormattedCitation" : "(Vondr\u00e1sek et al. 2009)" }, "properties" : { "noteIndex" : 0 }, "schema" : "https://github.com/citation-style-language/schema/raw/master/csl-citation.json" }</w:instrText>
      </w:r>
      <w:r>
        <w:fldChar w:fldCharType="separate"/>
      </w:r>
      <w:r w:rsidRPr="003F0712">
        <w:rPr>
          <w:noProof/>
        </w:rPr>
        <w:t>(Vondrásek et al. 2009)</w:t>
      </w:r>
      <w:r>
        <w:fldChar w:fldCharType="end"/>
      </w:r>
      <w:r>
        <w:t xml:space="preserve">. However, this study was carried out on poly-lysine and poly-arginine. This means that the carboxylate groups would not be free to </w:t>
      </w:r>
      <w:r w:rsidR="00C74BE0">
        <w:t>form head-to-tail interactions</w:t>
      </w:r>
      <w:r>
        <w:t xml:space="preserve"> with the positively charged side chains. Therefore this study simply shows that the ammonium side chains on lysine are incapable of self-associating. The data shown here demonstrate that aqueous lysine is capable of forming clusters in solution, which are likely to be as a result of carboxylate-ammonium head-to-tail interactions. This gives evidence to the hypothesis that arginine also self-associates via head-to-tail interactions. However, as arginine is shown to form more clusters than lysine at similar concentrations, other potential interactions should also be explored.</w:t>
      </w:r>
    </w:p>
    <w:p w14:paraId="41AB4F5A" w14:textId="77777777" w:rsidR="00C56CFB" w:rsidRDefault="00C56CFB" w:rsidP="00C56CFB">
      <w:pPr>
        <w:pStyle w:val="Heading4"/>
      </w:pPr>
      <w:r>
        <w:t>GdnHCl clustering and relevance to arginine clustering interactions</w:t>
      </w:r>
    </w:p>
    <w:p w14:paraId="64100350" w14:textId="77777777" w:rsidR="00C56CFB" w:rsidRPr="00561D1D" w:rsidRDefault="00C56CFB" w:rsidP="00C56CFB">
      <w:r>
        <w:t>GdnHCl at various concentrations at pH 7 25 °C was tracked using</w:t>
      </w:r>
      <w:r w:rsidR="00C74BE0">
        <w:t xml:space="preserve"> NTA</w:t>
      </w:r>
      <w:r>
        <w:t xml:space="preserve"> to detect any clustering behaviour. Size distribution</w:t>
      </w:r>
      <w:r w:rsidR="0032413F">
        <w:t xml:space="preserve">s and raw data are presented in Appendix C4. </w:t>
      </w:r>
      <w:r>
        <w:fldChar w:fldCharType="begin"/>
      </w:r>
      <w:r>
        <w:instrText xml:space="preserve"> REF _Ref464466954 \h </w:instrText>
      </w:r>
      <w:r>
        <w:fldChar w:fldCharType="separate"/>
      </w:r>
      <w:r w:rsidR="00AA6926">
        <w:t xml:space="preserve">Figure </w:t>
      </w:r>
      <w:r w:rsidR="00AA6926">
        <w:rPr>
          <w:noProof/>
        </w:rPr>
        <w:t>5</w:t>
      </w:r>
      <w:r w:rsidR="00AA6926">
        <w:noBreakHyphen/>
      </w:r>
      <w:r w:rsidR="00AA6926">
        <w:rPr>
          <w:noProof/>
        </w:rPr>
        <w:t>9</w:t>
      </w:r>
      <w:r>
        <w:fldChar w:fldCharType="end"/>
      </w:r>
      <w:r>
        <w:t xml:space="preserve"> shows a consistent nanoparticle concentration at all GdnHCl concentrations below 50x10</w:t>
      </w:r>
      <w:r w:rsidRPr="005A3900">
        <w:rPr>
          <w:vertAlign w:val="superscript"/>
        </w:rPr>
        <w:t>6</w:t>
      </w:r>
      <w:r>
        <w:t xml:space="preserve"> particles/mL, although nanoparticles are visible at all concentrations. This may partly be due to GdnHCl’s smaller size, meaning there are more clusters formed that are too small to be detected by the NTA equipment. The ability of GdnHCl to form electrostatics-defying self-interactions has been shown previously, both as a salt in solution </w:t>
      </w:r>
      <w:r>
        <w:fldChar w:fldCharType="begin" w:fldLock="1"/>
      </w:r>
      <w:r>
        <w:instrText>ADDIN CSL_CITATION { "citationItems" : [ { "id" : "ITEM-1", "itemData" : { "DOI" : "10.1021/ja040034x", "author" : [ { "dropping-particle" : "", "family" : "Mason", "given" : "P E", "non-dropping-particle" : "", "parse-names" : false, "suffix" : "" }, { "dropping-particle" : "", "family" : "Neilson", "given" : "G W", "non-dropping-particle" : "", "parse-names" : false, "suffix" : "" }, { "dropping-particle" : "", "family" : "Enderby", "given" : "J E", "non-dropping-particle" : "", "parse-names" : false, "suffix" : "" }, { "dropping-particle" : "", "family" : "Saboungi", "given" : "M L", "non-dropping-particle" : "", "parse-names" : false, "suffix" : "" }, { "dropping-particle" : "", "family" : "Dempsey", "given" : "C E", "non-dropping-particle" : "", "parse-names" : false, "suffix" : "" }, { "dropping-particle" : "", "family" : "Mackerell", "given" : "A D", "non-dropping-particle" : "", "parse-names" : false, "suffix" : "" }, { "dropping-particle" : "", "family" : "Brady", "given" : "J W", "non-dropping-particle" : "", "parse-names" : false, "suffix" : "" } ], "container-title" : "Journal of the American Chemical Society", "id" : "ITEM-1", "issued" : { "date-parts" : [ [ "2004" ] ] }, "page" : "11462-11470", "title" : "The structure of aqueous guanidinium chloride solutions", "type" : "article-journal", "volume" : "126" }, "uris" : [ "http://www.mendeley.com/documents/?uuid=dcd77331-9619-41cd-a08e-15ca0f9e5576" ] } ], "mendeley" : { "formattedCitation" : "(Mason et al. 2004)", "plainTextFormattedCitation" : "(Mason et al. 2004)", "previouslyFormattedCitation" : "(Mason et al. 2004)" }, "properties" : { "noteIndex" : 0 }, "schema" : "https://github.com/citation-style-language/schema/raw/master/csl-citation.json" }</w:instrText>
      </w:r>
      <w:r>
        <w:fldChar w:fldCharType="separate"/>
      </w:r>
      <w:r w:rsidRPr="005A3900">
        <w:rPr>
          <w:noProof/>
        </w:rPr>
        <w:t>(Mason et al. 2004)</w:t>
      </w:r>
      <w:r>
        <w:fldChar w:fldCharType="end"/>
      </w:r>
      <w:r>
        <w:t xml:space="preserve">, and as the terminal group on an arginine molecule </w:t>
      </w:r>
      <w:r>
        <w:fldChar w:fldCharType="begin" w:fldLock="1"/>
      </w:r>
      <w:r>
        <w:instrText>ADDIN CSL_CITATION { "citationItems" : [ { "id" : "ITEM-1", "itemData" : { "DOI" : "10.1002/prot.22142", "ISSN" : "1097-0134", "PMID" : "18618701", "abstract" : "Apparent electrostatics-defying clustering of arginines attributed as screening effect of solvent is in this study examined as a possible thermodynamic driving force in protein-protein interaction. A dataset of 266 protein dimers is found to have approximately 22% arginines mutually paired and approximately 17% pairs in interaction across interfaces and thus putative \"hotspots\" of protein-protein interaction. The pairing, uncorrelated with inter or intramolecular context, could be contributing in protein folding as well, and, uncorrelated with solvent access, could be driven by effects that are generic to solvent and protein structures. Mutually stacked at shorter distances but in diverse geometrical modes otherwise, the cations tend to be in gross deficit of hydrogen-bond partners, and contributing electrostatics across protein-protein interface that, on average, is repulsive for protein-protein interaction. Embedded in local environment enriched in polarizable residues, aromatic, aliphatic, and anionic, the arginines may contribute to protein-protein interaction via environmental polarization response to electrostatics of cation clustering, a possible new principle in molecular recognition.", "author" : [ { "dropping-particle" : "", "family" : "Pednekar", "given" : "D", "non-dropping-particle" : "", "parse-names" : false, "suffix" : "" }, { "dropping-particle" : "", "family" : "Tendulkar", "given" : "A", "non-dropping-particle" : "", "parse-names" : false, "suffix" : "" }, { "dropping-particle" : "", "family" : "Durani", "given" : "S", "non-dropping-particle" : "", "parse-names" : false, "suffix" : "" } ], "container-title" : "Proteins", "id" : "ITEM-1", "issued" : { "date-parts" : [ [ "2009", "1" ] ] }, "page" : "155-163", "title" : "Electrostatics-defying interaction between arginine termini as a thermodynamic driving force in protein-protein interaction", "type" : "article-journal", "volume" : "74" }, "uris" : [ "http://www.mendeley.com/documents/?uuid=55305678-0513-4a2a-8f44-80c6072fc12d" ] } ], "mendeley" : { "formattedCitation" : "(Pednekar et al. 2009)", "plainTextFormattedCitation" : "(Pednekar et al. 2009)", "previouslyFormattedCitation" : "(Pednekar et al. 2009)" }, "properties" : { "noteIndex" : 0 }, "schema" : "https://github.com/citation-style-language/schema/raw/master/csl-citation.json" }</w:instrText>
      </w:r>
      <w:r>
        <w:fldChar w:fldCharType="separate"/>
      </w:r>
      <w:r w:rsidRPr="005A3900">
        <w:rPr>
          <w:noProof/>
        </w:rPr>
        <w:t>(Pednekar et al. 2009)</w:t>
      </w:r>
      <w:r>
        <w:fldChar w:fldCharType="end"/>
      </w:r>
      <w:r>
        <w:t>.</w:t>
      </w:r>
    </w:p>
    <w:p w14:paraId="555C092D" w14:textId="77777777" w:rsidR="00C56CFB" w:rsidRDefault="00C56CFB" w:rsidP="00C56CFB">
      <w:pPr>
        <w:keepNext/>
        <w:framePr w:w="8347" w:hSpace="180" w:wrap="around" w:vAnchor="text" w:hAnchor="text" w:x="1" w:y="1"/>
      </w:pPr>
      <w:r>
        <w:object w:dxaOrig="8955" w:dyaOrig="6780" w14:anchorId="772F494A">
          <v:shape id="_x0000_i1059" type="#_x0000_t75" style="width:417pt;height:315pt" o:ole="">
            <v:imagedata r:id="rId86" o:title=""/>
          </v:shape>
          <o:OLEObject Type="Embed" ProgID="SigmaPlotGraphicObject.12" ShapeID="_x0000_i1059" DrawAspect="Content" ObjectID="_1559454713" r:id="rId87"/>
        </w:object>
      </w:r>
    </w:p>
    <w:p w14:paraId="46D8D984" w14:textId="77777777" w:rsidR="00C56CFB" w:rsidRDefault="00C56CFB" w:rsidP="00FB0CA1">
      <w:pPr>
        <w:pStyle w:val="Caption"/>
        <w:framePr w:w="8347" w:hSpace="180" w:wrap="around" w:vAnchor="text" w:hAnchor="text" w:x="1" w:y="1"/>
        <w:jc w:val="left"/>
      </w:pPr>
      <w:bookmarkStart w:id="244" w:name="_Ref464466954"/>
      <w:bookmarkStart w:id="245" w:name="_Toc482633197"/>
      <w:r>
        <w:t xml:space="preserve">Figure </w:t>
      </w:r>
      <w:fldSimple w:instr=" STYLEREF 1 \s ">
        <w:r w:rsidR="00AA6926">
          <w:rPr>
            <w:noProof/>
          </w:rPr>
          <w:t>5</w:t>
        </w:r>
      </w:fldSimple>
      <w:r w:rsidR="00BA082C">
        <w:noBreakHyphen/>
      </w:r>
      <w:fldSimple w:instr=" SEQ Figure \* ARABIC \s 1 ">
        <w:r w:rsidR="00AA6926">
          <w:rPr>
            <w:noProof/>
          </w:rPr>
          <w:t>9</w:t>
        </w:r>
      </w:fldSimple>
      <w:bookmarkEnd w:id="244"/>
      <w:r>
        <w:t>. Nanoparticle (&gt;30 nm) concentration in GdnHCl solutions at 25 °C</w:t>
      </w:r>
      <w:bookmarkEnd w:id="245"/>
    </w:p>
    <w:p w14:paraId="081D7273" w14:textId="77777777" w:rsidR="00C56CFB" w:rsidRDefault="00C56CFB" w:rsidP="00C56CFB">
      <w:pPr>
        <w:keepNext/>
      </w:pPr>
      <w:r>
        <w:t xml:space="preserve">It is unsurprising that GdnHCl is able to self-associate in solution based on conclusions made about its interactions with apolar parts of proteins in previous chapters in this thesis. GdnHCl is planar and weakly hydrated, meaning water-water interactions are much stronger than GdnHCl-water interactions </w:t>
      </w:r>
      <w:r>
        <w:fldChar w:fldCharType="begin" w:fldLock="1"/>
      </w:r>
      <w:r w:rsidR="00FF6FB8">
        <w:instrText>ADDIN CSL_CITATION { "citationItems" : [ { "id" : "ITEM-1", "itemData" : { "DOI" : "10.1073/pnas.0735920100", "ISBN" : "0027-8424", "ISSN" : "0027-8424", "PMID" : "12684536", "abstract" : "Neutron diffraction experiments were carried out on aqueous solutions containing either guanidinium or thiocyanate ions. The first-order difference method of neutron diffraction and isotopic substitution was applied, and the hydration structures of two of nature's strongest denaturant ions were determined. Each ion is shown to interact weakly with water: Guanidinium has no recognizable hydration shell and is one of the most weakly hydrated cations yet characterized. Hydration of thiocyanate is characterized by a low coordination number involving around one hydrogen-bonded water molecule and approximately two water molecules weakly interacting through \"hydration bonds.\" The weak hydration of these denaturant ions strongly supports suggestions that a major contribution to the denaturant effect is the preferential interaction of the denaturant with the protein surface. By contrast, solute species such as many sugars and related polyols that stabilize proteins are strongly hydrated and are thus preferentially retained in the bulk solvent and excluded from the protein surface.", "author" : [ { "dropping-particle" : "", "family" : "Mason", "given" : "P E", "non-dropping-particle" : "", "parse-names" : false, "suffix" : "" }, { "dropping-particle" : "", "family" : "Neilson", "given" : "G W", "non-dropping-particle" : "", "parse-names" : false, "suffix" : "" }, { "dropping-particle" : "", "family" : "Dempsey", "given" : "C E", "non-dropping-particle" : "", "parse-names" : false, "suffix" : "" }, { "dropping-particle" : "", "family" : "Barnes", "given" : "a C", "non-dropping-particle" : "", "parse-names" : false, "suffix" : "" }, { "dropping-particle" : "", "family" : "Cruickshank", "given" : "J M", "non-dropping-particle" : "", "parse-names" : false, "suffix" : "" } ], "container-title" : "Proceedings of the National Academy of Sciences of the United States of America", "id" : "ITEM-1", "issued" : { "date-parts" : [ [ "2003" ] ] }, "page" : "4557-4561", "title" : "The hydration structure of guanidinium and thiocyanate ions: implications for protein stability in aqueous solution", "type" : "article-journal", "volume" : "100" }, "uris" : [ "http://www.mendeley.com/documents/?uuid=fccb80eb-7117-4ad4-802b-afe82b067ce7" ] } ], "mendeley" : { "formattedCitation" : "(Mason et al. 2003)", "plainTextFormattedCitation" : "(Mason et al. 2003)", "previouslyFormattedCitation" : "(Mason et al. 2003)" }, "properties" : { "noteIndex" : 0 }, "schema" : "https://github.com/citation-style-language/schema/raw/master/csl-citation.json" }</w:instrText>
      </w:r>
      <w:r>
        <w:fldChar w:fldCharType="separate"/>
      </w:r>
      <w:r w:rsidRPr="005A3900">
        <w:rPr>
          <w:noProof/>
        </w:rPr>
        <w:t>(Mason et al. 2003)</w:t>
      </w:r>
      <w:r>
        <w:fldChar w:fldCharType="end"/>
      </w:r>
      <w:r>
        <w:t>. Not only does this result in GdnHCl being ‘pushed onto’ apolar parts of a protein resulting in destabilisation, but will also likely result in GdnHCl molecules being ‘pushed together’ in solution resulting in cluster formation.</w:t>
      </w:r>
    </w:p>
    <w:p w14:paraId="6CBC62EB" w14:textId="77777777" w:rsidR="00C56CFB" w:rsidRPr="00837A4B" w:rsidRDefault="00C56CFB" w:rsidP="00C56CFB">
      <w:pPr>
        <w:keepNext/>
      </w:pPr>
      <w:r>
        <w:t xml:space="preserve">As arginine is shown to form more clusters than lysine it is likely that this Gdn-Gdn stacking behaviour is also contributing to arginine clustering behaviour alongside head-to-tail stacking. Multiple interactions for arginine clustering were suggested previously from MD simulations </w:t>
      </w:r>
      <w:r>
        <w:fldChar w:fldCharType="begin" w:fldLock="1"/>
      </w:r>
      <w:r w:rsidR="0064368A">
        <w:instrText>ADDIN CSL_CITATION { "citationItems" : [ { "id" : "ITEM-1", "itemData" : { "DOI" : "10.1021/jp108399g", "ISSN" : "1520-5207", "PMID" : "20925358", "abstract" : "Aqueous arginine solutions are used extensively for inhibiting protein aggregation. There are several theories proposed to explain the effect of arginine on protein stability, but the exact mechanism is still not clear. To understand the mechanism of protein cosolvent interaction, the intraprotein, protein-solvent, and intrasolvent interactions have to be understood. Molecular dynamics simulations of aqueous arginine solutions were carried out for experimentally accessible concentrations and temperature ranges to study the structure of the solution and its energetic properties and obtain insight into the mechanism by which arginine inhibits protein aggregation. Simulations of proteins (\u03b1-chymotrypsinogen A and melittin) were performed. Structurally, the most striking feature of the aqueous arginine solutions is the self-association of arginine molecules. Arginine shows a marked tendency to form clusters with head to tail hydrogen bonding. Due to the presence of the three charged groups, there are several possible configurations in which arginine molecules interact. At relatively high concentrations, these arginine clusters associate with other clusters and monomeric arginine molecules to form large clusters. The hydrogen bonds between arginine molecules were found to be stronger than those between arginine and water, which makes the process of self-association enthalpically favorable. From the simulation of the proteins in aqueous arginine solution, arginine is found to interact with the aromatic and charged side chains of surface residues. A probable mechanism of the effect of arginine on protein stability consistent with our findings is proposed. In particular, arginine interacts with aromatic and charged residues due to cation-\u03c0 interaction and salt-bridge formation, respectively, to stabilize the partially unfolded intermediates. The self-interaction of arginine leads to the formation of clusters which, due to their size, crowd out the protein-protein interaction. The mechanisms proposed in the literature are analyzed on the basis of the simulation results reported in this paper and recent experimental data.", "author" : [ { "dropping-particle" : "", "family" : "Shukla", "given" : "D", "non-dropping-particle" : "", "parse-names" : false, "suffix" : "" }, { "dropping-particle" : "", "family" : "Trout", "given" : "B L", "non-dropping-particle" : "", "parse-names" : false, "suffix" : "" } ], "container-title" : "Journal of Physical Chemistry B", "id" : "ITEM-1", "issued" : { "date-parts" : [ [ "2010", "10", "28" ] ] }, "page" : "13426-13438", "title" : "Interaction of arginine with proteins and the mechanism by which it inhibits aggregation", "type" : "article-journal", "volume" : "114" }, "uris" : [ "http://www.mendeley.com/documents/?uuid=dbec9b1d-1c9e-4add-bea5-97fc49a049c2" ] } ], "mendeley" : { "formattedCitation" : "(Shukla &amp; Trout 2010)", "plainTextFormattedCitation" : "(Shukla &amp; Trout 2010)", "previouslyFormattedCitation" : "(Shukla &amp; Trout 2010)" }, "properties" : { "noteIndex" : 0 }, "schema" : "https://github.com/citation-style-language/schema/raw/master/csl-citation.json" }</w:instrText>
      </w:r>
      <w:r>
        <w:fldChar w:fldCharType="separate"/>
      </w:r>
      <w:r w:rsidRPr="00757271">
        <w:rPr>
          <w:noProof/>
        </w:rPr>
        <w:t>(Shukla &amp; Trout 2010)</w:t>
      </w:r>
      <w:r>
        <w:fldChar w:fldCharType="end"/>
      </w:r>
      <w:r>
        <w:t>. Therefore the data presented here represents experimental evidence supporting simulations in proving that these various interactions are likely contributing to arginine’s clustering behaviour.</w:t>
      </w:r>
    </w:p>
    <w:p w14:paraId="122BB39B" w14:textId="77777777" w:rsidR="00C56CFB" w:rsidRDefault="00C56CFB" w:rsidP="000A3469">
      <w:pPr>
        <w:pStyle w:val="Heading2"/>
      </w:pPr>
      <w:bookmarkStart w:id="246" w:name="_Toc485712808"/>
      <w:r>
        <w:t>Conclusions</w:t>
      </w:r>
      <w:bookmarkEnd w:id="246"/>
    </w:p>
    <w:p w14:paraId="3195F9E1" w14:textId="77777777" w:rsidR="00C56CFB" w:rsidRDefault="00C56CFB" w:rsidP="00C56CFB">
      <w:r>
        <w:t>Arginine is shown to form nanoparticle-size clusters in solution, with a much higher cluster concentration seen at concentrations above 100 mM. However, average cluster sizes do not appear to change with increased arginine concentration. The presence of equimolar NaCl screened some but not all of the arginine clusters at both low (50 mM) and high (500 mM) arginine concentrations, leading to the conclusion that electrostatic interactions between the Gdn group and the carboxylate group play a role in cluster formation. Lysine was also shown to form clusters, with increased cluster concentration above 100 mM, which also gave support to the presence of head-to-tail interactions between the carboxylate</w:t>
      </w:r>
      <w:r w:rsidR="00C74BE0">
        <w:t xml:space="preserve"> group</w:t>
      </w:r>
      <w:r>
        <w:t xml:space="preserve"> and positively charged side chains. This could be electrostatic or hydrogen bonding. GdnHCl was also shown to form small clusters in solution, which did not change in concentration with increased GdnHCl concentration. Electrostatics-defying Gdn-Gdn interactions therefore appear to be responsible for the increased cluster formation of arginine over lysine. In conclusion, arginine clusters appear to be formed via a multitude of interactions including electrostatic and possible hydrogen bonding-based head-to-tail interactions and Gdn stacking due to weak hydration.</w:t>
      </w:r>
    </w:p>
    <w:p w14:paraId="61A00BE5" w14:textId="77777777" w:rsidR="00C56CFB" w:rsidRPr="00E51C23" w:rsidRDefault="00C56CFB" w:rsidP="00C56CFB">
      <w:r>
        <w:br w:type="page"/>
      </w:r>
    </w:p>
    <w:p w14:paraId="53F54441" w14:textId="77777777" w:rsidR="00C82B9F" w:rsidRDefault="00C56CFB" w:rsidP="00C82B9F">
      <w:pPr>
        <w:pStyle w:val="Heading1"/>
      </w:pPr>
      <w:bookmarkStart w:id="247" w:name="_Toc485712809"/>
      <w:r>
        <w:t>Lysine and histidine effects on protein thermal stability: Do all positively charged amino acids act via similar mechanisms?</w:t>
      </w:r>
      <w:bookmarkEnd w:id="247"/>
    </w:p>
    <w:p w14:paraId="03485951" w14:textId="77777777" w:rsidR="00927F73" w:rsidRDefault="00927F73" w:rsidP="00F66861"/>
    <w:p w14:paraId="09973AE4" w14:textId="77777777" w:rsidR="00F66861" w:rsidRDefault="00F66861" w:rsidP="00F66861"/>
    <w:p w14:paraId="09BAF4BB" w14:textId="77777777" w:rsidR="00F66861" w:rsidRDefault="00F66861" w:rsidP="00F66861"/>
    <w:p w14:paraId="644B615F" w14:textId="77777777" w:rsidR="00927F73" w:rsidRPr="00927F73" w:rsidRDefault="00927F73" w:rsidP="00927F73">
      <w:pPr>
        <w:jc w:val="center"/>
        <w:rPr>
          <w:b/>
        </w:rPr>
      </w:pPr>
      <w:r w:rsidRPr="00927F73">
        <w:rPr>
          <w:b/>
        </w:rPr>
        <w:t>Parts of this chapter were published in:</w:t>
      </w:r>
    </w:p>
    <w:p w14:paraId="3AE353FB" w14:textId="77777777" w:rsidR="00927F73" w:rsidRDefault="00927F73" w:rsidP="00927F73">
      <w:pPr>
        <w:jc w:val="center"/>
      </w:pPr>
      <w:r w:rsidRPr="002E22AC">
        <w:rPr>
          <w:b/>
        </w:rPr>
        <w:t>Platts L</w:t>
      </w:r>
      <w:r>
        <w:t xml:space="preserve">, Darby SJ, Falconer RJ (2016) Control of globular protein thermal stability in aqueous formulations by the positively charged amino acid excipients. </w:t>
      </w:r>
      <w:r>
        <w:rPr>
          <w:i/>
        </w:rPr>
        <w:t xml:space="preserve">Journal of Pharmaceutical Sciences. </w:t>
      </w:r>
      <w:r>
        <w:t>doi: 10.1016/j.xphs.2016.09.013</w:t>
      </w:r>
    </w:p>
    <w:p w14:paraId="3E19884B" w14:textId="77777777" w:rsidR="00927F73" w:rsidRPr="00927F73" w:rsidRDefault="00927F73" w:rsidP="00927F73"/>
    <w:p w14:paraId="748E835A" w14:textId="77777777" w:rsidR="00C82B9F" w:rsidRDefault="00C82B9F" w:rsidP="00C82B9F">
      <w:pPr>
        <w:rPr>
          <w:rFonts w:cstheme="majorBidi"/>
          <w:sz w:val="40"/>
          <w:szCs w:val="28"/>
        </w:rPr>
      </w:pPr>
      <w:r>
        <w:br w:type="page"/>
      </w:r>
    </w:p>
    <w:p w14:paraId="1A52194C" w14:textId="77777777" w:rsidR="00C56CFB" w:rsidRDefault="00C56CFB" w:rsidP="000A3469">
      <w:pPr>
        <w:pStyle w:val="Heading2"/>
      </w:pPr>
      <w:bookmarkStart w:id="248" w:name="_Toc485712810"/>
      <w:r>
        <w:t>Introduction</w:t>
      </w:r>
      <w:bookmarkEnd w:id="248"/>
    </w:p>
    <w:p w14:paraId="5AA126FD" w14:textId="77777777" w:rsidR="00C56CFB" w:rsidRDefault="00C56CFB" w:rsidP="00C56CFB">
      <w:r>
        <w:t xml:space="preserve">Amino acids are extensively used as stabilising excipients in biopharmaceutical formulations </w:t>
      </w:r>
      <w:r>
        <w:fldChar w:fldCharType="begin" w:fldLock="1"/>
      </w:r>
      <w:r w:rsidR="00E11F61">
        <w:instrText>ADDIN CSL_CITATION { "citationItems" : [ { "id" : "ITEM-1", "itemData" : { "DOI" : "10.1002/jctb.2657", "ISSN" : "02682575", "author" : [ { "dropping-particle" : "", "family" : "Falconer", "given" : "R J", "non-dropping-particle" : "", "parse-names" : false, "suffix" : "" }, { "dropping-particle" : "", "family" : "Chan", "given" : "C", "non-dropping-particle" : "", "parse-names" : false, "suffix" : "" }, { "dropping-particle" : "", "family" : "Hughes", "given" : "K", "non-dropping-particle" : "", "parse-names" : false, "suffix" : "" }, { "dropping-particle" : "", "family" : "Munro", "given" : "T P", "non-dropping-particle" : "", "parse-names" : false, "suffix" : "" } ], "container-title" : "Journal of Chemical Technology &amp; Biotechnology", "id" : "ITEM-1", "issued" : { "date-parts" : [ [ "2011", "7", "7" ] ] }, "page" : "942-948", "title" : "Stabilization of a monoclonal antibody during purification and formulation by addition of basic amino acid excipients", "type" : "article-journal", "volume" : "86" }, "uris" : [ "http://www.mendeley.com/documents/?uuid=0fd7d4b0-b0a9-40ec-8c2a-8ec42fa3572d" ] }, { "id" : "ITEM-2", "itemData" : { "DOI" : "10.1517/17425240903199143", "ISSN" : "1744-7593", "PMID" : "19678792", "abstract" : "In the area of peptide and protein pharmaceuticals, both the physical and chemical stability of biopharmaceuticals are critical and need to be optimised when formulating a drug product, in order to optimise the outcome after processing and storage. This review focuses on the effects on the stability from various types of excipient and the choices that have to be made during formulation of drug products containing peptides or proteins. It is illustrated, through examples, how the choice of one excipient over another can affect the stability of a protein drug formulation, along with other problems linked to this choice. The excipients used in pharmaceutical preparations are limited and from an academic point of view there is a clear requirement for new excipients.", "author" : [ { "dropping-particle" : "", "family" : "Jorgensen", "given" : "L", "non-dropping-particle" : "", "parse-names" : false, "suffix" : "" }, { "dropping-particle" : "", "family" : "Hostrup", "given" : "S", "non-dropping-particle" : "", "parse-names" : false, "suffix" : "" }, { "dropping-particle" : "", "family" : "Moeller", "given" : "E H", "non-dropping-particle" : "", "parse-names" : false, "suffix" : "" }, { "dropping-particle" : "", "family" : "Grohganz", "given" : "H", "non-dropping-particle" : "", "parse-names" : false, "suffix" : "" } ], "container-title" : "Expert Opinion on Drug Delivery", "id" : "ITEM-2", "issued" : { "date-parts" : [ [ "2009", "11" ] ] }, "page" : "1219-1230", "title" : "Recent trends in stabilising peptides and proteins in pharmaceutical formulation - considerations in the choice of excipients", "type" : "article-journal", "volume" : "6" }, "uris" : [ "http://www.mendeley.com/documents/?uuid=8bf98923-ee81-40e1-a96a-6352403ea5bb" ] }, { "id" : "ITEM-3", "itemData" : { "ISBN" : "8176151165", "ISSN" : "0021-924X", "PMID" : "12359074", "abstract" : "Each protein folds into a unique and native structure spontaneously. However, during the unfolding or refolding process, a protein often tends to form aggregates. To establish a method to prevent undesirable protein aggregation and to increase the stability of native protein structures under deterioration conditions, two types of aggregation conditions, thermal unfolding-induced aggregation and dilution-induced aggregation from denatured state, were studied in the presence of additional amino acids and ions using lysozyme as a model protein. Among 15 amino acids tested, arginine exhibited the best results in preventing the formation of aggregates in both cases. Further biophysical studies revealed that arginine did not change the thermal denaturation temperature (T(m)) of the lysozyme. The preventive effect of arginine on aggregation was not dependent on the size or isoelectric point of eight kinds of proteins tested.", "author" : [ { "dropping-particle" : "", "family" : "Shiraki", "given" : "K", "non-dropping-particle" : "", "parse-names" : false, "suffix" : "" }, { "dropping-particle" : "", "family" : "Kudou", "given" : "M", "non-dropping-particle" : "", "parse-names" : false, "suffix" : "" }, { "dropping-particle" : "", "family" : "Fujiwara", "given" : "S", "non-dropping-particle" : "", "parse-names" : false, "suffix" : "" }, { "dropping-particle" : "", "family" : "Imanaka", "given" : "T", "non-dropping-particle" : "", "parse-names" : false, "suffix" : "" }, { "dropping-particle" : "", "family" : "Takagi", "given" : "M", "non-dropping-particle" : "", "parse-names" : false, "suffix" : "" } ], "container-title" : "Journal of Biochemistry", "id" : "ITEM-3", "issued" : { "date-parts" : [ [ "2002", "10" ] ] }, "page" : "591-595", "title" : "Biophysical effect of amino acids on the prevention of protein aggregation", "type" : "article-journal", "volume" : "132" }, "uris" : [ "http://www.mendeley.com/documents/?uuid=f59cebc3-2722-4b2f-9f34-3f0173968600" ] }, { "id" : "ITEM-4", "itemData" : { "DOI" : "10.1016/j.ijpharm.2014.01.002", "ISSN" : "03785173", "PMID" : "24412336", "abstract" : "Biologicals are often formulated as solids in an effort to preserve stability which generally requires stabilising excipients for proper drying. The purpose of this study was to screen amino acids and their combinations for their stabilising effect on proteins during spray drying. Catalase, as model protein, was spray dried in 1 + 1 or 1 + 2 ratios with amino acids. Some amino acids namely arginine, glycine and histidine showed good retention of catalase functionality after spray drying and subsequent storage stress. A 1 + 1 combination of arginine and glycine in a 1 + 2 ratio with catalase resulted in a tremendously good stabilising effect. Storage at high temperature/humidity also showed beneficial effects of this combination. To evaluate whether this was a general principle, these findings were transferred to an antigenic protein of comparable size and supramolecular structure (haemagglutinin) as well as to a smaller enzyme (lysozyme). Upon spray drying with the combination of amino acids it could be shown that both proteins remain more stable especially after storage compared to the unprotected protein. The combination of arginine and glycine is tailored to the needs of protein stabilisation during spray drying and may hence be utilised in dry powder formulation of biomolecules with superior stability characteristics. \u00a9 2014 Elsevier B.V.", "author" : [ { "dropping-particle" : "", "family" : "Ajmera", "given" : "A", "non-dropping-particle" : "", "parse-names" : false, "suffix" : "" }, { "dropping-particle" : "", "family" : "Scherlie\u00df", "given" : "R", "non-dropping-particle" : "", "parse-names" : false, "suffix" : "" } ], "container-title" : "International Journal of Pharmaceutics", "id" : "ITEM-4", "issued" : { "date-parts" : [ [ "2014" ] ] }, "page" : "98-107", "publisher" : "Elsevier B.V.", "title" : "Stabilisation of proteins via mixtures of amino acids during spray drying", "type" : "article-journal", "volume" : "463" }, "uris" : [ "http://www.mendeley.com/documents/?uuid=2105d950-bef5-46ac-9c1e-da83267e257a" ] }, { "id" : "ITEM-5", "itemData" : { "ISSN" : "0264-6021", "PMID" : "7945233", "abstract" : "This study is a systematic attempt to understand the roles of osmolytes in protecting proteins against denaturing stress. Thermal denaturation of cytochrome c has been studied in the presence of various concentrations of all L-amino acids that are more hydrophobic than glycine and have a solubility of 0.1 M or higher in water at 25 degrees C. The basic observations are as follows. (1) Arginine and histidine destabilize the native protein; both Tm (the midpoint of thermal transition) and delta GDH2O (25 degrees C) (the Gibbs energy of stabilization) decrease with increasing amino acid concentration. (2) Isoleucine, leucine and phenylalanine have no effect on Tm and deltaGDH2O (25 degrees C). (3) Valine and less hydrophobic amino acids stabilize the protein in terms of Tm but deltaGDH2O (25 degrees C) is unchanged. This observation was confirmed by the study of isothermal denaturation of cytochrome c by guanidinium chloride which sugges</w:instrText>
      </w:r>
      <w:r w:rsidR="00E11F61" w:rsidRPr="00E3274E">
        <w:rPr>
          <w:lang w:val="de-DE"/>
        </w:rPr>
        <w:instrText>ted that delta GDH2O is independent of osmolyte concentration, but Cm (the midpoint of transition) is increased in their presence. (4) In the case of stabilizers, change in Tm/mol of amino acid decreases with increasing hydrophobicity of these osmolytes.", "author" : [ { "dropping-particle" : "", "family" : "Taneja", "given" : "S", "non-dropping-particle" : "", "parse-names" : false, "suffix" : "" }, { "dropping-particle" : "", "family" : "Ahmad", "given" : "F", "non-dropping-particle" : "", "parse-names" : false, "suffix" : "" } ], "container-title" : "Biochemical Journal", "id" : "ITEM-5", "issued" : { "date-parts" : [ [ "1994", "10", "1" ] ] }, "page" : "147-153", "title" : "Increased thermal stability of proteins in the presence of amino acids", "type" : "article-journal", "volume" : "303" }, "uris" : [ "http://www.mendeley.com/documents/?uuid=58de2c9a-4375-44f3-b3b7-972049f9dc42" ] } ], "mendeley" : { "formattedCitation" : "(Falconer et al. 2011; Jorgensen et al. 2009; Shiraki et al. 2002; Ajmera &amp; Scherlie\u00df 2014; Taneja &amp; Ahmad 1994)", "plainTextFormattedCitation" : "(Falconer et al. 2011; Jorgensen et al. 2009; Shiraki et al. 2002; Ajmera &amp; Scherlie\u00df 2014; Taneja &amp; Ahmad 1994)", "previouslyFormattedCitation" : "(Falconer et al. 2011; Jorgensen et al. 2009; Shiraki et al. 2002; Ajmera &amp; Scherlie\u00df 2014; Taneja &amp; Ahmad 1994)" }, "properties" : { "noteIndex" : 0 }, "schema" : "https://github.com/citation-style-language/schema/raw/master/csl-citation.json" }</w:instrText>
      </w:r>
      <w:r>
        <w:fldChar w:fldCharType="separate"/>
      </w:r>
      <w:r w:rsidRPr="00E3274E">
        <w:rPr>
          <w:noProof/>
          <w:lang w:val="de-DE"/>
        </w:rPr>
        <w:t>(Falconer et al. 2011; Jorgensen et al. 2009; Shiraki et al. 2002; Ajmera &amp; Scherließ 2014; Taneja &amp; Ahmad 1994)</w:t>
      </w:r>
      <w:r>
        <w:fldChar w:fldCharType="end"/>
      </w:r>
      <w:r w:rsidRPr="00E3274E">
        <w:rPr>
          <w:lang w:val="de-DE"/>
        </w:rPr>
        <w:t xml:space="preserve">. </w:t>
      </w:r>
      <w:r>
        <w:t xml:space="preserve">Interestingly, usually featured in lists of commonly used excipients are the three positively charged amino acids: arginine, lysine and histidine </w:t>
      </w:r>
      <w:r>
        <w:fldChar w:fldCharType="begin" w:fldLock="1"/>
      </w:r>
      <w:r>
        <w:instrText>ADDIN CSL_CITATION { "citationItems" : [ { "id" : "ITEM-1", "itemData" : { "DOI" : "10.1016/S1461-5347(00)00248-0", "ISSN" : "14615347", "PMID" : "10754542", "abstract" : "Biopharmaceutical products represent a diverse group of products that includes proteins, peptides, nucleic acids, whole cells, viral particles and vaccines. The conformation of the macromolecule or cell must be maintained to retain biological activity, and animal models for biological activity and characterization assays are often developed in tandem with initial formulation studies. This presents the formulation scientist with a unique set of challenges when compared to those for small molecules. This review focuses on approaches to the formulation of macromolecules into biopharmaceutical products, and provides examples of studies that have been undertaken within the authors' laboratories. Copyright (C) 2000 Elsevier Science Ltd.", "author" : [ { "dropping-particle" : "", "family" : "Parkins", "given" : "D A", "non-dropping-particle" : "", "parse-names" : false, "suffix" : "" }, { "dropping-particle" : "", "family" : "Lashmar", "given" : "U T", "non-dropping-particle" : "", "parse-names" : false, "suffix" : "" } ], "container-title" : "Pharmaceutical Science &amp; Technology Today", "id" : "ITEM-1", "issued" : { "date-parts" : [ [ "2000" ] ] }, "page" : "129-137", "title" : "The formulation of biopharmaceutical products", "type" : "article-journal", "volume" : "3" }, "uris" : [ "http://www.mendeley.com/documents/?uuid=6873980b-7db6-4eb9-8afa-f11c5d3f8c1b" ] }, { "id" : "ITEM-2", "itemData" : { "DOI" : "10.1517/17425240903199143", "ISSN" : "1744-7593", "PMID" : "19678792", "abstract" : "In the area of peptide and protein pharmaceuticals, both the physical and chemical stability of biopharmaceuticals are critical and need to be optimised when formulating a drug product, in order to optimise the outcome after processing and storage. This review focuses on the effects on the stability from various types of excipient and the choices that have to be made during formulation of drug products containing peptides or proteins. It is illustrated, through examples, how the choice of one excipient over another can affect the stability of a protein drug formulation, along with other problems linked to this choice. The excipients used in pharmaceutical preparations are limited and from an academic point of view there is a clear requirement for new excipients.", "author" : [ { "dropping-particle" : "", "family" : "Jorgensen", "given" : "L", "non-dropping-particle" : "", "parse-names" : false, "suffix" : "" }, { "dropping-particle" : "", "family" : "Hostrup", "given" : "S", "non-dropping-particle" : "", "parse-names" : false, "suffix" : "" }, { "dropping-particle" : "", "family" : "Moeller", "given" : "E H", "non-dropping-particle" : "", "parse-names" : false, "suffix" : "" }, { "dropping-particle" : "", "family" : "Grohganz", "given" : "H", "non-dropping-particle" : "", "parse-names" : false, "suffix" : "" } ], "container-title" : "Expert Opinion on Drug Delivery", "id" : "ITEM-2", "issued" : { "date-parts" : [ [ "2009", "11" ] ] }, "page" : "1219-1230", "title" : "Recent trends in stabilising peptides and proteins in pharmaceutical formulation - considerations in the choice of excipients", "type" : "article-journal", "volume" : "6" }, "uris" : [ "http://www.mendeley.com/documents/?uuid=8bf98923-ee81-40e1-a96a-6352403ea5bb" ] } ], "mendeley" : { "formattedCitation" : "(Parkins &amp; Lashmar 2000; Jorgensen et al. 2009)", "plainTextFormattedCitation" : "(Parkins &amp; Lashmar 2000; Jorgensen et al. 2009)", "previouslyFormattedCitation" : "(Parkins &amp; Lashmar 2000; Jorgensen et al. 2009)" }, "properties" : { "noteIndex" : 0 }, "schema" : "https://github.com/citation-style-language/schema/raw/master/csl-citation.json" }</w:instrText>
      </w:r>
      <w:r>
        <w:fldChar w:fldCharType="separate"/>
      </w:r>
      <w:r w:rsidRPr="009927BE">
        <w:rPr>
          <w:noProof/>
        </w:rPr>
        <w:t>(Parkins &amp; Lashmar 2000; Jorgensen et al. 2009)</w:t>
      </w:r>
      <w:r>
        <w:fldChar w:fldCharType="end"/>
      </w:r>
      <w:r>
        <w:t xml:space="preserve">. This is despite the fact that they are not generally used by cells as osmolytes, or protein stabilisers </w:t>
      </w:r>
      <w:r>
        <w:fldChar w:fldCharType="begin" w:fldLock="1"/>
      </w:r>
      <w:r>
        <w:instrText>ADDIN CSL_CITATION { "citationItems" : [ { "id" : "ITEM-1", "itemData" : { "author" : [ { "dropping-particle" : "", "family" : "Yancey", "given" : "P H", "non-dropping-particle" : "", "parse-names" : false, "suffix" : "" }, { "dropping-particle" : "", "family" : "Clark", "given" : "M E", "non-dropping-particle" : "", "parse-names" : false, "suffix" : "" }, { "dropping-particle" : "", "family" : "Hand", "given" : "S C", "non-dropping-particle" : "", "parse-names" : false, "suffix" : "" }, { "dropping-particle" : "", "family" : "Bowlus", "given" : "R D", "non-dropping-particle" : "", "parse-names" : false, "suffix" : "" }, { "dropping-particle" : "", "family" : "Somero", "given" : "G N", "non-dropping-particle" : "", "parse-names" : false, "suffix" : "" } ], "container-title" : "Science", "id" : "ITEM-1", "issued" : { "date-parts" : [ [ "1982" ] ] }, "page" : "1214-1222", "title" : "Living with water stress: Evolution of osmolyte systems", "type" : "article-journal", "volume" : "217" }, "uris" : [ "http://www.mendeley.com/documents/?uuid=5c0ecbac-0ed5-485c-b4bd-8986742136e1" ] } ], "mendeley" : { "formattedCitation" : "(Yancey et al. 1982)", "plainTextFormattedCitation" : "(Yancey et al. 1982)", "previouslyFormattedCitation" : "(Yancey et al. 1982)" }, "properties" : { "noteIndex" : 0 }, "schema" : "https://github.com/citation-style-language/schema/raw/master/csl-citation.json" }</w:instrText>
      </w:r>
      <w:r>
        <w:fldChar w:fldCharType="separate"/>
      </w:r>
      <w:r w:rsidRPr="009927BE">
        <w:rPr>
          <w:noProof/>
        </w:rPr>
        <w:t>(Yancey et al. 1982)</w:t>
      </w:r>
      <w:r>
        <w:fldChar w:fldCharType="end"/>
      </w:r>
      <w:r>
        <w:t xml:space="preserve">. This has led to the assumption that, unlike other amino acids such as glycine and proline which are often accumulated in cells to stabilise proteins against osmotic stress, they are not in fact compatible with protein stability, with historical studies demonstrating their perturbing effects on enzyme function </w:t>
      </w:r>
      <w:r>
        <w:fldChar w:fldCharType="begin" w:fldLock="1"/>
      </w:r>
      <w:r>
        <w:instrText>ADDIN CSL_CITATION { "citationItems" : [ { "id" : "ITEM-1", "itemData" : { "DOI" : "10.1002/jez.1402080202", "ISSN" : "0022-104X", "PMID" : "469480", "abstract" : "The major nitrogenous osmolytes present in the cells of marine invertebrates, notably the free amino acids glycine, alanine and proline, and trimethylamine oxide and betaine, are highly compatible with proper enzyme function and structure. These nitrogenous osmolytes display either non-perturbing or, in some cases, favorable effects on enzyme-substrate and enzyme-cofactor complex formation, catalytic velocity and protein structural stability. In contrast, inorganic salts (KCl and NaCl) and certain of the free amino acids which play only a minor osmotic role, e.g., arginine and lysine, have strongly perturbing effects on one or more of these enzymic parameters. The compatible nitrogenous solutes therefore are suitable for use at high (several tenths molar) concentrations and at widely varying concentrations in osmo-conforming species. Certain nitrogenous solutes, especially trimethylamine oxide, betaine and glutamate, offset some of the perturbing effects of inorganic ions on enzyme function. The selective accumulation of osmolytes thus involves not only the concentration of non-perturbing solutes, but also a balanced accumulation of solutes with opposing effects on enzymes. The selection of end-products of anaerobic metabolism also appears to be based, in part, on considerations of solute compatibility with enzyme function. Octopine is a non-perturbing solute, whereas arginine, which is condensed with pyruvate to form octopine, is very strongly perturbing. Succinate has marked stabilizing effects on protein structure. We conclude that the composition of the intracellular fluids of marine invertebrates reflects selection for osmolytes and end-products whose net effects create a cellular microenvironment which is conducive to optimal enzyme function and structure. The accumulation of compatible solutes may preclude the necessity for widespread changes in protein structure in adapting to concentrated or highly variable osmotic environments.", "author" : [ { "dropping-particle" : "", "family" : "Bowlus", "given" : "R D", "non-dropping-particle" : "", "parse-names" : false, "suffix" : "" }, { "dropping-particle" : "", "family" : "Somero", "given" : "G N", "non-dropping-particle" : "", "parse-names" : false, "suffix" : "" } ], "container-title" : "Journal of Experimental Zoology", "id" : "ITEM-1", "issued" : { "date-parts" : [ [ "1979" ] ] }, "page" : "137-151", "title" : "Solute compatibility with enzyme function and structure: rationales for the selection of osmotic agents and end-products of anaerobic metabolism in marine invertebrates", "type" : "article-journal", "volume" : "208" }, "uris" : [ "http://www.mendeley.com/documents/?uuid=7dde3bd3-612c-4dc0-b5b3-9e57c8eb9a26" ] } ], "mendeley" : { "formattedCitation" : "(Bowlus &amp; Somero 1979)", "plainTextFormattedCitation" : "(Bowlus &amp; Somero 1979)", "previouslyFormattedCitation" : "(Bowlus &amp; Somero 1979)" }, "properties" : { "noteIndex" : 0 }, "schema" : "https://github.com/citation-style-language/schema/raw/master/csl-citation.json" }</w:instrText>
      </w:r>
      <w:r>
        <w:fldChar w:fldCharType="separate"/>
      </w:r>
      <w:r w:rsidRPr="009927BE">
        <w:rPr>
          <w:noProof/>
        </w:rPr>
        <w:t>(Bowlus &amp; Somero 1979)</w:t>
      </w:r>
      <w:r>
        <w:fldChar w:fldCharType="end"/>
      </w:r>
      <w:r>
        <w:t>. This would obviously make them unsuitable excipient candidates. Understanding the mechanisms by which these amino acids act on protein stability would ensure their efficacy and safety as excipients and enable their effects on specific therapeutics to be accurately predicted. There have been multiple suggestions relating to potential mechanisms by which they exert their effects but a consensus has not yet been reached.</w:t>
      </w:r>
    </w:p>
    <w:p w14:paraId="7361A275" w14:textId="77777777" w:rsidR="00C56CFB" w:rsidRDefault="00C56CFB" w:rsidP="00C56CFB">
      <w:r>
        <w:t xml:space="preserve">Arginine is commonly used as a stabilising excipient in biopharmaceutical formulations due to its ability to solubilise and prevent aggregation without negative effects on thermal stability </w:t>
      </w:r>
      <w:r>
        <w:fldChar w:fldCharType="begin" w:fldLock="1"/>
      </w:r>
      <w:r w:rsidR="007228DB">
        <w:instrText>ADDIN CSL_CITATION { "citationItems" : [ { "id" : "ITEM-1", "itemData" : { "author" : [ { "dropping-particle" : "", "family" : "Ejima", "given" : "D", "non-dropping-particle" : "", "parse-names" : false, "suffix" : "" }, { "dropping-particle" : "", "family" : "Tsumoto", "given" : "K", "non-dropping-particle" : "", "parse-names" : false, "suffix" : "" }, { "dropping-particle" : "", "family" : "Arakawa", "given" : "T", "non-dropping-particle" : "", "parse-names" : false, "suffix" : "" } ], "container-title" : "BioProcess International", "id" : "ITEM-1", "issued" : { "date-parts" : [ [ "2005" ] ] }, "page" : "20-28", "title" : "Biotech applications of arginine. Novel uses in protein production, processing, analysis and formulation", "type" : "article-journal" }, "uris" : [ "http://www.mendeley.com/documents/?uuid=fe1ffa17-3f9f-4d5e-a416-7491260a8e76" ] } ], "mendeley" : { "formattedCitation" : "(Ejima, Tsumoto, et al. 2005)", "plainTextFormattedCitation" : "(Ejima, Tsumoto, et al. 2005)", "previouslyFormattedCitation" : "(Ejima, Tsumoto, et al. 2005)" }, "properties" : { "noteIndex" : 0 }, "schema" : "https://github.com/citation-style-language/schema/raw/master/csl-citation.json" }</w:instrText>
      </w:r>
      <w:r>
        <w:fldChar w:fldCharType="separate"/>
      </w:r>
      <w:r w:rsidR="0064368A" w:rsidRPr="0064368A">
        <w:rPr>
          <w:noProof/>
        </w:rPr>
        <w:t>(Ejima, Tsumoto, et al. 2005)</w:t>
      </w:r>
      <w:r>
        <w:fldChar w:fldCharType="end"/>
      </w:r>
      <w:r>
        <w:t xml:space="preserve">. Due to this ability it is a very widely studied excipient, although this has resulted in disagreements over the mechanisms which govern its effects on protein stability </w:t>
      </w:r>
      <w:r>
        <w:fldChar w:fldCharType="begin" w:fldLock="1"/>
      </w:r>
      <w:r w:rsidR="00924827">
        <w:instrText xml:space="preserve">ADDIN CSL_CITATION { "citationItems" : [ { "id" : "ITEM-1", "itemData" : { "DOI" : "10.2174/138920109788488851", "ISBN" : "1389-2010", "ISSN" : "13892010", "PMID" : "19519416", "abstract" : "L-Arginine is one of the most commonly used and most generally applicable suppressors of protein aggregation. Its effect as enhancer of in vitro protein refolding was serendipitously discovered two decades ago. This article aims at giving a brief overview about the discovery of the arginine effect, the range of its applications that have been explored over the past two decades, and of the current state of the discussion regarding the mechanisms responsible for the action of L-arginine as suppressor of aggregation.", "author" : [ { "dropping-particle" : "", "family" : "Lange", "given" : "C", "non-dropping-particle" : "", "parse-names" : false, "suffix" : "" }, { "dropping-particle" : "", "family" : "Rudolph", "given" : "R", "non-dropping-particle" : "", "parse-names" : false, "suffix" : "" } ], "container-title" : "Current Pharmaceutical Biotechnology", "id" : "ITEM-1", "issued" : { "date-parts" : [ [ "2009" ] ] }, "page" : "408-414", "title" : "Suppression of protein aggregation by L-arginine", "type" : "article-journal", "volume" : "10" }, "uris" : [ "http://www.mendeley.com/documents/?uuid=d4d46f41-3146-434c-b9cb-09b3d8519bdc" ] }, { "id" : "ITEM-2", "itemData" : { "DOI" : "10.1021/cb300440x", "ISSN" : "15548929", "PMID" : "23138654", "abstract" : "Arginine is one of the most prominent residues in protein interactions, and arginine hydrochloride is widely used as an additive in protein solutions because of its exceptional effects on protein association and folding. The molecular origins of arginine effects on protein processes remain, however, controversial, and little is known about the molecular interactions between arginine cations and protein surfaces in aqueous arginine solutions. In this study, we report a unique biochemical phenomenon whereby clusters of arginine cations (Arg(+)) are associated with a protein surface. The formation of protein-associated Arg(+) clusters is initiated by Arg(+) ions that associate with specific protein surface loci through cooperative interactions with protein guanidinium and carboxyl groups. Molecular dynamics simulations indicate that protein-associated Arg(+) ions subsequently attract other Arg(+) ions and form dynamic cation clusters that extend further than 10 \u00c5 from the protein surface. The effects of arginine on the thermal stability and size of lysozyme and ovalbumin are measured over a wide concentration range (0 to 2 M), and we find that the formation of protein-associated Arg(+) clusters consistently explains the complex effects of arginine on protein stability and size. This study elucidates the molecular mechanisms and implications of cluster formation of Arg(+) ions at a protein surface, and the findings of this study may be used to manipulate synthetic and biological systems through arginine-derived groups.", "author" : [ { "dropping-particle" : "", "family" : "Vagenende", "given" : "V", "non-dropping-particle" : "", "parse-names" : false, "suffix" : "" }, { "dropping-particle" : "", "family" : "Han", "given" : "A X", "non-dropping-particle" : "", "parse-names" : false, "suffix" : "" }, { "dropping-particle" : "", "family" : "Mueller", "given" : "M", "non-dropping-particle" : "", "parse-names" : false, "suffix" : "" }, { "dropping-particle" : "", "family" : "Trout", "given" : "B L", "non-dropping-particle" : "", "parse-names" : false, "suffix" : "" } ], "container-title" : "ACS Chemical Biology", "id" : "ITEM-2", "issued" : { "date-parts" : [ [ "2013" ] ] }, "page" : "416-422", "title" : "Protein-associated cation clusters in aqueous arginine solutions and their effects on protein stability and size", "type" : "article-journal", "volume" : "8" }, "uris" : [ "http://www.mendeley.com/documents/?uuid=1b8af2ac-8920-4412-a424-6595a3d7e71c" ] }, { "id" : "ITEM-3", "itemData" : { "DOI" : "10.1016/j.bpc.2006.12.007", "ISSN" : "0301-4622", "PMID" : "17257734", "abstract" : "Arginine has been used to suppress protein aggregation and protein-protein or protein-surface interactions during protein refolding and purification. While its biotechnology applications are gradually expanding, the mechanism of these effects of arginine has not been fully elucidated. Arginine is more effective at higher concentrations, an indication of weak interactions with the proteins. The effects of weakly interacting additives, such as arginine, on protein solubility, stability and aggregation have been explained from three different approaches: i.e., (1) the effects of additives on the structure of water, (2) the interactions of additives with the amino acid side chains and peptide bonds and (3) the preferential interactions of additives with the proteins. Here we have examined these properties of arginine and compared with those of other additives, e.g., guanidine hydrochloride (GdnHCl) and certain amino acids and amines. GdnHCl is a strong salting-in agent and denatures proteins, while betaine is a protein stabilizer. Several amino acids and amine compounds, including betaine, which stabilize the proteins, are strongly excluded; i.e., the proteins are preferentially hydrated in these solutions. On the other hand, GdnHCl preferentially binds to the proteins. Arginine is intermediate between these two extreme cases and shows a more complicated pattern of interactions with the proteins. The effects of additives on water structure, e.g., the surface tension of aqueous solution of the additives and the solubility of amino acids in the presence of additives also shed light on the mechanism of the effects of the additives on protein aggregation. While arginine increases the surface tension of water, it favorably interacts with most amino acid side chains and the peptide bonds, a property shared with GdnHCl. Thus, we propose that while arginine is similar to GdnHCl in the amino acid level, arginine interacts with the proteins differently from GdnHCl.", "author" : [ { "dropping-particle" : "", "family" : "Arakawa", "given" : "T", "non-dropping-particle" : "", "parse-names" : false, "suffix" : "" }, { "dropping-particle" : "", "family" : "Ejima", "given" : "D", "non-dropping-particle" : "", "parse-names" : false, "suffix" : "" }, { "dropping-particle" : "", "family" : "Tsumoto", "given" : "K", "non-dropping-particle" : "", "parse-names" : false, "suffix" : "" }, { "dropping-particle" : "", "family" : "Obeyama", "given" : "N", "non-dropping-particle" : "", "parse-names" : false, "suffix" : "" }, { "dropping-particle" : "", "family" : "Tanaka", "given" : "Y", "non-dropping-particle" : "", "parse-names" : false, "suffix" : "" }, { "dropping-particle" : "", "family" : "Kita", "given" : "Y", "non-dropping-particle" : "", "parse-names" : false, "suffix" : "" }, { "dropping-particle" : "", "family" : "Timasheff", "given" : "S N", "non-dropping-particle" : "", "parse-names" : false, "suffix" : "" } ], "container-title" : "Biophysical Chemistry", "id" : "ITEM-3", "issued" : { "date-parts" : [ [ "2007", "4" ] ] }, "note" : "Review talking about how arginine suppresses aggregation of proteins by separating out surface tension effects, amino acid solubility in arginine solutions and preferential interaction parameters.", "page" : "1-8", "title" : "Suppression of protein interactions by arginine: A proposed mechanism of the arginine effects", "type" : "article-journal", "volume" : "127" }, "uris" : [ "http://www.mendeley.com/documents/?uuid=ffbe080e-828f-4a45-8644-aa9950c99e46" ] }, { "id" : "ITEM-4", "itemData" : { "DOI" : "10.1021/bi047528r", "ISSN" : "0006-2960", "PMID" : "15779919", "abstract" : "The amino acid arginine is frequently used as a solution additive to stabilize proteins against aggregation, especially in the process of protein refolding. Despite arginine's prevalence, the mechanism by which it stabilizes proteins is not presently understood. We propose that arginine deters aggregation by slowing protein-protein association reactions, with only a small concomitant effect on protein folding. The associated rate effect was observed experimentally in association of globular proteins (insulin and a monoclonal anti-insulin) and in refolding of carbonic anhydrase. We suggest that this effect arises because arginine is preferentially excluded from protein-protein encounter complexes but not from dissociated protein molecules. Such an effect is predicted by our gap effect theory [Baynes and Trout (2004) Biophys. J. 87, 1631] for \"neutral crowder\" additives such as arginine which are significantly larger than water </w:instrText>
      </w:r>
      <w:r w:rsidR="00924827" w:rsidRPr="00E3274E">
        <w:rPr>
          <w:lang w:val="de-DE"/>
        </w:rPr>
        <w:instrText>but have only a small effect on the free energies of isolated protein molecules. The effect of arginine on refolding of carbonic anhydrase was also shown to be consistent with this hypothesis.", "author" : [ { "dropping-particle" : "", "family" : "Baynes", "given" : "B M", "non-dropping-particle" : "", "parse-names" : false, "suffix" : "" }, { "dropping-particle" : "", "family" : "Wang", "given" : "D I C", "non-dropping-particle" : "", "parse-names" : false, "suffix" : "" }, { "dropping-particle" : "", "family" : "Trout", "given" : "B L", "non-dropping-particle" : "", "parse-names" : false, "suffix" : "" } ], "container-title" : "Biochemistry", "id" : "ITEM-4", "issued" : { "date-parts" : [ [ "2005", "3", "29" ] ] }, "page" : "4919-25", "title" : "Role of arginine in the stabilization of proteins against aggregation", "type" : "article-journal", "volume" : "44" }, "uris" : [ "http://www.mendeley.com/documents/?uuid=b1b8fb50-9a0b-42d9-9b1d-411fe98e714e" ] } ], "mendeley" : { "formattedCitation" : "(Lange &amp; Rudolph 2009; Vagenende et al. 2013; Arakawa, Ejima, et al. 2007; Baynes et al. 2005)", "plainTextFormattedCitation" : "(Lange &amp; Rudolph 2009; Vagenende et al. 2013; Arakawa, Ejima, et al. 2007; Baynes et al. 2005)", "previouslyFormattedCitation" : "(Lange &amp; Rudolph 2009; Vagenende et al. 2013; Arakawa, Ejima, et al. 2007; Baynes et al. 2005)" }, "properties" : { "noteIndex" : 0 }, "schema" : "https://github.com/citation-style-language/schema/raw/master/csl-citation.json" }</w:instrText>
      </w:r>
      <w:r>
        <w:fldChar w:fldCharType="separate"/>
      </w:r>
      <w:r w:rsidR="0064368A" w:rsidRPr="00E3274E">
        <w:rPr>
          <w:noProof/>
          <w:lang w:val="de-DE"/>
        </w:rPr>
        <w:t>(Lange &amp; Rudolph 2009; Vagenende et al. 2013; Arakawa, Ejima, et al. 2007; Baynes et al. 2005)</w:t>
      </w:r>
      <w:r>
        <w:fldChar w:fldCharType="end"/>
      </w:r>
      <w:r w:rsidRPr="00E3274E">
        <w:rPr>
          <w:lang w:val="de-DE"/>
        </w:rPr>
        <w:t xml:space="preserve">. </w:t>
      </w:r>
      <w:r>
        <w:t xml:space="preserve">In </w:t>
      </w:r>
      <w:r w:rsidRPr="00AE5C9F">
        <w:t xml:space="preserve">Chapter 3 </w:t>
      </w:r>
      <w:r>
        <w:t xml:space="preserve">of this thesis arginine was demonstrated to affect protein thermal stability as an additive mixture of its two functional groups: glycine and guanidinium, via a multitude of mechanisms originating from </w:t>
      </w:r>
      <w:r w:rsidR="007228DB">
        <w:t>a combi</w:t>
      </w:r>
      <w:r w:rsidR="00E32171">
        <w:t>nation of these groups. This le</w:t>
      </w:r>
      <w:r w:rsidR="007228DB">
        <w:t>d</w:t>
      </w:r>
      <w:r>
        <w:t xml:space="preserve"> to the hypothesis that other cosolutes may act in a similar way.</w:t>
      </w:r>
    </w:p>
    <w:p w14:paraId="03A24796" w14:textId="77777777" w:rsidR="00C56CFB" w:rsidRDefault="00C56CFB" w:rsidP="00C56CFB">
      <w:r>
        <w:t>Although not as widely studied as arginine, there are a number of studies presenting data of lysine effects on thermal stability of protein</w:t>
      </w:r>
      <w:r w:rsidR="00A9658B">
        <w:t xml:space="preserve">s (see </w:t>
      </w:r>
      <w:r w:rsidR="00A9658B">
        <w:fldChar w:fldCharType="begin"/>
      </w:r>
      <w:r w:rsidR="00A9658B">
        <w:instrText xml:space="preserve"> REF _Ref453339849 \h </w:instrText>
      </w:r>
      <w:r w:rsidR="00A9658B">
        <w:fldChar w:fldCharType="separate"/>
      </w:r>
      <w:r w:rsidR="00AA6926">
        <w:t xml:space="preserve">Table </w:t>
      </w:r>
      <w:r w:rsidR="00AA6926">
        <w:rPr>
          <w:noProof/>
        </w:rPr>
        <w:t>1</w:t>
      </w:r>
      <w:r w:rsidR="00AA6926">
        <w:noBreakHyphen/>
      </w:r>
      <w:r w:rsidR="00AA6926">
        <w:rPr>
          <w:noProof/>
        </w:rPr>
        <w:t>4</w:t>
      </w:r>
      <w:r w:rsidR="00A9658B">
        <w:fldChar w:fldCharType="end"/>
      </w:r>
      <w:r w:rsidR="00A9658B">
        <w:t xml:space="preserve">). </w:t>
      </w:r>
      <w:r>
        <w:t xml:space="preserve">Similar to arginine, these are not uniform, ranging from 2.2 °C destabilisation by 200 mM lysine of RNase A at pH 5 to 6.7 °C stabilisation by 1 M lysine of lysozyme at pH 5 </w:t>
      </w:r>
      <w:r>
        <w:fldChar w:fldCharType="begin" w:fldLock="1"/>
      </w:r>
      <w:r>
        <w:instrText>ADDIN CSL_CITATION { "citationItems" : [ { "id" : "ITEM-1", "itemData" : { "author" : [ { "dropping-particle" : "", "family" : "Rishi", "given" : "V", "non-dropping-particle" : "", "parse-names" : false, "suffix" : "" }, { "dropping-particle" : "", "family" : "Anjum", "given" : "F", "non-dropping-particle" : "", "parse-names" : false, "suffix" : "" }, { "dropping-particle" : "", "family" : "Ahmad", "given" : "F", "non-dropping-particle" : "", "parse-names" : false, "suffix" : "" }, { "dropping-particle" : "", "family" : "Pfeil", "given" : "W", "non-dropping-particle" : "", "parse-names" : false, "suffix" : "" } ], "container-title" : "Biochemical Journal", "id" : "ITEM-1", "issued" : { "date-parts" : [ [ "1998" ] ] }, "page" : "137-143", "title" : "Role of non-compatible osmolytes in the stabilization of proteins during heat stress", "type" : "article-journal", "volume" : "329" }, "uris" : [ "http://www.mendeley.com/documents/?uuid=3b2b361a-0f24-4722-a583-2435a62adea6" ] } ], "mendeley" : { "formattedCitation" : "(Rishi et al. 1998)", "plainTextFormattedCitation" : "(Rishi et al. 1998)", "previouslyFormattedCitation" : "(Rishi et al. 1998)" }, "properties" : { "noteIndex" : 0 }, "schema" : "https://github.com/citation-style-language/schema/raw/master/csl-citation.json" }</w:instrText>
      </w:r>
      <w:r>
        <w:fldChar w:fldCharType="separate"/>
      </w:r>
      <w:r w:rsidRPr="00C15D05">
        <w:rPr>
          <w:noProof/>
        </w:rPr>
        <w:t>(Rishi et al. 1998)</w:t>
      </w:r>
      <w:r>
        <w:fldChar w:fldCharType="end"/>
      </w:r>
      <w:r>
        <w:t xml:space="preserve">. This means it does not fall easily into the kosmotrope/chaotrope categorisation. Unusual preferential interaction data has also been seen for lysine, with exclusion from certain proteins and neutral coefficients with others </w:t>
      </w:r>
      <w:r>
        <w:fldChar w:fldCharType="begin" w:fldLock="1"/>
      </w:r>
      <w:r w:rsidR="007228DB">
        <w:instrText>ADDIN CSL_CITATION { "citationItems" : [ { "id" : "ITEM-1", "itemData" : { "ISBN" : "0021-9258", "ISSN" : "00219258", "PMID" : "6325414", "abstract" : "Preferential interaction measurements between proteins and monosodium glutamate were carried out to arrive at an understanding of the mechanism of its strong effect on tubulin stability and self-assembly into microtubules. For all proteins studied, i.e. bovine serum albumin, lysozyme, beta-lactoglobulin, and calf brain tubulin, the protein showed a large preferential hydration in the presence of monosodium glutamate. The enhancement of tubulin self-association by monosodium glutamate can be interpreted in terms of the large unfavorable free energy of interaction between the additive and the protein. Preferential interactions were also examined for lysine hydrochloride, which also gave a preferential hydration of the proteins, except for tubulin. The dependence of the preferential hydration parameter on proteins was different for the two additives, suggesting the importance of net electrostatic charges of proteins in their interaction with glutamate anions and lysinium cations. The zero preferential interaction of lysine hydrochloride with tubulin indicates an affinity of the lysine cation for the protein. Both additives increased the transition temperature of proteins. This can be understood in terms of the unfavorable free energy of interaction between the additive and the protein surface, which should be even more unfavorable when the denaturation causes an increase in the surface area.", "author" : [ { "dropping-particle" : "", "family" : "Arakawa", "given" : "T", "non-dropping-particle" : "", "parse-names" : false, "suffix" : "" }, { "dropping-particle" : "", "family" : "Timasheff", "given" : "S N", "non-dropping-particle" : "", "parse-names" : false, "suffix" : "" } ], "container-title" : "Journal of Biological Chemistry", "id" : "ITEM-1", "issued" : { "date-parts" : [ [ "1984" ] ] }, "page" : "4979-4986", "title" : "The mechanism of action of Na glutamate, lysine HCl, and piperazine-N,N'-bis(2-ethanesulfonic acid) in the stabilization of tubulin and microtubule formation", "type" : "article-journal", "volume" : "259" }, "uris" : [ "http://www.mendeley.com/documents/?uuid=75a30318-d51a-44cc-bb18-bd53c36e6017" ] } ], "mendeley" : { "formattedCitation" : "(Arakawa &amp; Timasheff 1984b)", "plainTextFormattedCitation" : "(Arakawa &amp; Timasheff 1984b)", "previouslyFormattedCitation" : "(Arakawa &amp; Timasheff 1984b)" }, "properties" : { "noteIndex" : 0 }, "schema" : "https://github.com/citation-style-language/schema/raw/master/csl-citation.json" }</w:instrText>
      </w:r>
      <w:r>
        <w:fldChar w:fldCharType="separate"/>
      </w:r>
      <w:r w:rsidR="0064368A" w:rsidRPr="0064368A">
        <w:rPr>
          <w:noProof/>
        </w:rPr>
        <w:t>(Arakawa &amp; Timasheff 1984b)</w:t>
      </w:r>
      <w:r>
        <w:fldChar w:fldCharType="end"/>
      </w:r>
      <w:r>
        <w:t>.</w:t>
      </w:r>
    </w:p>
    <w:p w14:paraId="03A0FA52" w14:textId="77777777" w:rsidR="00C56CFB" w:rsidRDefault="00C56CFB" w:rsidP="00C56CFB">
      <w:r>
        <w:t xml:space="preserve">There is very little data on the effects of histidine on protein stability, probably due to its poor solubility in solution. Once again the data that does exist shows protein-specific behaviour ranging from 7.4 °C destabilisation of myoglobin at pH 5 by 150 mM histidine </w:t>
      </w:r>
      <w:r>
        <w:fldChar w:fldCharType="begin" w:fldLock="1"/>
      </w:r>
      <w:r>
        <w:instrText>ADDIN CSL_CITATION { "citationItems" : [ { "id" : "ITEM-1", "itemData" : { "author" : [ { "dropping-particle" : "", "family" : "Rishi", "given" : "V", "non-dropping-particle" : "", "parse-names" : false, "suffix" : "" }, { "dropping-particle" : "", "family" : "Anjum", "given" : "F", "non-dropping-particle" : "", "parse-names" : false, "suffix" : "" }, { "dropping-particle" : "", "family" : "Ahmad", "given" : "F", "non-dropping-particle" : "", "parse-names" : false, "suffix" : "" }, { "dropping-particle" : "", "family" : "Pfeil", "given" : "W", "non-dropping-particle" : "", "parse-names" : false, "suffix" : "" } ], "container-title" : "Biochemical Journal", "id" : "ITEM-1", "issued" : { "date-parts" : [ [ "1998" ] ] }, "page" : "137-143", "title" : "Role of non-compatible osmolytes in the stabilization of proteins during heat stress", "type" : "article-journal", "volume" : "329" }, "uris" : [ "http://www.mendeley.com/documents/?uuid=3b2b361a-0f24-4722-a583-2435a62adea6" ] } ], "mendeley" : { "formattedCitation" : "(Rishi et al. 1998)", "plainTextFormattedCitation" : "(Rishi et al. 1998)", "previouslyFormattedCitation" : "(Rishi et al. 1998)" }, "properties" : { "noteIndex" : 0 }, "schema" : "https://github.com/citation-style-language/schema/raw/master/csl-citation.json" }</w:instrText>
      </w:r>
      <w:r>
        <w:fldChar w:fldCharType="separate"/>
      </w:r>
      <w:r w:rsidRPr="009F67F7">
        <w:rPr>
          <w:noProof/>
        </w:rPr>
        <w:t>(Rishi et al. 1998)</w:t>
      </w:r>
      <w:r>
        <w:fldChar w:fldCharType="end"/>
      </w:r>
      <w:r>
        <w:t xml:space="preserve"> to 5.8 °C stabilisation of IgG Fab domain at pH 3.5 by 62.5 mM histidine </w:t>
      </w:r>
      <w:r>
        <w:fldChar w:fldCharType="begin" w:fldLock="1"/>
      </w:r>
      <w:r>
        <w:instrText>ADDIN CSL_CITATION { "citationItems" : [ { "id" : "ITEM-1", "itemData" : { "DOI" : "10.1002/jctb.2657", "ISSN" : "02682575", "author" : [ { "dropping-particle" : "", "family" : "Falconer", "given" : "R J", "non-dropping-particle" : "", "parse-names" : false, "suffix" : "" }, { "dropping-particle" : "", "family" : "Chan", "given" : "C", "non-dropping-particle" : "", "parse-names" : false, "suffix" : "" }, { "dropping-particle" : "", "family" : "Hughes", "given" : "K", "non-dropping-particle" : "", "parse-names" : false, "suffix" : "" }, { "dropping-particle" : "", "family" : "Munro", "given" : "T P", "non-dropping-particle" : "", "parse-names" : false, "suffix" : "" } ], "container-title" : "Journal of Chemical Technology &amp; Biotechnology", "id" : "ITEM-1", "issued" : { "date-parts" : [ [ "2011", "7", "7" ] ] }, "page" : "942-948", "title" : "Stabilization of a monoclonal antibody during purification and formulation by addition of basic amino acid excipients", "type" : "article-journal", "volume" : "86" }, "uris" : [ "http://www.mendeley.com/documents/?uuid=0fd7d4b0-b0a9-40ec-8c2a-8ec42fa3572d" ] } ], "mendeley" : { "formattedCitation" : "(Falconer et al. 2011)", "plainTextFormattedCitation" : "(Falconer et al. 2011)", "previouslyFormattedCitation" : "(Falconer et al. 2011)" }, "properties" : { "noteIndex" : 0 }, "schema" : "https://github.com/citation-style-language/schema/raw/master/csl-citation.json" }</w:instrText>
      </w:r>
      <w:r>
        <w:fldChar w:fldCharType="separate"/>
      </w:r>
      <w:r w:rsidRPr="009F67F7">
        <w:rPr>
          <w:noProof/>
        </w:rPr>
        <w:t>(Falconer et al. 2011)</w:t>
      </w:r>
      <w:r>
        <w:fldChar w:fldCharType="end"/>
      </w:r>
      <w:r>
        <w:t xml:space="preserve">. Its utility as an excipient also </w:t>
      </w:r>
      <w:r w:rsidR="007228DB">
        <w:t>stems</w:t>
      </w:r>
      <w:r>
        <w:t xml:space="preserve"> from its buffering capacity at pH 5.5-6.5 </w:t>
      </w:r>
      <w:r>
        <w:fldChar w:fldCharType="begin" w:fldLock="1"/>
      </w:r>
      <w:r>
        <w:instrText>ADDIN CSL_CITATION { "citationItems" : [ { "id" : "ITEM-1", "itemData" : { "DOI" : "10.1517/17425240903199143", "ISSN" : "1744-7593", "PMID" : "19678792", "abstract" : "In the area of peptide and protein pharmaceuticals, both the physical and chemical stability of biopharmaceuticals are critical and need to be optimised when formulating a drug product, in order to optimise the outcome after processing and storage. This review focuses on the effects on the stability from various types of excipient and the choices that have to be made during formulation of drug products containing peptides or proteins. It is illustrated, through examples, how the choice of one excipient over another can affect the stability of a protein drug formulation, along with other problems linked to this choice. The excipients used in pharmaceutical preparations are limited and from an academic point of view there is a clear requirement for new excipients.", "author" : [ { "dropping-particle" : "", "family" : "Jorgensen", "given" : "L", "non-dropping-particle" : "", "parse-names" : false, "suffix" : "" }, { "dropping-particle" : "", "family" : "Hostrup", "given" : "S", "non-dropping-particle" : "", "parse-names" : false, "suffix" : "" }, { "dropping-particle" : "", "family" : "Moeller", "given" : "E H", "non-dropping-particle" : "", "parse-names" : false, "suffix" : "" }, { "dropping-particle" : "", "family" : "Grohganz", "given" : "H", "non-dropping-particle" : "", "parse-names" : false, "suffix" : "" } ], "container-title" : "Expert Opinion on Drug Delivery", "id" : "ITEM-1", "issued" : { "date-parts" : [ [ "2009", "11" ] ] }, "page" : "1219-1230", "title" : "Recent trends in stabilising peptides and proteins in pharmaceutical formulation - considerations in the choice of excipients", "type" : "article-journal", "volume" : "6" }, "uris" : [ "http://www.mendeley.com/documents/?uuid=8bf98923-ee81-40e1-a96a-6352403ea5bb" ] } ], "mendeley" : { "formattedCitation" : "(Jorgensen et al. 2009)", "plainTextFormattedCitation" : "(Jorgensen et al. 2009)", "previouslyFormattedCitation" : "(Jorgensen et al. 2009)" }, "properties" : { "noteIndex" : 0 }, "schema" : "https://github.com/citation-style-language/schema/raw/master/csl-citation.json" }</w:instrText>
      </w:r>
      <w:r>
        <w:fldChar w:fldCharType="separate"/>
      </w:r>
      <w:r w:rsidRPr="009F67F7">
        <w:rPr>
          <w:noProof/>
        </w:rPr>
        <w:t>(Jorgensen et al. 2009)</w:t>
      </w:r>
      <w:r>
        <w:fldChar w:fldCharType="end"/>
      </w:r>
      <w:r>
        <w:t xml:space="preserve">, and its ability to form stabilising interactions with antibodies in the solid state </w:t>
      </w:r>
      <w:r>
        <w:fldChar w:fldCharType="begin" w:fldLock="1"/>
      </w:r>
      <w:r>
        <w:instrText>ADDIN CSL_CITATION { "citationItems" : [ { "id" : "ITEM-1", "itemData" : { "DOI" : "10.1016/j.ijpharm.2006.10.037", "ISBN" : "0378-5173", "ISSN" : "03785173", "PMID" : "17141436", "abstract" : "The protective effects of amino acids on stabilizing protein secondary structure were evaluated using diffuse reflectance FTIR spectroscopy, and interactions between proteins and arginine were detected using solid-state NMR spectroscopy. Upon freeze-drying, excipient-free anti-CD11a and anti-IgE antibodies underwent significant changes in their secondary structures. For both antibodies, the amount of intermolecular \u03b2-sheet substantially increased and the native conformation of intramolecular \u03b2-sheet content decreased considerably. The addition of amino acids to the formulations reduced protein secondary structure alterations in a concentration-dependent manner. Histidine and arginine appeared to be the most protective excipients (of the amino acids studied) in inhibiting protein secondary structural changes. Solid-state NMR illustrated that non-covalent interactions (e.g., hydrogen bonding, ion-dipole interactions) were formed between the arginine side chain and the protein. Glycine is the least effective additive of those studied in preventing secondary structure changes upon freeze-drying. Despite secondary structural changes, freeze-dried protein in the presence and absence of amino acids refolded back into its native conformation upon reconstitution in water. \u00a9 2006 Elsevier B.V. All rights reserved.", "author" : [ { "dropping-particle" : "", "family" : "Tian", "given" : "F", "non-dropping-particle" : "", "parse-names" : false, "suffix" : "" }, { "dropping-particle" : "", "family" : "Middaugh", "given" : "C R", "non-dropping-particle" : "", "parse-names" : false, "suffix" : "" }, { "dropping-particle" : "", "family" : "Offerdahl", "given" : "T", "non-dropping-particle" : "", "parse-names" : false, "suffix" : "" }, { "dropping-particle" : "", "family" : "Munson", "given" : "E", "non-dropping-particle" : "", "parse-names" : false, "suffix" : "" }, { "dropping-particle" : "", "family" : "Sane", "given" : "S", "non-dropping-particle" : "", "parse-names" : false, "suffix" : "" }, { "dropping-particle" : "", "family" : "Rytting", "given" : "J H", "non-dropping-particle" : "", "parse-names" : false, "suffix" : "" } ], "container-title" : "International Journal of Pharmaceutics", "id" : "ITEM-1", "issued" : { "date-parts" : [ [ "2007" ] ] }, "page" : "20-31", "title" : "Spectroscopic evaluation of the stabilization of humanized monoclonal antibodies in amino acid formulations", "type" : "article-journal", "volume" : "335" }, "uris" : [ "http://www.mendeley.com/documents/?uuid=9978f675-9159-4d8e-bcd1-25ecaace09a5" ] } ], "mendeley" : { "formattedCitation" : "(Tian et al. 2007)", "plainTextFormattedCitation" : "(Tian et al. 2007)", "previouslyFormattedCitation" : "(Tian et al. 2007)" }, "properties" : { "noteIndex" : 0 }, "schema" : "https://github.com/citation-style-language/schema/raw/master/csl-citation.json" }</w:instrText>
      </w:r>
      <w:r>
        <w:fldChar w:fldCharType="separate"/>
      </w:r>
      <w:r w:rsidRPr="00512FCB">
        <w:rPr>
          <w:noProof/>
        </w:rPr>
        <w:t>(Tian et al. 2007)</w:t>
      </w:r>
      <w:r>
        <w:fldChar w:fldCharType="end"/>
      </w:r>
      <w:r>
        <w:t>. A mechanism for histidine action on protein stability is yet to be suggested.</w:t>
      </w:r>
    </w:p>
    <w:p w14:paraId="51AFD170" w14:textId="77777777" w:rsidR="00C56CFB" w:rsidRDefault="00C56CFB" w:rsidP="00C56CFB">
      <w:r>
        <w:t xml:space="preserve">Therefore all three positively charged amino acids show similar behaviour of protein-specific stabilisation or destabilisation, with no clear mechanisms being able to explain their effects in the literature thus far. Interestingly neither lysine nor histidine has previously been compared to their respective side chain functional groups in terms of their effects on protein stability, despite the fact that this is a commonly cited potential mechanism of arginine action </w:t>
      </w:r>
      <w:r>
        <w:fldChar w:fldCharType="begin" w:fldLock="1"/>
      </w:r>
      <w:r w:rsidR="00924827">
        <w:instrText>ADDIN CSL_CITATION { "citationItems" : [ { "id" : "ITEM-1", "itemData" : { "DOI" : "10.1016/S1357-2725(03)00252-8", "ISSN" : "13572725", "author" : [ { "dropping-particle" : "", "family" : "Xie", "given" : "Q", "non-dropping-particle" : "", "parse-names" : false, "suffix" : "" }, { "dropping-particle" : "", "family" : "Guo", "given" : "T", "non-dropping-particle" : "", "parse-names" : false, "suffix" : "" }, { "dropping-particle" : "", "family" : "Lu", "given" : "J", "non-dropping-particle" : "", "parse-names" : false, "suffix" : "" }, { "dropping-particle" : "", "family" : "Zhou", "given" : "H M", "non-dropping-particle" : "", "parse-names" : false, "suffix" : "" } ], "container-title" : "International Journal of Biochemistry &amp; Cell Biology", "id" : "ITEM-1", "issued" : { "date-parts" : [ [ "2004", "2" ] ] }, "page" : "296-306", "title" : "The guanidine like effects of arginine on aminoacylase and salt-induced molten globule state", "type" : "article-journal", "volume" : "36" }, "uris" : [ "http://www.mendeley.com/documents/?uuid=c4774180-6b83-4ff3-b5e5-58766eff3a26" ] }, { "id" : "ITEM-2", "itemData" : { "DOI" : "10.1016/j.bpc.2006.12.007", "ISSN" : "0301-4622", "PMID" : "17257734", "abstract" : "Arginine has been used to suppress protein aggregation and protein-protein or protein-surface interactions during protein refolding and purification. While its biotechnology applications are gradually expanding, the mechanism of these effects of arginine has not been fully elucidated. Arginine is more effective at higher concentrations, an indication of weak interactions with the proteins. The effects of weakly interacting additives, such as arginine, on protein solubility, stability and aggregation have been explained from three different approaches: i.e., (1) the effects of additives on the structure of water, (2) the interactions of additives with the amino acid side chains and peptide bonds and (3) the preferential interactions of additives with the proteins. Here we have examined these properties of arginine and compared with those of other additives, e.g., guanidine hydrochloride (GdnHCl) and certain amino acids and amines. GdnHCl is a strong salting-in agent and denatures proteins, while betaine is a protein stabilizer. Several amino acids and amine compounds, including betaine, which stabilize the proteins, are strongly excluded; i.e., the proteins are preferentially hydrated in these solutions. On the other hand, GdnHCl preferentially binds to the proteins. Arginine is intermediate between these two extreme cases and shows a more complicated pattern of interactions with the proteins. The effects of additives on water structure, e.g., the surface tension of aqueous solution of the additives and the solubility of amino acids in the presence of additives also shed light on the mechanism of the effects of the additives on protein aggregation. While arginine increases the surface tension of water, it favorably interacts with most amino acid side chains and the peptide bonds, a property shared with GdnHCl. Thus, we propose that while arginine is similar to GdnHCl in the amino acid level, arginine interacts with the proteins differently from GdnHCl.", "author" : [ { "dropping-particle" : "", "family" : "Arakawa", "given" : "T", "non-dropping-particle" : "", "parse-names" : false, "suffix" : "" }, { "dropping-particle" : "", "family" : "Ejima", "given" : "D", "non-dropping-particle" : "", "parse-names" : false, "suffix" : "" }, { "dropping-particle" : "", "family" : "Tsumoto", "given" : "K", "non-dropping-particle" : "", "parse-names" : false, "suffix" : "" }, { "dropping-particle" : "", "family" : "Obeyama", "given" : "N", "non-dropping-particle" : "", "parse-names" : false, "suffix" : "" }, { "dropping-particle" : "", "family" : "Tanaka", "given" : "Y", "non-dropping-particle" : "", "parse-names" : false, "suffix" : "" }, { "dropping-particle" : "", "family" : "Kita", "given" : "Y", "non-dropping-particle" : "", "parse-names" : false, "suffix" : "" }, { "dropping-particle" : "", "family" : "Timasheff", "given" : "S N", "non-dropping-particle" : "", "parse-names" : false, "suffix" : "" } ], "container-title" : "Biophysical Chemistry", "id" : "ITEM-2", "issued" : { "date-parts" : [ [ "2007", "4" ] ] }, "note" : "Review talking about how arginine suppresses aggregation of proteins by separating out surface tension effects, amino acid solubility in arginine solutions and preferential interaction parameters.", "page" : "1-8", "title" : "Suppression of protein interactions by arginine: A proposed mechanism of the arginine effects", "type" : "article-journal", "volume" : "127" }, "uris" : [ "http://www.mendeley.com/documents/?uuid=ffbe080e-828f-4a45-8644-aa9950c99e46" ] }, { "id" : "ITEM-3", "itemData" : { "DOI" : "10.1016/j.ab.2005.07.004", "ISSN" : "0003-2697", "PMID" : "16125126", "abstract" : "It has been shown that the recovery of monomeric antibodies from protein A affinity chromatography is enhanced significantly by using arginine as an eluent. To extend the applications of arginine to antibody purification and obtain an insight into the mechanism of arginine elution, we compared arginine with citrate, guanidine hydrochloride (GdnHCl), arginine derivatives, and other amino acids in protein A chromatography. We also applied arginine to elution of polyclonal antibodies (pAbs) in antigen affinity chromatography. As described previously, arginine was effective in eluting monoclonal antibodies IgG1 and IgG4. Two arginine derivatives, acetyl-arginine and agmatine, resulted in efficient elution at pH 4.0 or higher, and this was comparable to arginine. On the other hand, other amino acids, such as glycine, proline, lysine, and histidine, are much less effective than arginine under identical pH conditions. Whereas elution increased with arginine concentration, elution with citrate was insignificant in excess of 1 M at pH 4.3. Arginine was also effective in fractionation of pAbs using antigen-conjugated affinity columns. Although GdnHCl was also effective under similar conditions, the eluted material showed more aggregation than did the protein eluted by arginine.", "author" : [ { "dropping-particle" : "", "family" : "Ejima", "given" : "D", "non-dropping-particle" : "", "parse-names" : false, "suffix" : "" }, { "dropping-particle" : "", "family" : "Yumioka", "given" : "R", "non-dropping-particle" : "", "parse-names" : false, "suffix" : "" }, { "dropping-particle" : "", "family" : "Tsumoto", "given" : "K", "non-dropping-particle" : "", "parse-names" : false, "suffix" : "" }, { "dropping-particle" : "", "family" : "Arakawa", "given" : "T", "non-dropping-particle" : "", "parse-names" : false, "suffix" : "" } ], "container-title" : "Analytical Biochemistry", "id" : "ITEM-3", "issued" : { "date-parts" : [ [ "2005", "10", "15" ] ] }, "page" : "250-7", "title" : "Effective elution of antibodies by arginine and arginine derivatives in affinity column chromatography", "type" : "article-journal", "volume" : "345" }, "uris" : [ "http://www.mendeley.com/documents/?uuid=72c24034-548a-4087-8665-8b7b68cbe3b6" ] } ], "mendeley" : { "formattedCitation" : "(Xie et al. 2004; Arakawa, Ejima, et al. 2007; Ejima, Yumioka, et al. 2005)", "plainTextFormattedCitation" : "(Xie et al. 2004; Arakawa, Ejima, et al. 2007; Ejima, Yumioka, et al. 2005)", "previouslyFormattedCitation" : "(Xie et al. 2004; Arakawa, Ejima, et al. 2007; Ejima, Yumioka, et al. 2005)" }, "properties" : { "noteIndex" : 0 }, "schema" : "https://github.com/citation-style-language/schema/raw/master/csl-citation.json" }</w:instrText>
      </w:r>
      <w:r>
        <w:fldChar w:fldCharType="separate"/>
      </w:r>
      <w:r w:rsidR="007228DB" w:rsidRPr="007228DB">
        <w:rPr>
          <w:noProof/>
        </w:rPr>
        <w:t>(Xie et al. 2004; Arakawa, Ejima, et al. 2007; Ejima, Yumioka, et al. 2005)</w:t>
      </w:r>
      <w:r>
        <w:fldChar w:fldCharType="end"/>
      </w:r>
      <w:r w:rsidR="007228DB">
        <w:t xml:space="preserve">. This is </w:t>
      </w:r>
      <w:r>
        <w:t xml:space="preserve">remarkable when considering that the side chains of lysine and histidine (methylamine and imidazole) themselves have various uses </w:t>
      </w:r>
      <w:r>
        <w:fldChar w:fldCharType="begin" w:fldLock="1"/>
      </w:r>
      <w:r>
        <w:instrText>ADDIN CSL_CITATION { "citationItems" : [ { "id" : "ITEM-1", "itemData" : { "ISSN" : "0006-2960", "PMID" : "1376620", "abstract" : "Organisms and cellular systems which have adapted to stresses such as high temperature, desiccation, and urea-concentrating environments have responded by concentrating particular organic solutes known as osmolytes. These osmolytes are believed to confer protection to enzyme and other macromolecular systems against such denaturing stresses. Differential scanning calorimetric (DSC) experiments were performed on ribonuclease A and hen egg white lysozyme in the presence of varying concentrations of the osmolytes glycine, sarcosine, N,N-dimethylglycine, and betaine. Solutions containing up to several molar concentrations of these solutes were found to result in considerable increases in the thermal unfolding transition temperature (Tm) for these proteins. DSC scans of ribonuclease A in the presence of up to 8.2 M sarcosine resulted in reversible two-state unfolding transitions with Tm increases of up to 22 degrees C and unfolding enthalpy changes which were independent of Tm. On the basis of the thermodynamic parameters observed, 8.2 M sarcosine results in a stabilization free energy increase of 7.2 kcal/mol for ribonuclease A at 65 degrees C. This translates into more than a 45,000-fold increase in stability of the native form of ribonuclease A over that in the absence of sarcosine at this temperature. Catalytic activity measurements in the presence of 4 M sarcosine give kcat and Km values that are largely unchanged from those in the absence of sarcosine. DSC of lysozyme unfolding in the presence of these osmolytes also results in Tm increases of up to 23 degrees C; however, significant irreversibly occurs with this protein.(ABSTRACT TRUNCATED AT 250 WORDS)", "author" : [ { "dropping-particle" : "", "family" : "Santoro", "given" : "M M", "non-dropping-particle" : "", "parse-names" : false, "suffix" : "" }, { "dropping-particle" : "", "family" : "Liu", "given" : "Y", "non-dropping-particle" : "", "parse-names" : false, "suffix" : "" }, { "dropping-particle" : "", "family" : "Khan", "given" : "S M A", "non-dropping-particle" : "", "parse-names" : false, "suffix" : "" }, { "dropping-particle" : "", "family" : "Hou", "given" : "L X", "non-dropping-particle" : "", "parse-names" : false, "suffix" : "" }, { "dropping-particle" : "", "family" : "Bolen", "given" : "D W", "non-dropping-particle" : "", "parse-names" : false, "suffix" : "" } ], "container-title" : "Biochemistry", "id" : "ITEM-1", "issued" : { "date-parts" : [ [ "1992", "6", "16" ] ] }, "page" : "5278-5283", "title" : "Increased thermal stability of proteins in the presence of naturally occurring osmolytes", "type" : "article-journal", "volume" : "31" }, "uris" : [ "http://www.mendeley.com/documents/?uuid=43f8c6ce-f911-44c3-88ac-ffd899b1fb4f" ] }, { "id" : "ITEM-2", "itemData" : { "DOI" : "10.1016/j.polymer.2010.02.006", "ISBN" : "0032-3861", "ISSN" : "00323861", "abstract" : "The imidazole ring is ubiquitous in nature and imidazole functionality plays a critical role in many structures within the human body, notably as histamine and histadine. Imidazoles offer many biophysical interactions including their ability to hydrogen bond with drugs and proteins. In contrast, imidazolium salts have lost their strong hydrogen-bonding ability through alkylation of both nitrogens, but they are able to aggregate electrostatically. Imidazolium salts are used to extract metal ions from aqueous solutions, dissolve carbohydrates, create polyelectrolyte brushes on surfaces, coat metal nanoparticles, provide antimicrobial action, and create oriented liquid crystals. Bioactive applications include imidazolium hydrogels, antiarrhythmics, and anti-metastic agents. This review will describe the synthesis and design of imidazole derivatives and imidazolium-containing polymers as bioactive materials. Imidazole-based polymers readily associate with biological molecules through hydrogen-bonding, and imidazolium analogs offer electrostatic interactions, aggregation, and self-assembly. Design of novel imidazole- and imidazolium-based macromolecules remains as an exciting and emerging field. ?? 2010 Elsevier Ltd.", "author" : [ { "dropping-particle" : "", "family" : "Anderson", "given" : "E B", "non-dropping-particle" : "", "parse-names" : false, "suffix" : "" }, { "dropping-particle" : "", "family" : "Long", "given" : "T E", "non-dropping-particle" : "", "parse-names" : false, "suffix" : "" } ], "container-title" : "Polymer", "id" : "ITEM-2", "issued" : { "date-parts" : [ [ "2010" ] ] }, "page" : "2447-2454", "publisher" : "Elsevier Ltd", "title" : "Imidazole- and imidazolium-containing polymers for biology and material science applications", "type" : "article-journal", "volume" : "51" }, "uris" : [ "http://www.mendeley.com/documents/?uuid=e7f18dd0-b807-4448-b960-1f24fcc09649" ] } ], "mendeley" : { "formattedCitation" : "(Santoro et al. 1992; Anderson &amp; Long 2010)", "plainTextFormattedCitation" : "(Santoro et al. 1992; Anderson &amp; Long 2010)", "previouslyFormattedCitation" : "(Santoro et al. 1992; Anderson &amp; Long 2010)" }, "properties" : { "noteIndex" : 0 }, "schema" : "https://github.com/citation-style-language/schema/raw/master/csl-citation.json" }</w:instrText>
      </w:r>
      <w:r>
        <w:fldChar w:fldCharType="separate"/>
      </w:r>
      <w:r w:rsidRPr="00624227">
        <w:rPr>
          <w:noProof/>
        </w:rPr>
        <w:t>(Santoro et al. 1992; Anderson &amp; Long 2010)</w:t>
      </w:r>
      <w:r>
        <w:fldChar w:fldCharType="end"/>
      </w:r>
      <w:r>
        <w:t xml:space="preserve">. Imidazole is particularly important due to its use in the purification of His-tagged proteins </w:t>
      </w:r>
      <w:r>
        <w:fldChar w:fldCharType="begin" w:fldLock="1"/>
      </w:r>
      <w:r>
        <w:instrText>ADDIN CSL_CITATION { "citationItems" : [ { "id" : "ITEM-1", "itemData" : { "DOI" : "10.1089/153685903771797048", "ISBN" : "1536-8599 (Print)\\n1536-8599 (Linking)", "ISSN" : "1536-8599", "PMID" : "14683594", "abstract" : "A number of studies have demonstrated the limited solubility of single-chain Fv antibody fragments and its improvement by genetic engineering. This limits the stability of recombinant protein upon storage and the efficiency of chemical modification. The RAFT3 scFv used in the present work is specific for melanoma-associated proteoglycan and an attractive candidate for clinical radioimaging studies because of its unusual radiolabelling properties. However, when expressed with a c-terminal his(6) IMAC purification tag, the recombinant protein starts to precipitate after column elution and dialysis against PBS and reaches a concentration of soluble protein of approximately 150 microg/mL within a few days upon storage at 4 degrees C. We tested several commonly used buffer modifications (addition of detergents, high salt, amino acids) to improve the solubility and stability of the protein but without any major improvement. However, we found that, when the final dialysis step was omitted and the protein left in IMAC column elution buffer (PBS containing imidazole), it remained soluble. Furthermore, several months old and precipitated protein could be redissolved in this buffer without loss of antigen binding. This observation and the largely pH-independent nature of protein solubility suggest that neither salt bridges formed by the his(6) tail nor cross-linking of his(6) tails mediated by metal ions leached from the column during elution are responsible for the limited solubility of the protein in the absence of imidazole. The presence of imidazole did not interfere with radiolabelling and in vivo tumor targeting in a mouse model. The solubilizing and stabilizing effect of imidazole could be of use for his(6) tagged and poorly soluble recombinant proteins other than scFvs.", "author" : [ { "dropping-particle" : "", "family" : "Hamilton", "given" : "S", "non-dropping-particle" : "", "parse-names" : false, "suffix" : "" }, { "dropping-particle" : "", "family" : "Odili", "given" : "J", "non-dropping-particle" : "", "parse-names" : false, "suffix" : "" }, { "dropping-particle" : "", "family" : "Pacifico", "given" : "M D", "non-dropping-particle" : "", "parse-names" : false, "suffix" : "" }, { "dropping-particle" : "", "family" : "Wilson", "given" : "G D", "non-dropping-particle" : "", "parse-names" : false, "suffix" : "" }, { "dropping-particle" : "", "family" : "Kupsch", "given" : "J M", "non-dropping-particle" : "", "parse-names" : false, "suffix" : "" } ], "container-title" : "Hybridoma and Hybridomics", "id" : "ITEM-1", "issued" : { "date-parts" : [ [ "2003" ] ] }, "page" : "347-355", "title" : "Effect of imidazole on the solubility of a his-tagged antibody fragment", "type" : "article-journal", "volume" : "22" }, "uris" : [ "http://www.mendeley.com/documents/?uuid=c77dcd01-1a36-41fb-bc98-8e5b680c8513" ] } ], "mendeley" : { "formattedCitation" : "(Hamilton et al. 2003)", "plainTextFormattedCitation" : "(Hamilton et al. 2003)", "previouslyFormattedCitation" : "(Hamilton et al. 2003)" }, "properties" : { "noteIndex" : 0 }, "schema" : "https://github.com/citation-style-language/schema/raw/master/csl-citation.json" }</w:instrText>
      </w:r>
      <w:r>
        <w:fldChar w:fldCharType="separate"/>
      </w:r>
      <w:r w:rsidRPr="00624227">
        <w:rPr>
          <w:noProof/>
        </w:rPr>
        <w:t>(Hamilton et al. 2003)</w:t>
      </w:r>
      <w:r>
        <w:fldChar w:fldCharType="end"/>
      </w:r>
      <w:r>
        <w:t>.</w:t>
      </w:r>
    </w:p>
    <w:p w14:paraId="6102919F" w14:textId="77777777" w:rsidR="00C56CFB" w:rsidRPr="006E4A71" w:rsidRDefault="00C56CFB" w:rsidP="00C56CFB">
      <w:r>
        <w:t xml:space="preserve">Due to arginine being shown to act like an additive combination of its functional groups, it is hypothesised that the other two positively charged amino acids act in a similar manner. Similar to arginine, previous stability studies using lysine and histidine have been conducted with very few, and often only high concentrations and with buffers containing salt that have the potential to mask or enhance various interactions </w:t>
      </w:r>
      <w:r>
        <w:fldChar w:fldCharType="begin" w:fldLock="1"/>
      </w:r>
      <w:r>
        <w:instrText>ADDIN CSL_CITATION { "citationItems" : [ { "id" : "ITEM-1", "itemData" : { "author" : [ { "dropping-particle" : "", "family" : "Rishi", "given" : "V", "non-dropping-particle" : "", "parse-names" : false, "suffix" : "" }, { "dropping-particle" : "", "family" : "Anjum", "given" : "F", "non-dropping-particle" : "", "parse-names" : false, "suffix" : "" }, { "dropping-particle" : "", "family" : "Ahmad", "given" : "F", "non-dropping-particle" : "", "parse-names" : false, "suffix" : "" }, { "dropping-particle" : "", "family" : "Pfeil", "given" : "W", "non-dropping-particle" : "", "parse-names" : false, "suffix" : "" } ], "container-title" : "Biochemical Journal", "id" : "ITEM-1", "issued" : { "date-parts" : [ [ "1998" ] ] }, "page" : "137-143", "title" : "Role of non-compatible osmolytes in the stabilization of proteins during heat stress", "type" : "article-journal", "volume" : "329" }, "uris" : [ "http://www.mendeley.com/documents/?uuid=3b2b361a-0f24-4722-a583-2435a62adea6" ] }, { "id" : "ITEM-2", "itemData" : { "DOI" : "10.1002/jctb.2657", "ISSN" : "02682575", "author" : [ { "dropping-particle" : "", "family" : "Falconer", "given" : "R J", "non-dropping-particle" : "", "parse-names" : false, "suffix" : "" }, { "dropping-particle" : "", "family" : "Chan", "given" : "C", "non-dropping-particle" : "", "parse-names" : false, "suffix" : "" }, { "dropping-particle" : "", "family" : "Hughes", "given" : "K", "non-dropping-particle" : "", "parse-names" : false, "suffix" : "" }, { "dropping-particle" : "", "family" : "Munro", "given" : "T P", "non-dropping-particle" : "", "parse-names" : false, "suffix" : "" } ], "container-title" : "Journal of Chemical Technology &amp; Biotechnology", "id" : "ITEM-2", "issued" : { "date-parts" : [ [ "2011", "7", "7" ] ] }, "page" : "942-948", "title" : "Stabilization of a monoclonal antibody during purification and formulation by addition of basic amino acid excipients", "type" : "article-journal", "volume" : "86" }, "uris" : [ "http://www.mendeley.com/documents/?uuid=0fd7d4b0-b0a9-40ec-8c2a-8ec42fa3572d" ] }, { "id" : "ITEM-3", "itemData" : { "ISSN" : "0264-6021", "PMID" : "7945233", "abstract" : "This study is a systematic attempt to understand the roles of osmolytes in protecting proteins against denaturing stress. Thermal denaturation of cytochrome c has been studied in the presence of various concentrations of all L-amino acids that are more hydrophobic than glycine and have a solubility of 0.1 M or higher in water at 25 degrees C. The basic observations are as follows. (1) Arginine and histidine destabilize the native protein; both Tm (the midpoint of thermal transition) and delta GDH2O (25 degrees C) (the Gibbs energy of stabilization) decrease with increasing amino acid concentration. (2) Isoleucine, leucine and phenylalanine have no effect on Tm and deltaGDH2O (25 degrees C). (3) Valine and less hydrophobic amino acids stabilize the protein in terms of Tm but deltaGDH2O (25 degrees C) is unchanged. This observation was confirmed by the study of isothermal denaturation of cytochrome c by guanidinium chloride which suggested that delta GDH2O is independent of osmolyte concentration, but Cm (the midpoint of transition) is increased in their presence. (4) In the case of stabilizers, change in Tm/mol of amino acid decreases with increasing hydrophobicity of these osmolytes.", "author" : [ { "dropping-particle" : "", "family" : "Taneja", "given" : "S", "non-dropping-particle" : "", "parse-names" : false, "suffix" : "" }, { "dropping-particle" : "", "family" : "Ahmad", "given" : "F", "non-dropping-particle" : "", "parse-names" : false, "suffix" : "" } ], "container-title" : "Biochemical Journal", "id" : "ITEM-3", "issued" : { "date-parts" : [ [ "1994", "10", "1" ] ] }, "page" : "147-153", "title" : "Increased thermal stability of proteins in the presence of amino acids", "type" : "article-journal", "volume" : "303" }, "uris" : [ "http://www.mendeley.com/documents/?uuid=58de2c9a-4375-44f3-b3b7-972049f9dc42" ] } ], "mendeley" : { "formattedCitation" : "(Rishi et al. 1998; Falconer et al. 2011; Taneja &amp; Ahmad 1994)", "plainTextFormattedCitation" : "(Rishi et al. 1998; Falconer et al. 2011; Taneja &amp; Ahmad 1994)", "previouslyFormattedCitation" : "(Rishi et al. 1998; Falconer et al. 2011; Taneja &amp; Ahmad 1994)" }, "properties" : { "noteIndex" : 0 }, "schema" : "https://github.com/citation-style-language/schema/raw/master/csl-citation.json" }</w:instrText>
      </w:r>
      <w:r>
        <w:fldChar w:fldCharType="separate"/>
      </w:r>
      <w:r w:rsidRPr="00B967D9">
        <w:rPr>
          <w:noProof/>
        </w:rPr>
        <w:t>(Rishi et al. 1998; Falconer et al. 2011; Taneja &amp; Ahmad 1994)</w:t>
      </w:r>
      <w:r>
        <w:fldChar w:fldCharType="end"/>
      </w:r>
      <w:r>
        <w:t xml:space="preserve">. Therefore the aim of this chapter is to quantify the effects of both lysine and histidine on the thermal stability of three model proteins, which are the same as those used in the arginine study. </w:t>
      </w:r>
      <w:r w:rsidR="007228DB">
        <w:t xml:space="preserve">Absence of salt-containing buffers and an emphasis of detailed data at low cosolute concentrations, similar to the arginine study, will clearly demonstrate the effects of the cosolutes on protein stability. </w:t>
      </w:r>
      <w:r>
        <w:t>The aim is also to compare these to the effects of their side chains, methylamine hydrochloride (methylamine HCl) and imidazole respectively, and the effects previously seen for glycine in Chapter 3 (</w:t>
      </w:r>
      <w:r>
        <w:fldChar w:fldCharType="begin"/>
      </w:r>
      <w:r>
        <w:instrText xml:space="preserve"> REF _Ref464747581 \h </w:instrText>
      </w:r>
      <w:r>
        <w:fldChar w:fldCharType="separate"/>
      </w:r>
      <w:r w:rsidR="00AA6926">
        <w:t xml:space="preserve">Figure </w:t>
      </w:r>
      <w:r w:rsidR="00AA6926">
        <w:rPr>
          <w:noProof/>
        </w:rPr>
        <w:t>6</w:t>
      </w:r>
      <w:r w:rsidR="00AA6926">
        <w:noBreakHyphen/>
      </w:r>
      <w:r w:rsidR="00AA6926">
        <w:rPr>
          <w:noProof/>
        </w:rPr>
        <w:t>1</w:t>
      </w:r>
      <w:r>
        <w:fldChar w:fldCharType="end"/>
      </w:r>
      <w:r>
        <w:t>;</w:t>
      </w:r>
      <w:r w:rsidR="00A9658B">
        <w:t xml:space="preserve"> </w:t>
      </w:r>
      <w:r>
        <w:fldChar w:fldCharType="begin"/>
      </w:r>
      <w:r>
        <w:instrText xml:space="preserve"> REF _Ref464747583 \h </w:instrText>
      </w:r>
      <w:r>
        <w:fldChar w:fldCharType="separate"/>
      </w:r>
      <w:r w:rsidR="00AA6926">
        <w:t xml:space="preserve">Figure </w:t>
      </w:r>
      <w:r w:rsidR="00AA6926">
        <w:rPr>
          <w:noProof/>
        </w:rPr>
        <w:t>6</w:t>
      </w:r>
      <w:r w:rsidR="00AA6926">
        <w:noBreakHyphen/>
      </w:r>
      <w:r w:rsidR="00AA6926">
        <w:rPr>
          <w:noProof/>
        </w:rPr>
        <w:t>2</w:t>
      </w:r>
      <w:r>
        <w:fldChar w:fldCharType="end"/>
      </w:r>
      <w:r>
        <w:t xml:space="preserve"> respectively). This will challenge the hypothesis that both lysine and histidine act like an additive combination of their functional groups (glycine &amp; methylamine for lysine; glycine &amp; imidazole for histidine), similar to arginine. Insights gained from the extensively studied arginine along with detailed stability data can be used to establish the molecular mechanisms by which both lysine and histidine act on protein thermal stability.</w:t>
      </w:r>
    </w:p>
    <w:p w14:paraId="3A997C18" w14:textId="41FF5952" w:rsidR="00C56CFB" w:rsidRDefault="00A14580" w:rsidP="00C56CFB">
      <w:pPr>
        <w:keepNext/>
      </w:pPr>
      <w:r>
        <w:rPr>
          <w:noProof/>
          <w:lang w:eastAsia="en-GB"/>
        </w:rPr>
        <w:drawing>
          <wp:inline distT="0" distB="0" distL="0" distR="0" wp14:anchorId="7C12722E" wp14:editId="7CDB8DAF">
            <wp:extent cx="5305425" cy="3971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sine figure.jpg"/>
                    <pic:cNvPicPr/>
                  </pic:nvPicPr>
                  <pic:blipFill>
                    <a:blip r:embed="rId88">
                      <a:extLst>
                        <a:ext uri="{28A0092B-C50C-407E-A947-70E740481C1C}">
                          <a14:useLocalDpi xmlns:a14="http://schemas.microsoft.com/office/drawing/2010/main" val="0"/>
                        </a:ext>
                      </a:extLst>
                    </a:blip>
                    <a:stretch>
                      <a:fillRect/>
                    </a:stretch>
                  </pic:blipFill>
                  <pic:spPr>
                    <a:xfrm>
                      <a:off x="0" y="0"/>
                      <a:ext cx="5305425" cy="3971925"/>
                    </a:xfrm>
                    <a:prstGeom prst="rect">
                      <a:avLst/>
                    </a:prstGeom>
                  </pic:spPr>
                </pic:pic>
              </a:graphicData>
            </a:graphic>
          </wp:inline>
        </w:drawing>
      </w:r>
    </w:p>
    <w:p w14:paraId="2D3A7DCF" w14:textId="77777777" w:rsidR="00C56CFB" w:rsidRPr="00517E04" w:rsidRDefault="00C56CFB" w:rsidP="00C56CFB">
      <w:pPr>
        <w:pStyle w:val="Caption"/>
        <w:jc w:val="left"/>
      </w:pPr>
      <w:bookmarkStart w:id="249" w:name="_Ref464747581"/>
      <w:bookmarkStart w:id="250" w:name="_Toc482633198"/>
      <w:r>
        <w:t xml:space="preserve">Figure </w:t>
      </w:r>
      <w:fldSimple w:instr=" STYLEREF 1 \s ">
        <w:r w:rsidR="00AA6926">
          <w:rPr>
            <w:noProof/>
          </w:rPr>
          <w:t>6</w:t>
        </w:r>
      </w:fldSimple>
      <w:r w:rsidR="00BA082C">
        <w:noBreakHyphen/>
      </w:r>
      <w:fldSimple w:instr=" SEQ Figure \* ARABIC \s 1 ">
        <w:r w:rsidR="00AA6926">
          <w:rPr>
            <w:noProof/>
          </w:rPr>
          <w:t>1</w:t>
        </w:r>
      </w:fldSimple>
      <w:bookmarkEnd w:id="249"/>
      <w:r>
        <w:t>. Structure of lysine in comparison to two of its functional groups: glycine and methylamine. Glycine and methylamine structures have been rotated from usual representations in order to highlight similarities in structure to lysine</w:t>
      </w:r>
      <w:bookmarkEnd w:id="250"/>
    </w:p>
    <w:p w14:paraId="37F946EA" w14:textId="2D874FAB" w:rsidR="00C56CFB" w:rsidRDefault="0054404D" w:rsidP="00C56CFB">
      <w:pPr>
        <w:keepNext/>
      </w:pPr>
      <w:r>
        <w:rPr>
          <w:noProof/>
          <w:lang w:eastAsia="en-GB"/>
        </w:rPr>
        <w:drawing>
          <wp:inline distT="0" distB="0" distL="0" distR="0" wp14:anchorId="3B082F6F" wp14:editId="490F1E6A">
            <wp:extent cx="4438650" cy="3743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idine figure.jpg"/>
                    <pic:cNvPicPr/>
                  </pic:nvPicPr>
                  <pic:blipFill>
                    <a:blip r:embed="rId89">
                      <a:extLst>
                        <a:ext uri="{28A0092B-C50C-407E-A947-70E740481C1C}">
                          <a14:useLocalDpi xmlns:a14="http://schemas.microsoft.com/office/drawing/2010/main" val="0"/>
                        </a:ext>
                      </a:extLst>
                    </a:blip>
                    <a:stretch>
                      <a:fillRect/>
                    </a:stretch>
                  </pic:blipFill>
                  <pic:spPr>
                    <a:xfrm>
                      <a:off x="0" y="0"/>
                      <a:ext cx="4438650" cy="3743325"/>
                    </a:xfrm>
                    <a:prstGeom prst="rect">
                      <a:avLst/>
                    </a:prstGeom>
                  </pic:spPr>
                </pic:pic>
              </a:graphicData>
            </a:graphic>
          </wp:inline>
        </w:drawing>
      </w:r>
    </w:p>
    <w:p w14:paraId="71225B3E" w14:textId="77777777" w:rsidR="00C56CFB" w:rsidRDefault="00C56CFB" w:rsidP="00C56CFB">
      <w:pPr>
        <w:pStyle w:val="Caption"/>
        <w:jc w:val="left"/>
        <w:rPr>
          <w:u w:val="single"/>
        </w:rPr>
      </w:pPr>
      <w:bookmarkStart w:id="251" w:name="_Ref464747583"/>
      <w:bookmarkStart w:id="252" w:name="_Toc482633199"/>
      <w:r>
        <w:t xml:space="preserve">Figure </w:t>
      </w:r>
      <w:fldSimple w:instr=" STYLEREF 1 \s ">
        <w:r w:rsidR="00AA6926">
          <w:rPr>
            <w:noProof/>
          </w:rPr>
          <w:t>6</w:t>
        </w:r>
      </w:fldSimple>
      <w:r w:rsidR="00BA082C">
        <w:noBreakHyphen/>
      </w:r>
      <w:fldSimple w:instr=" SEQ Figure \* ARABIC \s 1 ">
        <w:r w:rsidR="00AA6926">
          <w:rPr>
            <w:noProof/>
          </w:rPr>
          <w:t>2</w:t>
        </w:r>
      </w:fldSimple>
      <w:bookmarkEnd w:id="251"/>
      <w:r>
        <w:t xml:space="preserve">. </w:t>
      </w:r>
      <w:r w:rsidRPr="000E41C3">
        <w:t>Structure of</w:t>
      </w:r>
      <w:r>
        <w:t xml:space="preserve"> histidine</w:t>
      </w:r>
      <w:r w:rsidRPr="000E41C3">
        <w:t xml:space="preserve"> in comparison to two of its functional groups: glycine and </w:t>
      </w:r>
      <w:r>
        <w:t>imidazole</w:t>
      </w:r>
      <w:r w:rsidRPr="000E41C3">
        <w:t xml:space="preserve">. Glycine and </w:t>
      </w:r>
      <w:r>
        <w:t>imidazole</w:t>
      </w:r>
      <w:r w:rsidRPr="000E41C3">
        <w:t xml:space="preserve"> structures have been rotated from usual representations in order to highlight similarities in structure to </w:t>
      </w:r>
      <w:r>
        <w:t>histidine</w:t>
      </w:r>
      <w:bookmarkEnd w:id="252"/>
    </w:p>
    <w:p w14:paraId="4E134A5D" w14:textId="77777777" w:rsidR="00C56CFB" w:rsidRDefault="00C552F2" w:rsidP="000A3469">
      <w:pPr>
        <w:pStyle w:val="Heading2"/>
      </w:pPr>
      <w:bookmarkStart w:id="253" w:name="_Toc485712811"/>
      <w:r>
        <w:t>Materials &amp;</w:t>
      </w:r>
      <w:r w:rsidR="008D6ED0">
        <w:t xml:space="preserve"> M</w:t>
      </w:r>
      <w:r w:rsidR="00C56CFB">
        <w:t>ethods</w:t>
      </w:r>
      <w:bookmarkEnd w:id="253"/>
    </w:p>
    <w:p w14:paraId="5518C0E7" w14:textId="77777777" w:rsidR="00C56CFB" w:rsidRDefault="00C56CFB" w:rsidP="00C56CFB">
      <w:pPr>
        <w:pStyle w:val="Heading3"/>
      </w:pPr>
      <w:bookmarkStart w:id="254" w:name="_Toc485712812"/>
      <w:r>
        <w:t>Materials</w:t>
      </w:r>
      <w:bookmarkEnd w:id="254"/>
    </w:p>
    <w:p w14:paraId="31AD4612" w14:textId="77777777" w:rsidR="00C56CFB" w:rsidRPr="00A6588D" w:rsidRDefault="00C56CFB" w:rsidP="00C56CFB">
      <w:r>
        <w:t>All proteins: myoglobin from equine skeletal muscle, albumin from bovine serum and lysozyme from hen egg white were purchased in lyophilised powder form from Sigma-Aldrich. Sodium octanoate and cosolutes: lysine-hydrate, histidine, methylamine HCl and imidazole were also purchased from Sigma-Aldrich with purities of at least 97%.</w:t>
      </w:r>
    </w:p>
    <w:p w14:paraId="5F65E672" w14:textId="77777777" w:rsidR="00C56CFB" w:rsidRDefault="00C56CFB" w:rsidP="00C56CFB">
      <w:pPr>
        <w:pStyle w:val="Heading3"/>
      </w:pPr>
      <w:bookmarkStart w:id="255" w:name="_Toc485712813"/>
      <w:r>
        <w:t>Methods</w:t>
      </w:r>
      <w:bookmarkEnd w:id="255"/>
    </w:p>
    <w:p w14:paraId="63468F4F" w14:textId="77777777" w:rsidR="00C56CFB" w:rsidRDefault="00C56CFB" w:rsidP="00C56CFB">
      <w:pPr>
        <w:pStyle w:val="Heading4"/>
        <w:spacing w:before="440" w:after="240"/>
      </w:pPr>
      <w:r>
        <w:t>Sample preparation</w:t>
      </w:r>
    </w:p>
    <w:p w14:paraId="24F4B91F" w14:textId="77777777" w:rsidR="00C56CFB" w:rsidRDefault="00C56CFB" w:rsidP="00C56CFB">
      <w:r>
        <w:t>All proteins were dialysed at 4 °C overnight using a Mini 8</w:t>
      </w:r>
      <w:r w:rsidR="009276AD">
        <w:t xml:space="preserve"> </w:t>
      </w:r>
      <w:r>
        <w:t xml:space="preserve">kDa membrane dialysis kit (GE Healthcare, Little Chalfont, UK) against its respective buffer, which for myoglobin and lysozyme was HPLC grade water, and for BSA 10 mM sodium octanoate in HPLC grade water. Protein concentration was calculated using absorbance measurements at 280 nm (BSA; lysozyme) or 555 nm (myoglobin) using a Jenway 6305 UV-Vis spectrophotometer (Jenway (Bibby Scientific), Staffordshire, UK). Extinction coefficients from </w:t>
      </w:r>
      <w:r>
        <w:fldChar w:fldCharType="begin" w:fldLock="1"/>
      </w:r>
      <w:r>
        <w:instrText>ADDIN CSL_CITATION { "citationItems" : [ { "id" : "ITEM-1", "itemData" : { "ISSN" : "0003-2697", "PMID" : "2610349", "abstract" : "Quantitative study of protein-protein and protein-ligand interactions in solution requires accurate determination of protein concentration. Often, for proteins available only in \"molecular biological\" amounts, it is difficult or impossible to make an accurate experimental measurement of the molar extinction coefficient of the protein. Yet without a reliable value of this parameter, one cannot determine protein concentrations by the usual uv spectroscopic means. Fortunately, knowledge of amino acid residue sequence and promoter molecular weight (and thus also of amino acid composition) is generally available through the DNA sequence, which is usually accurately known for most such proteins. In this paper we present a method for calculating accurate (to +/- 5% in most cases) molar extinction coefficients for proteins at 280 nm, simply from knowledge of the amino acid composition. The method is calibrated against 18 \"normal\" globular proteins whose molar extinction coefficients are accurately known, and the assumptions underlying the method, as well as its limitations, are discussed.", "author" : [ { "dropping-particle" : "", "family" : "Gill", "given" : "S C", "non-dropping-particle" : "", "parse-names" : false, "suffix" : "" }, { "dropping-particle" : "", "family" : "Hippel", "given" : "P H", "non-dropping-particle" : "von", "parse-names" : false, "suffix" : "" } ], "container-title" : "Analytical Biochemistry", "id" : "ITEM-1", "issued" : { "date-parts" : [ [ "1989", "11", "1" ] ] }, "page" : "319-326", "title" : "Calculation of protein extinction coefficients from amino acid sequence data", "type" : "article-journal", "volume" : "182" }, "uris" : [ "http://www.mendeley.com/documents/?uuid=67e42691-f854-4907-8b00-d580834cbf0d" ] } ], "mendeley" : { "formattedCitation" : "(Gill &amp; von Hippel 1989)", "plainTextFormattedCitation" : "(Gill &amp; von Hippel 1989)", "previouslyFormattedCitation" : "(Gill &amp; von Hippel 1989)" }, "properties" : { "noteIndex" : 0 }, "schema" : "https://github.com/citation-style-language/schema/raw/master/csl-citation.json" }</w:instrText>
      </w:r>
      <w:r>
        <w:fldChar w:fldCharType="separate"/>
      </w:r>
      <w:r w:rsidRPr="00C747D2">
        <w:rPr>
          <w:noProof/>
        </w:rPr>
        <w:t>(Gill &amp; von Hippel 1989)</w:t>
      </w:r>
      <w:r>
        <w:fldChar w:fldCharType="end"/>
      </w:r>
      <w:r>
        <w:t xml:space="preserve"> were used for all protein concentration calculations. Based on these measurements protein stocks were diluted using HPLC grade water (or 10 mM sodium octanoate for BSA) to 2 g/L BSA &amp; lysozyme or 1 g/L myoglobin and put to pH 7 for BSA &amp; lysozyme and pH 8 for myoglobin using either sodium hydroxide or hydrochloric acid, so that once diluted with cosolute the working concentrations were: 1 g/L BSA &amp; lysozyme; 0.5 g/L myoglobin. Protein stocks were kept on ice throughout the experiments and not </w:t>
      </w:r>
      <w:r w:rsidR="009276AD">
        <w:t>used</w:t>
      </w:r>
      <w:r>
        <w:t xml:space="preserve"> for more than two consecutive days.</w:t>
      </w:r>
    </w:p>
    <w:p w14:paraId="5B6E918F" w14:textId="77777777" w:rsidR="00C56CFB" w:rsidRDefault="00C56CFB" w:rsidP="00C56CFB">
      <w:r>
        <w:t xml:space="preserve">2 M stocks of methylamine HCl and imidazole were prepared using HPLC grade water (or 10 mM sodium octanoate for BSA experiments) and put to the appropriate pH using </w:t>
      </w:r>
      <w:r w:rsidR="004B5253">
        <w:t xml:space="preserve">dilute sodium hydroxide </w:t>
      </w:r>
      <w:r>
        <w:t xml:space="preserve">or </w:t>
      </w:r>
      <w:r w:rsidR="004B5253">
        <w:t>hydrochloric acid</w:t>
      </w:r>
      <w:r>
        <w:t>. 1 M stock of lysine and 400 mM stock of histidine, representing their solubility limits, were also prepared in similar ways and put to the appropriate pH.</w:t>
      </w:r>
    </w:p>
    <w:p w14:paraId="3BD2F6BD" w14:textId="77777777" w:rsidR="00C56CFB" w:rsidRDefault="00C56CFB" w:rsidP="00C56CFB">
      <w:r>
        <w:t>Protein and cosolute stocks did not use buffers but used buffering capacity of the protein to maintain pH. This was checked regularly and found not to alter across time or concentrations. Zero cosolute scans were regularly run in the DSC over the duration of the experiment to check for degradation of protein and no difference between thermodynamic properties was observed.</w:t>
      </w:r>
    </w:p>
    <w:p w14:paraId="275077B2" w14:textId="77777777" w:rsidR="00C56CFB" w:rsidRDefault="00C56CFB" w:rsidP="00C56CFB">
      <w:r>
        <w:t>Samples for use in DSC were made up to 1 mL for degassing with protein stocks diluted in half using HPLC grade water (or 10 mM sodium octanoate in the case of BSA) and desired concentration of cosolute. All data points were repeated three times with different protein and cosolute stocks and an average calculated.</w:t>
      </w:r>
    </w:p>
    <w:p w14:paraId="550CA2A2" w14:textId="77777777" w:rsidR="00C56CFB" w:rsidRDefault="00C56CFB" w:rsidP="00C56CFB">
      <w:pPr>
        <w:pStyle w:val="Heading4"/>
        <w:spacing w:before="440" w:after="240"/>
      </w:pPr>
      <w:r>
        <w:t>Differential Scanning Calorimetry</w:t>
      </w:r>
    </w:p>
    <w:p w14:paraId="60C7F8D1" w14:textId="77777777" w:rsidR="00C56CFB" w:rsidRPr="00014507" w:rsidRDefault="00C56CFB" w:rsidP="00C56CFB">
      <w:r>
        <w:t>A TA Instruments Nano</w:t>
      </w:r>
      <w:r w:rsidR="00676FD7">
        <w:t>-</w:t>
      </w:r>
      <w:r>
        <w:t xml:space="preserve">DSC (TA Instruments, New Castle, DE, USA) was used to carry out all DSC scans. All samples were degassed for 1 hour at 19 °C prior to DSC scans. During this time no significant evaporation was observed. Samples were heated at a rate of 1.5 °C/min from 30 – 100 °C. An equilibration time of 600 seconds was used and cells were pressurised to 3 atmospheres during heating. </w:t>
      </w:r>
    </w:p>
    <w:p w14:paraId="72A14D34" w14:textId="77777777" w:rsidR="00C56CFB" w:rsidRDefault="00C56CFB" w:rsidP="00C56CFB">
      <w:pPr>
        <w:pStyle w:val="Heading4"/>
        <w:spacing w:before="440" w:after="240"/>
      </w:pPr>
      <w:r>
        <w:t>Data analysis</w:t>
      </w:r>
    </w:p>
    <w:p w14:paraId="311BB795" w14:textId="77777777" w:rsidR="00C56CFB" w:rsidRPr="00014507" w:rsidRDefault="00C56CFB" w:rsidP="00C56CFB">
      <w:r>
        <w:t>Data were analysed using the Nanoanalyze software provided with the DSC. Water-water baselines were subtracted from the data and the temperature of maximum unfolding of the protein was calculated as the point at which the maximum relative heat capacity occurred. Δ</w:t>
      </w:r>
      <w:r>
        <w:rPr>
          <w:i/>
        </w:rPr>
        <w:t>T</w:t>
      </w:r>
      <w:r w:rsidRPr="00014507">
        <w:rPr>
          <w:vertAlign w:val="subscript"/>
        </w:rPr>
        <w:t xml:space="preserve">m </w:t>
      </w:r>
      <w:r>
        <w:t xml:space="preserve">was calculated manually by subtracted the </w:t>
      </w:r>
      <w:r w:rsidRPr="00014507">
        <w:rPr>
          <w:i/>
        </w:rPr>
        <w:t>T</w:t>
      </w:r>
      <w:r w:rsidRPr="00014507">
        <w:rPr>
          <w:vertAlign w:val="subscript"/>
        </w:rPr>
        <w:t>m</w:t>
      </w:r>
      <w:r>
        <w:t xml:space="preserve"> of the respective protein in the absence of cosolute from the Tm in the presence of the desired concentration of cosolute.</w:t>
      </w:r>
    </w:p>
    <w:p w14:paraId="0F5E93FE" w14:textId="77777777" w:rsidR="00C56CFB" w:rsidRDefault="00C552F2" w:rsidP="000A3469">
      <w:pPr>
        <w:pStyle w:val="Heading2"/>
      </w:pPr>
      <w:bookmarkStart w:id="256" w:name="_Toc485712814"/>
      <w:r>
        <w:t>Results &amp;</w:t>
      </w:r>
      <w:r w:rsidR="00C56CFB">
        <w:t xml:space="preserve"> Discussion</w:t>
      </w:r>
      <w:bookmarkEnd w:id="256"/>
    </w:p>
    <w:p w14:paraId="3A6027FA" w14:textId="77777777" w:rsidR="00C56CFB" w:rsidRPr="006B14C9" w:rsidRDefault="00C56CFB" w:rsidP="00C56CFB">
      <w:r>
        <w:t>The change in melting temperature (</w:t>
      </w:r>
      <w:r w:rsidRPr="006B14C9">
        <w:t>Δ</w:t>
      </w:r>
      <w:r w:rsidRPr="006B14C9">
        <w:rPr>
          <w:i/>
        </w:rPr>
        <w:t>T</w:t>
      </w:r>
      <w:r w:rsidRPr="006B14C9">
        <w:rPr>
          <w:vertAlign w:val="subscript"/>
        </w:rPr>
        <w:t>m</w:t>
      </w:r>
      <w:r>
        <w:t xml:space="preserve">) </w:t>
      </w:r>
      <w:r w:rsidRPr="006B14C9">
        <w:t>of</w:t>
      </w:r>
      <w:r>
        <w:t xml:space="preserve"> the three proteins studied in the presence of certain concentrations of cosolute were calculated by subtracting the melting temperature of the protein in HPLC-grade water from that of the protein in the presence of cosolute. Full thermodynamic d</w:t>
      </w:r>
      <w:r w:rsidR="0032413F">
        <w:t xml:space="preserve">ata sets are given in tables in Appendix D </w:t>
      </w:r>
      <w:r>
        <w:t xml:space="preserve">and DSC </w:t>
      </w:r>
      <w:r w:rsidR="0032413F">
        <w:t xml:space="preserve">heat capacity </w:t>
      </w:r>
      <w:r>
        <w:t xml:space="preserve">scans at a variety of concentrations of </w:t>
      </w:r>
      <w:r w:rsidR="0032413F">
        <w:t xml:space="preserve">all cosolutes are also given in Appendix D. </w:t>
      </w:r>
      <w:r>
        <w:t>All glycine data presented here is for reference only and is the data originally obtained in Chapter 3.</w:t>
      </w:r>
    </w:p>
    <w:p w14:paraId="15EA7E36" w14:textId="77777777" w:rsidR="00C56CFB" w:rsidRDefault="00C56CFB" w:rsidP="00C56CFB">
      <w:pPr>
        <w:pStyle w:val="Heading3"/>
      </w:pPr>
      <w:bookmarkStart w:id="257" w:name="_Toc485712815"/>
      <w:r>
        <w:t>Lysine &amp; methylamine HCl</w:t>
      </w:r>
      <w:bookmarkEnd w:id="257"/>
    </w:p>
    <w:p w14:paraId="5FF88FAB" w14:textId="77777777" w:rsidR="00C56CFB" w:rsidRDefault="00A9658B" w:rsidP="00C56CFB">
      <w:r>
        <w:fldChar w:fldCharType="begin"/>
      </w:r>
      <w:r>
        <w:instrText xml:space="preserve"> REF _Ref465093210 \h </w:instrText>
      </w:r>
      <w:r>
        <w:fldChar w:fldCharType="separate"/>
      </w:r>
      <w:r w:rsidR="00AA6926">
        <w:t xml:space="preserve">Figure </w:t>
      </w:r>
      <w:r w:rsidR="00AA6926">
        <w:rPr>
          <w:noProof/>
        </w:rPr>
        <w:t>6</w:t>
      </w:r>
      <w:r w:rsidR="00AA6926">
        <w:noBreakHyphen/>
      </w:r>
      <w:r w:rsidR="00AA6926">
        <w:rPr>
          <w:noProof/>
        </w:rPr>
        <w:t>3</w:t>
      </w:r>
      <w:r>
        <w:fldChar w:fldCharType="end"/>
      </w:r>
      <w:r>
        <w:t xml:space="preserve"> </w:t>
      </w:r>
      <w:r w:rsidR="00C56CFB">
        <w:t xml:space="preserve">shows the changes in melting temperature of BSA (red circles), lysozyme (green triangles) and myoglobin (blue squares) in the presence of increasing concentrations of lysine (top panel), methylamine HCl (middle panel) and glycine (lower panel). It is clear that similar to previously studied cosolutes lysine and methylamine HCl affect thermal stability in both a protein-specific and concentration-dependent manner. Similar to other cosolutes in Chapter 3 two distinct phases of stabilisation or destabilisation are visible, with a switch at around 50-100 mM. There is a clear deviation from linear protein stability effects, on which preferential interaction and enhancement of water structure theories depend </w:t>
      </w:r>
      <w:r w:rsidR="00C56CFB">
        <w:fldChar w:fldCharType="begin" w:fldLock="1"/>
      </w:r>
      <w:r w:rsidR="00C56CFB">
        <w:instrText>ADDIN CSL_CITATION { "citationItems" : [ { "id" : "ITEM-1", "itemData" : { "DOI" : "10.1073/pnas.122225399", "ISSN" : "0027-8424", "PMID" : "12097640", "abstract" : "Solvent additives (cosolvents, osmolytes) modulate biochemical reactions if, during the course of the reaction, there is a change in preferential interactions of solvent components with the reacting system. Preferential interactions can be expressed in terms of preferential binding of the cosolvent or its preferential exclusion (preferential hydration). The driving force is the perturbation by the protein of the chemical potential of the cosolvent. It is shown that the measured change of the amount of water in contact with protein during the course of the reaction modulated by an osmolyte is a change in preferential hydration that is strictly a measure of the cosolvent chemical potential perturbation by the protein in the ternary water-protein-cosolvent system. It is not equal to the change in water of hydration, because water of hydration is a reflection strictly of protein-water forces in a binary system. There is no direct relation between water of preferential hydration and water of hydration.", "author" : [ { "dropping-particle" : "", "family" : "Timasheff", "given" : "S N", "non-dropping-particle" : "", "parse-names" : false, "suffix" : "" } ], "container-title" : "Proceedings of the National Academy of Sciences of the United States of America", "id" : "ITEM-1", "issued" : { "date-parts" : [ [ "2002", "7", "23" ] ] }, "page" : "9721-9726", "title" : "Protein-solvent preferential interactions, protein hydration, and the modulation of biochemical reactions by solvent components", "type" : "article-journal", "volume" : "99" }, "uris" : [ "http://www.mendeley.com/documents/?uuid=cd3d88a3-8815-488c-b100-e47898c98c1c" ] }, { "id" : "ITEM-2", "itemData" : { "author" : [ { "dropping-particle" : "", "family" : "Timasheff", "given" : "S N", "non-dropping-particle" : "", "parse-names" : false, "suffix" : "" } ], "container-title" : "Biochemistry", "id" : "ITEM-2", "issued" : { "date-parts" : [ [ "2002" ] ] }, "page" : "13473-13482", "title" : "Protein hydration, thermodynamic binding, and preferential hydration", "type" : "article-journal", "volume" : "41" }, "uris" : [ "http://www.mendeley.com/documents/?uuid=4be1d2a3-dba8-47b5-a114-07c45c5e07e0" ] } ], "mendeley" : { "formattedCitation" : "(Timasheff 2002b; Timasheff 2002a)", "plainTextFormattedCitation" : "(Timasheff 2002b; Timasheff 2002a)", "previouslyFormattedCitation" : "(Timasheff 2002b; Timasheff 2002a)" }, "properties" : { "noteIndex" : 0 }, "schema" : "https://github.com/citation-style-language/schema/raw/master/csl-citation.json" }</w:instrText>
      </w:r>
      <w:r w:rsidR="00C56CFB">
        <w:fldChar w:fldCharType="separate"/>
      </w:r>
      <w:r w:rsidR="00C56CFB" w:rsidRPr="00754362">
        <w:rPr>
          <w:noProof/>
        </w:rPr>
        <w:t>(Timasheff 2002b; Timasheff 2002a)</w:t>
      </w:r>
      <w:r w:rsidR="00C56CFB">
        <w:fldChar w:fldCharType="end"/>
      </w:r>
      <w:r w:rsidR="00C56CFB">
        <w:t>, meaning a singular mechanism is unlikely to explain these complex stability trends. The trends and potential mechanisms at low and high concentrations are discussed in the following subsections.</w:t>
      </w:r>
    </w:p>
    <w:p w14:paraId="5DAC79D9" w14:textId="77777777" w:rsidR="00C56CFB" w:rsidRDefault="00C56CFB" w:rsidP="00C56CFB">
      <w:pPr>
        <w:keepNext/>
        <w:framePr w:w="8139" w:hSpace="180" w:wrap="around" w:vAnchor="text" w:hAnchor="text" w:x="1" w:y="1"/>
      </w:pPr>
      <w:r>
        <w:object w:dxaOrig="10035" w:dyaOrig="17460" w14:anchorId="25914AB8">
          <v:shape id="_x0000_i1060" type="#_x0000_t75" style="width:407.25pt;height:707.25pt" o:ole="">
            <v:imagedata r:id="rId90" o:title=""/>
          </v:shape>
          <o:OLEObject Type="Embed" ProgID="SigmaPlotGraphicObject.12" ShapeID="_x0000_i1060" DrawAspect="Content" ObjectID="_1559454714" r:id="rId91"/>
        </w:object>
      </w:r>
    </w:p>
    <w:p w14:paraId="3CCB54CC" w14:textId="77777777" w:rsidR="00C56CFB" w:rsidRDefault="00C56CFB" w:rsidP="00C56CFB">
      <w:pPr>
        <w:pStyle w:val="Caption"/>
        <w:framePr w:w="8139" w:hSpace="180" w:wrap="around" w:vAnchor="text" w:hAnchor="text" w:x="1" w:y="1"/>
        <w:jc w:val="left"/>
      </w:pPr>
      <w:bookmarkStart w:id="258" w:name="_Ref465093210"/>
      <w:bookmarkStart w:id="259" w:name="_Toc482633200"/>
      <w:r>
        <w:t xml:space="preserve">Figure </w:t>
      </w:r>
      <w:fldSimple w:instr=" STYLEREF 1 \s ">
        <w:r w:rsidR="00AA6926">
          <w:rPr>
            <w:noProof/>
          </w:rPr>
          <w:t>6</w:t>
        </w:r>
      </w:fldSimple>
      <w:r w:rsidR="00BA082C">
        <w:noBreakHyphen/>
      </w:r>
      <w:fldSimple w:instr=" SEQ Figure \* ARABIC \s 1 ">
        <w:r w:rsidR="00AA6926">
          <w:rPr>
            <w:noProof/>
          </w:rPr>
          <w:t>3</w:t>
        </w:r>
      </w:fldSimple>
      <w:bookmarkEnd w:id="258"/>
      <w:r>
        <w:t xml:space="preserve">. </w:t>
      </w:r>
      <w:r w:rsidRPr="006844D2">
        <w:t>Change in melting temperature of 1 g/L BSA pH 7 (red circles), 1 g/L lysozyme pH 7 (green triangles), and 0.5 g/L myoglobin pH 8 (blue squares) in the presence of increasing concentrations of lysine (top panel), methylamine hydrochloride (middle panel)</w:t>
      </w:r>
      <w:r>
        <w:t xml:space="preserve"> and glycine (bottom panel). Dotted line represents no change in melting temperature to guide the eye</w:t>
      </w:r>
      <w:bookmarkEnd w:id="259"/>
    </w:p>
    <w:p w14:paraId="5F80DD37" w14:textId="77777777" w:rsidR="00C56CFB" w:rsidRDefault="00C56CFB" w:rsidP="00C56CFB"/>
    <w:p w14:paraId="6DB36F47" w14:textId="77777777" w:rsidR="00C56CFB" w:rsidRDefault="00C56CFB" w:rsidP="00C56CFB">
      <w:pPr>
        <w:pStyle w:val="Heading4"/>
        <w:spacing w:before="440" w:after="240"/>
      </w:pPr>
      <w:r>
        <w:t>Below 50 mM lysine and methylamine HCl</w:t>
      </w:r>
    </w:p>
    <w:p w14:paraId="17C0F101" w14:textId="77777777" w:rsidR="00C56CFB" w:rsidRDefault="00C56CFB" w:rsidP="00C56CFB">
      <w:r>
        <w:t>At the lowest concentrations of lysine and methylamine HCl used in this stability study (0.5 mM) myoglobin is destabilised by 1-2 °C (</w:t>
      </w:r>
      <w:r>
        <w:fldChar w:fldCharType="begin"/>
      </w:r>
      <w:r>
        <w:instrText xml:space="preserve"> REF _Ref465089853 \h </w:instrText>
      </w:r>
      <w:r>
        <w:fldChar w:fldCharType="separate"/>
      </w:r>
      <w:r w:rsidR="00AA6926">
        <w:t xml:space="preserve">Figure </w:t>
      </w:r>
      <w:r w:rsidR="00AA6926">
        <w:rPr>
          <w:noProof/>
        </w:rPr>
        <w:t>6</w:t>
      </w:r>
      <w:r w:rsidR="00AA6926">
        <w:noBreakHyphen/>
      </w:r>
      <w:r w:rsidR="00AA6926">
        <w:rPr>
          <w:noProof/>
        </w:rPr>
        <w:t>4</w:t>
      </w:r>
      <w:r>
        <w:fldChar w:fldCharType="end"/>
      </w:r>
      <w:r>
        <w:t xml:space="preserve"> blue squares). At a concentration of 0.5 mM and 1 mM methylamine HCl BSA is also destabilised by 1-2 °C, but is not destabilised by lysine (</w:t>
      </w:r>
      <w:r>
        <w:fldChar w:fldCharType="begin"/>
      </w:r>
      <w:r>
        <w:instrText xml:space="preserve"> REF _Ref465089853 \h </w:instrText>
      </w:r>
      <w:r>
        <w:fldChar w:fldCharType="separate"/>
      </w:r>
      <w:r w:rsidR="00AA6926">
        <w:t xml:space="preserve">Figure </w:t>
      </w:r>
      <w:r w:rsidR="00AA6926">
        <w:rPr>
          <w:noProof/>
        </w:rPr>
        <w:t>6</w:t>
      </w:r>
      <w:r w:rsidR="00AA6926">
        <w:noBreakHyphen/>
      </w:r>
      <w:r w:rsidR="00AA6926">
        <w:rPr>
          <w:noProof/>
        </w:rPr>
        <w:t>4</w:t>
      </w:r>
      <w:r>
        <w:fldChar w:fldCharType="end"/>
      </w:r>
      <w:r>
        <w:t xml:space="preserve"> red circles). Lysozyme is unaffected by the presence of either cosolute at these concentrations (</w:t>
      </w:r>
      <w:r>
        <w:fldChar w:fldCharType="begin"/>
      </w:r>
      <w:r>
        <w:instrText xml:space="preserve"> REF _Ref465089853 \h </w:instrText>
      </w:r>
      <w:r>
        <w:fldChar w:fldCharType="separate"/>
      </w:r>
      <w:r w:rsidR="00AA6926">
        <w:t xml:space="preserve">Figure </w:t>
      </w:r>
      <w:r w:rsidR="00AA6926">
        <w:rPr>
          <w:noProof/>
        </w:rPr>
        <w:t>6</w:t>
      </w:r>
      <w:r w:rsidR="00AA6926">
        <w:noBreakHyphen/>
      </w:r>
      <w:r w:rsidR="00AA6926">
        <w:rPr>
          <w:noProof/>
        </w:rPr>
        <w:t>4</w:t>
      </w:r>
      <w:r>
        <w:fldChar w:fldCharType="end"/>
      </w:r>
      <w:r>
        <w:t xml:space="preserve"> green triangles). The lack of effect of lysine on BSA can be explained by the slight counteracting stabilisation of BSA by the glycine moiety (</w:t>
      </w:r>
      <w:r>
        <w:fldChar w:fldCharType="begin"/>
      </w:r>
      <w:r>
        <w:instrText xml:space="preserve"> REF _Ref465093210 \h </w:instrText>
      </w:r>
      <w:r>
        <w:fldChar w:fldCharType="separate"/>
      </w:r>
      <w:r w:rsidR="00AA6926">
        <w:t xml:space="preserve">Figure </w:t>
      </w:r>
      <w:r w:rsidR="00AA6926">
        <w:rPr>
          <w:noProof/>
        </w:rPr>
        <w:t>6</w:t>
      </w:r>
      <w:r w:rsidR="00AA6926">
        <w:noBreakHyphen/>
      </w:r>
      <w:r w:rsidR="00AA6926">
        <w:rPr>
          <w:noProof/>
        </w:rPr>
        <w:t>3</w:t>
      </w:r>
      <w:r>
        <w:fldChar w:fldCharType="end"/>
      </w:r>
      <w:r>
        <w:t xml:space="preserve"> bottom panel).</w:t>
      </w:r>
    </w:p>
    <w:p w14:paraId="5FEA70BA" w14:textId="77777777" w:rsidR="00C56CFB" w:rsidRPr="003F61C0" w:rsidRDefault="00C56CFB" w:rsidP="00C56CFB">
      <w:r>
        <w:t xml:space="preserve">For such a low concentration of cosolute to have noticeable effects on protein stability the interaction </w:t>
      </w:r>
      <w:r w:rsidR="004B5253">
        <w:t>causing</w:t>
      </w:r>
      <w:r>
        <w:t xml:space="preserve"> the effect must be one of low stoichiometry. The most logical explanation for this is direct electrostatic interactions with oppositely charged side chains, which is supported by the fact that both BSA and myoglobin </w:t>
      </w:r>
      <w:r w:rsidR="004B5253">
        <w:t>have a net negative charge, whereas lysozyme has a net positive charge</w:t>
      </w:r>
      <w:r>
        <w:t xml:space="preserve">. At a concentration of 0.5 mM, there are 18 molecules of cosolute for every myoglobin molecule (at 0.5 g/L concentration) and approximately 12 exposed negatively charged amino acid side chains on the myoglobin molecule, meaning that most of the cosolute is likely to be bound electrostatically to the protein at this concentration. There are many more negatively charged binding sites for the positively charged cosolutes on BSA, meaning that all of the cosolute will also be able to bind electrostatically. Direct electrostatic binding is generally considered to cause destabilisation of the protein </w:t>
      </w:r>
      <w:r>
        <w:fldChar w:fldCharType="begin" w:fldLock="1"/>
      </w:r>
      <w:r w:rsidR="0034217E">
        <w:instrText>ADDIN CSL_CITATION { "citationItems" : [ { "id" : "ITEM-1", "itemData" : { "DOI" : "10.1006/abbi.1995.9963", "ISSN" : "0003-9861", "PMID" : "7487089", "abstract" : "Although the interaction of proteins with glycosaminoglycans (GAGs) such as heparin are of great importance, the general structural requirements for protein- or peptide-GAG interaction have not been well characterized. Electrostatic interactions between sulfate and carboxylate groups on the GAG and basic residues in the protein or peptide dominate the interaction, but the thermodynamics of these electrostatic interactions have not been studied. Arginine residues occur frequently in the known heparin binding sites of proteins. Arginine is also more common than lysine in randomly synthesized 7-mer peptides that bind to immobilized heparin and heparan sulfate. We have used heparin affinity chromatography, equilibrium dialysis, and isothermal titration calorimetry techniques to further investigate these interactions. A 7-mer of arginine eluted from a heparin-affinity column at 0.82 M NaCl, whereas the analogous 7-mer of lysine eluted at 0.64 M. Similarly, the putative heparin binding site peptide (amino acid residues 110-130) from acidic fibroblast growth factor, which contained four lysine and two arginine residues, eluted at 0.50 M, whereas the analogous peptide with six lysine residues eluted at 0.41 M and one with six arginine residues eluted at 0.54 M. At 25 degrees C in 10 mM sodium phosphate, pH 7.4, carboxy and amino termini blocked arginine (blocked arginine) bound to heparin twice as tightly as blocked lysine as measured by equilibrium dialysis Similarly, at 30 degrees C in 10 mM sodium phosphate, pH 7.4, and in water, blocked arginine bound 2.5 times more tightly to anions in heparin than blocked lysine. Using titration calorimetry, the enthalpy of blocked arginine and lysine binding to heparin was 1.14 +/- 0.24 and 0.45 +/- 0.35 kJ/mol, respectively, under identical conditions. Our observations show that blocked arginine- and arginine-containing peptides bound more tightly to GAGs than the analogous lysine species and suggest that the difference was due to the intrinsic properties of the arginine and lysine side chains. The greater affinity of the guanidino cation for sulfate in GAGs is probably due to stronger hydrogen bonding and a more exothermic electrostatic interaction. This can be rationalized by soft acid, soft base concepts.", "author" : [ { "dropping-particle" : "", "family" : "Fromm", "given" : "J R", "non-dropping-particle" : "", "parse-names" : false, "suffix" : "" }, { "dropping-particle" : "", "family" : "Hileman", "given" : "R E", "non-dropping-particle" : "", "parse-names" : false, "suffix" : "" }, { "dropping-particle" : "", "family" : "Caldwell", "given" : "E E", "non-dropping-particle" : "", "parse-names" : false, "suffix" : "" }, { "dropping-particle" : "", "family" : "Weiler", "given" : "J M", "non-dropping-particle" : "", "parse-names" : false, "suffix" : "" }, { "dropping-particle" : "", "family" : "Linhardt", "given" : "R J", "non-dropping-particle" : "", "parse-names" : false, "suffix" : "" } ], "container-title" : "Archives of Biochemistry and Biophysics", "id" : "ITEM-1", "issued" : { "date-parts" : [ [ "1995", "11", "10" ] ] }, "page" : "279-287", "title" : "Differences in the interaction of heparin with arginine and lysine and the importance of these basic amino acids in the binding of heparin to acidic fibroblast growth factor", "type" : "article-journal", "volume" : "323" }, "uris" : [ "http://www.mendeley.com/documents/?uuid=0a84dc9f-472d-4191-ae87-4974978e8cab" ] } ], "mendeley" : { "formattedCitation" : "(Fromm et al. 1995)", "plainTextFormattedCitation" : "(Fromm et al. 1995)", "previouslyFormattedCitation" : "(Fromm et al. 1995)" }, "properties" : { "noteIndex" : 0 }, "schema" : "https://github.com/citation-style-language/schema/raw/master/csl-citation.json" }</w:instrText>
      </w:r>
      <w:r>
        <w:fldChar w:fldCharType="separate"/>
      </w:r>
      <w:r w:rsidRPr="009803B1">
        <w:rPr>
          <w:noProof/>
        </w:rPr>
        <w:t>(Fromm et al. 1995)</w:t>
      </w:r>
      <w:r>
        <w:fldChar w:fldCharType="end"/>
      </w:r>
      <w:r>
        <w:t>, which is the effect seen here.</w:t>
      </w:r>
    </w:p>
    <w:p w14:paraId="3FF386B5" w14:textId="77777777" w:rsidR="00C56CFB" w:rsidRDefault="00C56CFB" w:rsidP="00C56CFB">
      <w:pPr>
        <w:keepNext/>
        <w:framePr w:w="8765" w:h="11975" w:hRule="exact" w:hSpace="180" w:wrap="around" w:vAnchor="text" w:hAnchor="text" w:x="1" w:y="1"/>
      </w:pPr>
      <w:r>
        <w:object w:dxaOrig="9900" w:dyaOrig="11895" w14:anchorId="51EC3D00">
          <v:shape id="_x0000_i1061" type="#_x0000_t75" style="width:414.75pt;height:498pt" o:ole="">
            <v:imagedata r:id="rId92" o:title=""/>
          </v:shape>
          <o:OLEObject Type="Embed" ProgID="SigmaPlotGraphicObject.12" ShapeID="_x0000_i1061" DrawAspect="Content" ObjectID="_1559454715" r:id="rId93"/>
        </w:object>
      </w:r>
    </w:p>
    <w:p w14:paraId="7C83A03F" w14:textId="77777777" w:rsidR="00C56CFB" w:rsidRDefault="00C56CFB" w:rsidP="00C56CFB">
      <w:pPr>
        <w:pStyle w:val="Caption"/>
        <w:framePr w:w="8765" w:h="11975" w:hRule="exact" w:hSpace="180" w:wrap="around" w:vAnchor="text" w:hAnchor="text" w:x="1" w:y="1"/>
        <w:jc w:val="left"/>
      </w:pPr>
      <w:bookmarkStart w:id="260" w:name="_Ref465089853"/>
      <w:bookmarkStart w:id="261" w:name="_Toc482633201"/>
      <w:r>
        <w:t xml:space="preserve">Figure </w:t>
      </w:r>
      <w:fldSimple w:instr=" STYLEREF 1 \s ">
        <w:r w:rsidR="00AA6926">
          <w:rPr>
            <w:noProof/>
          </w:rPr>
          <w:t>6</w:t>
        </w:r>
      </w:fldSimple>
      <w:r w:rsidR="00BA082C">
        <w:noBreakHyphen/>
      </w:r>
      <w:fldSimple w:instr=" SEQ Figure \* ARABIC \s 1 ">
        <w:r w:rsidR="00AA6926">
          <w:rPr>
            <w:noProof/>
          </w:rPr>
          <w:t>4</w:t>
        </w:r>
      </w:fldSimple>
      <w:bookmarkEnd w:id="260"/>
      <w:r>
        <w:t xml:space="preserve">. </w:t>
      </w:r>
      <w:r w:rsidRPr="000168CD">
        <w:t xml:space="preserve">The effect of low concentrations (&lt;50 mM) of lysine (top panel) and methylamine </w:t>
      </w:r>
      <w:r>
        <w:t>HCl</w:t>
      </w:r>
      <w:r w:rsidRPr="000168CD">
        <w:t xml:space="preserve"> (bottom panel) on the thermal stability of BSA, lysozyme and myoglobin demonstrating the protein-specific effects seen at these concentrations. Dotted line re</w:t>
      </w:r>
      <w:r>
        <w:t>presents no change in melting temperature to guide the eye</w:t>
      </w:r>
      <w:bookmarkEnd w:id="261"/>
    </w:p>
    <w:p w14:paraId="60A79090" w14:textId="77777777" w:rsidR="00C56CFB" w:rsidRDefault="00C56CFB" w:rsidP="00C56CFB">
      <w:r>
        <w:t>Between 1 mM and 50 mM methylamine HCl there is very little effect on the thermal stability of lysozyme or myoglobin (</w:t>
      </w:r>
      <w:r>
        <w:fldChar w:fldCharType="begin"/>
      </w:r>
      <w:r>
        <w:instrText xml:space="preserve"> REF _Ref465089853 \h </w:instrText>
      </w:r>
      <w:r>
        <w:fldChar w:fldCharType="separate"/>
      </w:r>
      <w:r w:rsidR="00AA6926">
        <w:t xml:space="preserve">Figure </w:t>
      </w:r>
      <w:r w:rsidR="00AA6926">
        <w:rPr>
          <w:noProof/>
        </w:rPr>
        <w:t>6</w:t>
      </w:r>
      <w:r w:rsidR="00AA6926">
        <w:noBreakHyphen/>
      </w:r>
      <w:r w:rsidR="00AA6926">
        <w:rPr>
          <w:noProof/>
        </w:rPr>
        <w:t>4</w:t>
      </w:r>
      <w:r>
        <w:fldChar w:fldCharType="end"/>
      </w:r>
      <w:r>
        <w:t xml:space="preserve"> green triangles; blue squares). With myoglobin’s maintained destabilisation by lysine also mirrored in the glycine data (</w:t>
      </w:r>
      <w:r>
        <w:fldChar w:fldCharType="begin"/>
      </w:r>
      <w:r>
        <w:instrText xml:space="preserve"> REF _Ref465093210 \h </w:instrText>
      </w:r>
      <w:r>
        <w:fldChar w:fldCharType="separate"/>
      </w:r>
      <w:r w:rsidR="00AA6926">
        <w:t xml:space="preserve">Figure </w:t>
      </w:r>
      <w:r w:rsidR="00AA6926">
        <w:rPr>
          <w:noProof/>
        </w:rPr>
        <w:t>6</w:t>
      </w:r>
      <w:r w:rsidR="00AA6926">
        <w:noBreakHyphen/>
      </w:r>
      <w:r w:rsidR="00AA6926">
        <w:rPr>
          <w:noProof/>
        </w:rPr>
        <w:t>3</w:t>
      </w:r>
      <w:r>
        <w:fldChar w:fldCharType="end"/>
      </w:r>
      <w:r>
        <w:t xml:space="preserve"> bottom panel, blue squares). Interestingly, BSA is stabilised by methylamine HCl by approximately 2 °C, which is mimicked by lysine at the same concentrations (</w:t>
      </w:r>
      <w:r>
        <w:fldChar w:fldCharType="begin"/>
      </w:r>
      <w:r>
        <w:instrText xml:space="preserve"> REF _Ref465089853 \h </w:instrText>
      </w:r>
      <w:r>
        <w:fldChar w:fldCharType="separate"/>
      </w:r>
      <w:r w:rsidR="00AA6926">
        <w:t xml:space="preserve">Figure </w:t>
      </w:r>
      <w:r w:rsidR="00AA6926">
        <w:rPr>
          <w:noProof/>
        </w:rPr>
        <w:t>6</w:t>
      </w:r>
      <w:r w:rsidR="00AA6926">
        <w:noBreakHyphen/>
      </w:r>
      <w:r w:rsidR="00AA6926">
        <w:rPr>
          <w:noProof/>
        </w:rPr>
        <w:t>4</w:t>
      </w:r>
      <w:r>
        <w:fldChar w:fldCharType="end"/>
      </w:r>
      <w:r>
        <w:t xml:space="preserve"> red circles). BSA is a protein that has evolved to have multiple hydrophobic binding sites in the native state, which results in stabilisation when a small molecule interacts with these high affinity binding sites until these sites are saturated </w:t>
      </w:r>
      <w:r>
        <w:fldChar w:fldCharType="begin" w:fldLock="1"/>
      </w:r>
      <w:r>
        <w:instrText>ADDIN CSL_CITATION { "citationItems" : [ { "id" : "ITEM-1", "itemData" : { "DOI" : "10.1002/chir", "ISBN" : "0120080001", "ISSN" : "1520636X", "PMID" : "20872669", "author" : [ { "dropping-particle" : "", "family" : "Varshney", "given" : "A", "non-dropping-particle" : "", "parse-names" : false, "suffix" : "" }, { "dropping-particle" : "", "family" : "Sen", "given" : "P", "non-dropping-particle" : "", "parse-names" : false, "suffix" : "" }, { "dropping-particle" : "", "family" : "Ahman", "given" : "R", "non-dropping-particle" : "", "parse-names" : false, "suffix" : "" }, { "dropping-particle" : "", "family" : "Rehan", "given" : "M", "non-dropping-particle" : "", "parse-names" : false, "suffix" : "" }, { "dropping-particle" : "", "family" : "Subbarao", "given" : "N", "non-dropping-particle" : "", "parse-names" : false, "suffix" : "" }, { "dropping-particle" : "", "family" : "Khan", "given" : "R H", "non-dropping-particle" : "", "parse-names" : false, "suffix" : "" } ], "container-title" : "Chirality", "id" : "ITEM-1", "issued" : { "date-parts" : [ [ "2010" ] ] }, "page" : "77-87", "title" : "Ligand binding strategies of human serum albumin: How can the cargo be utilized?", "type" : "article-journal", "volume" : "22" }, "uris" : [ "http://www.mendeley.com/documents/?uuid=44de4e72-e088-4380-ba2f-4e5accd1daae" ] } ], "mendeley" : { "formattedCitation" : "(Varshney et al. 2010)", "plainTextFormattedCitation" : "(Varshney et al. 2010)", "previouslyFormattedCitation" : "(Varshney et al. 2010)" }, "properties" : { "noteIndex" : 0 }, "schema" : "https://github.com/citation-style-language/schema/raw/master/csl-citation.json" }</w:instrText>
      </w:r>
      <w:r>
        <w:fldChar w:fldCharType="separate"/>
      </w:r>
      <w:r w:rsidRPr="00650EC3">
        <w:rPr>
          <w:noProof/>
        </w:rPr>
        <w:t>(Varshney et al. 2010)</w:t>
      </w:r>
      <w:r>
        <w:fldChar w:fldCharType="end"/>
      </w:r>
      <w:r>
        <w:t>. As this is a property that is specific to BSA, it results in the protein-specific effects seen above.</w:t>
      </w:r>
    </w:p>
    <w:p w14:paraId="1761D1EF" w14:textId="77777777" w:rsidR="00C56CFB" w:rsidRPr="001E20BF" w:rsidRDefault="00C56CFB" w:rsidP="00C56CFB">
      <w:r>
        <w:t xml:space="preserve">As stated previously, these lower concentrations are very rarely considered in protein stability studies, and as such these trends have not been seen previously. As these are within the concentration range regularly used for biopharmaceutical formulations </w:t>
      </w:r>
      <w:r>
        <w:fldChar w:fldCharType="begin" w:fldLock="1"/>
      </w:r>
      <w:r w:rsidR="00924827">
        <w:instrText>ADDIN CSL_CITATION { "citationItems" : [ { "id" : "ITEM-1", "itemData" : { "DOI" : "10.1208/s12248-013-9539-6", "ISSN" : "1550-7416", "author" : [ { "dropping-particle" : "", "family" : "Chaudhuri", "given" : "R", "non-dropping-particle" : "", "parse-names" : false, "suffix" : "" }, { "dropping-particle" : "", "family" : "Cheng", "given" : "Y", "non-dropping-particle" : "", "parse-names" : false, "suffix" : "" }, { "dropping-particle" : "", "family" : "Middaugh", "given" : "C R", "non-dropping-particle" : "", "parse-names" : false, "suffix" : "" }, { "dropping-particle" : "", "family" : "Volkin", "given" : "D B", "non-dropping-particle" : "", "parse-names" : false, "suffix" : "" } ], "container-title" : "The AAPS Journal", "id" : "ITEM-1", "issued" : { "date-parts" : [ [ "2014" ] ] }, "page" : "48-64", "title" : "High-throughput biophysical analysis of protein therapeutics to examine interrelationships between aggregate formation and conformational stability", "type" : "article-journal", "volume" : "16" }, "uris" : [ "http://www.mendeley.com/documents/?uuid=a71f07fe-69d0-441b-801e-ed338d42a9ef" ] } ], "mendeley" : { "formattedCitation" : "(Chaudhuri et al. 2014)", "plainTextFormattedCitation" : "(Chaudhuri et al. 2014)", "previouslyFormattedCitation" : "(Chaudhuri et al. 2014)" }, "properties" : { "noteIndex" : 0 }, "schema" : "https://github.com/citation-style-language/schema/raw/master/csl-citation.json" }</w:instrText>
      </w:r>
      <w:r>
        <w:fldChar w:fldCharType="separate"/>
      </w:r>
      <w:r w:rsidRPr="000533A0">
        <w:rPr>
          <w:noProof/>
        </w:rPr>
        <w:t>(Chaudhuri et al. 2014)</w:t>
      </w:r>
      <w:r>
        <w:fldChar w:fldCharType="end"/>
      </w:r>
      <w:r>
        <w:t xml:space="preserve"> these protein-specific effects and the destabilisation of proteins with a net negative charge pose potential hurdles for the use of lysine as an excipient. However, this detailed stability data does give insight into the potential mechanisms governing the more complex small organic molecules’ effects on protein stability, potentially making lysine’s effects on protein stability more predictable.</w:t>
      </w:r>
    </w:p>
    <w:p w14:paraId="1EBF8DB3" w14:textId="77777777" w:rsidR="00C56CFB" w:rsidRDefault="00C56CFB" w:rsidP="00C56CFB">
      <w:pPr>
        <w:pStyle w:val="Heading4"/>
        <w:spacing w:before="440" w:after="240"/>
      </w:pPr>
      <w:r>
        <w:t>Above 50 mM lysine and methylamine HCl</w:t>
      </w:r>
    </w:p>
    <w:p w14:paraId="35ABD7A2" w14:textId="77777777" w:rsidR="00C56CFB" w:rsidRPr="00642EF8" w:rsidRDefault="00C56CFB" w:rsidP="00C56CFB">
      <w:r>
        <w:t>At high concentrations methylamine HCl destabilises myoglobin by up to 10 °C and BSA by approximately 2 °C (</w:t>
      </w:r>
      <w:r>
        <w:fldChar w:fldCharType="begin"/>
      </w:r>
      <w:r>
        <w:instrText xml:space="preserve"> REF _Ref465154938 \h </w:instrText>
      </w:r>
      <w:r>
        <w:fldChar w:fldCharType="separate"/>
      </w:r>
      <w:r w:rsidR="00AA6926">
        <w:t xml:space="preserve">Figure </w:t>
      </w:r>
      <w:r w:rsidR="00AA6926">
        <w:rPr>
          <w:noProof/>
        </w:rPr>
        <w:t>6</w:t>
      </w:r>
      <w:r w:rsidR="00AA6926">
        <w:noBreakHyphen/>
      </w:r>
      <w:r w:rsidR="00AA6926">
        <w:rPr>
          <w:noProof/>
        </w:rPr>
        <w:t>5</w:t>
      </w:r>
      <w:r>
        <w:fldChar w:fldCharType="end"/>
      </w:r>
      <w:r>
        <w:t xml:space="preserve"> bottom panel, blue squares &amp; red circles). Lysozyme is unaffected by the presence of any concentration of methylamine HCl (</w:t>
      </w:r>
      <w:r>
        <w:fldChar w:fldCharType="begin"/>
      </w:r>
      <w:r>
        <w:instrText xml:space="preserve"> REF _Ref465154938 \h </w:instrText>
      </w:r>
      <w:r>
        <w:fldChar w:fldCharType="separate"/>
      </w:r>
      <w:r w:rsidR="00AA6926">
        <w:t xml:space="preserve">Figure </w:t>
      </w:r>
      <w:r w:rsidR="00AA6926">
        <w:rPr>
          <w:noProof/>
        </w:rPr>
        <w:t>6</w:t>
      </w:r>
      <w:r w:rsidR="00AA6926">
        <w:noBreakHyphen/>
      </w:r>
      <w:r w:rsidR="00AA6926">
        <w:rPr>
          <w:noProof/>
        </w:rPr>
        <w:t>5</w:t>
      </w:r>
      <w:r>
        <w:fldChar w:fldCharType="end"/>
      </w:r>
      <w:r>
        <w:t xml:space="preserve"> green triangles). These trends are mimicked by lysine at the same concentrations, although the effects of glycine also play a part (</w:t>
      </w:r>
      <w:r>
        <w:fldChar w:fldCharType="begin"/>
      </w:r>
      <w:r>
        <w:instrText xml:space="preserve"> REF _Ref465093210 \h </w:instrText>
      </w:r>
      <w:r>
        <w:fldChar w:fldCharType="separate"/>
      </w:r>
      <w:r w:rsidR="00AA6926">
        <w:t xml:space="preserve">Figure </w:t>
      </w:r>
      <w:r w:rsidR="00AA6926">
        <w:rPr>
          <w:noProof/>
        </w:rPr>
        <w:t>6</w:t>
      </w:r>
      <w:r w:rsidR="00AA6926">
        <w:noBreakHyphen/>
      </w:r>
      <w:r w:rsidR="00AA6926">
        <w:rPr>
          <w:noProof/>
        </w:rPr>
        <w:t>3</w:t>
      </w:r>
      <w:r>
        <w:fldChar w:fldCharType="end"/>
      </w:r>
      <w:r>
        <w:t xml:space="preserve"> bottom panel), making lysine less destabilising than methylamine HCl (</w:t>
      </w:r>
      <w:r>
        <w:fldChar w:fldCharType="begin"/>
      </w:r>
      <w:r>
        <w:instrText xml:space="preserve"> REF _Ref465154938 \h </w:instrText>
      </w:r>
      <w:r>
        <w:fldChar w:fldCharType="separate"/>
      </w:r>
      <w:r w:rsidR="00AA6926">
        <w:t xml:space="preserve">Figure </w:t>
      </w:r>
      <w:r w:rsidR="00AA6926">
        <w:rPr>
          <w:noProof/>
        </w:rPr>
        <w:t>6</w:t>
      </w:r>
      <w:r w:rsidR="00AA6926">
        <w:noBreakHyphen/>
      </w:r>
      <w:r w:rsidR="00AA6926">
        <w:rPr>
          <w:noProof/>
        </w:rPr>
        <w:t>5</w:t>
      </w:r>
      <w:r>
        <w:fldChar w:fldCharType="end"/>
      </w:r>
      <w:r>
        <w:t xml:space="preserve"> top panel).</w:t>
      </w:r>
    </w:p>
    <w:p w14:paraId="1C7C1FE5" w14:textId="77777777" w:rsidR="00C56CFB" w:rsidRDefault="00C56CFB" w:rsidP="00C56CFB">
      <w:pPr>
        <w:keepNext/>
        <w:framePr w:w="8768" w:hSpace="180" w:wrap="around" w:vAnchor="text" w:hAnchor="text" w:x="1" w:y="1"/>
      </w:pPr>
      <w:r>
        <w:object w:dxaOrig="10020" w:dyaOrig="11895" w14:anchorId="6EECFFC4">
          <v:shape id="_x0000_i1062" type="#_x0000_t75" style="width:438pt;height:519.75pt" o:ole="">
            <v:imagedata r:id="rId94" o:title=""/>
          </v:shape>
          <o:OLEObject Type="Embed" ProgID="SigmaPlotGraphicObject.12" ShapeID="_x0000_i1062" DrawAspect="Content" ObjectID="_1559454716" r:id="rId95"/>
        </w:object>
      </w:r>
    </w:p>
    <w:p w14:paraId="60E056F3" w14:textId="77777777" w:rsidR="00C56CFB" w:rsidRDefault="00C56CFB" w:rsidP="00C56CFB">
      <w:pPr>
        <w:pStyle w:val="Caption"/>
        <w:framePr w:w="8768" w:hSpace="180" w:wrap="around" w:vAnchor="text" w:hAnchor="text" w:x="1" w:y="1"/>
        <w:jc w:val="left"/>
      </w:pPr>
      <w:bookmarkStart w:id="262" w:name="_Ref465154938"/>
      <w:bookmarkStart w:id="263" w:name="_Toc482633202"/>
      <w:r>
        <w:t xml:space="preserve">Figure </w:t>
      </w:r>
      <w:fldSimple w:instr=" STYLEREF 1 \s ">
        <w:r w:rsidR="00AA6926">
          <w:rPr>
            <w:noProof/>
          </w:rPr>
          <w:t>6</w:t>
        </w:r>
      </w:fldSimple>
      <w:r w:rsidR="00BA082C">
        <w:noBreakHyphen/>
      </w:r>
      <w:fldSimple w:instr=" SEQ Figure \* ARABIC \s 1 ">
        <w:r w:rsidR="00AA6926">
          <w:rPr>
            <w:noProof/>
          </w:rPr>
          <w:t>5</w:t>
        </w:r>
      </w:fldSimple>
      <w:bookmarkEnd w:id="262"/>
      <w:r>
        <w:t xml:space="preserve">. </w:t>
      </w:r>
      <w:r w:rsidRPr="00360CA5">
        <w:t xml:space="preserve">The effect of high concentrations </w:t>
      </w:r>
      <w:r>
        <w:t xml:space="preserve">(&gt;50 mM) </w:t>
      </w:r>
      <w:r w:rsidRPr="00360CA5">
        <w:t xml:space="preserve">of </w:t>
      </w:r>
      <w:r>
        <w:t>lysine (top panel) and methylamine HCl (bottom panel)</w:t>
      </w:r>
      <w:r w:rsidRPr="00360CA5">
        <w:t xml:space="preserve"> on the thermal stability of BSA, lysozyme and myoglobin demonstrating the </w:t>
      </w:r>
      <w:r>
        <w:t>destabilisation of BSA and myoglobin</w:t>
      </w:r>
      <w:r w:rsidRPr="00360CA5">
        <w:t xml:space="preserve"> seen at these concentrations. Dotted line represents no change in melting temperature to guide the</w:t>
      </w:r>
      <w:r>
        <w:t xml:space="preserve"> eye</w:t>
      </w:r>
      <w:bookmarkEnd w:id="263"/>
    </w:p>
    <w:p w14:paraId="1974A26A" w14:textId="77777777" w:rsidR="00C56CFB" w:rsidRDefault="00C56CFB" w:rsidP="00C56CFB">
      <w:r>
        <w:t>These protein-specific effects at higher concentrations are unique to lysine; all other cosolutes studied have had similar effects on all proteins when present at higher concentrations (&gt;100 mM). Although both negatively charged proteins are destabilised (whilst the positively charged protein is unaffected) BSA is more negatively charged than myoglobin. Therefore, the net charge of the proteins cannot explain the trends here as methylamine HCl would be expected to destabilise BSA more than myoglobin. DSC scans of lysine and methylamine HCl with BSA and myoglobin show a noticeable increase in heat capacity after the unfolding event compared with no cosolute present, whereas lysozyme shows very little change (</w:t>
      </w:r>
      <w:r>
        <w:fldChar w:fldCharType="begin"/>
      </w:r>
      <w:r>
        <w:instrText xml:space="preserve"> REF _Ref465159544 \h </w:instrText>
      </w:r>
      <w:r>
        <w:fldChar w:fldCharType="separate"/>
      </w:r>
      <w:r w:rsidR="00AA6926">
        <w:t xml:space="preserve">Figure </w:t>
      </w:r>
      <w:r w:rsidR="00AA6926">
        <w:rPr>
          <w:noProof/>
        </w:rPr>
        <w:t>6</w:t>
      </w:r>
      <w:r w:rsidR="00AA6926">
        <w:noBreakHyphen/>
      </w:r>
      <w:r w:rsidR="00AA6926">
        <w:rPr>
          <w:noProof/>
        </w:rPr>
        <w:t>6</w:t>
      </w:r>
      <w:r>
        <w:fldChar w:fldCharType="end"/>
      </w:r>
      <w:r>
        <w:t xml:space="preserve">). An increase in heat capacity of the unfolded state is attributed to binding of the cosolute in question to the protein on unfolding, which can include both apolar and polar regions of the protein </w:t>
      </w:r>
      <w:r>
        <w:fldChar w:fldCharType="begin" w:fldLock="1"/>
      </w:r>
      <w:r w:rsidR="00E11F61">
        <w:instrText>ADDIN CSL_CITATION { "citationItems" : [ { "id" : "ITEM-1", "itemData" : { "author" : [ { "dropping-particle" : "", "family" : "Makhatadze", "given" : "G I", "non-dropping-particle" : "", "parse-names" : false, "suffix" : "" }, { "dropping-particle" : "", "family" : "Privalov", "given" : "P L", "non-dropping-particle" : "", "parse-names" : false, "suffix" : "" } ], "container-title" : "Journal of Molecular Biology", "id" : "ITEM-1", "issued" : { "date-parts" : [ [ "1990" ] ] }, "page" : "375-384", "title" : "Heat capacity of proteins I. Partial molar heat capacity of individual amino acid residues in aqueous solution: hydration effect", "type" : "article-journal", "volume" : "213" }, "uris" : [ "http://www.mendeley.com/documents/?uuid=bbde7e80-450e-452e-beac-03358cbc97ba" ] }, { "id" : "ITEM-2", "itemData" : { "ISBN" : "0022-2836", "author" : [ { "dropping-particle" : "", "family" : "Privalov", "given" : "P L", "non-dropping-particle" : "", "parse-names" : false, "suffix" : "" }, { "dropping-particle" : "", "family" : "Makhatadze", "given" : "G I", "non-dropping-particle" : "", "parse-names" : false, "suffix" : "" } ], "container-title" : "Journal of Molecular Biology", "id" : "ITEM-2", "issued" : { "date-parts" : [ [ "1992" ] ] }, "page" : "715-723", "title" : "Contribution of hydration and non-covalent interactions to the heat capacity effect on protein unfolding", "type" : "article-journal", "volume" : "224" }, "uris" : [ "http://www.mendeley.com/documents/?uuid=7ac97e23-ed79-480a-ba5f-fad2c84336e8" ] } ], "mendeley" : { "formattedCitation" : "(Makhatadze &amp; Privalov 1990; Privalov &amp; Makhatadze 1992)", "plainTextFormattedCitation" : "(Makhatadze &amp; Privalov 1990; Privalov &amp; Makhatadze 1992)", "previouslyFormattedCitation" : "(Makhatadze &amp; Privalov 1990; Privalov &amp; Makhatadze 1992)" }, "properties" : { "noteIndex" : 0 }, "schema" : "https://github.com/citation-style-language/schema/raw/master/csl-citation.json" }</w:instrText>
      </w:r>
      <w:r>
        <w:fldChar w:fldCharType="separate"/>
      </w:r>
      <w:r w:rsidRPr="00D95BF8">
        <w:rPr>
          <w:noProof/>
        </w:rPr>
        <w:t>(Makhatadze &amp; Privalov 1990; Privalov &amp; Makhatadze 1992)</w:t>
      </w:r>
      <w:r>
        <w:fldChar w:fldCharType="end"/>
      </w:r>
      <w:r>
        <w:t xml:space="preserve">. A recent hydrophobic interaction chromatography experiment found myoglobin to contain the most polar regions out of the three globular proteins studied here, and lysozyme the least, with BSA somewhere in between </w:t>
      </w:r>
      <w:r>
        <w:fldChar w:fldCharType="begin" w:fldLock="1"/>
      </w:r>
      <w:r>
        <w:instrText>ADDIN CSL_CITATION { "citationItems" : [ { "id" : "ITEM-1", "itemData" : { "DOI" : "10.1016/j.jchromb.2016.05.012", "ISSN" : "15700232", "author" : [ { "dropping-particle" : "", "family" : "Baca", "given" : "M", "non-dropping-particle" : "", "parse-names" : false, "suffix" : "" }, { "dropping-particle" : "", "family" : "Vos", "given" : "J", "non-dropping-particle" : "De", "parse-names" : false, "suffix" : "" }, { "dropping-particle" : "", "family" : "Bruylants", "given" : "G", "non-dropping-particle" : "", "parse-names" : false, "suffix" : "" }, { "dropping-particle" : "", "family" : "Bartik", "given" : "K", "non-dropping-particle" : "", "parse-names" : false, "suffix" : "" }, { "dropping-particle" : "", "family" : "Liu", "given" : "X", "non-dropping-particle" : "", "parse-names" : false, "suffix" : "" }, { "dropping-particle" : "", "family" : "Cook", "given" : "K", "non-dropping-particle" : "", "parse-names" : false, "suffix" : "" }, { "dropping-particle" : "", "family" : "Eeltink", "given" : "S", "non-dropping-particle" : "", "parse-names" : false, "suffix" : "" } ], "container-title" : "Journal of Chromatography B", "id" : "ITEM-1", "issued" : { "date-parts" : [ [ "2016" ] ] }, "page" : "182-188", "publisher" : "Elsevier B.V.", "title" : "A comprehensive study to protein retention in hydrophobic interaction chromatography", "type" : "article-journal", "volume" : "1032" }, "uris" : [ "http://www.mendeley.com/documents/?uuid=b8c0ed69-feb6-4067-a0b5-0ee284d1a93a" ] } ], "mendeley" : { "formattedCitation" : "(Baca et al. 2016)", "plainTextFormattedCitation" : "(Baca et al. 2016)", "previouslyFormattedCitation" : "(Baca et al. 2016)" }, "properties" : { "noteIndex" : 0 }, "schema" : "https://github.com/citation-style-language/schema/raw/master/csl-citation.json" }</w:instrText>
      </w:r>
      <w:r>
        <w:fldChar w:fldCharType="separate"/>
      </w:r>
      <w:r w:rsidRPr="008D134F">
        <w:rPr>
          <w:noProof/>
        </w:rPr>
        <w:t>(Baca et al. 2016)</w:t>
      </w:r>
      <w:r>
        <w:fldChar w:fldCharType="end"/>
      </w:r>
      <w:r>
        <w:t xml:space="preserve">. This ordering of polar regions on proteins corresponds to the degree of destabilisation by methylamine HCl and lysine, leading to the conclusion that destabilisation is likely caused by the nonspecific binding of methylamine HCl to polar regions on the protein on unfolding, which is supported by the DSC scans. The destabilisation caused by lysine </w:t>
      </w:r>
      <w:r w:rsidR="004B5253">
        <w:t>at</w:t>
      </w:r>
      <w:r>
        <w:t xml:space="preserve"> these concentrations can therefore be explained by the interaction of the methylamine group with polar regions of the protein. The less severe destabilisation, or sometimes maintenance of stabilisation seen for lysine is caused by the counteraction of glycine’s stabilising effects (</w:t>
      </w:r>
      <w:r>
        <w:fldChar w:fldCharType="begin"/>
      </w:r>
      <w:r>
        <w:instrText xml:space="preserve"> REF _Ref465154938 \h </w:instrText>
      </w:r>
      <w:r>
        <w:fldChar w:fldCharType="separate"/>
      </w:r>
      <w:r w:rsidR="00AA6926">
        <w:t xml:space="preserve">Figure </w:t>
      </w:r>
      <w:r w:rsidR="00AA6926">
        <w:rPr>
          <w:noProof/>
        </w:rPr>
        <w:t>6</w:t>
      </w:r>
      <w:r w:rsidR="00AA6926">
        <w:noBreakHyphen/>
      </w:r>
      <w:r w:rsidR="00AA6926">
        <w:rPr>
          <w:noProof/>
        </w:rPr>
        <w:t>5</w:t>
      </w:r>
      <w:r>
        <w:fldChar w:fldCharType="end"/>
      </w:r>
      <w:r>
        <w:t xml:space="preserve"> top panel). </w:t>
      </w:r>
    </w:p>
    <w:p w14:paraId="2A8772D5" w14:textId="77777777" w:rsidR="00C56CFB" w:rsidRPr="00EE5CFE" w:rsidRDefault="00C56CFB" w:rsidP="00C56CFB">
      <w:r>
        <w:t xml:space="preserve">This theory is also supported by preferential interaction data, showing lysine to accumulate more at the surface of BSA than lysozyme </w:t>
      </w:r>
      <w:r>
        <w:fldChar w:fldCharType="begin" w:fldLock="1"/>
      </w:r>
      <w:r w:rsidR="007228DB">
        <w:instrText>ADDIN CSL_CITATION { "citationItems" : [ { "id" : "ITEM-1", "itemData" : { "ISBN" : "0021-9258", "ISSN" : "00219258", "PMID" : "6325414", "abstract" : "Preferential interaction measurements between proteins and monosodium glutamate were carried out to arrive at an understanding of the mechanism of its strong effect on tubulin stability and self-assembly into microtubules. For all proteins studied, i.e. bovine serum albumin, lysozyme, beta-lactoglobulin, and calf brain tubulin, the protein showed a large preferential hydration in the presence of monosodium glutamate. The enhancement of tubulin self-association by monosodium glutamate can be interpreted in terms of the large unfavorable free energy of interaction between the additive and the protein. Preferential interactions were also examined for lysine hydrochloride, which also gave a preferential hydration of the proteins, except for tubulin. The dependence of the preferential hydration parameter on proteins was different for the two additives, suggesting the importance of net electrostatic charges of proteins in their interaction with glutamate anions and lysinium cations. The zero preferential interaction of lysine hydrochloride with tubulin indicates an affinity of the lysine cation for the protein. Both additives increased the transition temperature of proteins. This can be understood in terms of the unfavorable free energy of interaction between the additive and the protein surface, which should be even more unfavorable when the denaturation causes an increase in the surface area.", "author" : [ { "dropping-particle" : "", "family" : "Arakawa", "given" : "T", "non-dropping-particle" : "", "parse-names" : false, "suffix" : "" }, { "dropping-particle" : "", "family" : "Timasheff", "given" : "S N", "non-dropping-particle" : "", "parse-names" : false, "suffix" : "" } ], "container-title" : "Journal of Biological Chemistry", "id" : "ITEM-1", "issued" : { "date-parts" : [ [ "1984" ] ] }, "page" : "4979-4986", "title" : "The mechanism of action of Na glutamate, lysine HCl, and piperazine-N,N'-bis(2-ethanesulfonic acid) in the stabilization of tubulin and microtubule formation", "type" : "article-journal", "volume" : "259" }, "uris" : [ "http://www.mendeley.com/documents/?uuid=75a30318-d51a-44cc-bb18-bd53c36e6017" ] } ], "mendeley" : { "formattedCitation" : "(Arakawa &amp; Timasheff 1984b)", "plainTextFormattedCitation" : "(Arakawa &amp; Timasheff 1984b)", "previouslyFormattedCitation" : "(Arakawa &amp; Timasheff 1984b)" }, "properties" : { "noteIndex" : 0 }, "schema" : "https://github.com/citation-style-language/schema/raw/master/csl-citation.json" }</w:instrText>
      </w:r>
      <w:r>
        <w:fldChar w:fldCharType="separate"/>
      </w:r>
      <w:r w:rsidR="0064368A" w:rsidRPr="0064368A">
        <w:rPr>
          <w:noProof/>
        </w:rPr>
        <w:t>(Arakawa &amp; Timasheff 1984b)</w:t>
      </w:r>
      <w:r>
        <w:fldChar w:fldCharType="end"/>
      </w:r>
      <w:r w:rsidR="00785920">
        <w:t xml:space="preserve">. As discussed in section </w:t>
      </w:r>
      <w:r w:rsidR="00785920">
        <w:fldChar w:fldCharType="begin"/>
      </w:r>
      <w:r w:rsidR="00785920">
        <w:instrText xml:space="preserve"> REF _Ref462648901 \r \h </w:instrText>
      </w:r>
      <w:r w:rsidR="00785920">
        <w:fldChar w:fldCharType="separate"/>
      </w:r>
      <w:r w:rsidR="00AA6926">
        <w:t>1.4.3.2</w:t>
      </w:r>
      <w:r w:rsidR="00785920">
        <w:fldChar w:fldCharType="end"/>
      </w:r>
      <w:r>
        <w:t>, preferential interaction data can be useful in suggesting whether the cosolute is situated close to the protein or in the bulk, but lacks detail in the exact interactions occurring between the protein, cosolute and water within this model.</w:t>
      </w:r>
    </w:p>
    <w:p w14:paraId="294D234E" w14:textId="77777777" w:rsidR="00C56CFB" w:rsidRDefault="00C55FEF" w:rsidP="00C55FEF">
      <w:pPr>
        <w:keepNext/>
        <w:framePr w:w="9181" w:hSpace="180" w:wrap="around" w:vAnchor="text" w:hAnchor="text" w:x="1" w:y="1"/>
      </w:pPr>
      <w:r>
        <w:object w:dxaOrig="11835" w:dyaOrig="13575" w14:anchorId="151CE915">
          <v:shape id="_x0000_i1063" type="#_x0000_t75" style="width:459pt;height:540pt" o:ole="">
            <v:imagedata r:id="rId96" o:title=""/>
          </v:shape>
          <o:OLEObject Type="Embed" ProgID="SigmaPlotGraphicObject.12" ShapeID="_x0000_i1063" DrawAspect="Content" ObjectID="_1559454717" r:id="rId97"/>
        </w:object>
      </w:r>
    </w:p>
    <w:p w14:paraId="0F503D95" w14:textId="77777777" w:rsidR="00C56CFB" w:rsidRDefault="00C56CFB" w:rsidP="00C55FEF">
      <w:pPr>
        <w:pStyle w:val="Caption"/>
        <w:framePr w:w="9181" w:hSpace="180" w:wrap="around" w:vAnchor="text" w:hAnchor="text" w:x="1" w:y="1"/>
        <w:jc w:val="left"/>
      </w:pPr>
      <w:bookmarkStart w:id="264" w:name="_Ref465159544"/>
      <w:bookmarkStart w:id="265" w:name="_Toc482633203"/>
      <w:r>
        <w:t xml:space="preserve">Figure </w:t>
      </w:r>
      <w:fldSimple w:instr=" STYLEREF 1 \s ">
        <w:r w:rsidR="00AA6926">
          <w:rPr>
            <w:noProof/>
          </w:rPr>
          <w:t>6</w:t>
        </w:r>
      </w:fldSimple>
      <w:r w:rsidR="00BA082C">
        <w:noBreakHyphen/>
      </w:r>
      <w:fldSimple w:instr=" SEQ Figure \* ARABIC \s 1 ">
        <w:r w:rsidR="00AA6926">
          <w:rPr>
            <w:noProof/>
          </w:rPr>
          <w:t>6</w:t>
        </w:r>
      </w:fldSimple>
      <w:bookmarkEnd w:id="264"/>
      <w:r>
        <w:t xml:space="preserve">. </w:t>
      </w:r>
      <w:r w:rsidRPr="00607004">
        <w:t>DSC thermograms of 1 g/L BSA pH 7</w:t>
      </w:r>
      <w:r>
        <w:t xml:space="preserve"> (top panels), 0.5 g/L myoglobin pH 8 (middle panels) and 1 g/L lysozyme pH 7 (lower panels)</w:t>
      </w:r>
      <w:r w:rsidRPr="00607004">
        <w:t xml:space="preserve"> in the presence of different concentrations of </w:t>
      </w:r>
      <w:r>
        <w:t>lysine</w:t>
      </w:r>
      <w:r w:rsidRPr="00607004">
        <w:t xml:space="preserve"> (</w:t>
      </w:r>
      <w:r>
        <w:t>left</w:t>
      </w:r>
      <w:r w:rsidRPr="00607004">
        <w:t xml:space="preserve"> panel</w:t>
      </w:r>
      <w:r>
        <w:t>s</w:t>
      </w:r>
      <w:r w:rsidRPr="00607004">
        <w:t>)</w:t>
      </w:r>
      <w:r>
        <w:t xml:space="preserve"> and methylamine HCl (right panels)</w:t>
      </w:r>
      <w:r w:rsidRPr="00607004">
        <w:t xml:space="preserve">. Black scan shows thermogram of </w:t>
      </w:r>
      <w:r>
        <w:t>proteins</w:t>
      </w:r>
      <w:r w:rsidRPr="00607004">
        <w:t xml:space="preserve"> in aqueous solution with no cosolute present</w:t>
      </w:r>
      <w:r>
        <w:t xml:space="preserve"> for reference</w:t>
      </w:r>
      <w:bookmarkEnd w:id="265"/>
    </w:p>
    <w:p w14:paraId="1457333B" w14:textId="77777777" w:rsidR="00C56CFB" w:rsidRPr="001E20BF" w:rsidRDefault="00C56CFB" w:rsidP="00C56CFB"/>
    <w:p w14:paraId="70551774" w14:textId="77777777" w:rsidR="00C56CFB" w:rsidRDefault="00C56CFB" w:rsidP="00C56CFB">
      <w:pPr>
        <w:pStyle w:val="Heading4"/>
        <w:spacing w:before="440" w:after="240"/>
      </w:pPr>
      <w:r>
        <w:t>Comparison to additivity</w:t>
      </w:r>
    </w:p>
    <w:p w14:paraId="0B719FC0" w14:textId="77777777" w:rsidR="00C56CFB" w:rsidRPr="009B3CFA" w:rsidRDefault="00C56CFB" w:rsidP="00C56CFB">
      <w:r>
        <w:t xml:space="preserve">As discussed in the sections above, lysine has similar effects on protein stability </w:t>
      </w:r>
      <w:r w:rsidR="00DE0AFF">
        <w:t xml:space="preserve">to </w:t>
      </w:r>
      <w:r>
        <w:t xml:space="preserve">methylamine HCl, although less destabilising. This is attributed to the stabilising effects of glycine, which are discussed in detail in Chapter 3. </w:t>
      </w:r>
      <w:r>
        <w:fldChar w:fldCharType="begin"/>
      </w:r>
      <w:r>
        <w:instrText xml:space="preserve"> REF _Ref465169238 \h </w:instrText>
      </w:r>
      <w:r>
        <w:fldChar w:fldCharType="separate"/>
      </w:r>
      <w:r w:rsidR="00AA6926">
        <w:t xml:space="preserve">Figure </w:t>
      </w:r>
      <w:r w:rsidR="00AA6926">
        <w:rPr>
          <w:noProof/>
        </w:rPr>
        <w:t>6</w:t>
      </w:r>
      <w:r w:rsidR="00AA6926">
        <w:noBreakHyphen/>
      </w:r>
      <w:r w:rsidR="00AA6926">
        <w:rPr>
          <w:noProof/>
        </w:rPr>
        <w:t>7</w:t>
      </w:r>
      <w:r>
        <w:fldChar w:fldCharType="end"/>
      </w:r>
      <w:r>
        <w:t xml:space="preserve"> shows the changes in melting temperature caused by lysine compared to those caused by the sum of glycine and methylamine HCl at the same concentrations. For all three proteins lysine follows very similar trends to those seen for an additive combination of glycine and methylamine HCl. This means that lysine can be considered alongside arginine to act like a combination of its functional groups on protein thermal stability. There are slight differences between the trends for lysine and methylamine HCl &amp; glycine, especially for BSA where the sum of the changes in melting temperature caused by high concentrations of glycine and methylamine HCl is higher than that caused by lysine (</w:t>
      </w:r>
      <w:r>
        <w:fldChar w:fldCharType="begin"/>
      </w:r>
      <w:r>
        <w:instrText xml:space="preserve"> REF _Ref465169238 \h </w:instrText>
      </w:r>
      <w:r>
        <w:fldChar w:fldCharType="separate"/>
      </w:r>
      <w:r w:rsidR="00AA6926">
        <w:t xml:space="preserve">Figure </w:t>
      </w:r>
      <w:r w:rsidR="00AA6926">
        <w:rPr>
          <w:noProof/>
        </w:rPr>
        <w:t>6</w:t>
      </w:r>
      <w:r w:rsidR="00AA6926">
        <w:noBreakHyphen/>
      </w:r>
      <w:r w:rsidR="00AA6926">
        <w:rPr>
          <w:noProof/>
        </w:rPr>
        <w:t>7</w:t>
      </w:r>
      <w:r>
        <w:fldChar w:fldCharType="end"/>
      </w:r>
      <w:r>
        <w:t xml:space="preserve"> top panel). This can be explained by th</w:t>
      </w:r>
      <w:r w:rsidR="00F14F27">
        <w:t xml:space="preserve">e presence of further alkyl </w:t>
      </w:r>
      <w:r>
        <w:t xml:space="preserve">groups on the lysine molecule, and its larger size, both of which may alter </w:t>
      </w:r>
      <w:r w:rsidR="00DE0AFF">
        <w:t>the</w:t>
      </w:r>
      <w:r>
        <w:t xml:space="preserve"> interactions </w:t>
      </w:r>
      <w:r w:rsidR="00DE0AFF">
        <w:t xml:space="preserve">that </w:t>
      </w:r>
      <w:r>
        <w:t>the individual molecules participate in.</w:t>
      </w:r>
    </w:p>
    <w:p w14:paraId="210A3DBA" w14:textId="77777777" w:rsidR="00C56CFB" w:rsidRDefault="00EF5689" w:rsidP="00EF5689">
      <w:pPr>
        <w:keepNext/>
        <w:framePr w:w="8326" w:h="15901" w:hRule="exact" w:hSpace="180" w:wrap="around" w:vAnchor="text" w:hAnchor="text" w:x="1" w:y="-929"/>
      </w:pPr>
      <w:r>
        <w:object w:dxaOrig="10950" w:dyaOrig="17220" w14:anchorId="11268D3E">
          <v:shape id="_x0000_i1064" type="#_x0000_t75" style="width:426pt;height:669.75pt" o:ole="">
            <v:imagedata r:id="rId98" o:title=""/>
          </v:shape>
          <o:OLEObject Type="Embed" ProgID="SigmaPlotGraphicObject.12" ShapeID="_x0000_i1064" DrawAspect="Content" ObjectID="_1559454718" r:id="rId99"/>
        </w:object>
      </w:r>
    </w:p>
    <w:p w14:paraId="20EECC28" w14:textId="77777777" w:rsidR="00C56CFB" w:rsidRDefault="00C56CFB" w:rsidP="00EF5689">
      <w:pPr>
        <w:pStyle w:val="Caption"/>
        <w:framePr w:w="8326" w:h="15901" w:hRule="exact" w:hSpace="180" w:wrap="around" w:vAnchor="text" w:hAnchor="text" w:x="1" w:y="-929"/>
        <w:jc w:val="left"/>
      </w:pPr>
      <w:bookmarkStart w:id="266" w:name="_Ref465169238"/>
      <w:bookmarkStart w:id="267" w:name="_Toc482633204"/>
      <w:r>
        <w:t xml:space="preserve">Figure </w:t>
      </w:r>
      <w:fldSimple w:instr=" STYLEREF 1 \s ">
        <w:r w:rsidR="00AA6926">
          <w:rPr>
            <w:noProof/>
          </w:rPr>
          <w:t>6</w:t>
        </w:r>
      </w:fldSimple>
      <w:r w:rsidR="00BA082C">
        <w:noBreakHyphen/>
      </w:r>
      <w:fldSimple w:instr=" SEQ Figure \* ARABIC \s 1 ">
        <w:r w:rsidR="00AA6926">
          <w:rPr>
            <w:noProof/>
          </w:rPr>
          <w:t>7</w:t>
        </w:r>
      </w:fldSimple>
      <w:bookmarkEnd w:id="266"/>
      <w:r>
        <w:t>.</w:t>
      </w:r>
      <w:r w:rsidRPr="001157A6">
        <w:t xml:space="preserve">Comparison of change in melting temperature of 1 g/L BSA pH 7 (top panel), 1 g/L Lysozyme pH 7 (middle panel), and 0.5 g/L myoglobin pH 8 (bottom panel) caused by increasing concentrations of </w:t>
      </w:r>
      <w:r>
        <w:t>lysine</w:t>
      </w:r>
      <w:r w:rsidRPr="001157A6">
        <w:t xml:space="preserve"> (red circles) and the summation of the changes in me</w:t>
      </w:r>
      <w:r>
        <w:t>lting temperature caused by equimolar concentrations of glycine and methylamine HCl (blue triangles). Dotted lines represent no change in melting temperature to guide the eye</w:t>
      </w:r>
      <w:bookmarkEnd w:id="267"/>
    </w:p>
    <w:p w14:paraId="041AEE3B" w14:textId="77777777" w:rsidR="00C56CFB" w:rsidRPr="005D49A6" w:rsidRDefault="00C56CFB" w:rsidP="00C56CFB"/>
    <w:p w14:paraId="1831FCCB" w14:textId="77777777" w:rsidR="00C56CFB" w:rsidRDefault="00C56CFB" w:rsidP="00C56CFB">
      <w:pPr>
        <w:pStyle w:val="Heading3"/>
      </w:pPr>
      <w:bookmarkStart w:id="268" w:name="_Toc485712816"/>
      <w:r>
        <w:t>Histidine &amp; imidazole</w:t>
      </w:r>
      <w:bookmarkEnd w:id="268"/>
    </w:p>
    <w:p w14:paraId="50BBA36E" w14:textId="77777777" w:rsidR="00C56CFB" w:rsidRPr="00402AAE" w:rsidRDefault="00DE0AFF" w:rsidP="00C56CFB">
      <w:r>
        <w:t>DSC scans of h</w:t>
      </w:r>
      <w:r w:rsidR="00C56CFB">
        <w:t xml:space="preserve">istidine effects on protein stability were limited to 200 mM, as this is the solubility limit of the amino acid. </w:t>
      </w:r>
      <w:r w:rsidR="00C56CFB">
        <w:fldChar w:fldCharType="begin"/>
      </w:r>
      <w:r w:rsidR="00C56CFB">
        <w:instrText xml:space="preserve"> REF _Ref465174776 \h </w:instrText>
      </w:r>
      <w:r w:rsidR="00C56CFB">
        <w:fldChar w:fldCharType="separate"/>
      </w:r>
      <w:r w:rsidR="00AA6926">
        <w:t xml:space="preserve">Figure </w:t>
      </w:r>
      <w:r w:rsidR="00AA6926">
        <w:rPr>
          <w:noProof/>
        </w:rPr>
        <w:t>6</w:t>
      </w:r>
      <w:r w:rsidR="00AA6926">
        <w:noBreakHyphen/>
      </w:r>
      <w:r w:rsidR="00AA6926">
        <w:rPr>
          <w:noProof/>
        </w:rPr>
        <w:t>8</w:t>
      </w:r>
      <w:r w:rsidR="00C56CFB">
        <w:fldChar w:fldCharType="end"/>
      </w:r>
      <w:r w:rsidR="00C56CFB">
        <w:t xml:space="preserve"> shows the changes in melting temperature caused by histidine, imidazole, and glycine</w:t>
      </w:r>
      <w:r>
        <w:t xml:space="preserve"> (for reference)</w:t>
      </w:r>
      <w:r w:rsidR="00C56CFB">
        <w:t>. Even with a lack of data above 200 mM it appears that histidine effects on protein stability mimic a combination of both the imidazole trends and the glycine trends. Specific trends at low and high concentrations are discussed in the following subsections.</w:t>
      </w:r>
    </w:p>
    <w:p w14:paraId="497988D4" w14:textId="77777777" w:rsidR="00C56CFB" w:rsidRDefault="00C56CFB" w:rsidP="00C56CFB">
      <w:pPr>
        <w:keepNext/>
        <w:framePr w:w="7874" w:hSpace="180" w:wrap="around" w:vAnchor="text" w:hAnchor="text" w:x="1" w:y="1"/>
      </w:pPr>
      <w:r>
        <w:object w:dxaOrig="9781" w:dyaOrig="16876" w14:anchorId="0F05495C">
          <v:shape id="_x0000_i1065" type="#_x0000_t75" style="width:393.75pt;height:680.25pt" o:ole="">
            <v:imagedata r:id="rId100" o:title=""/>
          </v:shape>
          <o:OLEObject Type="Embed" ProgID="SigmaPlotGraphicObject.12" ShapeID="_x0000_i1065" DrawAspect="Content" ObjectID="_1559454719" r:id="rId101"/>
        </w:object>
      </w:r>
    </w:p>
    <w:p w14:paraId="56830CFF" w14:textId="77777777" w:rsidR="00C56CFB" w:rsidRDefault="00C56CFB" w:rsidP="00C56CFB">
      <w:pPr>
        <w:pStyle w:val="Caption"/>
        <w:framePr w:w="7874" w:hSpace="180" w:wrap="around" w:vAnchor="text" w:hAnchor="text" w:x="1" w:y="1"/>
        <w:jc w:val="left"/>
      </w:pPr>
      <w:bookmarkStart w:id="269" w:name="_Ref465174776"/>
      <w:bookmarkStart w:id="270" w:name="_Toc482633205"/>
      <w:r>
        <w:t xml:space="preserve">Figure </w:t>
      </w:r>
      <w:fldSimple w:instr=" STYLEREF 1 \s ">
        <w:r w:rsidR="00AA6926">
          <w:rPr>
            <w:noProof/>
          </w:rPr>
          <w:t>6</w:t>
        </w:r>
      </w:fldSimple>
      <w:r w:rsidR="00BA082C">
        <w:noBreakHyphen/>
      </w:r>
      <w:fldSimple w:instr=" SEQ Figure \* ARABIC \s 1 ">
        <w:r w:rsidR="00AA6926">
          <w:rPr>
            <w:noProof/>
          </w:rPr>
          <w:t>8</w:t>
        </w:r>
      </w:fldSimple>
      <w:bookmarkEnd w:id="269"/>
      <w:r>
        <w:t xml:space="preserve">. </w:t>
      </w:r>
      <w:r w:rsidRPr="00A111DD">
        <w:t xml:space="preserve">Change in melting temperature of 1 g/L BSA pH 7 (red circles), 1 g/L lysozyme pH 7 (green triangles), and 0.5 g/L myoglobin pH 8 (blue squares) in the presence of increasing </w:t>
      </w:r>
      <w:r>
        <w:t>concentrations of histidine</w:t>
      </w:r>
      <w:r w:rsidRPr="00A111DD">
        <w:t xml:space="preserve">(top panel), </w:t>
      </w:r>
      <w:r>
        <w:t xml:space="preserve">imidazole </w:t>
      </w:r>
      <w:r w:rsidRPr="00A111DD">
        <w:t>(middle panel)</w:t>
      </w:r>
      <w:r>
        <w:t xml:space="preserve"> and glycine (bottom panel). Dotted line represents no change in melting temperature to guide the eye</w:t>
      </w:r>
      <w:bookmarkEnd w:id="270"/>
    </w:p>
    <w:p w14:paraId="7C96869F" w14:textId="77777777" w:rsidR="00C56CFB" w:rsidRDefault="00C56CFB" w:rsidP="00C56CFB">
      <w:pPr>
        <w:pStyle w:val="Heading4"/>
        <w:spacing w:before="440" w:after="240"/>
      </w:pPr>
      <w:r>
        <w:t>Below 50 mM histidine and imidazole</w:t>
      </w:r>
    </w:p>
    <w:p w14:paraId="35B788DC" w14:textId="77777777" w:rsidR="00C56CFB" w:rsidRDefault="00C56CFB" w:rsidP="00C56CFB">
      <w:r>
        <w:t>Similar to the lysine data, there is a drop in the melting temperature of myoglobin by up to 2 °C at 0.5 mM imidazole and histidine, indicating an interaction with low stoichiometry (</w:t>
      </w:r>
      <w:r>
        <w:fldChar w:fldCharType="begin"/>
      </w:r>
      <w:r>
        <w:instrText xml:space="preserve"> REF _Ref465175255 \h </w:instrText>
      </w:r>
      <w:r>
        <w:fldChar w:fldCharType="separate"/>
      </w:r>
      <w:r w:rsidR="00AA6926">
        <w:t xml:space="preserve">Figure </w:t>
      </w:r>
      <w:r w:rsidR="00AA6926">
        <w:rPr>
          <w:noProof/>
        </w:rPr>
        <w:t>6</w:t>
      </w:r>
      <w:r w:rsidR="00AA6926">
        <w:noBreakHyphen/>
      </w:r>
      <w:r w:rsidR="00AA6926">
        <w:rPr>
          <w:noProof/>
        </w:rPr>
        <w:t>9</w:t>
      </w:r>
      <w:r>
        <w:fldChar w:fldCharType="end"/>
      </w:r>
      <w:r>
        <w:t xml:space="preserve"> blue squares). Similar to the explanation for lysine, it is likely to be caused by electrostatic interactions between the positively charged cosolutes and the exposed negatively charged amino acid side chains on myoglobin. Interestingly, this does not occur for BSA unlike the trends seen for lysine (</w:t>
      </w:r>
      <w:r>
        <w:fldChar w:fldCharType="begin"/>
      </w:r>
      <w:r>
        <w:instrText xml:space="preserve"> REF _Ref465175255 \h </w:instrText>
      </w:r>
      <w:r>
        <w:fldChar w:fldCharType="separate"/>
      </w:r>
      <w:r w:rsidR="00AA6926">
        <w:t xml:space="preserve">Figure </w:t>
      </w:r>
      <w:r w:rsidR="00AA6926">
        <w:rPr>
          <w:noProof/>
        </w:rPr>
        <w:t>6</w:t>
      </w:r>
      <w:r w:rsidR="00AA6926">
        <w:noBreakHyphen/>
      </w:r>
      <w:r w:rsidR="00AA6926">
        <w:rPr>
          <w:noProof/>
        </w:rPr>
        <w:t>9</w:t>
      </w:r>
      <w:r>
        <w:fldChar w:fldCharType="end"/>
      </w:r>
      <w:r>
        <w:t xml:space="preserve"> red circles), although similarly lysozyme is unaffected by the presence of low concentrations of histidine or imidazole (</w:t>
      </w:r>
      <w:r>
        <w:fldChar w:fldCharType="begin"/>
      </w:r>
      <w:r>
        <w:instrText xml:space="preserve"> REF _Ref465175255 \h </w:instrText>
      </w:r>
      <w:r>
        <w:fldChar w:fldCharType="separate"/>
      </w:r>
      <w:r w:rsidR="00AA6926">
        <w:t xml:space="preserve">Figure </w:t>
      </w:r>
      <w:r w:rsidR="00AA6926">
        <w:rPr>
          <w:noProof/>
        </w:rPr>
        <w:t>6</w:t>
      </w:r>
      <w:r w:rsidR="00AA6926">
        <w:noBreakHyphen/>
      </w:r>
      <w:r w:rsidR="00AA6926">
        <w:rPr>
          <w:noProof/>
        </w:rPr>
        <w:t>9</w:t>
      </w:r>
      <w:r>
        <w:fldChar w:fldCharType="end"/>
      </w:r>
      <w:r>
        <w:t xml:space="preserve"> green triangles).</w:t>
      </w:r>
    </w:p>
    <w:p w14:paraId="5D0A2694" w14:textId="77777777" w:rsidR="00C56CFB" w:rsidRPr="00AD2315" w:rsidRDefault="00C56CFB" w:rsidP="00C56CFB">
      <w:r>
        <w:t xml:space="preserve">At concentrations of 0.5 – 25 mM, histidine and imidazole have very little effect on the stability of lysozyme and myoglobin, but both stabilise BSA by up to 4 °C. Similar to the effects of lysine and methylamine on BSA, this can be attributed to the presence of multiple high affinity binding sites on the native state of BSA, which will result in BSA-specific stabilisation </w:t>
      </w:r>
      <w:r>
        <w:fldChar w:fldCharType="begin" w:fldLock="1"/>
      </w:r>
      <w:r>
        <w:instrText>ADDIN CSL_CITATION { "citationItems" : [ { "id" : "ITEM-1", "itemData" : { "DOI" : "10.1002/chir", "ISBN" : "0120080001", "ISSN" : "1520636X", "PMID" : "20872669", "author" : [ { "dropping-particle" : "", "family" : "Varshney", "given" : "A", "non-dropping-particle" : "", "parse-names" : false, "suffix" : "" }, { "dropping-particle" : "", "family" : "Sen", "given" : "P", "non-dropping-particle" : "", "parse-names" : false, "suffix" : "" }, { "dropping-particle" : "", "family" : "Ahman", "given" : "R", "non-dropping-particle" : "", "parse-names" : false, "suffix" : "" }, { "dropping-particle" : "", "family" : "Rehan", "given" : "M", "non-dropping-particle" : "", "parse-names" : false, "suffix" : "" }, { "dropping-particle" : "", "family" : "Subbarao", "given" : "N", "non-dropping-particle" : "", "parse-names" : false, "suffix" : "" }, { "dropping-particle" : "", "family" : "Khan", "given" : "R H", "non-dropping-particle" : "", "parse-names" : false, "suffix" : "" } ], "container-title" : "Chirality", "id" : "ITEM-1", "issued" : { "date-parts" : [ [ "2010" ] ] }, "page" : "77-87", "title" : "Ligand binding strategies of human serum albumin: How can the cargo be utilized?", "type" : "article-journal", "volume" : "22" }, "uris" : [ "http://www.mendeley.com/documents/?uuid=44de4e72-e088-4380-ba2f-4e5accd1daae" ] } ], "mendeley" : { "formattedCitation" : "(Varshney et al. 2010)", "plainTextFormattedCitation" : "(Varshney et al. 2010)", "previouslyFormattedCitation" : "(Varshney et al. 2010)" }, "properties" : { "noteIndex" : 0 }, "schema" : "https://github.com/citation-style-language/schema/raw/master/csl-citation.json" }</w:instrText>
      </w:r>
      <w:r>
        <w:fldChar w:fldCharType="separate"/>
      </w:r>
      <w:r w:rsidRPr="009123B9">
        <w:rPr>
          <w:noProof/>
        </w:rPr>
        <w:t>(Varshney et al. 2010)</w:t>
      </w:r>
      <w:r>
        <w:fldChar w:fldCharType="end"/>
      </w:r>
      <w:r>
        <w:t xml:space="preserve">. </w:t>
      </w:r>
    </w:p>
    <w:p w14:paraId="6976E09E" w14:textId="77777777" w:rsidR="00C56CFB" w:rsidRDefault="00C56CFB" w:rsidP="00C56CFB">
      <w:pPr>
        <w:keepNext/>
        <w:framePr w:w="7901" w:hSpace="180" w:wrap="around" w:vAnchor="text" w:hAnchor="text" w:x="1" w:y="1"/>
      </w:pPr>
      <w:r>
        <w:object w:dxaOrig="9450" w:dyaOrig="11521" w14:anchorId="58DC0CFC">
          <v:shape id="_x0000_i1066" type="#_x0000_t75" style="width:395.25pt;height:482.25pt" o:ole="">
            <v:imagedata r:id="rId102" o:title=""/>
          </v:shape>
          <o:OLEObject Type="Embed" ProgID="SigmaPlotGraphicObject.12" ShapeID="_x0000_i1066" DrawAspect="Content" ObjectID="_1559454720" r:id="rId103"/>
        </w:object>
      </w:r>
    </w:p>
    <w:p w14:paraId="1093F9F9" w14:textId="77777777" w:rsidR="00C56CFB" w:rsidRDefault="00C56CFB" w:rsidP="00C56CFB">
      <w:pPr>
        <w:pStyle w:val="Caption"/>
        <w:framePr w:w="7901" w:hSpace="180" w:wrap="around" w:vAnchor="text" w:hAnchor="text" w:x="1" w:y="1"/>
        <w:jc w:val="left"/>
      </w:pPr>
      <w:bookmarkStart w:id="271" w:name="_Ref465175255"/>
      <w:bookmarkStart w:id="272" w:name="_Toc482633206"/>
      <w:r>
        <w:t xml:space="preserve">Figure </w:t>
      </w:r>
      <w:fldSimple w:instr=" STYLEREF 1 \s ">
        <w:r w:rsidR="00AA6926">
          <w:rPr>
            <w:noProof/>
          </w:rPr>
          <w:t>6</w:t>
        </w:r>
      </w:fldSimple>
      <w:r w:rsidR="00BA082C">
        <w:noBreakHyphen/>
      </w:r>
      <w:fldSimple w:instr=" SEQ Figure \* ARABIC \s 1 ">
        <w:r w:rsidR="00AA6926">
          <w:rPr>
            <w:noProof/>
          </w:rPr>
          <w:t>9</w:t>
        </w:r>
      </w:fldSimple>
      <w:bookmarkEnd w:id="271"/>
      <w:r>
        <w:t xml:space="preserve">. </w:t>
      </w:r>
      <w:r w:rsidRPr="00F5639F">
        <w:t xml:space="preserve">The effect of low concentrations (&lt;50 mM) of </w:t>
      </w:r>
      <w:r>
        <w:t>histidine</w:t>
      </w:r>
      <w:r w:rsidRPr="00F5639F">
        <w:t xml:space="preserve"> (top panel) and </w:t>
      </w:r>
      <w:r>
        <w:t>imidazole</w:t>
      </w:r>
      <w:r w:rsidRPr="00F5639F">
        <w:t xml:space="preserve"> (bottom panel) on the thermal stability of BSA, lysozyme and myoglobin demonstrating the protein-specific effects seen at these concentrations. Dotted line represents n</w:t>
      </w:r>
      <w:r>
        <w:t>o change in melting temperature to guide the eye</w:t>
      </w:r>
      <w:bookmarkEnd w:id="272"/>
    </w:p>
    <w:p w14:paraId="17E98081" w14:textId="77777777" w:rsidR="00C56CFB" w:rsidRPr="002634A9" w:rsidRDefault="00C56CFB" w:rsidP="00C56CFB"/>
    <w:p w14:paraId="73F38D6E" w14:textId="77777777" w:rsidR="00C56CFB" w:rsidRPr="002634A9" w:rsidRDefault="00C56CFB" w:rsidP="00C56CFB"/>
    <w:p w14:paraId="6185BA7B" w14:textId="77777777" w:rsidR="00C56CFB" w:rsidRDefault="00C56CFB" w:rsidP="00C56CFB">
      <w:pPr>
        <w:pStyle w:val="Heading4"/>
        <w:spacing w:before="440" w:after="240"/>
      </w:pPr>
      <w:r>
        <w:t>Above 50 mM histidine and imidazole</w:t>
      </w:r>
    </w:p>
    <w:p w14:paraId="624FF4E5" w14:textId="77777777" w:rsidR="00C56CFB" w:rsidRDefault="00C56CFB" w:rsidP="00C56CFB">
      <w:r>
        <w:t xml:space="preserve">Although very little data is available for the effects of high concentrations of histidine, there is clearly evidence of the shift in </w:t>
      </w:r>
      <w:r w:rsidR="00DE0AFF">
        <w:t xml:space="preserve">stability </w:t>
      </w:r>
      <w:r>
        <w:t>trend</w:t>
      </w:r>
      <w:r w:rsidR="00DE0AFF">
        <w:t>, similar to those</w:t>
      </w:r>
      <w:r>
        <w:t xml:space="preserve"> seen for other positively charged amino acids at around 50-100 mM (</w:t>
      </w:r>
      <w:r>
        <w:fldChar w:fldCharType="begin"/>
      </w:r>
      <w:r>
        <w:instrText xml:space="preserve"> REF _Ref465174776 \h </w:instrText>
      </w:r>
      <w:r>
        <w:fldChar w:fldCharType="separate"/>
      </w:r>
      <w:r w:rsidR="00AA6926">
        <w:t xml:space="preserve">Figure </w:t>
      </w:r>
      <w:r w:rsidR="00AA6926">
        <w:rPr>
          <w:noProof/>
        </w:rPr>
        <w:t>6</w:t>
      </w:r>
      <w:r w:rsidR="00AA6926">
        <w:noBreakHyphen/>
      </w:r>
      <w:r w:rsidR="00AA6926">
        <w:rPr>
          <w:noProof/>
        </w:rPr>
        <w:t>8</w:t>
      </w:r>
      <w:r>
        <w:fldChar w:fldCharType="end"/>
      </w:r>
      <w:r>
        <w:t xml:space="preserve"> top panel), with a plateau in the stabilisation of BSA and slight stabilisation of lysozyme.</w:t>
      </w:r>
    </w:p>
    <w:p w14:paraId="3072EAD5" w14:textId="77777777" w:rsidR="00C56CFB" w:rsidRPr="00F0267F" w:rsidRDefault="00C56CFB" w:rsidP="00C56CFB">
      <w:r>
        <w:t>Imidazole at concentrations above 50 mM is an effective destabiliser of all three proteins studied, with a destabilisation of almost 25 °C of myoglobin (</w:t>
      </w:r>
      <w:r>
        <w:fldChar w:fldCharType="begin"/>
      </w:r>
      <w:r>
        <w:instrText xml:space="preserve"> REF _Ref465174776 \h </w:instrText>
      </w:r>
      <w:r>
        <w:fldChar w:fldCharType="separate"/>
      </w:r>
      <w:r w:rsidR="00AA6926">
        <w:t xml:space="preserve">Figure </w:t>
      </w:r>
      <w:r w:rsidR="00AA6926">
        <w:rPr>
          <w:noProof/>
        </w:rPr>
        <w:t>6</w:t>
      </w:r>
      <w:r w:rsidR="00AA6926">
        <w:noBreakHyphen/>
      </w:r>
      <w:r w:rsidR="00AA6926">
        <w:rPr>
          <w:noProof/>
        </w:rPr>
        <w:t>8</w:t>
      </w:r>
      <w:r>
        <w:fldChar w:fldCharType="end"/>
      </w:r>
      <w:r>
        <w:t xml:space="preserve"> middle panel). The overall trend seen for imidazole, with small effects at low concentrations and strong destabilisation at high concentrations, is very similar to that seen for guanidine hydrochloride (GdnHCl) in Chapter 3. Imidazole is a planar ring structure, which is weakly hydrated and low charge density similar to GdnHCl </w:t>
      </w:r>
      <w:r>
        <w:fldChar w:fldCharType="begin" w:fldLock="1"/>
      </w:r>
      <w:r>
        <w:instrText>ADDIN CSL_CITATION { "citationItems" : [ { "id" : "ITEM-1", "itemData" : { "DOI" : "10.1016/j.carres.2011.12.008", "ISBN" : "0008-6215", "ISSN" : "00086215", "PMID" : "22248861", "abstract" : "Molecular dynamics simulations were carried out on a concentrated system of \u03b2-d-glucopyranose and imidazole molecules in a periodic box of water at 298 K. The purpose of the simulations was to determine whether or not there was any tendency for these two solutes to associate in an aqueous environment, as has previously been observed for other planar functional groups from amino acid side chains, such as the indole group of tryptophan or the phenolic group of tyrosine. A weak stacking interaction between \u03b2-d-glucopyranose, as a model for cellulose, and imidazole was indeed observed, with an energy of \u223c0.25 kcal/mol per pair, less than kT. Somewhat surprisingly, considerable imidazole self-association into small aggregates (dimers and trimers) was also observed, with binding energies of \u223c0.4 kcal/mol per pair, although still less than kT. Considerable non-stacked interactions between glucose and imidazole through hydrogen bonding were also found. These hydrogen bonds primarily involved the N3 atom of imidazole, because the N-H group of N1 was insufficiently polar to compete for water hydrogen bond partners. \u00a9 2011 Elsevier Ltd. All rights reserved.", "author" : [ { "dropping-particle" : "", "family" : "Chen", "given" : "M", "non-dropping-particle" : "", "parse-names" : false, "suffix" : "" }, { "dropping-particle" : "", "family" : "Bomble", "given" : "Y J", "non-dropping-particle" : "", "parse-names" : false, "suffix" : "" }, { "dropping-particle" : "", "family" : "Himmel", "given" : "M E", "non-dropping-particle" : "", "parse-names" : false, "suffix" : "" }, { "dropping-particle" : "", "family" : "Brady", "given" : "J W", "non-dropping-particle" : "", "parse-names" : false, "suffix" : "" } ], "container-title" : "Carbohydrate Research", "id" : "ITEM-1", "issued" : { "date-parts" : [ [ "2012" ] ] }, "page" : "73-77", "publisher" : "Elsevier Ltd", "title" : "Molecular dynamics simulations of the interaction of glucose with imidazole in aqueous solution", "type" : "article-journal", "volume" : "349" }, "uris" : [ "http://www.mendeley.com/documents/?uuid=d620d969-dfed-4cc2-99a1-684de378eb6f" ] } ], "mendeley" : { "formattedCitation" : "(Chen et al. 2012)", "plainTextFormattedCitation" : "(Chen et al. 2012)", "previouslyFormattedCitation" : "(Chen et al. 2012)" }, "properties" : { "noteIndex" : 0 }, "schema" : "https://github.com/citation-style-language/schema/raw/master/csl-citation.json" }</w:instrText>
      </w:r>
      <w:r>
        <w:fldChar w:fldCharType="separate"/>
      </w:r>
      <w:r w:rsidRPr="004301F6">
        <w:rPr>
          <w:noProof/>
        </w:rPr>
        <w:t>(Chen et al. 2012)</w:t>
      </w:r>
      <w:r>
        <w:fldChar w:fldCharType="end"/>
      </w:r>
      <w:r>
        <w:t xml:space="preserve">. This means it likely cannot form strong hydrogen bonds with water, similar to GdnHCl </w:t>
      </w:r>
      <w:r>
        <w:fldChar w:fldCharType="begin" w:fldLock="1"/>
      </w:r>
      <w:r>
        <w:instrText>ADDIN CSL_CITATION { "citationItems" : [ { "id" : "ITEM-1", "itemData" : { "DOI" : "10.1073/pnas.92.12.5553", "ISSN" : "0027-8424", "PMID" : "7539920", "abstract" : "Aqueous gel sieving chromatography on Sephadex G-10 of the Group IA cations (Li+, Na+, K+, Rb+, Cs+) plus NH4+ as the Cl- salts, in combination with previous results for the halide anions (F-, Cl-, Br-, I-) as the Na+ salts [Washabaugh, M.W. &amp; Collins, K.D. (1986) J. Biol. Chem. 261, 12477-12485], leads to the following conclusions. (i) The small monovalent ions (Li+, Na+, F-) flow through the gel with water molecules attached, whereas the large monovalent ions (K+, Rb+, Cs+, Cl-, Br-, I-) adsorb to the nonpolar surface of the gel, a process requiring partial dehydration of the ion and implying that these ions bind the immediately adjacent water molecules weakly. (ii) The transition from strong to weak hydration occurs at a radius of about 1.78 A for the monovalent anions, compared with a radius of about 1.06 A for the monovalent cations (using ionic radii), indicating that the anions are more strongly hydrated than the cations for a given charge density. (iii) The anions show larger deviations from ideal behavior (an elution position corresponding to the anhydrous molecular weight) than do the cations and dominate the chromatographic behavior of the neutral salts. These results are interpreted to mean that weakly hydrated ions (chaotropes) are \"pushed\" onto weakly hydrated surfaces by strong water-water interactions and that the transition from strong ionic hydration to weak ionic hydration occurs where the strength of ion-water interactions approximately equals the strength of water-water interactions in bulk solution.", "author" : [ { "dropping-particle" : "", "family" : "Collins", "given" : "K D", "non-dropping-particle" : "", "parse-names" : false, "suffix" : "" } ], "container-title" : "Proceedings of the National Academy of Sciences of the United States of America", "id" : "ITEM-1", "issued" : { "date-parts" : [ [ "1995" ] ] }, "page" : "5553-5557", "title" : "Sticky ions in biological systems", "type" : "article-journal", "volume" : "92" }, "uris" : [ "http://www.mendeley.com/documents/?uuid=0946f1f7-9d90-41a6-bccc-8475b46985cb" ] } ], "mendeley" : { "formattedCitation" : "(Collins 1995)", "plainTextFormattedCitation" : "(Collins 1995)", "previouslyFormattedCitation" : "(Collins 1995)" }, "properties" : { "noteIndex" : 0 }, "schema" : "https://github.com/citation-style-language/schema/raw/master/csl-citation.json" }</w:instrText>
      </w:r>
      <w:r>
        <w:fldChar w:fldCharType="separate"/>
      </w:r>
      <w:r w:rsidRPr="004301F6">
        <w:rPr>
          <w:noProof/>
        </w:rPr>
        <w:t>(Collins 1995)</w:t>
      </w:r>
      <w:r>
        <w:fldChar w:fldCharType="end"/>
      </w:r>
      <w:r>
        <w:t xml:space="preserve">, resulting in imidazole being pushed onto the apolar parts of the protein, making the denatured state more energetically favourable. Due to this being a weak interaction governed by stronger water-water interactions, its destabilising effects are not visible until imidazole is present at high concentrations, with more specific interactions governing trends seen at lower concentrations. At </w:t>
      </w:r>
      <w:r w:rsidR="00DE0AFF">
        <w:t>high</w:t>
      </w:r>
      <w:r>
        <w:t xml:space="preserve"> concentrations</w:t>
      </w:r>
      <w:r w:rsidR="00DE0AFF">
        <w:t xml:space="preserve"> (</w:t>
      </w:r>
      <w:r w:rsidR="00DE0AFF" w:rsidRPr="00DE0AFF">
        <w:rPr>
          <w:vertAlign w:val="subscript"/>
        </w:rPr>
        <w:t>~</w:t>
      </w:r>
      <w:r w:rsidR="00DE0AFF">
        <w:t>1 M)</w:t>
      </w:r>
      <w:r>
        <w:t xml:space="preserve">, imidazole appears to be more effective at destabilising proteins than GdnHCl, meaning it has the potential to be used in a similar way to GdnHCl in stability studies amongst other uses </w:t>
      </w:r>
      <w:r>
        <w:fldChar w:fldCharType="begin" w:fldLock="1"/>
      </w:r>
      <w:r>
        <w:instrText>ADDIN CSL_CITATION { "citationItems" : [ { "id" : "ITEM-1", "itemData" : { "DOI" : "10.1021/bi961079g", "ISBN" : "0006-2960 (Print)\\r0006-2960 (Linking)", "ISSN" : "00062960", "PMID" : "8794776", "abstract" : "We have studied the denaturation of metmyoglobin at pH 6.0 and 25 degrees C by urea and guanidine hydrochloride (GdnHCl) which are known to unfold the protein to the same extent. It has been observed that estimates of protein stability (delta G0N-U) from urea-induced and GdnHCl-induced denaturations do not agree with one another; the linear extrapolation method gave delta G0N-U values of 7.59 +/- 0.33 and 5.35 +/- 0.10 kcal mol-1 for urea and GdnHCl denaturations, respectively. Measurements of the effect of the addition of KCl in the concentration range 0.1-1.0 M to urea denaturation have suggested that this disagreement is not due to the nonionic and ionic characters of urea and GdnHCl, respectively. The functional dependence of the free energy change of unfolding (delta GN-U) on [denaturant], the molar concentration of the denaturant, has been investigated for understanding the cause(s) of the disagreement between the two estimates of delta G0N-U of metmyoglobin. For this purpose, we have studied the GdnHCl-induced denaturation of the protein in the presence of different urea concentrations at pH 6.0 and 25 degrees C and vice versa. These measurements yield delta GN-U values in the full concentration range [Ahmad et al. (1994) J. Biochem. 115, 322-327], and these results provide strong evidence that the delta GN-U dependence on [urea] is linear (linear free energy model of denaturation) and the relation between delta GN-U and [GdnHCl] is curved (binding model of denaturation). It has been observed that the extrapolated value of delta GN-U in urea using the linear free energy model becomes identical to the extrapolated value of delta GN-U in GdnHCl using the binding model.", "author" : [ { "dropping-particle" : "", "family" : "Gupta", "given" : "R", "non-dropping-particle" : "", "parse-names" : false, "suffix" : "" }, { "dropping-particle" : "", "family" : "Yadav", "given" : "S", "non-dropping-particle" : "", "parse-names" : false, "suffix" : "" }, { "dropping-particle" : "", "family" : "Ahmad", "given" : "F", "non-dropping-particle" : "", "parse-names" : false, "suffix" : "" } ], "container-title" : "Biochemistry", "id" : "ITEM-1", "issued" : { "date-parts" : [ [ "1996" ] ] }, "page" : "11925-11930", "title" : "Protein stability: Urea-induced versus guanidine-induced unfolding of metmyoglobin", "type" : "article-journal", "volume" : "35" }, "uris" : [ "http://www.mendeley.com/documents/?uuid=efe737d1-aecb-451d-a24b-571e448bd337" ] }, { "id" : "ITEM-2", "itemData" : { "DOI" : "10.1002/pro.5560031110", "ISSN" : "0961-8368", "PMID" : "7703845", "abstract" : "The objective of this study was to address the question of whether or not urea and guanidine hydrochloride (GdnHCl) give the same estimates of the stability of a particular protein. We previously suspected that the estimates of protein stability from GdnHCl and urea denaturation data might differ depending on the electrostatic interactions stabilizing the proteins. Therefore, 4 coiled-coil analogs were designed, where the number of intrachain and interchain electrostatic attractions (A) were systematically changed to repulsions (R): 20A, 15A5R, 10A10R, and 20R. The GdnHCl denaturation data showed that the 4 coiled-coil analogs, which had electrostatic interactions ranging from 20 attractions to 20 repulsions, had very similar [GdnHCl]1/2 values (average of congruent to 3.5 M) and, as well, their delta delta Gu values were very close to 0 (0.2 kcal/mol). In contrast, urea denaturation showed that the [urea]1/2 values proportionately decreased with the stepwise change from 20 electrostatic attractions to 20 repulsions (20A, 7.4 M; 15A5R, 5.4 M; 10A10R, 3.2 M; and 20R, 1.4 M), and the delta delta Gu values correspondingly increased with the increasing differences in electrostatic interactions (20A-15A5R, 1.5 kcal/mol; 20A-10A10R, 3.7 kcal/mol; and 20A-20R, 5.8 kcal/mol). These results indicate that the ionic nature of GdnHCl masks electrostatic interactions in these model proteins, a phenomenon that was absent when the unchanged urea was used. Thus, GdnHCl and urea denaturations may give vastly different estimates of protein stability, depending on how important electrostatic interactions are to the protein.", "author" : [ { "dropping-particle" : "", "family" : "Monera", "given" : "O D", "non-dropping-particle" : "", "parse-names" : false, "suffix" : "" }, { "dropping-particle" : "", "family" : "Kay", "given" : "C M", "non-dropping-particle" : "", "parse-names" : false, "suffix" : "" }, { "dropping-particle" : "", "family" : "Hodges", "given" : "R S", "non-dropping-particle" : "", "parse-names" : false, "suffix" : "" } ], "container-title" : "Protein Science", "id" : "ITEM-2", "issued" : { "date-parts" : [ [ "1994", "11" ] ] }, "page" : "1984-1991", "title" : "Protein denaturation with guanidine hydrochloride or urea provides a different estimate of stability depending on the contributions of electrostatic interactions", "type" : "article-journal", "volume" : "3" }, "uris" : [ "http://www.mendeley.com/documents/?uuid=2ede8cdc-cdbc-4ca6-bf0b-3ad3d938ea84" ] } ], "mendeley" : { "formattedCitation" : "(Gupta et al. 1996; Monera et al. 1994)", "plainTextFormattedCitation" : "(Gupta et al. 1996; Monera et al. 1994)", "previouslyFormattedCitation" : "(Gupta et al. 1996; Monera et al. 1994)" }, "properties" : { "noteIndex" : 0 }, "schema" : "https://github.com/citation-style-language/schema/raw/master/csl-citation.json" }</w:instrText>
      </w:r>
      <w:r>
        <w:fldChar w:fldCharType="separate"/>
      </w:r>
      <w:r w:rsidRPr="00915480">
        <w:rPr>
          <w:noProof/>
        </w:rPr>
        <w:t>(Gupta et al. 1996; Monera et al. 1994)</w:t>
      </w:r>
      <w:r>
        <w:fldChar w:fldCharType="end"/>
      </w:r>
      <w:r>
        <w:t xml:space="preserve">. There have been suggestions that imidazole could be used in a buffer to solubilise insoluble proteins after purification </w:t>
      </w:r>
      <w:r>
        <w:fldChar w:fldCharType="begin" w:fldLock="1"/>
      </w:r>
      <w:r w:rsidR="0064368A">
        <w:instrText>ADDIN CSL_CITATION { "citationItems" : [ { "id" : "ITEM-1", "itemData" : { "DOI" : "10.1089/153685903771797048", "ISBN" : "1536-8599 (Print)\\n1536-8599 (Linking)", "ISSN" : "1536-8599", "PMID" : "14683594", "abstract" : "A number of studies have demonstrated the limited solubility of single-chain Fv antibody fragments and its improvement by genetic engineering. This limits the stability of recombinant protein upon storage and the efficiency of chemical modification. The RAFT3 scFv used in the present work is specific for melanoma-associated proteoglycan and an attractive candidate for clinical radioimaging studies because of its unusual radiolabelling properties. However, when expressed with a c-terminal his(6) IMAC purification tag, the recombinant protein starts to precipitate after column elution and dialysis against PBS and reaches a concentration of soluble protein of approximately 150 microg/mL within a few days upon storage at 4 degrees C. We tested several commonly used buffer modifications (addition of detergents, high salt, amino acids) to improve the solubility and stability of the protein but without any major improvement. However, we found that, when the final dialysis step was omitted and the protein left in IMAC column elution buffer (PBS containing imidazole), it remained soluble. Furthermore, several months old and precipitated protein could be redissolved in this buffer without loss of antigen binding. This observation and the largely pH-independent nature of protein solubility suggest that neither salt bridges formed by the his(6) tail nor cross-linking of his(6) tails mediated by metal ions leached from the column during elution are responsible for the limited solubility of the protein in the absence of imidazole. The presence of imidazole did not interfere with radiolabelling and in vivo tumor targeting in a mouse model. The solubilizing and stabilizing effect of imidazole could be of use for his(6) tagged and poorly soluble recombinant proteins other than scFvs.", "author" : [ { "dropping-particle" : "", "family" : "Hamilton", "given" : "S", "non-dropping-particle" : "", "parse-names" : false, "suffix" : "" }, { "dropping-particle" : "", "family" : "Odili", "given" : "J", "non-dropping-particle" : "", "parse-names" : false, "suffix" : "" }, { "dropping-particle" : "", "family" : "Pacifico", "given" : "M D", "non-dropping-particle" : "", "parse-names" : false, "suffix" : "" }, { "dropping-particle" : "", "family" : "Wilson", "given" : "G D", "non-dropping-particle" : "", "parse-names" : false, "suffix" : "" }, { "dropping-particle" : "", "family" : "Kupsch", "given" : "J M", "non-dropping-particle" : "", "parse-names" : false, "suffix" : "" } ], "container-title" : "Hybridoma and Hybridomics", "id" : "ITEM-1", "issued" : { "date-parts" : [ [ "2003" ] ] }, "page" : "347-355", "title" : "Effect of imidazole on the solubility of a his-tagged antibody fragment", "type" : "article-journal", "volume" : "22" }, "uris" : [ "http://www.mendeley.com/documents/?uuid=c77dcd01-1a36-41fb-bc98-8e5b680c8513" ] } ], "mendeley" : { "formattedCitation" : "(Hamilton et al. 2003)", "plainTextFormattedCitation" : "(Hamilton et al. 2003)", "previouslyFormattedCitation" : "(Hamilton et al. 2003)" }, "properties" : { "noteIndex" : 0 }, "schema" : "https://github.com/citation-style-language/schema/raw/master/csl-citation.json" }</w:instrText>
      </w:r>
      <w:r>
        <w:fldChar w:fldCharType="separate"/>
      </w:r>
      <w:r w:rsidRPr="004D1F58">
        <w:rPr>
          <w:noProof/>
        </w:rPr>
        <w:t>(Hamilton et al. 2003)</w:t>
      </w:r>
      <w:r>
        <w:fldChar w:fldCharType="end"/>
      </w:r>
      <w:r>
        <w:t>, although if its strong destabilising effects are true for all proteins this would make it an unsuitable candidate.</w:t>
      </w:r>
    </w:p>
    <w:p w14:paraId="43A7A799" w14:textId="77777777" w:rsidR="00C56CFB" w:rsidRDefault="00C56CFB" w:rsidP="00C56CFB">
      <w:pPr>
        <w:pStyle w:val="Heading4"/>
        <w:spacing w:before="440" w:after="240"/>
      </w:pPr>
      <w:r>
        <w:t>Comparison to additivity</w:t>
      </w:r>
    </w:p>
    <w:p w14:paraId="11D57798" w14:textId="77777777" w:rsidR="00C56CFB" w:rsidRPr="00915480" w:rsidRDefault="00C56CFB" w:rsidP="00C56CFB">
      <w:r>
        <w:fldChar w:fldCharType="begin"/>
      </w:r>
      <w:r>
        <w:instrText xml:space="preserve"> REF _Ref465177412 \h </w:instrText>
      </w:r>
      <w:r>
        <w:fldChar w:fldCharType="separate"/>
      </w:r>
      <w:r w:rsidR="00AA6926">
        <w:t xml:space="preserve">Figure </w:t>
      </w:r>
      <w:r w:rsidR="00AA6926">
        <w:rPr>
          <w:noProof/>
        </w:rPr>
        <w:t>6</w:t>
      </w:r>
      <w:r w:rsidR="00AA6926">
        <w:noBreakHyphen/>
      </w:r>
      <w:r w:rsidR="00AA6926">
        <w:rPr>
          <w:noProof/>
        </w:rPr>
        <w:t>10</w:t>
      </w:r>
      <w:r>
        <w:fldChar w:fldCharType="end"/>
      </w:r>
      <w:r>
        <w:t xml:space="preserve"> shows the effects of histidine on protein thermal stability (red circles) compared to an additive combination of its functional groups, glycine and imidazole (blue triangles). Even with the lack of histidine data at higher concentrations, it is clear that histidine </w:t>
      </w:r>
      <w:r w:rsidR="00DE0AFF">
        <w:t>acts</w:t>
      </w:r>
      <w:r>
        <w:t xml:space="preserve"> like an additive combination of its functional groups on all three proteins. In fact, similar to arginine</w:t>
      </w:r>
      <w:r w:rsidR="00DE0AFF">
        <w:t>,</w:t>
      </w:r>
      <w:r>
        <w:t xml:space="preserve"> the effect on thermal stability of equimolar glycine and imidazole added together is almost identical to that of histidine at the concentrations measured, meaning that the presence of the </w:t>
      </w:r>
      <w:r w:rsidR="00F14F27">
        <w:t>alkyl</w:t>
      </w:r>
      <w:r>
        <w:t xml:space="preserve"> group on the histidine molecule, and the fact that it is a larger molecule than either glycine or imidazole, has very little effect on the way histidine acts on protein stability.</w:t>
      </w:r>
    </w:p>
    <w:p w14:paraId="4559C1FC" w14:textId="77777777" w:rsidR="00C56CFB" w:rsidRDefault="00EF5689" w:rsidP="00EF5689">
      <w:pPr>
        <w:keepNext/>
        <w:framePr w:w="8116" w:hSpace="180" w:wrap="around" w:vAnchor="text" w:hAnchor="text" w:x="1" w:y="-839"/>
      </w:pPr>
      <w:r>
        <w:object w:dxaOrig="9691" w:dyaOrig="16335" w14:anchorId="0CEB1317">
          <v:shape id="_x0000_i1067" type="#_x0000_t75" style="width:408pt;height:687.75pt" o:ole="">
            <v:imagedata r:id="rId104" o:title=""/>
          </v:shape>
          <o:OLEObject Type="Embed" ProgID="SigmaPlotGraphicObject.12" ShapeID="_x0000_i1067" DrawAspect="Content" ObjectID="_1559454721" r:id="rId105"/>
        </w:object>
      </w:r>
    </w:p>
    <w:p w14:paraId="1F73AA21" w14:textId="77777777" w:rsidR="00C56CFB" w:rsidRDefault="00C56CFB" w:rsidP="00EF5689">
      <w:pPr>
        <w:pStyle w:val="Caption"/>
        <w:framePr w:w="8116" w:hSpace="180" w:wrap="around" w:vAnchor="text" w:hAnchor="text" w:x="1" w:y="-839"/>
        <w:jc w:val="left"/>
      </w:pPr>
      <w:bookmarkStart w:id="273" w:name="_Ref465177412"/>
      <w:bookmarkStart w:id="274" w:name="_Toc482633207"/>
      <w:r>
        <w:t xml:space="preserve">Figure </w:t>
      </w:r>
      <w:fldSimple w:instr=" STYLEREF 1 \s ">
        <w:r w:rsidR="00AA6926">
          <w:rPr>
            <w:noProof/>
          </w:rPr>
          <w:t>6</w:t>
        </w:r>
      </w:fldSimple>
      <w:r w:rsidR="00BA082C">
        <w:noBreakHyphen/>
      </w:r>
      <w:fldSimple w:instr=" SEQ Figure \* ARABIC \s 1 ">
        <w:r w:rsidR="00AA6926">
          <w:rPr>
            <w:noProof/>
          </w:rPr>
          <w:t>10</w:t>
        </w:r>
      </w:fldSimple>
      <w:bookmarkEnd w:id="273"/>
      <w:r>
        <w:t xml:space="preserve">. </w:t>
      </w:r>
      <w:r w:rsidRPr="008B537D">
        <w:t xml:space="preserve">Comparison of change in melting temperature of 1 g/L BSA pH 7 (top panel), 1 g/L Lysozyme pH 7 (middle panel), and 0.5 g/L myoglobin pH 8 (bottom panel) caused by increasing concentrations of </w:t>
      </w:r>
      <w:r>
        <w:t>histidine</w:t>
      </w:r>
      <w:r w:rsidRPr="008B537D">
        <w:t xml:space="preserve"> (red circles) and the summation of the changes in mel</w:t>
      </w:r>
      <w:r>
        <w:t>ting temperature caused by equimolar concentrations of glycine and imidazole (blue triangles). Dotted lines represent no change in melting temperature to guide the eye</w:t>
      </w:r>
      <w:bookmarkEnd w:id="274"/>
    </w:p>
    <w:p w14:paraId="335275B4" w14:textId="77777777" w:rsidR="00C56CFB" w:rsidRDefault="00C552F2" w:rsidP="00C56CFB">
      <w:pPr>
        <w:pStyle w:val="Heading3"/>
      </w:pPr>
      <w:bookmarkStart w:id="275" w:name="_Toc485712817"/>
      <w:r>
        <w:t>Interpretation &amp;</w:t>
      </w:r>
      <w:r w:rsidR="00C56CFB">
        <w:t xml:space="preserve"> comparison to arginine results</w:t>
      </w:r>
      <w:bookmarkEnd w:id="275"/>
    </w:p>
    <w:p w14:paraId="7D7A3954" w14:textId="77777777" w:rsidR="00C56CFB" w:rsidRDefault="00C56CFB" w:rsidP="00C56CFB">
      <w:r>
        <w:t>Both lysine and histidine act on protein thermal stability as a combination of glycine and their corresponding side chain functional groups, methylamine HCl and imidazole respectively, with a concentration-dependent two-stage trend switching at 50-100 mM, similar to arginine. At very low concentrations (0.5 mM – 1 mM) both methylamine HCl and imidazole destabilise proteins with a net negative charge (BSA &amp; myoglobin for methylamine HCl; myoglobin for imidazole), leading to the assumption that the cosolutes are interacting electrostatically with exposed negatively charged side chains on the protein. These trends are mimicked in the corresponding amino acids. For both amino acids there also appears to be BSA-specific stabilisation at concentrations of 5-25 mM</w:t>
      </w:r>
      <w:r w:rsidR="00DE0AFF">
        <w:t>, which originates</w:t>
      </w:r>
      <w:r>
        <w:t xml:space="preserve"> from their corresponding side chains interacting with high affinity binding sites on the native state of BSA. At these low concentrations (&lt;50 mM) lysine and methylamine HCl also show similarities to the protein-specific effects seen for glycine at these concentrations (see Chapter 3), which are thought to originate from nonspecific weak interactions with polar side chains and the peptide backbone. The contribution from </w:t>
      </w:r>
      <w:r w:rsidR="00DE0AFF">
        <w:t xml:space="preserve">the </w:t>
      </w:r>
      <w:r>
        <w:t xml:space="preserve">glycine </w:t>
      </w:r>
      <w:r w:rsidR="00DE0AFF">
        <w:t xml:space="preserve">moiety </w:t>
      </w:r>
      <w:r>
        <w:t xml:space="preserve">is clearly visible for both amino acids in </w:t>
      </w:r>
      <w:r>
        <w:fldChar w:fldCharType="begin"/>
      </w:r>
      <w:r>
        <w:instrText xml:space="preserve"> REF _Ref465169238 \h </w:instrText>
      </w:r>
      <w:r>
        <w:fldChar w:fldCharType="separate"/>
      </w:r>
      <w:r w:rsidR="00AA6926">
        <w:t xml:space="preserve">Figure </w:t>
      </w:r>
      <w:r w:rsidR="00AA6926">
        <w:rPr>
          <w:noProof/>
        </w:rPr>
        <w:t>6</w:t>
      </w:r>
      <w:r w:rsidR="00AA6926">
        <w:noBreakHyphen/>
      </w:r>
      <w:r w:rsidR="00AA6926">
        <w:rPr>
          <w:noProof/>
        </w:rPr>
        <w:t>7</w:t>
      </w:r>
      <w:r>
        <w:fldChar w:fldCharType="end"/>
      </w:r>
      <w:r>
        <w:t xml:space="preserve"> and </w:t>
      </w:r>
      <w:r>
        <w:fldChar w:fldCharType="begin"/>
      </w:r>
      <w:r>
        <w:instrText xml:space="preserve"> REF _Ref465177412 \h </w:instrText>
      </w:r>
      <w:r>
        <w:fldChar w:fldCharType="separate"/>
      </w:r>
      <w:r w:rsidR="00AA6926">
        <w:t xml:space="preserve">Figure </w:t>
      </w:r>
      <w:r w:rsidR="00AA6926">
        <w:rPr>
          <w:noProof/>
        </w:rPr>
        <w:t>6</w:t>
      </w:r>
      <w:r w:rsidR="00AA6926">
        <w:noBreakHyphen/>
      </w:r>
      <w:r w:rsidR="00AA6926">
        <w:rPr>
          <w:noProof/>
        </w:rPr>
        <w:t>10</w:t>
      </w:r>
      <w:r>
        <w:fldChar w:fldCharType="end"/>
      </w:r>
      <w:r>
        <w:t>.</w:t>
      </w:r>
    </w:p>
    <w:p w14:paraId="54F63B88" w14:textId="77777777" w:rsidR="00C56CFB" w:rsidRDefault="00C56CFB" w:rsidP="00C56CFB">
      <w:r>
        <w:t xml:space="preserve">The protein-specific effects originating from the side chain functional groups for lysine and histidine are not visible in the arginine data, with arginine following glycine trends, and GdnHCl having very little effect on the thermal stability of all three proteins. Electrostatic interactions at low cosolute concentrations have previously been shown to have measureable but unpredictable effects on protein thermal stability in the case of Hofmeister salts </w:t>
      </w:r>
      <w:r>
        <w:fldChar w:fldCharType="begin" w:fldLock="1"/>
      </w:r>
      <w:r>
        <w:instrText>ADDIN CSL_CITATION { "citationItems" : [ { "id" : "ITEM-1", "itemData" : { "DOI" : "10.1021/jp412140v", "ISSN" : "1520-5207", "PMID" : "24684707", "abstract" : "Addition of high and medium charge density anions (phosphate, sulfate, and chloride) to lysozyme in pure water demonstrates three stages for stabilization of the protein structure. The first two stages have a minor impact on lysozyme stability and are probably associated with direct interaction of the ions with charged and partial charges on the protein's surface. There is a clear transition between the second and third stages; in the case of sodium chloride, disodium sulfate and disodium hydrogen phosphate this is at 550, 210, and 120 mM, respectively. Stabilization of lysozyme can be explained by the free energy required to hydrate the protein as it unfolds. At low ion concentrations, the protein's hydration layer is at equilibrium with the bulk water. After the transition, bulk water is depleted and the protein is competing for water with the ions. With competition for water between the protein and the ions at higher salt concentrations, the free energy required to hydrate the interior of the protein rises and it is this that stabilizes the protein structure.", "author" : [ { "dropping-particle" : "", "family" : "Bye", "given" : "J W", "non-dropping-particle" : "", "parse-names" : false, "suffix" : "" }, { "dropping-particle" : "", "family" : "Falconer", "given" : "R J", "non-dropping-particle" : "", "parse-names" : false, "suffix" : "" } ], "container-title" : "Journal of Physical Chemistry B", "id" : "ITEM-1", "issued" : { "date-parts" : [ [ "2014", "4", "24" ] ] }, "page" : "4282-4286", "title" : "Three stages of lysozyme thermal stabilization by high and medium charge density anions", "type" : "article-journal", "volume" : "118" }, "uris" : [ "http://www.mendeley.com/documents/?uuid=04df9c17-7b61-4cec-9b8c-296591f7406f" ] } ], "mendeley" : { "formattedCitation" : "(Bye &amp; Falconer 2014)", "plainTextFormattedCitation" : "(Bye &amp; Falconer 2014)", "previouslyFormattedCitation" : "(Bye &amp; Falconer 2014)" }, "properties" : { "noteIndex" : 0 }, "schema" : "https://github.com/citation-style-language/schema/raw/master/csl-citation.json" }</w:instrText>
      </w:r>
      <w:r>
        <w:fldChar w:fldCharType="separate"/>
      </w:r>
      <w:r w:rsidRPr="00D6479C">
        <w:rPr>
          <w:noProof/>
        </w:rPr>
        <w:t>(Bye &amp; Falconer 2014)</w:t>
      </w:r>
      <w:r>
        <w:fldChar w:fldCharType="end"/>
      </w:r>
      <w:r>
        <w:t>. It is therefore entirely possible that GdnHCl, and therefore arginine, do participate in these direct interactions with proteins at low concentrations but this does not result in a visible effect on protein thermal stability.</w:t>
      </w:r>
    </w:p>
    <w:p w14:paraId="0556BF87" w14:textId="77777777" w:rsidR="00C56CFB" w:rsidRPr="004C514E" w:rsidRDefault="00935276" w:rsidP="00C56CFB">
      <w:r>
        <w:t>Although data at</w:t>
      </w:r>
      <w:r w:rsidR="00C56CFB">
        <w:t xml:space="preserve"> high concentrations </w:t>
      </w:r>
      <w:r>
        <w:t xml:space="preserve">of </w:t>
      </w:r>
      <w:r w:rsidR="00C56CFB">
        <w:t>histidine</w:t>
      </w:r>
      <w:r>
        <w:t xml:space="preserve"> is lacking, the few data points available indicates that it</w:t>
      </w:r>
      <w:r w:rsidR="00C56CFB">
        <w:t xml:space="preserve"> acts very similarly to arginine. Both GdnHCl and imidazole moieties are pushed onto the apolar parts of the protein resulting in destabilisation, but this is counteracted slightly by the glycine moiety stabilising the protein via the competition for water mechanism (see Chapter 3). At high concentrations lysine uniquely has protein-specific effects, which appear to originate from the methylamine moiety interacting with polar parts of the protein. Again lysine is less destabilising than methylamine HCl, meaning the stabilising effects of glycine originating from the competition for water mechanism also play a role in lysine’s effects on protein stability.</w:t>
      </w:r>
    </w:p>
    <w:p w14:paraId="6BFE5FD4" w14:textId="77777777" w:rsidR="00C56CFB" w:rsidRPr="00D200DF" w:rsidRDefault="00C56CFB" w:rsidP="000A3469">
      <w:pPr>
        <w:pStyle w:val="Heading2"/>
      </w:pPr>
      <w:bookmarkStart w:id="276" w:name="_Toc485712818"/>
      <w:r>
        <w:t>Conclusions</w:t>
      </w:r>
      <w:bookmarkEnd w:id="276"/>
    </w:p>
    <w:p w14:paraId="18AF344A" w14:textId="77777777" w:rsidR="00C56CFB" w:rsidRDefault="00C56CFB">
      <w:pPr>
        <w:rPr>
          <w:szCs w:val="24"/>
        </w:rPr>
      </w:pPr>
      <w:r>
        <w:rPr>
          <w:szCs w:val="24"/>
        </w:rPr>
        <w:t xml:space="preserve">Lysine and histidine are shown to affect the thermal stability of globular proteins via a combination of mechanisms additively originating from the glycine moiety and their respective side chain functional groups, methylamine HCl and imidazole. Along with Chapter 3 this supports the hypothesis that the positively charged amino acids act </w:t>
      </w:r>
      <w:r w:rsidR="00935276">
        <w:rPr>
          <w:szCs w:val="24"/>
        </w:rPr>
        <w:t>on protein stability as</w:t>
      </w:r>
      <w:r>
        <w:rPr>
          <w:szCs w:val="24"/>
        </w:rPr>
        <w:t xml:space="preserve"> a combination of their functional groups. Lysine and histidine are shown to cause complex thermal stability trends with 2 distinct concentration-dependent phases, which at times are protein-specific, particularly at low concentrations. Together with the data from Chapter 3 it is clear that a singular mechanism, such as preferential interaction or enhancement of water structure, is unable to explain the effect of the positively charged amino acids on protein thermal stability.</w:t>
      </w:r>
    </w:p>
    <w:p w14:paraId="1475C07F" w14:textId="77777777" w:rsidR="00C82B9F" w:rsidRDefault="00C56CFB" w:rsidP="009863DE">
      <w:pPr>
        <w:rPr>
          <w:szCs w:val="24"/>
        </w:rPr>
      </w:pPr>
      <w:r>
        <w:rPr>
          <w:szCs w:val="24"/>
        </w:rPr>
        <w:t>This protein-specificity and occasionally destabilising effect (especially in the case of imidazole) makes lysine and histidine potentially unsuitable excipient candidates for therapeutic protein solutions. However, the fact that their effects are predictable based on their functional groups (similar to arginine) means that ‘designer excipients’, whereby bespoke ratios of functional groups are used rather than the amino acid itself, are potentially a viable alternative for use in the formulation of therapeutic proteins.</w:t>
      </w:r>
    </w:p>
    <w:p w14:paraId="046671CD" w14:textId="77777777" w:rsidR="00C56CFB" w:rsidRPr="00C82B9F" w:rsidRDefault="00C82B9F" w:rsidP="009863DE">
      <w:r>
        <w:br w:type="page"/>
      </w:r>
    </w:p>
    <w:p w14:paraId="692878A6" w14:textId="77777777" w:rsidR="00C82B9F" w:rsidRDefault="00C552F2" w:rsidP="00C82B9F">
      <w:pPr>
        <w:pStyle w:val="Heading1"/>
      </w:pPr>
      <w:bookmarkStart w:id="277" w:name="_Toc485712819"/>
      <w:r>
        <w:t>Conclusions &amp;</w:t>
      </w:r>
      <w:r w:rsidR="00C82B9F">
        <w:t xml:space="preserve"> future work</w:t>
      </w:r>
      <w:bookmarkEnd w:id="277"/>
    </w:p>
    <w:p w14:paraId="50A95477" w14:textId="77777777" w:rsidR="00C82B9F" w:rsidRPr="00C82B9F" w:rsidRDefault="00C82B9F" w:rsidP="00C82B9F">
      <w:pPr>
        <w:rPr>
          <w:rFonts w:cstheme="majorBidi"/>
          <w:sz w:val="40"/>
          <w:szCs w:val="28"/>
        </w:rPr>
      </w:pPr>
      <w:r>
        <w:br w:type="page"/>
      </w:r>
    </w:p>
    <w:p w14:paraId="0B1A431C" w14:textId="77777777" w:rsidR="00C82B9F" w:rsidRDefault="00C552F2" w:rsidP="000A3469">
      <w:pPr>
        <w:pStyle w:val="Heading2"/>
      </w:pPr>
      <w:bookmarkStart w:id="278" w:name="_Toc485712820"/>
      <w:r>
        <w:t>Introduction &amp; m</w:t>
      </w:r>
      <w:r w:rsidR="00021B71">
        <w:t>ain</w:t>
      </w:r>
      <w:r w:rsidR="00C82B9F">
        <w:t xml:space="preserve"> conclusion</w:t>
      </w:r>
      <w:r w:rsidR="00021B71">
        <w:t>s</w:t>
      </w:r>
      <w:bookmarkEnd w:id="278"/>
    </w:p>
    <w:p w14:paraId="098D2F8A" w14:textId="77777777" w:rsidR="007E4DC3" w:rsidRDefault="00021B71" w:rsidP="00021B71">
      <w:r>
        <w:t>Arginine’s effects on</w:t>
      </w:r>
      <w:r w:rsidR="007E4DC3">
        <w:t xml:space="preserve"> proteins are well studied due to its unique ability to supposedly solubilise proteins and prevent aggregation, without negative effects on protein folding or stability </w:t>
      </w:r>
      <w:r w:rsidR="007E4DC3">
        <w:fldChar w:fldCharType="begin" w:fldLock="1"/>
      </w:r>
      <w:r w:rsidR="00924827">
        <w:instrText>ADDIN CSL_CITATION { "citationItems" : [ { "id" : "ITEM-1", "itemData" : { "DOI" : "10.2174/138920109788488851", "ISBN" : "1389-2010", "ISSN" : "13892010", "PMID" : "19519416", "abstract" : "L-Arginine is one of the most commonly used and most generally applicable suppressors of protein aggregation. Its effect as enhancer of in vitro protein refolding was serendipitously discovered two decades ago. This article aims at giving a brief overview about the discovery of the arginine effect, the range of its applications that have been explored over the past two decades, and of the current state of the discussion regarding the mechanisms responsible for the action of L-arginine as suppressor of aggregation.", "author" : [ { "dropping-particle" : "", "family" : "Lange", "given" : "C", "non-dropping-particle" : "", "parse-names" : false, "suffix" : "" }, { "dropping-particle" : "", "family" : "Rudolph", "given" : "R", "non-dropping-particle" : "", "parse-names" : false, "suffix" : "" } ], "container-title" : "Current Pharmaceutical Biotechnology", "id" : "ITEM-1", "issued" : { "date-parts" : [ [ "2009" ] ] }, "page" : "408-414", "title" : "Suppression of protein aggregation by L-arginine", "type" : "article-journal", "volume" : "10" }, "uris" : [ "http://www.mendeley.com/documents/?uuid=d4d46f41-3146-434c-b9cb-09b3d8519bdc" ] }, { "id" : "ITEM-2", "itemData" : { "DOI" : "10.1016/j.bpc.2006.12.007", "ISSN" : "0301-4622", "PMID" : "17257734", "abstract" : "Arginine has been used to suppress protein aggregation and protein-protein or protein-surface interactions during protein refolding and purification. While its biotechnology applications are gradually expanding, the mechanism of these effects of arginine has not been fully elucidated. Arginine is more effective at higher concentrations, an indication of weak interactions with the proteins. The effects of weakly interacting additives, such as arginine, on protein solubility, stability and aggregation have been explained from three different approaches: i.e., (1) the effects of additives on the structure of water, (2) the interactions of additives with the amino acid side chains and peptide bonds and (3) the preferential interactions of additives with the proteins. Here we have examined these properties of arginine and compared with those of other additives, e.g., guanidine hydrochloride (GdnHCl) and certain amino acids and amines. GdnHCl is a strong salting-in agent and denatures proteins, while betaine is a protein stabilizer. Several amino acids and amine compounds, including betaine, which stabilize the proteins, are strongly excluded; i.e., the proteins are preferentially hydrated in these solutions. On the other hand, GdnHCl preferentially binds to the proteins. Arginine is intermediate between these two extreme cases and shows a more complicated pattern of interactions with the proteins. The effects of additives on water structure, e.g., the surface tension of aqueous solution of the additives and the solubility of amino acids in the presence of additives also shed light on the mechanism of the effects of the additives on protein aggregation. While arginine increases the surface tension of water, it favorably interacts with most amino acid side chains and the peptide bonds, a property shared with GdnHCl. Thus, we propose that while arginine is similar to GdnHCl in the amino acid level, arginine interacts with the proteins differently from GdnHCl.", "author" : [ { "dropping-particle" : "", "family" : "Arakawa", "given" : "T", "non-dropping-particle" : "", "parse-names" : false, "suffix" : "" }, { "dropping-particle" : "", "family" : "Ejima", "given" : "D", "non-dropping-particle" : "", "parse-names" : false, "suffix" : "" }, { "dropping-particle" : "", "family" : "Tsumoto", "given" : "K", "non-dropping-particle" : "", "parse-names" : false, "suffix" : "" }, { "dropping-particle" : "", "family" : "Obeyama", "given" : "N", "non-dropping-particle" : "", "parse-names" : false, "suffix" : "" }, { "dropping-particle" : "", "family" : "Tanaka", "given" : "Y", "non-dropping-particle" : "", "parse-names" : false, "suffix" : "" }, { "dropping-particle" : "", "family" : "Kita", "given" : "Y", "non-dropping-particle" : "", "parse-names" : false, "suffix" : "" }, { "dropping-particle" : "", "family" : "Timasheff", "given" : "S N", "non-dropping-particle" : "", "parse-names" : false, "suffix" : "" } ], "container-title" : "Biophysical Chemistry", "id" : "ITEM-2", "issued" : { "date-parts" : [ [ "2007", "4" ] ] }, "note" : "Review talking about how arginine suppresses aggregation of proteins by separating out surface tension effects, amino acid solubility in arginine solutions and preferential interaction parameters.", "page" : "1-8", "title" : "Suppression of protein interactions by arginine: A proposed mechanism of the arginine effects", "type" : "article-journal", "volume" : "127" }, "uris" : [ "http://www.mendeley.com/documents/?uuid=ffbe080e-828f-4a45-8644-aa9950c99e46" ] }, { "id" : "ITEM-3", "itemData" : { "DOI" : "10.1016/j.pep.2005.03.028", "ISSN" : "1046-5928", "PMID" : "15893471", "abstract" : "Arginine is a useful solvent additive for many applications, including refolding and solubilization of proteins from insoluble pellets, and suppression of protein aggregation and non-specific adsorption during formulation and purification. However, there is a concern that arginine may be a protein-denaturant, which may limit the expansion of its applications. Such concern arises from the facts that arginine decreases melting temperature and perturbs the spectroscopic properties of certain proteins and contains a guanidinium group, which is a critical chemical structure for denaturing activity of guanidine hydrochloride. Here, we show that although arginine does lower the melting temperatures of certain proteins, the extent is insufficient to cause denaturation of proteins at or below room temperature. The proteins described here show enzymatic activity and folded structure in the presence of arginine, although the local structure around aromatic amino acids is perturbed by arginine. Arginine differs from guandinine hydrochloride in the mode of interactions with proteins, which may be a primary reason why arginine is not a protein-denaturant.", "author" : [ { "dropping-particle" : "", "family" : "Ishibashi", "given" : "M", "non-dropping-particle" : "", "parse-names" : false, "suffix" : "" }, { "dropping-particle" : "", "family" : "Tsumoto", "given" : "K", "non-dropping-particle" : "", "parse-names" : false, "suffix" : "" }, { "dropping-particle" : "", "family" : "Tokunaga", "given" : "M", "non-dropping-particle" : "", "parse-names" : false, "suffix" : "" }, { "dropping-particle" : "", "family" : "Ejima", "given" : "D", "non-dropping-particle" : "", "parse-names" : false, "suffix" : "" }, { "dropping-particle" : "", "family" : "Kita", "given" : "Y", "non-dropping-particle" : "", "parse-names" : false, "suffix" : "" }, { "dropping-particle" : "", "family" : "Arakawa", "given" : "T", "non-dropping-particle" : "", "parse-names" : false, "suffix" : "" } ], "container-title" : "Protein Expression &amp; Purification", "id" : "ITEM-3", "issued" : { "date-parts" : [ [ "2005", "7" ] ] }, "page" : "1-6", "title" : "Is arginine a protein-denaturant?", "type" : "article-journal", "volume" : "42" }, "uris" : [ "http://www.mendeley.com/documents/?uuid=4f7780e5-385c-4f63-97dc-cb62626ee94e" ] } ], "mendeley" : { "formattedCitation" : "(Lange &amp; Rudolph 2009; Arakawa, Ejima, et al. 2007; Ishibashi et al. 2005)", "plainTextFormattedCitation" : "(Lange &amp; Rudolph 2009; Arakawa, Ejima, et al. 2007; Ishibashi et al. 2005)", "previouslyFormattedCitation" : "(Lange &amp; Rudolph 2009; Arakawa, Ejima, et al. 2007; Ishibashi et al. 2005)" }, "properties" : { "noteIndex" : 0 }, "schema" : "https://github.com/citation-style-language/schema/raw/master/csl-citation.json" }</w:instrText>
      </w:r>
      <w:r w:rsidR="007E4DC3">
        <w:fldChar w:fldCharType="separate"/>
      </w:r>
      <w:r w:rsidR="007E4DC3" w:rsidRPr="007E4DC3">
        <w:rPr>
          <w:noProof/>
        </w:rPr>
        <w:t>(Lange &amp; Rudolph 2009; Arakawa, Ejima, et al. 2007; Ishibashi et al. 2005)</w:t>
      </w:r>
      <w:r w:rsidR="007E4DC3">
        <w:fldChar w:fldCharType="end"/>
      </w:r>
      <w:r w:rsidR="007E4DC3">
        <w:t>. However, this resulted in a plethora of suggested mechanisms rather than a consensus on arginine</w:t>
      </w:r>
      <w:r w:rsidR="001F523C">
        <w:t>’s</w:t>
      </w:r>
      <w:r w:rsidR="007E4DC3">
        <w:t xml:space="preserve"> effects on proteins. Furthermore, there has long been an emphasis on arginine’s effects on aggregation, with very little focus on its stability effects. The main aim of this thesis was to quantify the effects of arginine on protein thermal stability and elucidate the mechanisms by which it acts, through detailed stability studies using Differential Scanning Calorimetry (DSC). </w:t>
      </w:r>
    </w:p>
    <w:p w14:paraId="0865749D" w14:textId="77777777" w:rsidR="00021B71" w:rsidRDefault="007E4DC3" w:rsidP="00021B71">
      <w:r>
        <w:t xml:space="preserve">Previously, stability studies had often been carried out in the presence of salt-containing buffers, which have the potential to mask or enhance interactions between cosolute, water and protein. The historical use of </w:t>
      </w:r>
      <w:r>
        <w:rPr>
          <w:i/>
        </w:rPr>
        <w:t>m</w:t>
      </w:r>
      <w:r>
        <w:t xml:space="preserve">-values and the Linear Extrapolation Method (LEM) have also led to </w:t>
      </w:r>
      <w:r w:rsidR="0022796D">
        <w:t xml:space="preserve">the assumption by many researchers that cosolutes affect protein stability in a linear manner, resulting in a scarcity of stability data at low cosolute concentrations. This </w:t>
      </w:r>
      <w:r w:rsidR="00F348A6">
        <w:t>brought about</w:t>
      </w:r>
      <w:r w:rsidR="0022796D">
        <w:t xml:space="preserve"> the wide acceptance of single mechanism models such as preferential interaction or enhancement of water structure. </w:t>
      </w:r>
      <w:r w:rsidR="00C552F2">
        <w:t xml:space="preserve">Recent DSC studies carried out within my research group on the effects of Hofmeister salts on the stability of lysozyme used the protein itself as a buffer and obtained large numbers of data points at low salt concentrations </w:t>
      </w:r>
      <w:r w:rsidR="00C552F2">
        <w:fldChar w:fldCharType="begin" w:fldLock="1"/>
      </w:r>
      <w:r w:rsidR="00F7615C">
        <w:instrText>ADDIN CSL_CITATION { "citationItems" : [ { "id" : "ITEM-1", "itemData" : { "DOI" : "10.1002/pro.2355", "ISSN" : "1469-896X", "PMID" : "24038575", "abstract" : "Anion and cation effects on the structural stability of lysozyme were investigated using differential scanning calorimetry. At low concentrations (&lt;5 mM) anions and cations alter the stability of lysozyme but they do not follow the Hofmeister (or inverse Hofmeister) series. At higher concentrations protein stabilization follows the well-established Hofmeister series. Our hypothesis is that there are three mechanisms at work. At low concentrations the anions interact with charged side chains where the presence of the ion can alter the structural stability of the protein. At higher concentrations the low charge density anions perchlorate and iodide interact weakly with the protein. Their presence however reduces the Gibbs free energy required to hydrate the core of the protein that is exposed during unfolding therefore destabilizing the structure. At higher concentrations the high charge density anions phosphate and sulfate compete for water with the protein as it unfolds increasing the Gibbs free energy required to hydrate the newly exposed core of the protein therefore stabilizing the structure.", "author" : [ { "dropping-particle" : "", "family" : "Bye", "given" : "J W", "non-dropping-particle" : "", "parse-names" : false, "suffix" : "" }, { "dropping-particle" : "", "family" : "Falconer", "given" : "R J", "non-dropping-particle" : "", "parse-names" : false, "suffix" : "" } ], "container-title" : "Protein Science", "id" : "ITEM-1", "issued" : { "date-parts" : [ [ "2013", "11" ] ] }, "page" : "1563-1570", "title" : "Thermal stability of lysozyme as a function of ion concentration: A reappraisal of the relationship between the Hofmeister series and protein stability", "type" : "article-journal", "volume" : "22" }, "uris" : [ "http://www.mendeley.com/documents/?uuid=cdce46dc-4ab2-44de-8184-be6984bc4e9d" ] }, { "id" : "ITEM-2", "itemData" : { "DOI" : "10.1021/jp412140v", "ISSN" : "1520-5207", "PMID" : "24684707", "abstract" : "Addition of high and medium charge density anions (phosphate, sulfate, and chloride) to lysozyme in pure water demonstrates three stages for stabilization of the protein structure. The first two stages have a minor impact on lysozyme stability and are probably associated with direct interaction of the ions with charged and partial charges on the protein's surface. There is a clear transition between the second and third stages; in the case of sodium chloride, disodium sulfate and disodium hydrogen phosphate this is at 550, 210, and 120 mM, respectively. Stabilization of lysozyme can be explained by the free energy required to hydrate the protein as it unfolds. At low ion concentrations, the protein's hydration layer is at equilibrium with the bulk water. After the transition, bulk water is depleted and the protein is competing for water with the ions. With competition for water between the protein and the ions at higher salt concentrations, the free energy required to hydrate the interior of the protein rises and it is this that stabilizes the protein structure.", "author" : [ { "dropping-particle" : "", "family" : "Bye", "given" : "J W", "non-dropping-particle" : "", "parse-names" : false, "suffix" : "" }, { "dropping-particle" : "", "family" : "Falconer", "given" : "R J", "non-dropping-particle" : "", "parse-names" : false, "suffix" : "" } ], "container-title" : "Journal of Physical Chemistry B", "id" : "ITEM-2", "issued" : { "date-parts" : [ [ "2014", "4", "24" ] ] }, "page" : "4282-4286", "title" : "Three stages of lysozyme thermal stabilization by high and medium charge density anions", "type" : "article-journal", "volume" : "118" }, "uris" : [ "http://www.mendeley.com/documents/?uuid=04df9c17-7b61-4cec-9b8c-296591f7406f" ] } ], "mendeley" : { "formattedCitation" : "(Bye &amp; Falconer 2013; Bye &amp; Falconer 2014)", "plainTextFormattedCitation" : "(Bye &amp; Falconer 2013; Bye &amp; Falconer 2014)", "previouslyFormattedCitation" : "(Bye &amp; Falconer 2013; Bye &amp; Falconer 2014)" }, "properties" : { "noteIndex" : 0 }, "schema" : "https://github.com/citation-style-language/schema/raw/master/csl-citation.json" }</w:instrText>
      </w:r>
      <w:r w:rsidR="00C552F2">
        <w:fldChar w:fldCharType="separate"/>
      </w:r>
      <w:r w:rsidR="00C552F2" w:rsidRPr="00C552F2">
        <w:rPr>
          <w:noProof/>
        </w:rPr>
        <w:t>(Bye &amp; Falconer 2013; Bye &amp; Falconer 2014)</w:t>
      </w:r>
      <w:r w:rsidR="00C552F2">
        <w:fldChar w:fldCharType="end"/>
      </w:r>
      <w:r w:rsidR="00C552F2">
        <w:t xml:space="preserve">. As a result more detailed stability trends were identified and specific molecular mechanisms revealed. </w:t>
      </w:r>
      <w:r w:rsidR="00BA5E35">
        <w:t>This approach was applied in this thesis to more complex molecules (i.e. amino acids), in order to explore whether the understanding of more complex systems could also benefit from a similar methodology.</w:t>
      </w:r>
    </w:p>
    <w:p w14:paraId="37375658" w14:textId="77777777" w:rsidR="00BA5E35" w:rsidRPr="007E4DC3" w:rsidRDefault="00BA5E35" w:rsidP="00021B71">
      <w:r>
        <w:t xml:space="preserve">The principal hypothesis </w:t>
      </w:r>
      <w:r w:rsidR="00F348A6">
        <w:t xml:space="preserve">was that arginine, and potentially other amino acids, affects protein thermal stability as an additive mixture of its functional groups. This hypothesis stemmed from historical studies in the cell biology field relating small organic molecule effects to structurally similar salts, and the commonly drawn parallel between arginine </w:t>
      </w:r>
      <w:r w:rsidR="00284190">
        <w:t>and guanidine hydrochloride</w:t>
      </w:r>
      <w:r w:rsidR="00F348A6">
        <w:t xml:space="preserve"> </w:t>
      </w:r>
      <w:r w:rsidR="00284190">
        <w:t xml:space="preserve">(GdnHCl) </w:t>
      </w:r>
      <w:r w:rsidR="00F348A6">
        <w:t>effects on proteins. The in depth DSC stability study</w:t>
      </w:r>
      <w:r w:rsidR="00F348A6" w:rsidRPr="00F348A6">
        <w:t xml:space="preserve"> on three model proteins</w:t>
      </w:r>
      <w:r w:rsidR="00F348A6">
        <w:t xml:space="preserve"> presented in Chapter 3 concluded that this was indeed the case, arginine affects protein thermal stability as an additive combination of its two major functional</w:t>
      </w:r>
      <w:r w:rsidR="00284190">
        <w:t xml:space="preserve"> groups: glycine and guanidinium (Gdn)</w:t>
      </w:r>
      <w:r w:rsidR="00F348A6">
        <w:t>. Further and more detailed key findings are discussed in the following section.</w:t>
      </w:r>
    </w:p>
    <w:p w14:paraId="60F8475B" w14:textId="77777777" w:rsidR="00C82B9F" w:rsidRDefault="00C82B9F" w:rsidP="00BF4DEE">
      <w:pPr>
        <w:pStyle w:val="Heading2"/>
      </w:pPr>
      <w:bookmarkStart w:id="279" w:name="_Toc485712821"/>
      <w:r>
        <w:t>Key findings</w:t>
      </w:r>
      <w:bookmarkEnd w:id="279"/>
    </w:p>
    <w:p w14:paraId="2FD662A6" w14:textId="77777777" w:rsidR="008D7C34" w:rsidRPr="008D7C34" w:rsidRDefault="008D7C34" w:rsidP="008D7C34">
      <w:pPr>
        <w:pStyle w:val="Heading3"/>
      </w:pPr>
      <w:bookmarkStart w:id="280" w:name="_Toc485712822"/>
      <w:r>
        <w:t>Chapter 3</w:t>
      </w:r>
      <w:r w:rsidR="008952E1">
        <w:t xml:space="preserve"> findings</w:t>
      </w:r>
      <w:bookmarkEnd w:id="280"/>
    </w:p>
    <w:p w14:paraId="4E93460E" w14:textId="77777777" w:rsidR="00F348A6" w:rsidRDefault="008D7C34" w:rsidP="008D7C34">
      <w:pPr>
        <w:pStyle w:val="Heading4"/>
      </w:pPr>
      <w:r>
        <w:t>Arginine affects protein stability as an additive mixture of its two major functional groups</w:t>
      </w:r>
    </w:p>
    <w:p w14:paraId="02F3796E" w14:textId="77777777" w:rsidR="00BF4DEE" w:rsidRPr="008D7C34" w:rsidRDefault="00BF4DEE" w:rsidP="008D7C34">
      <w:r>
        <w:t xml:space="preserve">As described above, the major conclusion from this thesis is that arginine acts like an additive combination of its two functional groups: glycine and </w:t>
      </w:r>
      <w:r w:rsidR="00284190">
        <w:t>Gdn</w:t>
      </w:r>
      <w:r>
        <w:t xml:space="preserve">. This means that arginine’s unique effects on proteins can be explained by the presence of both a stabilising and destabilising moiety on an arginine molecule, which counteract each other in an additive manner. Interestingly, it can </w:t>
      </w:r>
      <w:r w:rsidR="00774E58">
        <w:t xml:space="preserve">therefore be concluded that </w:t>
      </w:r>
      <w:r w:rsidR="001F523C">
        <w:t>the presence of a three carbon alkyl</w:t>
      </w:r>
      <w:r w:rsidR="00774E58">
        <w:t xml:space="preserve"> chain has very little influence on the effects of arginine on protein stability, nor does its larger size. Due to the detailed data at low cosolute concentration it has also become apparent that these molecules </w:t>
      </w:r>
      <w:r w:rsidR="00F14F27">
        <w:t xml:space="preserve">(glycine, </w:t>
      </w:r>
      <w:r w:rsidR="00284190">
        <w:t>GdnHCl</w:t>
      </w:r>
      <w:r w:rsidR="00F14F27">
        <w:t xml:space="preserve"> and arginine) </w:t>
      </w:r>
      <w:r w:rsidR="00774E58">
        <w:t>do not affect protein stability in a linear manner, but instead show two distinct concentration-dependent phases of stabilisation/destabilisation. The low concentration phase tends to be less severe and more protein-specific.</w:t>
      </w:r>
    </w:p>
    <w:p w14:paraId="51862B7B" w14:textId="77777777" w:rsidR="008D7C34" w:rsidRDefault="008D7C34" w:rsidP="008D7C34">
      <w:pPr>
        <w:pStyle w:val="Heading4"/>
      </w:pPr>
      <w:r>
        <w:t>Molecular mechanisms of arginine action on protein stability originate from both of its functional groups</w:t>
      </w:r>
    </w:p>
    <w:p w14:paraId="233EE235" w14:textId="77777777" w:rsidR="00774E58" w:rsidRPr="00774E58" w:rsidRDefault="00581169" w:rsidP="00774E58">
      <w:r>
        <w:t>The elucidation of the molecular mechanisms by which arginine affects protein stability has proven difficult in the past. By separating the complex molecule into its functional groups it has been possible to identify mechanisms originating from both t</w:t>
      </w:r>
      <w:r w:rsidR="005650AE">
        <w:t>he glycine moiety and the Gdn</w:t>
      </w:r>
      <w:r>
        <w:t xml:space="preserve"> moiety that counteract each other. The concentration-dependent and sometimes protein-specific </w:t>
      </w:r>
      <w:r w:rsidR="00A66998">
        <w:t xml:space="preserve">characteristics of the stability trends mean that singular mechanisms such as preferential interaction cannot explain arginine’s effects on protein stability. Instead </w:t>
      </w:r>
      <w:r w:rsidR="00F14F27">
        <w:t xml:space="preserve">a number of </w:t>
      </w:r>
      <w:r w:rsidR="00A66998">
        <w:t>more specific interactions involving cosolute, protein and water have been used to explain the various stability trends seen for glycine and GdnHCl, and applied to the trends for arginine.</w:t>
      </w:r>
      <w:r w:rsidR="005650AE">
        <w:t xml:space="preserve"> At high concentrations (100 mM) the principal mechanism of glycine stabilisation is ‘competition for water’, and the principal mechanism of GdnHCl destabilisation is through it being pushed onto apolar parts of the protein through strong water-water interactions. More specific direct interactions take place at low glycine concentrations between the cosolute and the protein.</w:t>
      </w:r>
    </w:p>
    <w:p w14:paraId="3E78D189" w14:textId="77777777" w:rsidR="008D7C34" w:rsidRPr="008D7C34" w:rsidRDefault="008D7C34" w:rsidP="008D7C34">
      <w:pPr>
        <w:pStyle w:val="Heading3"/>
      </w:pPr>
      <w:bookmarkStart w:id="281" w:name="_Toc485712823"/>
      <w:r>
        <w:t>Chapter 4</w:t>
      </w:r>
      <w:r w:rsidR="008952E1">
        <w:t xml:space="preserve"> findings</w:t>
      </w:r>
      <w:bookmarkEnd w:id="281"/>
    </w:p>
    <w:p w14:paraId="3C0B5D25" w14:textId="77777777" w:rsidR="008D7C34" w:rsidRDefault="008D7C34" w:rsidP="008D7C34">
      <w:pPr>
        <w:pStyle w:val="Heading4"/>
      </w:pPr>
      <w:r>
        <w:t xml:space="preserve">Mixtures of equimolar </w:t>
      </w:r>
      <w:r w:rsidR="00284190">
        <w:t xml:space="preserve">glycine &amp; GdnHCl </w:t>
      </w:r>
      <w:r>
        <w:t>affect protein thermal stability similarly to both arginine</w:t>
      </w:r>
      <w:r w:rsidR="00DE5A56">
        <w:t>,</w:t>
      </w:r>
      <w:r>
        <w:t xml:space="preserve"> and glycine and GdnHCl separately</w:t>
      </w:r>
    </w:p>
    <w:p w14:paraId="1B012F42" w14:textId="77777777" w:rsidR="00DE5A56" w:rsidRPr="00DE5A56" w:rsidRDefault="00DE5A56" w:rsidP="00DE5A56">
      <w:r>
        <w:t>There is currently no consensus in the literature on whether cosolute mixtures act additively or synergistically on pro</w:t>
      </w:r>
      <w:r w:rsidR="005650AE">
        <w:t>tein thermal stability, which has</w:t>
      </w:r>
      <w:r>
        <w:t xml:space="preserve"> important </w:t>
      </w:r>
      <w:r w:rsidR="005650AE">
        <w:t xml:space="preserve">implications </w:t>
      </w:r>
      <w:r>
        <w:t xml:space="preserve">for both pharmaceutical formulation design and cell biology. </w:t>
      </w:r>
      <w:r w:rsidR="001B53FD">
        <w:t xml:space="preserve">Equimolar mixtures of </w:t>
      </w:r>
      <w:r w:rsidR="00284190">
        <w:t>glycine and GdnHCl (</w:t>
      </w:r>
      <w:r w:rsidR="001B53FD">
        <w:t>Gly-Gdn</w:t>
      </w:r>
      <w:r w:rsidR="00284190">
        <w:t>)</w:t>
      </w:r>
      <w:r w:rsidR="001B53FD">
        <w:t xml:space="preserve"> have been shown to affect protein stability additively, with changes in melting temperature very similar to those seen for the same concentration of arginine and glycine and GdnHCl separately.</w:t>
      </w:r>
    </w:p>
    <w:p w14:paraId="177EB026" w14:textId="77777777" w:rsidR="008D7C34" w:rsidRDefault="008D7C34" w:rsidP="008D7C34">
      <w:pPr>
        <w:pStyle w:val="Heading4"/>
      </w:pPr>
      <w:r>
        <w:t>Altering concentrations of glycine</w:t>
      </w:r>
      <w:r w:rsidR="00B63756">
        <w:t xml:space="preserve"> and GdnHCl</w:t>
      </w:r>
      <w:r>
        <w:t xml:space="preserve"> in Gly-Gdn mixtures results in predictable effects on protein stability</w:t>
      </w:r>
    </w:p>
    <w:p w14:paraId="72386BFB" w14:textId="77777777" w:rsidR="00C83E57" w:rsidRPr="00C83E57" w:rsidRDefault="00C83E57" w:rsidP="00C83E57">
      <w:r>
        <w:t xml:space="preserve">The addition of higher concentrations of glycine resulted in increased thermal stability of the proteins studied compared to the absence of glycine at all GdnHCl concentrations. The higher the concentration of glycine added the larger the increase in stability, making </w:t>
      </w:r>
      <w:r w:rsidR="005650AE">
        <w:t>the effect of the mixture</w:t>
      </w:r>
      <w:r>
        <w:t xml:space="preserve"> predictable. This was proven by demonstrating that all changes in melting temperature measured were within 1 °C of those predicted for additive effects of the two cosolutes. Interestingly the additio</w:t>
      </w:r>
      <w:r w:rsidR="005650AE">
        <w:t>n of low concentrations of 5 mM</w:t>
      </w:r>
      <w:r>
        <w:t xml:space="preserve"> or 25 mM GdnHCl resulted in a larger increase in melting temperature than glycine alone at all glycine concentrations.</w:t>
      </w:r>
    </w:p>
    <w:p w14:paraId="799375A4" w14:textId="77777777" w:rsidR="00B45DC0" w:rsidRDefault="00B45DC0" w:rsidP="00B45DC0">
      <w:pPr>
        <w:pStyle w:val="Heading4"/>
      </w:pPr>
      <w:r>
        <w:t>Cosolute-cosolute interactions in a four component system have the potential to affect protein stability in a non-additive manner</w:t>
      </w:r>
    </w:p>
    <w:p w14:paraId="2914FF5A" w14:textId="77777777" w:rsidR="00C83E57" w:rsidRPr="00C83E57" w:rsidRDefault="0062398A" w:rsidP="00C83E57">
      <w:r>
        <w:t xml:space="preserve">Switching from a three component system of single cosolute, water and protein to a four component system containing two types of cosolute makes elucidation of mechanisms more complex. Although the effects of Gly-Gdn mixtures on protein stability were all shown to be very close to additive, there was a clear trend towards a synergistically stabilising effect on lysozyme, but not on BSA. This </w:t>
      </w:r>
      <w:r w:rsidR="005650AE">
        <w:t>can be</w:t>
      </w:r>
      <w:r>
        <w:t xml:space="preserve"> attributed to the positively charged Gdn</w:t>
      </w:r>
      <w:r w:rsidR="00284190">
        <w:t>HCl</w:t>
      </w:r>
      <w:r>
        <w:t xml:space="preserve"> having a slight preference for solvating glycine over the </w:t>
      </w:r>
      <w:r w:rsidR="005650AE">
        <w:t xml:space="preserve">positively charged </w:t>
      </w:r>
      <w:r>
        <w:t>protein, therefore slightly reducing its destabilising effects. BSA has a net negative charge, meaning Gdn</w:t>
      </w:r>
      <w:r w:rsidR="00284190">
        <w:t>HCl</w:t>
      </w:r>
      <w:r>
        <w:t xml:space="preserve"> still preferred to interact with BSA resulting in an additive effect of the mixture. This means that mixtures may need to be studied on a protein by protein basis rather than having completely predictable effects. However, in all cases studied in this chapter Gly-Gdn mixtures had either additive effects or effects that were more stabilising than predicted for additivity, meaning </w:t>
      </w:r>
      <w:r w:rsidR="004C4975">
        <w:t>they have potential utility as ‘designer excipients’.</w:t>
      </w:r>
      <w:r>
        <w:t xml:space="preserve"> </w:t>
      </w:r>
    </w:p>
    <w:p w14:paraId="2594F364" w14:textId="77777777" w:rsidR="008D7C34" w:rsidRDefault="008D7C34" w:rsidP="008D7C34">
      <w:pPr>
        <w:pStyle w:val="Heading3"/>
      </w:pPr>
      <w:bookmarkStart w:id="282" w:name="_Toc485712824"/>
      <w:r>
        <w:t>Chapter 5</w:t>
      </w:r>
      <w:r w:rsidR="008952E1">
        <w:t xml:space="preserve"> findings</w:t>
      </w:r>
      <w:bookmarkEnd w:id="282"/>
    </w:p>
    <w:p w14:paraId="5E4A190B" w14:textId="77777777" w:rsidR="001E3676" w:rsidRDefault="001E3676" w:rsidP="001E3676">
      <w:pPr>
        <w:pStyle w:val="Heading4"/>
      </w:pPr>
      <w:r>
        <w:t>Arginine forms large numbers of nanoparticle-size clusters in solution that increase in concentration at high concentrations (&gt;100 mM), but are unaffected by temperature</w:t>
      </w:r>
    </w:p>
    <w:p w14:paraId="5BAFB368" w14:textId="77777777" w:rsidR="00BE506C" w:rsidRPr="00BE506C" w:rsidRDefault="00BE506C" w:rsidP="00BE506C">
      <w:r>
        <w:t xml:space="preserve">Nanoparticle Tracking Analysis (NTA) has provided experimental evidence that arginine forms large clusters in solution, which supports numerous Molecular Dynamics </w:t>
      </w:r>
      <w:r w:rsidR="0058301C">
        <w:t xml:space="preserve">(MD) </w:t>
      </w:r>
      <w:r w:rsidR="00284190">
        <w:t>s</w:t>
      </w:r>
      <w:r>
        <w:t>imulations in the literature</w:t>
      </w:r>
      <w:r w:rsidR="0088666B">
        <w:t xml:space="preserve"> </w:t>
      </w:r>
      <w:r w:rsidR="0088666B">
        <w:fldChar w:fldCharType="begin" w:fldLock="1"/>
      </w:r>
      <w:r w:rsidR="00570275">
        <w:instrText>ADDIN CSL_CITATION { "citationItems" : [ { "id" : "ITEM-1", "itemData" : { "DOI" : "10.1021/jp108399g", "ISSN" : "1520-5207", "PMID" : "20925358", "abstract" : "Aqueous arginine solutions are used extensively for inhibiting protein aggregation. There are several theories proposed to explain the effect of arginine on protein stability, but the exact mechanism is still not clear. To understand the mechanism of protein cosolvent interaction, the intraprotein, protein-solvent, and intrasolvent interactions have to be understood. Molecular dynamics simulations of aqueous arginine solutions were carried out for experimentally accessible concentrations and temperature ranges to study the structure of the solution and its energetic properties and obtain insight into the mechanism by which arginine inhibits protein aggregation. Simulations of proteins (\u03b1-chymotrypsinogen A and melittin) were performed. Structurally, the most striking feature of the aqueous arginine solutions is the self-association of arginine molecules. Arginine shows a marked tendency to form clusters with head to tail hydrogen bonding. Due to the presence of the three charged groups, there are several possible configurations in which arginine molecules interact. At relatively high concentrations, these arginine clusters associate with other clusters and monomeric arginine molecules to form large clusters. The hydrogen bonds between arginine molecules were found to be stronger than those between arginine and water, which makes the process of self-association enthalpically favorable. From the simulation of the proteins in aqueous arginine solution, arginine is found to interact with the aromatic and charged side chains of surface residues. A probable mechanism of the effect of arginine on protein stability consistent with our findings is proposed. In particular, arginine interacts with aromatic and charged residues due to cation-\u03c0 interaction and salt-bridge formation, respectively, to stabilize the partially unfolded intermediates. The self-interaction of arginine leads to the formation of clusters which, due to their size, crowd out the protein-protein interaction. The mechanisms proposed in the literature are analyzed on the basis of the simulation results reported in this paper and recent experimental data.", "author" : [ { "dropping-particle" : "", "family" : "Shukla", "given" : "D", "non-dropping-particle" : "", "parse-names" : false, "suffix" : "" }, { "dropping-particle" : "", "family" : "Trout", "given" : "B L", "non-dropping-particle" : "", "parse-names" : false, "suffix" : "" } ], "container-title" : "Journal of Physical Chemistry B", "id" : "ITEM-1", "issued" : { "date-parts" : [ [ "2010", "10", "28" ] ] }, "page" : "13426-13438", "title" : "Interaction of arginine with proteins and the mechanism by which it inhibits aggregation", "type" : "article-journal", "volume" : "114" }, "uris" : [ "http://www.mendeley.com/documents/?uuid=dbec9b1d-1c9e-4add-bea5-97fc49a049c2" ] }, { "id" : "ITEM-2", "itemData" : { "DOI" : "10.1371/journal.pone.0001176", "ISSN" : "1932-6203", "PMID" : "18000547", "abstract" : "BACKGROUND: Aggregation of unfolded proteins occurs mainly through the exposed hydrophobic surfaces. Any mechanism of inhibition of this aggregation should explain the prevention of these hydrophobic interactions. Though arginine is prevalently used as an aggregation suppressor, its mechanism of action is not clearly understood. We propose a mechanism based on the hydrophobic interactions of arginine. METHODOLOGY: We have analyzed arginine solution for its hydrotropic effect by pyrene solubility and the presence of hydrophobic environment by 1-anilino-8-naphthalene sulfonic acid fluorescence. Mass spectroscopic analyses show that arginine forms molecular clusters in the gas phase and the cluster composition is dependent on the solution conditions. Light scattering studies indicate that arginine exists as clusters in solution. In the presence of arginine, the reverse phase chromatographic elution profile of Alzheimer's amyloid beta 1-42 (Abeta(1-42)) peptide is modified. Changes in the hydrodynamic volume of Abeta(1-42) in the presence of arginine measured by size exclusion chromatography show that arginine binds to Abeta(1-42). Arginine increases the solubility of Abeta(1-42) peptide in aqueous medium. It decreases the aggregation of Abeta(1-42) as observed by atomic force microscopy. CONCLUSIONS: Based on our experimental results we propose that molecular clusters of arginine in aqueous solutions display a hydrophobic surface by the alignment of its three methylene groups. The hydrophobic surfaces present on the proteins interact with the hydrophobic surface presented by the arginine clusters. The masking of hydrophobic surface inhibits protein-protein aggregation. This mechanism is also responsible for the hydrotropic effect of arginine on various compounds. It is also explained why other amino acids fail to inhibit the protein aggregation.", "author" : [ { "dropping-particle" : "", "family" : "Das", "given" : "U", "non-dropping-particle" : "", "parse-names" : false, "suffix" : "" }, { "dropping-particle" : "", "family" : "Hariprasad", "given" : "G", "non-dropping-particle" : "", "parse-names" : false, "suffix" : "" }, { "dropping-particle" : "", "family" : "Ethayathulla", "given" : "A S", "non-dropping-particle" : "", "parse-names" : false, "suffix" : "" }, { "dropping-particle" : "", "family" : "Manral", "given" : "P", "non-dropping-particle" : "", "parse-names" : false, "suffix" : "" }, { "dropping-particle" : "", "family" : "Das", "given" : "T K", "non-dropping-particle" : "", "parse-names" : false, "suffix" : "" }, { "dropping-particle" : "", "family" : "Pasha", "given" : "S", "non-dropping-particle" : "", "parse-names" : false, "suffix" : "" }, { "dropping-particle" : "", "family" : "Mann", "given" : "A", "non-dropping-particle" : "", "parse-names" : false, "suffix" : "" }, { "dropping-particle" : "", "family" : "Ganguli", "given" : "M", "non-dropping-particle" : "", "parse-names" : false, "suffix" : "" }, { "dropping-particle" : "", "family" : "Verma", "given" : "A K", "non-dropping-particle" : "", "parse-names" : false, "suffix" : "" }, { "dropping-particle" : "", "family" : "Bhat", "given" : "R", "non-dropping-particle" : "", "parse-names" : false, "suffix" : "" }, { "dropping-particle" : "", "family" : "Chandrayan", "given" : "S K", "non-dropping-particle" : "", "parse-names" : false, "suffix" : "" }, { "dropping-particle" : "", "family" : "Ahmed", "given" : "S", "non-dropping-particle" : "", "parse-names" : false, "suffix" : "" }, { "dropping-particle" : "", "family" : "Sharma", "given" : "S", "non-dropping-particle" : "", "parse-names" : false, "suffix" : "" }, { "dropping-particle" : "", "family" : "Kaur", "given" : "P", "non-dropping-particle" : "", "parse-names" : false, "suffix" : "" }, { "dropping-particle" : "", "family" : "Singh", "given" : "T P", "non-dropping-particle" : "", "parse-names" : false, "suffix" : "" }, { "dropping-particle" : "", "family" : "Srinivasan", "given" : "A", "non-dropping-particle" : "", "parse-names" : false, "suffix" : "" } ], "container-title" : "PloS One", "id" : "ITEM-2", "issued" : { "date-parts" : [ [ "2007", "1" ] ] }, "note" : "Experimental evidence of arginine forming molecular clusters displaying a hydrophobic surface by alignment of three methylene groups. Inhibition of aggregation caused by this hydrophobic surface interacting with hydrophobic surface on protein. Explains why other amino acids don't inhibit aggregation", "page" : "e1176", "title" : "Inhibition of protein aggregation: Supramolecular assemblies of arginine hold the key", "type" : "article-journal", "volume" : "2" }, "uris" : [ "http://www.mendeley.com/documents/?uuid=e4e8db8b-5276-44cd-91e1-05cdc67dc926" ] }, { "id" : "ITEM-3", "itemData" : { "DOI" : "10.1021/cb300440x", "ISSN" : "15548929", "PMID" : "23138654", "abstract" : "Arginine is one of the most prominent residues in protein interactions, and arginine hydrochloride is widely used as an additive in protein solutions because of its exceptional effects on protein association and folding. The molecular origins of arginine effects on protein processes remain, however, controversial, and little is known about the molecular interactions between arginine cations and protein surfaces in aqueous arginine solutions. In this study, we report a unique biochemical phenomenon whereby clusters of arginine cations (Arg(+)) are associated with a protein surface. The formation of protein-associated Arg(+) clusters is initiated by Arg(+) ions that associate with specific protein surface loci through cooperative interactions with protein guanidinium and carboxyl groups. Molecular dynamics simulations indicate that protein-associated Arg(+) ions subsequently attract other Arg(+) ions and form dynamic cation clusters that extend further than 10 \u00c5 from the protein surface. The effects of arginine on the thermal stability and size of lysozyme and ovalbumin are measured over a wide concentration range (0 to 2 M), and we find that the formation of protein-associated Arg(+) clusters consistently explains the complex effects of arginine on protein stability and size. This study elucidates the molecular mechanisms and implications of cluster formation of Arg(+) ions at a protein surface, and the findings of this study may be used to manipulate synthetic and biological systems through arginine-derived groups.", "author" : [ { "dropping-particle" : "", "family" : "Vagenende", "given" : "V", "non-dropping-particle" : "", "parse-names" : false, "suffix" : "" }, { "dropping-particle" : "", "family" : "Han", "given" : "A X", "non-dropping-particle" : "", "parse-names" : false, "suffix" : "" }, { "dropping-particle" : "", "family" : "Mueller", "given" : "M", "non-dropping-particle" : "", "parse-names" : false, "suffix" : "" }, { "dropping-particle" : "", "family" : "Trout", "given" : "B L", "non-dropping-particle" : "", "parse-names" : false, "suffix" : "" } ], "container-title" : "ACS Chemical Biology", "id" : "ITEM-3", "issued" : { "date-parts" : [ [ "2013" ] ] }, "page" : "416-422", "title" : "Protein-associated cation clusters in aqueous arginine solutions and their effects on protein stability and size", "type" : "article-journal", "volume" : "8" }, "uris" : [ "http://www.mendeley.com/documents/?uuid=1b8af2ac-8920-4412-a424-6595a3d7e71c" ] } ], "mendeley" : { "formattedCitation" : "(Shukla &amp; Trout 2010; Das et al. 2007; Vagenende et al. 2013)", "plainTextFormattedCitation" : "(Shukla &amp; Trout 2010; Das et al. 2007; Vagenende et al. 2013)", "previouslyFormattedCitation" : "(Shukla &amp; Trout 2010; Das et al. 2007; Vagenende et al. 2013)" }, "properties" : { "noteIndex" : 0 }, "schema" : "https://github.com/citation-style-language/schema/raw/master/csl-citation.json" }</w:instrText>
      </w:r>
      <w:r w:rsidR="0088666B">
        <w:fldChar w:fldCharType="separate"/>
      </w:r>
      <w:r w:rsidR="0088666B" w:rsidRPr="0088666B">
        <w:rPr>
          <w:noProof/>
        </w:rPr>
        <w:t>(Shukla &amp; Trout 2010; Das et al. 2007; Vagenende et al. 2013)</w:t>
      </w:r>
      <w:r w:rsidR="0088666B">
        <w:fldChar w:fldCharType="end"/>
      </w:r>
      <w:r>
        <w:t xml:space="preserve">. These clusters substantially increase in concentration above 100 mM arginine, are relatively unaffected by an increase in temperature (25-50 °C) and do not vary considerably in size with changes in concentration or temperature. The arginine cluster concentration follows the same two phase concentration-dependent trend as the arginine effects on protein thermal stability. However, </w:t>
      </w:r>
      <w:r w:rsidR="00805093">
        <w:t xml:space="preserve">due to arginine acting like an additive mixture of the glycine and Gdn functional groups it seems unlikely that the formation of clusters will affect </w:t>
      </w:r>
      <w:r w:rsidR="00103FA4">
        <w:t>the mechanisms of arginine action on protein stability</w:t>
      </w:r>
      <w:r w:rsidR="00805093">
        <w:t>.</w:t>
      </w:r>
    </w:p>
    <w:p w14:paraId="7E8272A5" w14:textId="77777777" w:rsidR="001E3676" w:rsidRDefault="001E3676" w:rsidP="001E3676">
      <w:pPr>
        <w:pStyle w:val="Heading4"/>
      </w:pPr>
      <w:r>
        <w:t>Addition of equimolar sodium chloride screens most, but not all, arginine clusters</w:t>
      </w:r>
    </w:p>
    <w:p w14:paraId="6D752A49" w14:textId="77777777" w:rsidR="00805093" w:rsidRPr="00805093" w:rsidRDefault="00805093" w:rsidP="00805093">
      <w:r>
        <w:t>At both low (50 mM) and high (500 mM) arginine concentrations the addition of equimolar sodium chloride (NaCl)</w:t>
      </w:r>
      <w:r w:rsidR="0058301C">
        <w:t xml:space="preserve"> resulted in much lower cluster concentrations, meaning NaCl screens most, but not all, arginine clusters. This has led to the conclusion that at least some of the interactions involved in cluster formation are electrostatic, and based on previous MD simulations this is likely to be head-to-tail stacking between the positively charged Gdn group and the negatively charged carboxylate group. Due to the fact that some arginine clusters were still formed in the presence of NaCl it was assumed that other interactions must also contribute to arginine cluster formation.</w:t>
      </w:r>
    </w:p>
    <w:p w14:paraId="42E42695" w14:textId="77777777" w:rsidR="00805093" w:rsidRDefault="00805093" w:rsidP="00805093">
      <w:pPr>
        <w:pStyle w:val="Heading4"/>
      </w:pPr>
      <w:r>
        <w:t>Both lysine and GdnHCl also form nanoparticle-size clusters in solution, although to a lesser extent than arginine</w:t>
      </w:r>
    </w:p>
    <w:p w14:paraId="45A909E8" w14:textId="77777777" w:rsidR="00284190" w:rsidRPr="00284190" w:rsidRDefault="00284190" w:rsidP="00284190">
      <w:r>
        <w:t xml:space="preserve">Poly-lysine had been shown in the literature to not form clusters in solution but here it was shown that lysine does in fact form clusters in solution, although at a lower concentration than arginine. This gives further evidence that head-to-tail interactions between a positively charged side chain group and the negatively charged carboxylate group are responsible for the majority of arginine’s clustering behaviour. Interestingly, despite electrostatic repulsion, GdnHCl was also shown to form clusters in solution, although the concentration of these was low. </w:t>
      </w:r>
      <w:r w:rsidR="001046E0">
        <w:t>Similar</w:t>
      </w:r>
      <w:r w:rsidR="00563954">
        <w:t xml:space="preserve"> to the mechanisms of GdnHCl interacting with the apolar core of the protein, GdnHCl self-association is probably due to the stacking of its weakly hydrated planar face due to strong water-water interactions</w:t>
      </w:r>
      <w:r w:rsidR="001046E0">
        <w:t xml:space="preserve"> </w:t>
      </w:r>
      <w:r w:rsidR="001046E0">
        <w:fldChar w:fldCharType="begin" w:fldLock="1"/>
      </w:r>
      <w:r w:rsidR="00FF6FB8">
        <w:instrText>ADDIN CSL_CITATION { "citationItems" : [ { "id" : "ITEM-1", "itemData" : { "DOI" : "10.1073/pnas.92.12.5553", "ISSN" : "0027-8424", "PMID" : "7539920", "abstract" : "Aqueous gel sieving chromatography on Sephadex G-10 of the Group IA cations (Li+, Na+, K+, Rb+, Cs+) plus NH4+ as the Cl- salts, in combination with previous results for the halide anions (F-, Cl-, Br-, I-) as the Na+ salts [Washabaugh, M.W. &amp; Collins, K.D. (1986) J. Biol. Chem. 261, 12477-12485], leads to the following conclusions. (i) The small monovalent ions (Li+, Na+, F-) flow through the gel with water molecules attached, whereas the large monovalent ions (K+, Rb+, Cs+, Cl-, Br-, I-) adsorb to the nonpolar surface of the gel, a process requiring partial dehydration of the ion and implying that these ions bind the immediately adjacent water molecules weakly. (ii) The transition from strong to weak hydration occurs at a radius of about 1.78 A for the monovalent anions, compared with a radius of about 1.06 A for the monovalent cations (using ionic radii), indicating that the anions are more strongly hydrated than the cations for a given charge density. (iii) The anions show larger deviations from ideal behavior (an elution position corresponding to the anhydrous molecular weight) than do the cations and dominate the chromatographic behavior of the neutral salts. These results are interpreted to mean that weakly hydrated ions (chaotropes) are \"pushed\" onto weakly hydrated surfaces by strong water-water interactions and that the transition from strong ionic hydration to weak ionic hydration occurs where the strength of ion-water interactions approximately equals the strength of water-water interactions in bulk solution.", "author" : [ { "dropping-particle" : "", "family" : "Collins", "given" : "K D", "non-dropping-particle" : "", "parse-names" : false, "suffix" : "" } ], "container-title" : "Proceedings of the National Academy of Sciences of the United States of America", "id" : "ITEM-1", "issued" : { "date-parts" : [ [ "1995" ] ] }, "page" : "5553-5557", "title" : "Sticky ions in biological systems", "type" : "article-journal", "volume" : "92" }, "uris" : [ "http://www.mendeley.com/documents/?uuid=0946f1f7-9d90-41a6-bccc-8475b46985cb" ] }, { "id" : "ITEM-2", "itemData" : { "DOI" : "10.1073/pnas.0735920100", "ISBN" : "0027-8424", "ISSN" : "0027-8424", "PMID" : "12684536", "abstract" : "Neutron diffraction experiments were carried out on aqueous solutions containing either guanidinium or thiocyanate ions. The first-order difference method of neutron diffraction and isotopic substitution was applied, and the hydration structures of two of nature's strongest denaturant ions were determined. Each ion is shown to interact weakly with water: Guanidinium has no recognizable hydration shell and is one of the most weakly hydrated cations yet characterized. Hydration of thiocyanate is characterized by a low coordination number involving around one hydrogen-bonded water molecule and approximately two water molecules weakly interacting through \"hydration bonds.\" The weak hydration of these denaturant ions strongly supports suggestions that a major contribution to the denaturant effect is the preferential interaction of the denaturant with the protein surface. By contrast, solute species such as many sugars and related polyols that stabilize proteins are strongly hydrated and are thus preferentially retained in the bulk solvent and excluded from the protein surface.", "author" : [ { "dropping-particle" : "", "family" : "Mason", "given" : "P E", "non-dropping-particle" : "", "parse-names" : false, "suffix" : "" }, { "dropping-particle" : "", "family" : "Neilson", "given" : "G W", "non-dropping-particle" : "", "parse-names" : false, "suffix" : "" }, { "dropping-particle" : "", "family" : "Dempsey", "given" : "C E", "non-dropping-particle" : "", "parse-names" : false, "suffix" : "" }, { "dropping-particle" : "", "family" : "Barnes", "given" : "a C", "non-dropping-particle" : "", "parse-names" : false, "suffix" : "" }, { "dropping-particle" : "", "family" : "Cruickshank", "given" : "J M", "non-dropping-particle" : "", "parse-names" : false, "suffix" : "" } ], "container-title" : "Proceedings of the National Academy of Sciences of the United States of America", "id" : "ITEM-2", "issued" : { "date-parts" : [ [ "2003" ] ] }, "page" : "4557-4561", "title" : "The hydration structure of guanidinium and thiocyanate ions: implications for protein stability in aqueous solution", "type" : "article-journal", "volume" : "100" }, "uris" : [ "http://www.mendeley.com/documents/?uuid=fccb80eb-7117-4ad4-802b-afe82b067ce7" ] } ], "mendeley" : { "formattedCitation" : "(Collins 1995; Mason et al. 2003)", "plainTextFormattedCitation" : "(Collins 1995; Mason et al. 2003)", "previouslyFormattedCitation" : "(Collins 1995; Mason et al. 2003)" }, "properties" : { "noteIndex" : 0 }, "schema" : "https://github.com/citation-style-language/schema/raw/master/csl-citation.json" }</w:instrText>
      </w:r>
      <w:r w:rsidR="001046E0">
        <w:fldChar w:fldCharType="separate"/>
      </w:r>
      <w:r w:rsidR="001046E0" w:rsidRPr="001046E0">
        <w:rPr>
          <w:noProof/>
        </w:rPr>
        <w:t>(Collins 1995; Mason et al. 2003)</w:t>
      </w:r>
      <w:r w:rsidR="001046E0">
        <w:fldChar w:fldCharType="end"/>
      </w:r>
      <w:r w:rsidR="00563954">
        <w:t>. The tendency for GdnHCl to self-associate explains arginine’s increased cluster formation compared to lysine.</w:t>
      </w:r>
    </w:p>
    <w:p w14:paraId="00EDD2B7" w14:textId="77777777" w:rsidR="008D7C34" w:rsidRDefault="008D7C34" w:rsidP="008D7C34">
      <w:pPr>
        <w:pStyle w:val="Heading3"/>
      </w:pPr>
      <w:bookmarkStart w:id="283" w:name="_Toc485712825"/>
      <w:r>
        <w:t>Chapter 6</w:t>
      </w:r>
      <w:r w:rsidR="008952E1">
        <w:t xml:space="preserve"> findings</w:t>
      </w:r>
      <w:bookmarkEnd w:id="283"/>
    </w:p>
    <w:p w14:paraId="3EB96A42" w14:textId="77777777" w:rsidR="001E3676" w:rsidRDefault="001E3676" w:rsidP="001E3676">
      <w:pPr>
        <w:pStyle w:val="Heading4"/>
      </w:pPr>
      <w:r>
        <w:t>All positively charged amino acids act on protein stability via their two functional groups</w:t>
      </w:r>
    </w:p>
    <w:p w14:paraId="6A2E2D28" w14:textId="77777777" w:rsidR="00624EF5" w:rsidRPr="00624EF5" w:rsidRDefault="00C75A48" w:rsidP="00624EF5">
      <w:r>
        <w:t>Similar DSC experiments to Chapter 3 separated lysine and histidine into their functional groups to test the hypothesis that all positively charged amino acids affect protein thermal stability through a combination of glycine and their respective side chain functional groups. This hypothesis was proven for both lysine and histidine through comparison to methylamine hydrochloride and imidazole along with the glycine data from Chapter 3.</w:t>
      </w:r>
    </w:p>
    <w:p w14:paraId="08875244" w14:textId="77777777" w:rsidR="001E3676" w:rsidRDefault="001E3676" w:rsidP="001E3676">
      <w:pPr>
        <w:pStyle w:val="Heading4"/>
      </w:pPr>
      <w:r>
        <w:t xml:space="preserve">All positively charged amino acids </w:t>
      </w:r>
      <w:r w:rsidR="00B979C0">
        <w:t>demonstrate two distinct concentration-dependent phases of protein stabilisation/destabilisation</w:t>
      </w:r>
    </w:p>
    <w:p w14:paraId="4A6BC269" w14:textId="77777777" w:rsidR="00C75A48" w:rsidRPr="00C75A48" w:rsidRDefault="00C75A48" w:rsidP="00C75A48">
      <w:r>
        <w:t xml:space="preserve">Similar to the arginine data in Chapter 3, both lysine and histidine, along with their functional side chain groups, demonstrate a two stage effect on protein thermal stability. This adds further proof that singular mechanisms are unable to explain small molecules’ effects on protein stability. </w:t>
      </w:r>
      <w:r w:rsidR="00DF5586">
        <w:t>Once again all the cosolutes studied in this chapter have protein-specific effects at low concentrations that result in slight stabilisation or destabilisation. Above 50-100 mM all cosolutes studied had more pronounced effects on protein thermal stability.</w:t>
      </w:r>
    </w:p>
    <w:p w14:paraId="230E0978" w14:textId="77777777" w:rsidR="00B979C0" w:rsidRDefault="00B979C0" w:rsidP="00B979C0">
      <w:pPr>
        <w:pStyle w:val="Heading4"/>
      </w:pPr>
      <w:r>
        <w:t>The mechanisms of the effects of lysine and histidine on protein thermal stability originate from a combination of glycine and functional side chain groups but are different</w:t>
      </w:r>
    </w:p>
    <w:p w14:paraId="6C8DF378" w14:textId="77777777" w:rsidR="00BE1239" w:rsidRPr="00BE1239" w:rsidRDefault="00BE1239" w:rsidP="00BE1239">
      <w:r>
        <w:t>Similar to arginine, the mechanisms governing lysine and histidine effects on protein thermal stability can be separated into mechanisms originating from the glycine moiety and mechanisms originating from the side chain functional group. However the mechanisms originating from the side chain functional groups differ depending on the amino acid in question. In particular, both lysine and histidine’s side chain mechanisms caused additional protein-specific effects at low cosolute concentrations, whereas arginine’</w:t>
      </w:r>
      <w:r w:rsidR="00103FA4">
        <w:t>s</w:t>
      </w:r>
      <w:r>
        <w:t xml:space="preserve"> side chain mechanisms did not. Furthermore, only lysine demonstrated protein-specific destabilisation at higher concentrations originating from its side chain methylamine HCl, whereas the other amino acids had universally destabilising effects on the proteins studied.</w:t>
      </w:r>
    </w:p>
    <w:p w14:paraId="1CC2293F" w14:textId="77777777" w:rsidR="00C82B9F" w:rsidRDefault="00C82B9F" w:rsidP="00624EF5">
      <w:pPr>
        <w:pStyle w:val="Heading2"/>
      </w:pPr>
      <w:bookmarkStart w:id="284" w:name="_Toc485712826"/>
      <w:r>
        <w:t>Implications</w:t>
      </w:r>
      <w:bookmarkEnd w:id="284"/>
    </w:p>
    <w:p w14:paraId="5FB52A08" w14:textId="77777777" w:rsidR="00DD2BEA" w:rsidRDefault="00DD2BEA" w:rsidP="003D343C">
      <w:pPr>
        <w:pStyle w:val="Heading3"/>
      </w:pPr>
      <w:bookmarkStart w:id="285" w:name="_Toc485712827"/>
      <w:r>
        <w:t>Implications for the pharmaceutical industry</w:t>
      </w:r>
      <w:bookmarkEnd w:id="285"/>
    </w:p>
    <w:p w14:paraId="441A4E12" w14:textId="77777777" w:rsidR="003D343C" w:rsidRDefault="005B7ECF" w:rsidP="003D343C">
      <w:r>
        <w:t>The entirety of the work in this thesis has a number of important implications for the pharmaceutical industry, particularly with regards to formulation design for therapeutic proteins. Arginine is widely used as an excipient for increasing solubi</w:t>
      </w:r>
      <w:r w:rsidR="00A47DDD">
        <w:t>lity and preventing aggregation, due to its presumed ability to have neutral effects on stability</w:t>
      </w:r>
      <w:r w:rsidR="005350CC">
        <w:t xml:space="preserve"> </w:t>
      </w:r>
      <w:r w:rsidR="005350CC">
        <w:fldChar w:fldCharType="begin" w:fldLock="1"/>
      </w:r>
      <w:r w:rsidR="00C745FC">
        <w:instrText>ADDIN CSL_CITATION { "citationItems" : [ { "id" : "ITEM-1", "itemData" : { "DOI" : "10.1007/s00726-007-0506-3", "ISBN" : "0072600705", "ISSN" : "1438-2199", "PMID" : "17357829", "abstract" : "Amino acids are widely used in biotechnology applications. Since amino acids are natural compounds, they can be safely used in pharmaceutical applications, e.g., as a solvent additive for protein purification and as an excipient for protein formulations. At high concentrations, certain amino acids are found to raise intra-cellular osmotic pressure and adjust to the high salt concentrations of the surrounding medium. They are called \"compatible solutes\", since they do not affect macromolecular function. Not only are they needed to increase the osmotic pressure, they are known to increase the stability of the proteins. Sucrose, glycerol and certain amino acids were used to enhance the stability of unstable proteins after isolation from natural environments. The mechanism of the action of these protein-stabilizing amino acids is relatively well understood. On the contrary, arginine was accidentally discovered as a useful reagent for assisting in the refolding of recombinant proteins. This effect of arginine was ascribed to its ability to suppress aggregation of the proteins during refolding, thereby increasing refolding efficiency. By the same mechanism, arginine now finds much wider applications than previously anticipated in the research and development of proteins, in particular in pharmaceutical applications. For example, arginine solubilizes proteins from loose inclusion bodies, resulting in efficient production of active proteins. Arginine suppresses protein-protein interactions in solution and also non-specific adsorption to gel permeation chromatography columns. Arginine facilitates elution of bound proteins from various column resins, including Protein-A or dye affinity columns and hydrophobic interaction columns. This review covers various biotechnology applications of amino acids, in particular arginine.", "author" : [ { "dropping-particle" : "", "family" : "Arakawa", "given" : "T", "non-dropping-particle" : "", "parse-names" : false, "suffix" : "" }, { "dropping-particle" : "", "family" : "Tsumoto", "given" : "K", "non-dropping-particle" : "", "parse-names" : false, "suffix" : "" }, { "dropping-particle" : "", "family" : "Kita", "given" : "Y", "non-dropping-particle" : "", "parse-names" : false, "suffix" : "" }, { "dropping-particle" : "", "family" : "Chang", "given" : "B", "non-dropping-particle" : "", "parse-names" : false, "suffix" : "" }, { "dropping-particle" : "", "family" : "Ejima", "given" : "D", "non-dropping-particle" : "", "parse-names" : false, "suffix" : "" } ], "container-title" : "Amino Acids", "id" : "ITEM-1", "issued" : { "date-parts" : [ [ "2007", "11" ] ] }, "page" : "587-605", "title" : "Biotechnology applications of amino acids in protein purification and formulations", "type" : "article-journal", "volume" : "33" }, "uris" : [ "http://www.mendeley.com/documents/?uuid=29ec20f0-56a1-4437-99b3-8d21c1daaafe" ] } ], "mendeley" : { "formattedCitation" : "(Arakawa, Tsumoto, et al. 2007)", "plainTextFormattedCitation" : "(Arakawa, Tsumoto, et al. 2007)", "previouslyFormattedCitation" : "(Arakawa, Tsumoto, et al. 2007)" }, "properties" : { "noteIndex" : 0 }, "schema" : "https://github.com/citation-style-language/schema/raw/master/csl-citation.json" }</w:instrText>
      </w:r>
      <w:r w:rsidR="005350CC">
        <w:fldChar w:fldCharType="separate"/>
      </w:r>
      <w:r w:rsidR="005350CC" w:rsidRPr="005350CC">
        <w:rPr>
          <w:noProof/>
        </w:rPr>
        <w:t>(Arakawa, Tsumoto, et al. 2007)</w:t>
      </w:r>
      <w:r w:rsidR="005350CC">
        <w:fldChar w:fldCharType="end"/>
      </w:r>
      <w:r w:rsidR="00A47DDD">
        <w:t xml:space="preserve">. Here arginine is shown to have protein-specific effects on stability at low concentrations, and destabilising effects at high concentrations. Whilst these effects are not enough to denature the protein at room temperature, caution must be taken in using arginine as a ‘cure-all’ excipient without prior knowledge of its effects on the stability of a particular protein. </w:t>
      </w:r>
      <w:r w:rsidR="00103FA4">
        <w:t>However, this work also provides</w:t>
      </w:r>
      <w:r w:rsidR="00A47DDD">
        <w:t xml:space="preserve"> evidence of potential mechanisms of arginine action on protein stability, making its effects more predictable.</w:t>
      </w:r>
    </w:p>
    <w:p w14:paraId="4031E839" w14:textId="77777777" w:rsidR="00A47DDD" w:rsidRDefault="00A47DDD" w:rsidP="003D343C">
      <w:r>
        <w:t xml:space="preserve">The confirmation that the positively charged amino acids act like a combination of their functional groups on protein stability provides evidence that ‘designer excipients’ are a possibility, whereby bespoke ratios of functional groups are used in place of the original excipient in order to provide the specific effects required for a particular formulation. This was explored further in Chapter 4, and Gly-Gdn mixtures were shown to have very close to additive effects on protein stability, with increased glycine concentrations increasing protein stability further, </w:t>
      </w:r>
      <w:r w:rsidR="00103FA4">
        <w:t>even in the presence of GdnHCl.</w:t>
      </w:r>
    </w:p>
    <w:p w14:paraId="55A6AAD2" w14:textId="77777777" w:rsidR="006C6FF2" w:rsidRPr="003D343C" w:rsidRDefault="006C6FF2" w:rsidP="003D343C">
      <w:r>
        <w:t>Certain cosolutes studied, which are often used by the pharmaceutical industry, had unexpected effects on protein stability. Glycine is often used as a stabilising excipient</w:t>
      </w:r>
      <w:r w:rsidR="00C745FC">
        <w:t xml:space="preserve"> </w:t>
      </w:r>
      <w:r w:rsidR="00C745FC">
        <w:fldChar w:fldCharType="begin" w:fldLock="1"/>
      </w:r>
      <w:r w:rsidR="00C745FC">
        <w:instrText>ADDIN CSL_CITATION { "citationItems" : [ { "id" : "ITEM-1", "itemData" : { "DOI" : "10.1517/17425240903199143", "ISSN" : "1744-7593", "PMID" : "19678792", "abstract" : "In the area of peptide and protein pharmaceuticals, both the physical and chemical stability of biopharmaceuticals are critical and need to be optimised when formulating a drug product, in order to optimise the outcome after processing and storage. This review focuses on the effects on the stability from various types of excipient and the choices that have to be made during formulation of drug products containing peptides or proteins. It is illustrated, through examples, how the choice of one excipient over another can affect the stability of a protein drug formulation, along with other problems linked to this choice. The excipients used in pharmaceutical preparations are limited and from an academic point of view there is a clear requirement for new excipients.", "author" : [ { "dropping-particle" : "", "family" : "Jorgensen", "given" : "L", "non-dropping-particle" : "", "parse-names" : false, "suffix" : "" }, { "dropping-particle" : "", "family" : "Hostrup", "given" : "S", "non-dropping-particle" : "", "parse-names" : false, "suffix" : "" }, { "dropping-particle" : "", "family" : "Moeller", "given" : "E H", "non-dropping-particle" : "", "parse-names" : false, "suffix" : "" }, { "dropping-particle" : "", "family" : "Grohganz", "given" : "H", "non-dropping-particle" : "", "parse-names" : false, "suffix" : "" } ], "container-title" : "Expert Opinion on Drug Delivery", "id" : "ITEM-1", "issued" : { "date-parts" : [ [ "2009", "11" ] ] }, "page" : "1219-1230", "title" : "Recent trends in stabilising peptides and proteins in pharmaceutical formulation - considerations in the choice of excipients", "type" : "article-journal", "volume" : "6" }, "uris" : [ "http://www.mendeley.com/documents/?uuid=8bf98923-ee81-40e1-a96a-6352403ea5bb" ] } ], "mendeley" : { "formattedCitation" : "(Jorgensen et al. 2009)", "plainTextFormattedCitation" : "(Jorgensen et al. 2009)", "previouslyFormattedCitation" : "(Jorgensen et al. 2009)" }, "properties" : { "noteIndex" : 0 }, "schema" : "https://github.com/citation-style-language/schema/raw/master/csl-citation.json" }</w:instrText>
      </w:r>
      <w:r w:rsidR="00C745FC">
        <w:fldChar w:fldCharType="separate"/>
      </w:r>
      <w:r w:rsidR="00C745FC" w:rsidRPr="00C745FC">
        <w:rPr>
          <w:noProof/>
        </w:rPr>
        <w:t>(Jorgensen et al. 2009)</w:t>
      </w:r>
      <w:r w:rsidR="00C745FC">
        <w:fldChar w:fldCharType="end"/>
      </w:r>
      <w:r>
        <w:t>, yet at low concentrations, which are those commonly used in formulations, it had protein-specific effects resulting in the destabilisation of myoglobin. If cosolutes are shown to have protein stabilising effects at high concentrations it cannot be assumed that they also stabilise at low concentrations. Imidazole is a cosolute often used in the purification of his-tagged proteins</w:t>
      </w:r>
      <w:r w:rsidR="00C745FC">
        <w:t xml:space="preserve"> </w:t>
      </w:r>
      <w:r w:rsidR="00C745FC">
        <w:fldChar w:fldCharType="begin" w:fldLock="1"/>
      </w:r>
      <w:r w:rsidR="001046E0">
        <w:instrText>ADDIN CSL_CITATION { "citationItems" : [ { "id" : "ITEM-1", "itemData" : { "DOI" : "10.1089/153685903771797048", "ISBN" : "1536-8599 (Print)\\n1536-8599 (Linking)", "ISSN" : "1536-8599", "PMID" : "14683594", "abstract" : "A number of studies have demonstrated the limited solubility of single-chain Fv antibody fragments and its improvement by genetic engineering. This limits the stability of recombinant protein upon storage and the efficiency of chemical modification. The RAFT3 scFv used in the present work is specific for melanoma-associated proteoglycan and an attractive candidate for clinical radioimaging studies because of its unusual radiolabelling properties. However, when expressed with a c-terminal his(6) IMAC purification tag, the recombinant protein starts to precipitate after column elution and dialysis against PBS and reaches a concentration of soluble protein of approximately 150 microg/mL within a few days upon storage at 4 degrees C. We tested several commonly used buffer modifications (addition of detergents, high salt, amino acids) to improve the solubility and stability of the protein but without any major improvement. However, we found that, when the final dialysis step was omitted and the protein left in IMAC column elution buffer (PBS containing imidazole), it remained soluble. Furthermore, several months old and precipitated protein could be redissolved in this buffer without loss of antigen binding. This observation and the largely pH-independent nature of protein solubility suggest that neither salt bridges formed by the his(6) tail nor cross-linking of his(6) tails mediated by metal ions leached from the column during elution are responsible for the limited solubility of the protein in the absence of imidazole. The presence of imidazole did not interfere with radiolabelling and in vivo tumor targeting in a mouse model. The solubilizing and stabilizing effect of imidazole could be of use for his(6) tagged and poorly soluble recombinant proteins other than scFvs.", "author" : [ { "dropping-particle" : "", "family" : "Hamilton", "given" : "S", "non-dropping-particle" : "", "parse-names" : false, "suffix" : "" }, { "dropping-particle" : "", "family" : "Odili", "given" : "J", "non-dropping-particle" : "", "parse-names" : false, "suffix" : "" }, { "dropping-particle" : "", "family" : "Pacifico", "given" : "M D", "non-dropping-particle" : "", "parse-names" : false, "suffix" : "" }, { "dropping-particle" : "", "family" : "Wilson", "given" : "G D", "non-dropping-particle" : "", "parse-names" : false, "suffix" : "" }, { "dropping-particle" : "", "family" : "Kupsch", "given" : "J M", "non-dropping-particle" : "", "parse-names" : false, "suffix" : "" } ], "container-title" : "Hybridoma and Hybridomics", "id" : "ITEM-1", "issued" : { "date-parts" : [ [ "2003" ] ] }, "page" : "347-355", "title" : "Effect of imidazole on the solubility of a his-tagged antibody fragment", "type" : "article-journal", "volume" : "22" }, "uris" : [ "http://www.mendeley.com/documents/?uuid=c77dcd01-1a36-41fb-bc98-8e5b680c8513" ] } ], "mendeley" : { "formattedCitation" : "(Hamilton et al. 2003)", "plainTextFormattedCitation" : "(Hamilton et al. 2003)", "previouslyFormattedCitation" : "(Hamilton et al. 2003)" }, "properties" : { "noteIndex" : 0 }, "schema" : "https://github.com/citation-style-language/schema/raw/master/csl-citation.json" }</w:instrText>
      </w:r>
      <w:r w:rsidR="00C745FC">
        <w:fldChar w:fldCharType="separate"/>
      </w:r>
      <w:r w:rsidR="00C745FC" w:rsidRPr="00C745FC">
        <w:rPr>
          <w:noProof/>
        </w:rPr>
        <w:t>(Hamilton et al. 2003)</w:t>
      </w:r>
      <w:r w:rsidR="00C745FC">
        <w:fldChar w:fldCharType="end"/>
      </w:r>
      <w:r>
        <w:t>, and has been considered for use in solubilising buffers for insoluble proteins. However, here it was shown to be a more potent destabiliser than GdnHCl, meaning it is unsuitable for use in buffers of therapeutic proteins.</w:t>
      </w:r>
      <w:r w:rsidR="006A7946">
        <w:t xml:space="preserve"> The amino acids lysine an</w:t>
      </w:r>
      <w:r w:rsidR="00103FA4">
        <w:t>d histidine</w:t>
      </w:r>
      <w:r w:rsidR="006A7946">
        <w:t xml:space="preserve"> also had the capacity to destabilise proteins at high concentrations, and sometimes at low concentrations too, bringing their utility as ‘stabilising excipients’ into question.</w:t>
      </w:r>
    </w:p>
    <w:p w14:paraId="75F42B81" w14:textId="77777777" w:rsidR="00DD2BEA" w:rsidRDefault="00DD2BEA" w:rsidP="00DD2BEA">
      <w:pPr>
        <w:pStyle w:val="Heading3"/>
      </w:pPr>
      <w:bookmarkStart w:id="286" w:name="_Toc485712828"/>
      <w:r>
        <w:t>Implications for cell biology</w:t>
      </w:r>
      <w:bookmarkEnd w:id="286"/>
    </w:p>
    <w:p w14:paraId="3335DF50" w14:textId="77777777" w:rsidR="006A7946" w:rsidRPr="006A7946" w:rsidRDefault="00B05299" w:rsidP="006A7946">
      <w:r>
        <w:t>Although the majority of the findings in this the</w:t>
      </w:r>
      <w:r w:rsidR="00F7615C">
        <w:t xml:space="preserve">sis have direct application to the pharmaceutical industry there are also a number of relevant findings for cell biology. Osmolytes are generally present </w:t>
      </w:r>
      <w:r w:rsidR="00103FA4">
        <w:t xml:space="preserve">in cells </w:t>
      </w:r>
      <w:r w:rsidR="00F7615C">
        <w:t xml:space="preserve">at a concentration of several millimolar and are normally accumulated as a mixture of various molecules </w:t>
      </w:r>
      <w:r w:rsidR="00F7615C">
        <w:fldChar w:fldCharType="begin" w:fldLock="1"/>
      </w:r>
      <w:r w:rsidR="005350CC">
        <w:instrText>ADDIN CSL_CITATION { "citationItems" : [ { "id" : "ITEM-1", "itemData" : { "author" : [ { "dropping-particle" : "", "family" : "Yancey", "given" : "P H", "non-dropping-particle" : "", "parse-names" : false, "suffix" : "" }, { "dropping-particle" : "", "family" : "Clark", "given" : "M E", "non-dropping-particle" : "", "parse-names" : false, "suffix" : "" }, { "dropping-particle" : "", "family" : "Hand", "given" : "S C", "non-dropping-particle" : "", "parse-names" : false, "suffix" : "" }, { "dropping-particle" : "", "family" : "Bowlus", "given" : "R D", "non-dropping-particle" : "", "parse-names" : false, "suffix" : "" }, { "dropping-particle" : "", "family" : "Somero", "given" : "G N", "non-dropping-particle" : "", "parse-names" : false, "suffix" : "" } ], "container-title" : "Science", "id" : "ITEM-1", "issued" : { "date-parts" : [ [ "1982" ] ] }, "page" : "1214-1222", "title" : "Living with water stress: Evolution of osmolyte systems", "type" : "article-journal", "volume" : "217" }, "uris" : [ "http://www.mendeley.com/documents/?uuid=5c0ecbac-0ed5-485c-b4bd-8986742136e1" ] }, { "id" : "ITEM-2", "itemData" : { "author" : [ { "dropping-particle" : "", "family" : "Yancey", "given" : "P H", "non-dropping-particle" : "", "parse-names" : false, "suffix" : "" } ], "container-title" : "American Zoology", "id" : "ITEM-2", "issued" : { "date-parts" : [ [ "2001" ] ] }, "page" : "699-709", "title" : "Water stress, osmolytes and proteins", "type" : "article-journal", "volume" : "41" }, "uris" : [ "http://www.mendeley.com/documents/?uuid=6b57cc08-6d87-4dd8-a94f-01bdbd6d32cc" ] }, { "id" : "ITEM-3", "itemData" : { "DOI" : "10.1002/jez.1402080202", "ISSN" : "0022-104X", "PMID" : "469480", "abstract" : "The major nitrogenous osmolytes present in the cells of marine invertebrates, notably the free amino acids glycine, alanine and proline, and trimethylamine oxide and betaine, are highly compatible with proper enzyme function and structure. These nitrogenous osmolytes display either non-perturbing or, in some cases, favorable effects on enzyme-substrate and enzyme-cofactor complex formation, catalytic velocity and protein structural stability. In contrast, inorganic salts (KCl and NaCl) and certain of the free amino acids which play only a minor osmotic role, e.g., arginine and lysine, have strongly perturbing effects on one or more of these enzymic parameters. The compatible nitrogenous solutes therefore are suitable for use at high (several tenths molar) concentrations and at widely varying concentrations in osmo-conforming species. Certain nitrogenous solutes, especially trimethylamine oxide, betaine and glutamate, offset some of the perturbing effects of inorganic ions on enzyme function. The selective accumulation of osmolytes thus involves not only the concentration of non-perturbing solutes, but also a balanced accumulation of solutes with opposing effects on enzymes. The selection of end-products of anaerobic metabolism also appears to be based, in part, on considerations of solute compatibility with enzyme function. Octopine is a non-perturbing solute, whereas arginine, which is condensed with pyruvate to form octopine, is very strongly perturbing. Succinate has marked stabilizing effects on protein structure. We conclude that the composition of the intracellular fluids of marine invertebrates reflects selection for osmolytes and end-products whose net effects create a cellular microenvironment which is conducive to optimal enzyme function and structure. The accumulation of compatible solutes may preclude the necessity for widespread changes in protein structure in adapting to concentrated or highly variable osmotic environments.", "author" : [ { "dropping-particle" : "", "family" : "Bowlus", "given" : "R D", "non-dropping-particle" : "", "parse-names" : false, "suffix" : "" }, { "dropping-particle" : "", "family" : "Somero", "given" : "G N", "non-dropping-particle" : "", "parse-names" : false, "suffix" : "" } ], "container-title" : "Journal of Experimental Zoology", "id" : "ITEM-3", "issued" : { "date-parts" : [ [ "1979" ] ] }, "page" : "137-151", "title" : "Solute compatibility with enzyme function and structure: rationales for the selection of osmotic agents and end-products of anaerobic metabolism in marine invertebrates", "type" : "article-journal", "volume" : "208" }, "uris" : [ "http://www.mendeley.com/documents/?uuid=7dde3bd3-612c-4dc0-b5b3-9e57c8eb9a26" ] } ], "mendeley" : { "formattedCitation" : "(Yancey et al. 1982; Yancey 2001; Bowlus &amp; Somero 1979)", "plainTextFormattedCitation" : "(Yancey et al. 1982; Yancey 2001; Bowlus &amp; Somero 1979)", "previouslyFormattedCitation" : "(Yancey et al. 1982; Yancey 2001; Bowlus &amp; Somero 1979)" }, "properties" : { "noteIndex" : 0 }, "schema" : "https://github.com/citation-style-language/schema/raw/master/csl-citation.json" }</w:instrText>
      </w:r>
      <w:r w:rsidR="00F7615C">
        <w:fldChar w:fldCharType="separate"/>
      </w:r>
      <w:r w:rsidR="00795119" w:rsidRPr="00795119">
        <w:rPr>
          <w:noProof/>
        </w:rPr>
        <w:t>(Yancey et al. 1982; Yancey 2001; Bowlus &amp; Somero 1979)</w:t>
      </w:r>
      <w:r w:rsidR="00F7615C">
        <w:fldChar w:fldCharType="end"/>
      </w:r>
      <w:r w:rsidR="00F7615C">
        <w:t xml:space="preserve">. Glycine, which is used as an osmolyte, is shown in this thesis to have protein-specific stabilising or destabilising effects at concentrations below 100 mM. When present in a cosolute mixture with GdnHCl it is shown to have additive effects on </w:t>
      </w:r>
      <w:r w:rsidR="00795119">
        <w:t xml:space="preserve">the stability of </w:t>
      </w:r>
      <w:r w:rsidR="00F7615C">
        <w:t>certain proteins and synergistically stabilising effects on others. This leads to the conclusion that singular osmolytes do not necessarily exert the desired stabilising effects on protein stability in cells unless they are present in mixtures</w:t>
      </w:r>
      <w:r w:rsidR="00103FA4">
        <w:t xml:space="preserve"> with other stabilising osmolytes</w:t>
      </w:r>
      <w:r w:rsidR="00F7615C">
        <w:t>. This brings to question whether specific mixtures of osmolytes have been evolutionarily selected for, especially as the osmolytes present in these mixtures have been shown to vary slightly between organisms</w:t>
      </w:r>
      <w:r w:rsidR="00795119">
        <w:t xml:space="preserve"> </w:t>
      </w:r>
      <w:r w:rsidR="00795119">
        <w:fldChar w:fldCharType="begin" w:fldLock="1"/>
      </w:r>
      <w:r w:rsidR="00795119">
        <w:instrText>ADDIN CSL_CITATION { "citationItems" : [ { "id" : "ITEM-1", "itemData" : { "author" : [ { "dropping-particle" : "", "family" : "Yancey", "given" : "P H", "non-dropping-particle" : "", "parse-names" : false, "suffix" : "" }, { "dropping-particle" : "", "family" : "Clark", "given" : "M E", "non-dropping-particle" : "", "parse-names" : false, "suffix" : "" }, { "dropping-particle" : "", "family" : "Hand", "given" : "S C", "non-dropping-particle" : "", "parse-names" : false, "suffix" : "" }, { "dropping-particle" : "", "family" : "Bowlus", "given" : "R D", "non-dropping-particle" : "", "parse-names" : false, "suffix" : "" }, { "dropping-particle" : "", "family" : "Somero", "given" : "G N", "non-dropping-particle" : "", "parse-names" : false, "suffix" : "" } ], "container-title" : "Science", "id" : "ITEM-1", "issued" : { "date-parts" : [ [ "1982" ] ] }, "page" : "1214-1222", "title" : "Living with water stress: Evolution of osmolyte systems", "type" : "article-journal", "volume" : "217" }, "uris" : [ "http://www.mendeley.com/documents/?uuid=5c0ecbac-0ed5-485c-b4bd-8986742136e1" ] } ], "mendeley" : { "formattedCitation" : "(Yancey et al. 1982)", "plainTextFormattedCitation" : "(Yancey et al. 1982)", "previouslyFormattedCitation" : "(Yancey et al. 1982)" }, "properties" : { "noteIndex" : 0 }, "schema" : "https://github.com/citation-style-language/schema/raw/master/csl-citation.json" }</w:instrText>
      </w:r>
      <w:r w:rsidR="00795119">
        <w:fldChar w:fldCharType="separate"/>
      </w:r>
      <w:r w:rsidR="00795119" w:rsidRPr="00795119">
        <w:rPr>
          <w:noProof/>
        </w:rPr>
        <w:t>(Yancey et al. 1982)</w:t>
      </w:r>
      <w:r w:rsidR="00795119">
        <w:fldChar w:fldCharType="end"/>
      </w:r>
      <w:r w:rsidR="00F7615C">
        <w:t>.</w:t>
      </w:r>
    </w:p>
    <w:p w14:paraId="34C4C5D2" w14:textId="77777777" w:rsidR="00C82B9F" w:rsidRDefault="00C82B9F" w:rsidP="000A3469">
      <w:pPr>
        <w:pStyle w:val="Heading2"/>
      </w:pPr>
      <w:bookmarkStart w:id="287" w:name="_Toc485712829"/>
      <w:r>
        <w:t>Future work</w:t>
      </w:r>
      <w:bookmarkEnd w:id="287"/>
    </w:p>
    <w:p w14:paraId="7BE5E73F" w14:textId="77777777" w:rsidR="008952E1" w:rsidRDefault="008952E1" w:rsidP="008952E1">
      <w:pPr>
        <w:pStyle w:val="Heading3"/>
      </w:pPr>
      <w:bookmarkStart w:id="288" w:name="_Toc485712830"/>
      <w:r>
        <w:t>Further development of Gly-Gdn mixture as designer excipient</w:t>
      </w:r>
      <w:bookmarkEnd w:id="288"/>
    </w:p>
    <w:p w14:paraId="3DE5538C" w14:textId="77777777" w:rsidR="006A38B4" w:rsidRDefault="006A38B4" w:rsidP="006A38B4">
      <w:r>
        <w:t xml:space="preserve">The work presented in Chapter 4 demonstrates a promising start to the development of Gly-Gdn mixtures as designer excipients, with thermal stability shown to be affected in a predictable manner. The next step would be to quantify the effects of Gly-Gdn mixtures on protein solubility and aggregation, in order to establish if this mixture has the same </w:t>
      </w:r>
      <w:r w:rsidR="00276A24">
        <w:t>advantageous</w:t>
      </w:r>
      <w:r>
        <w:t xml:space="preserve"> characteristics as arginine. GdnHCl should have aggregation-suppressing and solubilising effects on proteins but is not used</w:t>
      </w:r>
      <w:r w:rsidR="00276A24">
        <w:t xml:space="preserve"> as an excipient</w:t>
      </w:r>
      <w:r>
        <w:t xml:space="preserve"> due to its denaturing capabilities. The hypothesis here is that glycine counteracts the destabilising effects without affecting GdnHCl’s ability to solubilise. It would be particularly interesting to see if very low concentrations of GdnHCl </w:t>
      </w:r>
      <w:r w:rsidR="00C46033">
        <w:t xml:space="preserve">(5-25 mM) </w:t>
      </w:r>
      <w:r>
        <w:t xml:space="preserve">with glycine in the mixture had positive effects on </w:t>
      </w:r>
      <w:r w:rsidR="00C46033">
        <w:t>protein solubility and aggregation, as these particular concentrations caused a higher increase in melting temperature of the proteins than glycine alone.</w:t>
      </w:r>
    </w:p>
    <w:p w14:paraId="21C2FED9" w14:textId="77777777" w:rsidR="00C46033" w:rsidRPr="006A38B4" w:rsidRDefault="00276A24" w:rsidP="006A38B4">
      <w:r>
        <w:t>Protein a</w:t>
      </w:r>
      <w:r w:rsidR="00C46033">
        <w:t>ggregation can be measured using the NTA technique used in Chapter 5. However, as arginine forms nanoparticle-siz</w:t>
      </w:r>
      <w:r>
        <w:t>ed clusters these interfere with</w:t>
      </w:r>
      <w:r w:rsidR="00C46033">
        <w:t xml:space="preserve"> the signal of any light scattering technique. However, it is possible to fluoresce</w:t>
      </w:r>
      <w:r>
        <w:t xml:space="preserve">ntly label proteins and track their aggregation </w:t>
      </w:r>
      <w:r w:rsidR="00C46033">
        <w:t>using the NTA, which will allow the differentiation of protein aggregates and cosolute clusters.</w:t>
      </w:r>
    </w:p>
    <w:p w14:paraId="50B78E44" w14:textId="77777777" w:rsidR="008952E1" w:rsidRDefault="008952E1" w:rsidP="008952E1">
      <w:pPr>
        <w:pStyle w:val="Heading3"/>
      </w:pPr>
      <w:bookmarkStart w:id="289" w:name="_Toc485712831"/>
      <w:r>
        <w:t>Linking arginine cluster formation to effects on protein</w:t>
      </w:r>
      <w:r w:rsidR="00504F3A">
        <w:t>s</w:t>
      </w:r>
      <w:bookmarkEnd w:id="289"/>
    </w:p>
    <w:p w14:paraId="2CD9B2D3" w14:textId="77777777" w:rsidR="00936DEB" w:rsidRPr="00936DEB" w:rsidRDefault="00936DEB" w:rsidP="00936DEB">
      <w:r>
        <w:t>Chapter 5 demonstrates the existence of large arginine clusters and the potential interactions resulting in cluster formation. However, there was no obvious effect on protein thermal stability</w:t>
      </w:r>
      <w:r w:rsidR="00276A24">
        <w:t xml:space="preserve"> originating from cluster formation when linked to the data in Chapter 3</w:t>
      </w:r>
      <w:r>
        <w:t xml:space="preserve">. It would be useful to know if the formation of arginine clusters does explain </w:t>
      </w:r>
      <w:r w:rsidR="00276A24">
        <w:t xml:space="preserve">its </w:t>
      </w:r>
      <w:r>
        <w:t>effects on protein solubility and/or aggregation. As mentioned in the previous section, the NTA technique can be applied to fluorescently labelled proteins. Monitoring cluster formation alongside protein aggregation could give information on whether one affects the other. Equally it also has the potential to track any direct interactions between arginine clusters and protein aggregates.</w:t>
      </w:r>
    </w:p>
    <w:p w14:paraId="36AE269D" w14:textId="77777777" w:rsidR="008952E1" w:rsidRDefault="008952E1" w:rsidP="008952E1">
      <w:pPr>
        <w:pStyle w:val="Heading3"/>
      </w:pPr>
      <w:bookmarkStart w:id="290" w:name="_Toc485712832"/>
      <w:r>
        <w:t>Application to therapeutically relevant proteins</w:t>
      </w:r>
      <w:bookmarkEnd w:id="290"/>
    </w:p>
    <w:p w14:paraId="520C2655" w14:textId="77777777" w:rsidR="00936DEB" w:rsidRPr="00936DEB" w:rsidRDefault="00936DEB" w:rsidP="00936DEB">
      <w:r>
        <w:t xml:space="preserve">As stated in the implications section of the conclusions, the work presented in this thesis has direct relevance to the development of biopharmaceutical formulations and the use of positively charged amino acids as </w:t>
      </w:r>
      <w:r w:rsidR="00276A24">
        <w:t xml:space="preserve">protein stabilising </w:t>
      </w:r>
      <w:r>
        <w:t xml:space="preserve">excipients. Three well characterised globular proteins were used </w:t>
      </w:r>
      <w:r w:rsidR="00504F3A">
        <w:t xml:space="preserve">to establish the mechanisms governing effects on thermal stability. This represented </w:t>
      </w:r>
      <w:r w:rsidR="00276A24">
        <w:t>a simple system in order to</w:t>
      </w:r>
      <w:r w:rsidR="00504F3A">
        <w:t xml:space="preserve"> easily obtain detailed information on protein stability effects. It would be useful to </w:t>
      </w:r>
      <w:r w:rsidR="00276A24">
        <w:t>apply these hypotheses to</w:t>
      </w:r>
      <w:r w:rsidR="00504F3A">
        <w:t xml:space="preserve"> therapeutically relevant proteins, such as immunoglobulins, as the predictability of cosolute effects on these proteins is key to their effective use in formulations.</w:t>
      </w:r>
    </w:p>
    <w:p w14:paraId="372767CA" w14:textId="77777777" w:rsidR="008952E1" w:rsidRDefault="008952E1" w:rsidP="008952E1">
      <w:pPr>
        <w:pStyle w:val="Heading3"/>
      </w:pPr>
      <w:bookmarkStart w:id="291" w:name="_Toc485712833"/>
      <w:r>
        <w:t>Application of ‘functional group’ mechanism to other amino acids</w:t>
      </w:r>
      <w:bookmarkEnd w:id="291"/>
    </w:p>
    <w:p w14:paraId="7DC59336" w14:textId="77777777" w:rsidR="00504F3A" w:rsidRPr="00504F3A" w:rsidRDefault="00504F3A" w:rsidP="00504F3A">
      <w:r>
        <w:t xml:space="preserve">All three positively charged amino acids are shown to act on protein stability like a combination of their functional groups. It follows that this may also be true for other amino acids, and that the lack of data at low concentrations and presence of salt containing buffers are to blame for this not </w:t>
      </w:r>
      <w:r w:rsidR="00E11A8E">
        <w:t>currently being an established mechanism</w:t>
      </w:r>
      <w:r>
        <w:t xml:space="preserve">. Further DSC experiments could be carried out comparing protein thermal stability in the presence of </w:t>
      </w:r>
      <w:r w:rsidR="00E11A8E">
        <w:t xml:space="preserve">other </w:t>
      </w:r>
      <w:r>
        <w:t>amino acid</w:t>
      </w:r>
      <w:r w:rsidR="00E11A8E">
        <w:t>s</w:t>
      </w:r>
      <w:r>
        <w:t xml:space="preserve"> to protein thermal stability in the presence of </w:t>
      </w:r>
      <w:r w:rsidR="00E11A8E">
        <w:t>their</w:t>
      </w:r>
      <w:r>
        <w:t xml:space="preserve"> side chain functional group</w:t>
      </w:r>
      <w:r w:rsidR="00E11A8E">
        <w:t>s</w:t>
      </w:r>
      <w:r>
        <w:t xml:space="preserve"> (and the glycine data from Chapter 3). It is most likely that the negatively charged amino acids follow a similar mechanism, but there are issues with obtaining </w:t>
      </w:r>
      <w:r w:rsidR="00E11A8E">
        <w:t xml:space="preserve">higher concentration </w:t>
      </w:r>
      <w:r>
        <w:t>data due to their very low solubility limits.</w:t>
      </w:r>
    </w:p>
    <w:p w14:paraId="1FAD6EDD" w14:textId="77777777" w:rsidR="008952E1" w:rsidRDefault="008952E1" w:rsidP="008952E1">
      <w:pPr>
        <w:pStyle w:val="Heading3"/>
      </w:pPr>
      <w:bookmarkStart w:id="292" w:name="_Toc485712834"/>
      <w:r>
        <w:t>Confirmation of specific interactions between arginine &amp; protein via orthogonal methods</w:t>
      </w:r>
      <w:bookmarkEnd w:id="292"/>
    </w:p>
    <w:p w14:paraId="5B82CBA8" w14:textId="77777777" w:rsidR="00707100" w:rsidRPr="00707100" w:rsidRDefault="00707100" w:rsidP="00707100">
      <w:r>
        <w:t>In Chapter 3 a number of direct and indirect mechanisms are suggested for the effects of glycine and GdnHCl on protein thermal stability, that together are responsible for arginine’s effects on stability. A similar situation is presented in Chapter 6 for lysine and histidine. It would be useful to confirm these interactions using complimentary techniques. Many of these are already present in the literature, but there is a plethora of techniques that could still be applied.</w:t>
      </w:r>
    </w:p>
    <w:p w14:paraId="43CBCEC9" w14:textId="77777777" w:rsidR="008952E1" w:rsidRPr="008952E1" w:rsidRDefault="008952E1" w:rsidP="008952E1"/>
    <w:p w14:paraId="7CC8DE4A" w14:textId="77777777" w:rsidR="00F22AC2" w:rsidRDefault="00F22AC2" w:rsidP="00F22AC2">
      <w:pPr>
        <w:pStyle w:val="Heading1"/>
      </w:pPr>
      <w:bookmarkStart w:id="293" w:name="_Toc485712835"/>
      <w:r>
        <w:t>References</w:t>
      </w:r>
      <w:bookmarkEnd w:id="293"/>
    </w:p>
    <w:p w14:paraId="4104C4F4" w14:textId="77777777" w:rsidR="00570275" w:rsidRDefault="00570275">
      <w:pPr>
        <w:spacing w:before="0" w:after="200" w:line="276" w:lineRule="auto"/>
      </w:pPr>
      <w:r>
        <w:br w:type="page"/>
      </w:r>
    </w:p>
    <w:p w14:paraId="6F049915" w14:textId="77777777" w:rsidR="006D59B8" w:rsidRPr="006D59B8" w:rsidRDefault="00570275" w:rsidP="006D59B8">
      <w:pPr>
        <w:widowControl w:val="0"/>
        <w:autoSpaceDE w:val="0"/>
        <w:autoSpaceDN w:val="0"/>
        <w:adjustRightInd w:val="0"/>
        <w:ind w:left="480" w:hanging="480"/>
        <w:rPr>
          <w:rFonts w:ascii="Calibri" w:hAnsi="Calibri" w:cs="Times New Roman"/>
          <w:noProof/>
          <w:szCs w:val="24"/>
        </w:rPr>
      </w:pPr>
      <w:r>
        <w:fldChar w:fldCharType="begin" w:fldLock="1"/>
      </w:r>
      <w:r>
        <w:instrText xml:space="preserve">ADDIN Mendeley Bibliography CSL_BIBLIOGRAPHY </w:instrText>
      </w:r>
      <w:r>
        <w:fldChar w:fldCharType="separate"/>
      </w:r>
      <w:r w:rsidR="006D59B8" w:rsidRPr="006D59B8">
        <w:rPr>
          <w:rFonts w:ascii="Calibri" w:hAnsi="Calibri" w:cs="Times New Roman"/>
          <w:noProof/>
          <w:szCs w:val="24"/>
        </w:rPr>
        <w:t xml:space="preserve">Ahmad, F., Yadav, S. &amp; Taneja, S., 1992. Determining stability of proteins from guanidinium chloride transition curves. </w:t>
      </w:r>
      <w:r w:rsidR="006D59B8" w:rsidRPr="006D59B8">
        <w:rPr>
          <w:rFonts w:ascii="Calibri" w:hAnsi="Calibri" w:cs="Times New Roman"/>
          <w:i/>
          <w:iCs/>
          <w:noProof/>
          <w:szCs w:val="24"/>
        </w:rPr>
        <w:t>Biochemical Journal</w:t>
      </w:r>
      <w:r w:rsidR="006D59B8" w:rsidRPr="006D59B8">
        <w:rPr>
          <w:rFonts w:ascii="Calibri" w:hAnsi="Calibri" w:cs="Times New Roman"/>
          <w:noProof/>
          <w:szCs w:val="24"/>
        </w:rPr>
        <w:t>, 287, pp.481–485.</w:t>
      </w:r>
    </w:p>
    <w:p w14:paraId="1E71AFAB"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Ajmera, A. &amp; Scherließ, R., 2014. Stabilisation of proteins via mixtures of amino acids during spray drying. </w:t>
      </w:r>
      <w:r w:rsidRPr="006D59B8">
        <w:rPr>
          <w:rFonts w:ascii="Calibri" w:hAnsi="Calibri" w:cs="Times New Roman"/>
          <w:i/>
          <w:iCs/>
          <w:noProof/>
          <w:szCs w:val="24"/>
        </w:rPr>
        <w:t>International Journal of Pharmaceutics</w:t>
      </w:r>
      <w:r w:rsidRPr="006D59B8">
        <w:rPr>
          <w:rFonts w:ascii="Calibri" w:hAnsi="Calibri" w:cs="Times New Roman"/>
          <w:noProof/>
          <w:szCs w:val="24"/>
        </w:rPr>
        <w:t>, 463, pp.98–107.</w:t>
      </w:r>
    </w:p>
    <w:p w14:paraId="0A6D0279"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Anderson, E.B. &amp; Long, T.E., 2010. Imidazole- and imidazolium-containing polymers for biology and material science applications. </w:t>
      </w:r>
      <w:r w:rsidRPr="006D59B8">
        <w:rPr>
          <w:rFonts w:ascii="Calibri" w:hAnsi="Calibri" w:cs="Times New Roman"/>
          <w:i/>
          <w:iCs/>
          <w:noProof/>
          <w:szCs w:val="24"/>
        </w:rPr>
        <w:t>Polymer</w:t>
      </w:r>
      <w:r w:rsidRPr="006D59B8">
        <w:rPr>
          <w:rFonts w:ascii="Calibri" w:hAnsi="Calibri" w:cs="Times New Roman"/>
          <w:noProof/>
          <w:szCs w:val="24"/>
        </w:rPr>
        <w:t>, 51, pp.2447–2454.</w:t>
      </w:r>
    </w:p>
    <w:p w14:paraId="13049D26"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Anfinsen, C.B., 1973. Principles that govern the folding of protein chains. </w:t>
      </w:r>
      <w:r w:rsidRPr="006D59B8">
        <w:rPr>
          <w:rFonts w:ascii="Calibri" w:hAnsi="Calibri" w:cs="Times New Roman"/>
          <w:i/>
          <w:iCs/>
          <w:noProof/>
          <w:szCs w:val="24"/>
        </w:rPr>
        <w:t>Science</w:t>
      </w:r>
      <w:r w:rsidRPr="006D59B8">
        <w:rPr>
          <w:rFonts w:ascii="Calibri" w:hAnsi="Calibri" w:cs="Times New Roman"/>
          <w:noProof/>
          <w:szCs w:val="24"/>
        </w:rPr>
        <w:t>, 181, pp.223–230.</w:t>
      </w:r>
    </w:p>
    <w:p w14:paraId="330D6F55"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Anjum, F., Rishi, V. &amp; Ahmad, F., 2000. Compatibility of osmolytes with Gibbs energy of stabilization of proteins. </w:t>
      </w:r>
      <w:r w:rsidRPr="006D59B8">
        <w:rPr>
          <w:rFonts w:ascii="Calibri" w:hAnsi="Calibri" w:cs="Times New Roman"/>
          <w:i/>
          <w:iCs/>
          <w:noProof/>
          <w:szCs w:val="24"/>
        </w:rPr>
        <w:t>Biochimica et Biophysica Acta</w:t>
      </w:r>
      <w:r w:rsidRPr="006D59B8">
        <w:rPr>
          <w:rFonts w:ascii="Calibri" w:hAnsi="Calibri" w:cs="Times New Roman"/>
          <w:noProof/>
          <w:szCs w:val="24"/>
        </w:rPr>
        <w:t>, 1476, pp.75–84.</w:t>
      </w:r>
    </w:p>
    <w:p w14:paraId="2574D005"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Arakawa, T., Tsumoto, K., et al., 2007. Biotechnology applications of amino acids in protein purification and formulations. </w:t>
      </w:r>
      <w:r w:rsidRPr="006D59B8">
        <w:rPr>
          <w:rFonts w:ascii="Calibri" w:hAnsi="Calibri" w:cs="Times New Roman"/>
          <w:i/>
          <w:iCs/>
          <w:noProof/>
          <w:szCs w:val="24"/>
        </w:rPr>
        <w:t>Amino Acids</w:t>
      </w:r>
      <w:r w:rsidRPr="006D59B8">
        <w:rPr>
          <w:rFonts w:ascii="Calibri" w:hAnsi="Calibri" w:cs="Times New Roman"/>
          <w:noProof/>
          <w:szCs w:val="24"/>
        </w:rPr>
        <w:t>, 33, pp.587–605.</w:t>
      </w:r>
    </w:p>
    <w:p w14:paraId="0D5D15E1"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Arakawa, T., Ejima, D., et al., 2007. Suppression of protein interactions by arginine: A proposed mechanism of the arginine effects. </w:t>
      </w:r>
      <w:r w:rsidRPr="006D59B8">
        <w:rPr>
          <w:rFonts w:ascii="Calibri" w:hAnsi="Calibri" w:cs="Times New Roman"/>
          <w:i/>
          <w:iCs/>
          <w:noProof/>
          <w:szCs w:val="24"/>
        </w:rPr>
        <w:t>Biophysical Chemistry</w:t>
      </w:r>
      <w:r w:rsidRPr="006D59B8">
        <w:rPr>
          <w:rFonts w:ascii="Calibri" w:hAnsi="Calibri" w:cs="Times New Roman"/>
          <w:noProof/>
          <w:szCs w:val="24"/>
        </w:rPr>
        <w:t>, 127, pp.1–8.</w:t>
      </w:r>
    </w:p>
    <w:p w14:paraId="471D05D8"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Arakawa, T., Bhat, R. &amp; Timasheff, S.N., 1990a. Preferential interactions determine protein solubility in three-component solutions: The MgCl2 system. </w:t>
      </w:r>
      <w:r w:rsidRPr="006D59B8">
        <w:rPr>
          <w:rFonts w:ascii="Calibri" w:hAnsi="Calibri" w:cs="Times New Roman"/>
          <w:i/>
          <w:iCs/>
          <w:noProof/>
          <w:szCs w:val="24"/>
        </w:rPr>
        <w:t>Biochemistry</w:t>
      </w:r>
      <w:r w:rsidRPr="006D59B8">
        <w:rPr>
          <w:rFonts w:ascii="Calibri" w:hAnsi="Calibri" w:cs="Times New Roman"/>
          <w:noProof/>
          <w:szCs w:val="24"/>
        </w:rPr>
        <w:t>, 29, pp.1914–1923.</w:t>
      </w:r>
    </w:p>
    <w:p w14:paraId="3F7616A5"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Arakawa, T., Bhat, R. &amp; Timasheff, S.N., 1990b. Why preferential hydration does not always stabilize the native structure of globular proteins. </w:t>
      </w:r>
      <w:r w:rsidRPr="006D59B8">
        <w:rPr>
          <w:rFonts w:ascii="Calibri" w:hAnsi="Calibri" w:cs="Times New Roman"/>
          <w:i/>
          <w:iCs/>
          <w:noProof/>
          <w:szCs w:val="24"/>
        </w:rPr>
        <w:t>Biochemistry</w:t>
      </w:r>
      <w:r w:rsidRPr="006D59B8">
        <w:rPr>
          <w:rFonts w:ascii="Calibri" w:hAnsi="Calibri" w:cs="Times New Roman"/>
          <w:noProof/>
          <w:szCs w:val="24"/>
        </w:rPr>
        <w:t>, 29, pp.1924–1931.</w:t>
      </w:r>
    </w:p>
    <w:p w14:paraId="304F965A"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Arakawa, T. &amp; Timasheff, S.N., 1982a. Preferential interactions of proteins with salts in concentrated solutions. </w:t>
      </w:r>
      <w:r w:rsidRPr="006D59B8">
        <w:rPr>
          <w:rFonts w:ascii="Calibri" w:hAnsi="Calibri" w:cs="Times New Roman"/>
          <w:i/>
          <w:iCs/>
          <w:noProof/>
          <w:szCs w:val="24"/>
        </w:rPr>
        <w:t>Biochemistry</w:t>
      </w:r>
      <w:r w:rsidRPr="006D59B8">
        <w:rPr>
          <w:rFonts w:ascii="Calibri" w:hAnsi="Calibri" w:cs="Times New Roman"/>
          <w:noProof/>
          <w:szCs w:val="24"/>
        </w:rPr>
        <w:t>, 21, pp.6545–6552.</w:t>
      </w:r>
    </w:p>
    <w:p w14:paraId="7847CF70"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Arakawa, T. &amp; Timasheff, S.N., 1983. Preferential interactions of proteins with solvent components in aqueous amino acid solutions. </w:t>
      </w:r>
      <w:r w:rsidRPr="006D59B8">
        <w:rPr>
          <w:rFonts w:ascii="Calibri" w:hAnsi="Calibri" w:cs="Times New Roman"/>
          <w:i/>
          <w:iCs/>
          <w:noProof/>
          <w:szCs w:val="24"/>
        </w:rPr>
        <w:t>Archives of Biochemistry and Biophysics</w:t>
      </w:r>
      <w:r w:rsidRPr="006D59B8">
        <w:rPr>
          <w:rFonts w:ascii="Calibri" w:hAnsi="Calibri" w:cs="Times New Roman"/>
          <w:noProof/>
          <w:szCs w:val="24"/>
        </w:rPr>
        <w:t>, 224, pp.169–177.</w:t>
      </w:r>
    </w:p>
    <w:p w14:paraId="75EDE63C"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Arakawa, T. &amp; Timasheff, S.N., 1984a. Protein stabilization and destabilization by guanidinium salts. </w:t>
      </w:r>
      <w:r w:rsidRPr="006D59B8">
        <w:rPr>
          <w:rFonts w:ascii="Calibri" w:hAnsi="Calibri" w:cs="Times New Roman"/>
          <w:i/>
          <w:iCs/>
          <w:noProof/>
          <w:szCs w:val="24"/>
        </w:rPr>
        <w:t>Biochemistry</w:t>
      </w:r>
      <w:r w:rsidRPr="006D59B8">
        <w:rPr>
          <w:rFonts w:ascii="Calibri" w:hAnsi="Calibri" w:cs="Times New Roman"/>
          <w:noProof/>
          <w:szCs w:val="24"/>
        </w:rPr>
        <w:t>, 23, pp.5924–5929.</w:t>
      </w:r>
    </w:p>
    <w:p w14:paraId="42A67106"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Arakawa, T. &amp; Timasheff, S.N., 1982b. Stabilization of protein structure by sugars. </w:t>
      </w:r>
      <w:r w:rsidRPr="006D59B8">
        <w:rPr>
          <w:rFonts w:ascii="Calibri" w:hAnsi="Calibri" w:cs="Times New Roman"/>
          <w:i/>
          <w:iCs/>
          <w:noProof/>
          <w:szCs w:val="24"/>
        </w:rPr>
        <w:t>Biochemistry</w:t>
      </w:r>
      <w:r w:rsidRPr="006D59B8">
        <w:rPr>
          <w:rFonts w:ascii="Calibri" w:hAnsi="Calibri" w:cs="Times New Roman"/>
          <w:noProof/>
          <w:szCs w:val="24"/>
        </w:rPr>
        <w:t>, 21, pp.6536–6544.</w:t>
      </w:r>
    </w:p>
    <w:p w14:paraId="064ADC4F"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Arakawa, T. &amp; Timasheff, S.N., 1984b. The mechanism of action of Na glutamate, lysine HCl, and piperazine-N,N’-bis(2-ethanesulfonic acid) in the stabilization of tubulin and microtubule formation. </w:t>
      </w:r>
      <w:r w:rsidRPr="006D59B8">
        <w:rPr>
          <w:rFonts w:ascii="Calibri" w:hAnsi="Calibri" w:cs="Times New Roman"/>
          <w:i/>
          <w:iCs/>
          <w:noProof/>
          <w:szCs w:val="24"/>
        </w:rPr>
        <w:t>Journal of Biological Chemistry</w:t>
      </w:r>
      <w:r w:rsidRPr="006D59B8">
        <w:rPr>
          <w:rFonts w:ascii="Calibri" w:hAnsi="Calibri" w:cs="Times New Roman"/>
          <w:noProof/>
          <w:szCs w:val="24"/>
        </w:rPr>
        <w:t>, 259, pp.4979–4986.</w:t>
      </w:r>
    </w:p>
    <w:p w14:paraId="00F2701C"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Arakawa, T. &amp; Timasheff, S.N., 1985. The stabilization of proteins by osmolytes. </w:t>
      </w:r>
      <w:r w:rsidRPr="006D59B8">
        <w:rPr>
          <w:rFonts w:ascii="Calibri" w:hAnsi="Calibri" w:cs="Times New Roman"/>
          <w:i/>
          <w:iCs/>
          <w:noProof/>
          <w:szCs w:val="24"/>
        </w:rPr>
        <w:t>Biophysical Journal</w:t>
      </w:r>
      <w:r w:rsidRPr="006D59B8">
        <w:rPr>
          <w:rFonts w:ascii="Calibri" w:hAnsi="Calibri" w:cs="Times New Roman"/>
          <w:noProof/>
          <w:szCs w:val="24"/>
        </w:rPr>
        <w:t>, 47, pp.411–414.</w:t>
      </w:r>
    </w:p>
    <w:p w14:paraId="6FC3987E"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Arakawa, T. &amp; Tsumoto, K., 2003. The effects of arginine on refolding of aggregated proteins: Not facilitate refolding, but suppress aggregation. </w:t>
      </w:r>
      <w:r w:rsidRPr="006D59B8">
        <w:rPr>
          <w:rFonts w:ascii="Calibri" w:hAnsi="Calibri" w:cs="Times New Roman"/>
          <w:i/>
          <w:iCs/>
          <w:noProof/>
          <w:szCs w:val="24"/>
        </w:rPr>
        <w:t>Biochemical and Biophysical Research Communications</w:t>
      </w:r>
      <w:r w:rsidRPr="006D59B8">
        <w:rPr>
          <w:rFonts w:ascii="Calibri" w:hAnsi="Calibri" w:cs="Times New Roman"/>
          <w:noProof/>
          <w:szCs w:val="24"/>
        </w:rPr>
        <w:t>, 304, pp.148–152.</w:t>
      </w:r>
    </w:p>
    <w:p w14:paraId="3DBE0E10"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Aune, K.C. &amp; Tanford, C., 1969a. Thermodynamics of the denaturation of lysozyme by guanidine hydrochloride I. Dependence on pH at 25 °C. </w:t>
      </w:r>
      <w:r w:rsidRPr="006D59B8">
        <w:rPr>
          <w:rFonts w:ascii="Calibri" w:hAnsi="Calibri" w:cs="Times New Roman"/>
          <w:i/>
          <w:iCs/>
          <w:noProof/>
          <w:szCs w:val="24"/>
        </w:rPr>
        <w:t>Biochemistry</w:t>
      </w:r>
      <w:r w:rsidRPr="006D59B8">
        <w:rPr>
          <w:rFonts w:ascii="Calibri" w:hAnsi="Calibri" w:cs="Times New Roman"/>
          <w:noProof/>
          <w:szCs w:val="24"/>
        </w:rPr>
        <w:t>, 8, pp.4579–4585.</w:t>
      </w:r>
    </w:p>
    <w:p w14:paraId="3F2E5D98"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Aune, K.C. &amp; Tanford, C., 1969b. Thermodynamics of the denaturation of lysozyme by guanidine hydrochloride II. Dependence on denaturant concentration at 25 °C. </w:t>
      </w:r>
      <w:r w:rsidRPr="006D59B8">
        <w:rPr>
          <w:rFonts w:ascii="Calibri" w:hAnsi="Calibri" w:cs="Times New Roman"/>
          <w:i/>
          <w:iCs/>
          <w:noProof/>
          <w:szCs w:val="24"/>
        </w:rPr>
        <w:t>Biochemistry</w:t>
      </w:r>
      <w:r w:rsidRPr="006D59B8">
        <w:rPr>
          <w:rFonts w:ascii="Calibri" w:hAnsi="Calibri" w:cs="Times New Roman"/>
          <w:noProof/>
          <w:szCs w:val="24"/>
        </w:rPr>
        <w:t>, 8, pp.4586–4590.</w:t>
      </w:r>
    </w:p>
    <w:p w14:paraId="70C96BA1"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Auton, M. &amp; Bolen, D.W., 2004. Additive transfer free energies of the peptide backbone unit that are independent of the model compound and the choice of concentration scale. </w:t>
      </w:r>
      <w:r w:rsidRPr="006D59B8">
        <w:rPr>
          <w:rFonts w:ascii="Calibri" w:hAnsi="Calibri" w:cs="Times New Roman"/>
          <w:i/>
          <w:iCs/>
          <w:noProof/>
          <w:szCs w:val="24"/>
        </w:rPr>
        <w:t>Biochemistry</w:t>
      </w:r>
      <w:r w:rsidRPr="006D59B8">
        <w:rPr>
          <w:rFonts w:ascii="Calibri" w:hAnsi="Calibri" w:cs="Times New Roman"/>
          <w:noProof/>
          <w:szCs w:val="24"/>
        </w:rPr>
        <w:t>, 43, pp.1329–1342.</w:t>
      </w:r>
    </w:p>
    <w:p w14:paraId="7A32F067"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Auton, M. &amp; Bolen, D.W., 2007. Application of the transfer model to understand how naturally occurring osmolytes affect protein stability. </w:t>
      </w:r>
      <w:r w:rsidRPr="006D59B8">
        <w:rPr>
          <w:rFonts w:ascii="Calibri" w:hAnsi="Calibri" w:cs="Times New Roman"/>
          <w:i/>
          <w:iCs/>
          <w:noProof/>
          <w:szCs w:val="24"/>
        </w:rPr>
        <w:t>Methods in Enzymology</w:t>
      </w:r>
      <w:r w:rsidRPr="006D59B8">
        <w:rPr>
          <w:rFonts w:ascii="Calibri" w:hAnsi="Calibri" w:cs="Times New Roman"/>
          <w:noProof/>
          <w:szCs w:val="24"/>
        </w:rPr>
        <w:t>, 428, pp.397–418.</w:t>
      </w:r>
    </w:p>
    <w:p w14:paraId="0F3D956F"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Baca, M. et al., 2016. A comprehensive study to protein retention in hydrophobic interaction chromatography. </w:t>
      </w:r>
      <w:r w:rsidRPr="006D59B8">
        <w:rPr>
          <w:rFonts w:ascii="Calibri" w:hAnsi="Calibri" w:cs="Times New Roman"/>
          <w:i/>
          <w:iCs/>
          <w:noProof/>
          <w:szCs w:val="24"/>
        </w:rPr>
        <w:t>Journal of Chromatography B</w:t>
      </w:r>
      <w:r w:rsidRPr="006D59B8">
        <w:rPr>
          <w:rFonts w:ascii="Calibri" w:hAnsi="Calibri" w:cs="Times New Roman"/>
          <w:noProof/>
          <w:szCs w:val="24"/>
        </w:rPr>
        <w:t>, 1032, pp.182–188.</w:t>
      </w:r>
    </w:p>
    <w:p w14:paraId="489A7A19"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Back, J.F., Oakenfull, D. &amp; Smith, M.B., 1979. Increased thermal stability of proteins in the presence of sugars and polyols. </w:t>
      </w:r>
      <w:r w:rsidRPr="006D59B8">
        <w:rPr>
          <w:rFonts w:ascii="Calibri" w:hAnsi="Calibri" w:cs="Times New Roman"/>
          <w:i/>
          <w:iCs/>
          <w:noProof/>
          <w:szCs w:val="24"/>
        </w:rPr>
        <w:t>Biochemistry</w:t>
      </w:r>
      <w:r w:rsidRPr="006D59B8">
        <w:rPr>
          <w:rFonts w:ascii="Calibri" w:hAnsi="Calibri" w:cs="Times New Roman"/>
          <w:noProof/>
          <w:szCs w:val="24"/>
        </w:rPr>
        <w:t>, 18, pp.5191–5196.</w:t>
      </w:r>
    </w:p>
    <w:p w14:paraId="694AE274"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Batchelor, J.D. et al., 2004. Impact of protein denaturants and stabilizers on water structure. </w:t>
      </w:r>
      <w:r w:rsidRPr="006D59B8">
        <w:rPr>
          <w:rFonts w:ascii="Calibri" w:hAnsi="Calibri" w:cs="Times New Roman"/>
          <w:i/>
          <w:iCs/>
          <w:noProof/>
          <w:szCs w:val="24"/>
        </w:rPr>
        <w:t>Journal of the American Chemical Society</w:t>
      </w:r>
      <w:r w:rsidRPr="006D59B8">
        <w:rPr>
          <w:rFonts w:ascii="Calibri" w:hAnsi="Calibri" w:cs="Times New Roman"/>
          <w:noProof/>
          <w:szCs w:val="24"/>
        </w:rPr>
        <w:t>, 126, pp.1958–61.</w:t>
      </w:r>
    </w:p>
    <w:p w14:paraId="78DE6004"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Batra, J., Xu, K. &amp; Zhou, H.X., 2009. Nonadditive effects of mixed crowding on protein stability. </w:t>
      </w:r>
      <w:r w:rsidRPr="006D59B8">
        <w:rPr>
          <w:rFonts w:ascii="Calibri" w:hAnsi="Calibri" w:cs="Times New Roman"/>
          <w:i/>
          <w:iCs/>
          <w:noProof/>
          <w:szCs w:val="24"/>
        </w:rPr>
        <w:t>Proteins</w:t>
      </w:r>
      <w:r w:rsidRPr="006D59B8">
        <w:rPr>
          <w:rFonts w:ascii="Calibri" w:hAnsi="Calibri" w:cs="Times New Roman"/>
          <w:noProof/>
          <w:szCs w:val="24"/>
        </w:rPr>
        <w:t>, 77, pp.133–138.</w:t>
      </w:r>
    </w:p>
    <w:p w14:paraId="06167E88"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Baynes, B.M., 2004. Stabilization of proteins against aggregation by solution additives. PhD Thesis. </w:t>
      </w:r>
      <w:r w:rsidRPr="006D59B8">
        <w:rPr>
          <w:rFonts w:ascii="Calibri" w:hAnsi="Calibri" w:cs="Times New Roman"/>
          <w:i/>
          <w:iCs/>
          <w:noProof/>
          <w:szCs w:val="24"/>
        </w:rPr>
        <w:t>Massachusetts Institute of Technology, USA</w:t>
      </w:r>
      <w:r w:rsidRPr="006D59B8">
        <w:rPr>
          <w:rFonts w:ascii="Calibri" w:hAnsi="Calibri" w:cs="Times New Roman"/>
          <w:noProof/>
          <w:szCs w:val="24"/>
        </w:rPr>
        <w:t>.</w:t>
      </w:r>
    </w:p>
    <w:p w14:paraId="2800CB4C"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Baynes, B.M. &amp; Trout, B.L., 2004. Rational design of solution additives for the prevention of protein aggregation. </w:t>
      </w:r>
      <w:r w:rsidRPr="006D59B8">
        <w:rPr>
          <w:rFonts w:ascii="Calibri" w:hAnsi="Calibri" w:cs="Times New Roman"/>
          <w:i/>
          <w:iCs/>
          <w:noProof/>
          <w:szCs w:val="24"/>
        </w:rPr>
        <w:t>Biophysical Journal</w:t>
      </w:r>
      <w:r w:rsidRPr="006D59B8">
        <w:rPr>
          <w:rFonts w:ascii="Calibri" w:hAnsi="Calibri" w:cs="Times New Roman"/>
          <w:noProof/>
          <w:szCs w:val="24"/>
        </w:rPr>
        <w:t>, 87, pp.1631–1639.</w:t>
      </w:r>
    </w:p>
    <w:p w14:paraId="4183FCAC"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Baynes, B.M., Wang, D.I.C. &amp; Trout, B.L., 2005. Role of arginine in the stabilization of proteins against aggregation. </w:t>
      </w:r>
      <w:r w:rsidRPr="006D59B8">
        <w:rPr>
          <w:rFonts w:ascii="Calibri" w:hAnsi="Calibri" w:cs="Times New Roman"/>
          <w:i/>
          <w:iCs/>
          <w:noProof/>
          <w:szCs w:val="24"/>
        </w:rPr>
        <w:t>Biochemistry</w:t>
      </w:r>
      <w:r w:rsidRPr="006D59B8">
        <w:rPr>
          <w:rFonts w:ascii="Calibri" w:hAnsi="Calibri" w:cs="Times New Roman"/>
          <w:noProof/>
          <w:szCs w:val="24"/>
        </w:rPr>
        <w:t>, 44, pp.4919–25.</w:t>
      </w:r>
    </w:p>
    <w:p w14:paraId="7F81390F"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Becktel, W.J. &amp; Schellman, J.A., 1987. Protein stability curves. </w:t>
      </w:r>
      <w:r w:rsidRPr="006D59B8">
        <w:rPr>
          <w:rFonts w:ascii="Calibri" w:hAnsi="Calibri" w:cs="Times New Roman"/>
          <w:i/>
          <w:iCs/>
          <w:noProof/>
          <w:szCs w:val="24"/>
        </w:rPr>
        <w:t>Biopolymers</w:t>
      </w:r>
      <w:r w:rsidRPr="006D59B8">
        <w:rPr>
          <w:rFonts w:ascii="Calibri" w:hAnsi="Calibri" w:cs="Times New Roman"/>
          <w:noProof/>
          <w:szCs w:val="24"/>
        </w:rPr>
        <w:t>, 26, pp.1859–1877.</w:t>
      </w:r>
    </w:p>
    <w:p w14:paraId="1B76E7D7"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Bennion, B.J. &amp; Daggett, V., 2004. Counteraction of urea-induced protein denaturation by trimethylamine N-oxide: A chemical chaperone at atomic resolution. </w:t>
      </w:r>
      <w:r w:rsidRPr="006D59B8">
        <w:rPr>
          <w:rFonts w:ascii="Calibri" w:hAnsi="Calibri" w:cs="Times New Roman"/>
          <w:i/>
          <w:iCs/>
          <w:noProof/>
          <w:szCs w:val="24"/>
        </w:rPr>
        <w:t>Proceedings of the National Academy of Sciences of the United States of America</w:t>
      </w:r>
      <w:r w:rsidRPr="006D59B8">
        <w:rPr>
          <w:rFonts w:ascii="Calibri" w:hAnsi="Calibri" w:cs="Times New Roman"/>
          <w:noProof/>
          <w:szCs w:val="24"/>
        </w:rPr>
        <w:t>, 101, pp.6433–6438.</w:t>
      </w:r>
    </w:p>
    <w:p w14:paraId="3BA8F275"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E3274E">
        <w:rPr>
          <w:rFonts w:ascii="Calibri" w:hAnsi="Calibri" w:cs="Times New Roman"/>
          <w:noProof/>
          <w:szCs w:val="24"/>
          <w:lang w:val="it-IT"/>
        </w:rPr>
        <w:t xml:space="preserve">Bennion, B.J. &amp; Daggett, V., 2003. </w:t>
      </w:r>
      <w:r w:rsidRPr="006D59B8">
        <w:rPr>
          <w:rFonts w:ascii="Calibri" w:hAnsi="Calibri" w:cs="Times New Roman"/>
          <w:noProof/>
          <w:szCs w:val="24"/>
        </w:rPr>
        <w:t xml:space="preserve">The molecular basis for the chemical denaturation of proteins by urea. </w:t>
      </w:r>
      <w:r w:rsidRPr="006D59B8">
        <w:rPr>
          <w:rFonts w:ascii="Calibri" w:hAnsi="Calibri" w:cs="Times New Roman"/>
          <w:i/>
          <w:iCs/>
          <w:noProof/>
          <w:szCs w:val="24"/>
        </w:rPr>
        <w:t>Proceedings of the National Academy of Sciences of the United States of America</w:t>
      </w:r>
      <w:r w:rsidRPr="006D59B8">
        <w:rPr>
          <w:rFonts w:ascii="Calibri" w:hAnsi="Calibri" w:cs="Times New Roman"/>
          <w:noProof/>
          <w:szCs w:val="24"/>
        </w:rPr>
        <w:t>, 100, pp.5142–7.</w:t>
      </w:r>
    </w:p>
    <w:p w14:paraId="5B6A33B1"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Bhuyan, A.K., 2010. On the mechanism of SDS-induced protein denaturation. </w:t>
      </w:r>
      <w:r w:rsidRPr="006D59B8">
        <w:rPr>
          <w:rFonts w:ascii="Calibri" w:hAnsi="Calibri" w:cs="Times New Roman"/>
          <w:i/>
          <w:iCs/>
          <w:noProof/>
          <w:szCs w:val="24"/>
        </w:rPr>
        <w:t>Biopolymers</w:t>
      </w:r>
      <w:r w:rsidRPr="006D59B8">
        <w:rPr>
          <w:rFonts w:ascii="Calibri" w:hAnsi="Calibri" w:cs="Times New Roman"/>
          <w:noProof/>
          <w:szCs w:val="24"/>
        </w:rPr>
        <w:t>, 93, pp.186–199.</w:t>
      </w:r>
    </w:p>
    <w:p w14:paraId="144DE831"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Bhuyan, A.K., 2002. Protein stabilization by urea and guanidine hydrochloride. </w:t>
      </w:r>
      <w:r w:rsidRPr="006D59B8">
        <w:rPr>
          <w:rFonts w:ascii="Calibri" w:hAnsi="Calibri" w:cs="Times New Roman"/>
          <w:i/>
          <w:iCs/>
          <w:noProof/>
          <w:szCs w:val="24"/>
        </w:rPr>
        <w:t>Biochemistry</w:t>
      </w:r>
      <w:r w:rsidRPr="006D59B8">
        <w:rPr>
          <w:rFonts w:ascii="Calibri" w:hAnsi="Calibri" w:cs="Times New Roman"/>
          <w:noProof/>
          <w:szCs w:val="24"/>
        </w:rPr>
        <w:t>, 41, pp.13386–13394.</w:t>
      </w:r>
    </w:p>
    <w:p w14:paraId="0BD15FF1"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Blobel, J. et al., 2011. Protein loop compaction and the origin of the effect of arginine and glutamic acid mixtures on solubility, stability and transient oligomerization of proteins. </w:t>
      </w:r>
      <w:r w:rsidRPr="006D59B8">
        <w:rPr>
          <w:rFonts w:ascii="Calibri" w:hAnsi="Calibri" w:cs="Times New Roman"/>
          <w:i/>
          <w:iCs/>
          <w:noProof/>
          <w:szCs w:val="24"/>
        </w:rPr>
        <w:t>European Biophysics Journal</w:t>
      </w:r>
      <w:r w:rsidRPr="006D59B8">
        <w:rPr>
          <w:rFonts w:ascii="Calibri" w:hAnsi="Calibri" w:cs="Times New Roman"/>
          <w:noProof/>
          <w:szCs w:val="24"/>
        </w:rPr>
        <w:t>, 40, pp.1327–1338.</w:t>
      </w:r>
    </w:p>
    <w:p w14:paraId="7A5A669B"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Bolen, D.W. &amp; Baskakov, I. V, 2001. The osmophobic effect: Natural selection of a thermodynamic force in protein folding. </w:t>
      </w:r>
      <w:r w:rsidRPr="006D59B8">
        <w:rPr>
          <w:rFonts w:ascii="Calibri" w:hAnsi="Calibri" w:cs="Times New Roman"/>
          <w:i/>
          <w:iCs/>
          <w:noProof/>
          <w:szCs w:val="24"/>
        </w:rPr>
        <w:t>Journal of Molecular Biology</w:t>
      </w:r>
      <w:r w:rsidRPr="006D59B8">
        <w:rPr>
          <w:rFonts w:ascii="Calibri" w:hAnsi="Calibri" w:cs="Times New Roman"/>
          <w:noProof/>
          <w:szCs w:val="24"/>
        </w:rPr>
        <w:t>, 310, pp.955–963.</w:t>
      </w:r>
    </w:p>
    <w:p w14:paraId="791F4224"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Bolen, D.W. &amp; Yang, M., 2000. Effects of guanidine hydrochloride on the proton inventory of proteins: Implications on interpretations of protein stability. </w:t>
      </w:r>
      <w:r w:rsidRPr="006D59B8">
        <w:rPr>
          <w:rFonts w:ascii="Calibri" w:hAnsi="Calibri" w:cs="Times New Roman"/>
          <w:i/>
          <w:iCs/>
          <w:noProof/>
          <w:szCs w:val="24"/>
        </w:rPr>
        <w:t>Biochemistry</w:t>
      </w:r>
      <w:r w:rsidRPr="006D59B8">
        <w:rPr>
          <w:rFonts w:ascii="Calibri" w:hAnsi="Calibri" w:cs="Times New Roman"/>
          <w:noProof/>
          <w:szCs w:val="24"/>
        </w:rPr>
        <w:t>, 39, pp.15208–15216.</w:t>
      </w:r>
    </w:p>
    <w:p w14:paraId="3F394668"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Bomhoff, G. et al., 2006. The effects of the flavonoid baicalein and osmolytes on the Mg 2+ accelerated aggregation/fibrillation of carboxymethylated bovine 1SS-alpha-lactalbumin. </w:t>
      </w:r>
      <w:r w:rsidRPr="006D59B8">
        <w:rPr>
          <w:rFonts w:ascii="Calibri" w:hAnsi="Calibri" w:cs="Times New Roman"/>
          <w:i/>
          <w:iCs/>
          <w:noProof/>
          <w:szCs w:val="24"/>
        </w:rPr>
        <w:t>Archives of Biochemistry and Biophysics</w:t>
      </w:r>
      <w:r w:rsidRPr="006D59B8">
        <w:rPr>
          <w:rFonts w:ascii="Calibri" w:hAnsi="Calibri" w:cs="Times New Roman"/>
          <w:noProof/>
          <w:szCs w:val="24"/>
        </w:rPr>
        <w:t>, 453, pp.75–86.</w:t>
      </w:r>
    </w:p>
    <w:p w14:paraId="134EC9D8"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Boström, M. et al., 2005. Why forces between proteins follow different Hofmeister series for pH above and below pI. </w:t>
      </w:r>
      <w:r w:rsidRPr="006D59B8">
        <w:rPr>
          <w:rFonts w:ascii="Calibri" w:hAnsi="Calibri" w:cs="Times New Roman"/>
          <w:i/>
          <w:iCs/>
          <w:noProof/>
          <w:szCs w:val="24"/>
        </w:rPr>
        <w:t>Biophysical Chemistry</w:t>
      </w:r>
      <w:r w:rsidRPr="006D59B8">
        <w:rPr>
          <w:rFonts w:ascii="Calibri" w:hAnsi="Calibri" w:cs="Times New Roman"/>
          <w:noProof/>
          <w:szCs w:val="24"/>
        </w:rPr>
        <w:t>, 117, pp.217–224.</w:t>
      </w:r>
    </w:p>
    <w:p w14:paraId="50A21093"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Bowlus, R.D. &amp; Somero, G.N., 1979. Solute compatibility with enzyme function and structure: rationales for the selection of osmotic agents and end-products of anaerobic metabolism in marine invertebrates. </w:t>
      </w:r>
      <w:r w:rsidRPr="006D59B8">
        <w:rPr>
          <w:rFonts w:ascii="Calibri" w:hAnsi="Calibri" w:cs="Times New Roman"/>
          <w:i/>
          <w:iCs/>
          <w:noProof/>
          <w:szCs w:val="24"/>
        </w:rPr>
        <w:t>Journal of Experimental Zoology</w:t>
      </w:r>
      <w:r w:rsidRPr="006D59B8">
        <w:rPr>
          <w:rFonts w:ascii="Calibri" w:hAnsi="Calibri" w:cs="Times New Roman"/>
          <w:noProof/>
          <w:szCs w:val="24"/>
        </w:rPr>
        <w:t>, 208, pp.137–151.</w:t>
      </w:r>
    </w:p>
    <w:p w14:paraId="7462BE93"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Breslow, R. &amp; Guo, T., 1990. Surface tension measurements show that chaotropic salting-in denaturants are not just water-structure breakers. </w:t>
      </w:r>
      <w:r w:rsidRPr="006D59B8">
        <w:rPr>
          <w:rFonts w:ascii="Calibri" w:hAnsi="Calibri" w:cs="Times New Roman"/>
          <w:i/>
          <w:iCs/>
          <w:noProof/>
          <w:szCs w:val="24"/>
        </w:rPr>
        <w:t>Proceedings of the National Academy of Sciences of the United States of America</w:t>
      </w:r>
      <w:r w:rsidRPr="006D59B8">
        <w:rPr>
          <w:rFonts w:ascii="Calibri" w:hAnsi="Calibri" w:cs="Times New Roman"/>
          <w:noProof/>
          <w:szCs w:val="24"/>
        </w:rPr>
        <w:t>, 87, pp.167–169.</w:t>
      </w:r>
    </w:p>
    <w:p w14:paraId="0B36122E"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Bruylants, G., Wouters, J. &amp; Michaux, C., 2005. Differential scanning calorimetry in life science: Thermodynamics, stability, molecular recognition and application in drug design. </w:t>
      </w:r>
      <w:r w:rsidRPr="006D59B8">
        <w:rPr>
          <w:rFonts w:ascii="Calibri" w:hAnsi="Calibri" w:cs="Times New Roman"/>
          <w:i/>
          <w:iCs/>
          <w:noProof/>
          <w:szCs w:val="24"/>
        </w:rPr>
        <w:t>Current Medicinal Chemistry</w:t>
      </w:r>
      <w:r w:rsidRPr="006D59B8">
        <w:rPr>
          <w:rFonts w:ascii="Calibri" w:hAnsi="Calibri" w:cs="Times New Roman"/>
          <w:noProof/>
          <w:szCs w:val="24"/>
        </w:rPr>
        <w:t>, 12, pp.2011–2020.</w:t>
      </w:r>
    </w:p>
    <w:p w14:paraId="34641D18"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Bruździak, P., Panuszko, A. &amp; Stangret, J., 2013. Influence of osmolytes on protein and water structure: A step to understanding the mechanism of protein stabilization. </w:t>
      </w:r>
      <w:r w:rsidRPr="006D59B8">
        <w:rPr>
          <w:rFonts w:ascii="Calibri" w:hAnsi="Calibri" w:cs="Times New Roman"/>
          <w:i/>
          <w:iCs/>
          <w:noProof/>
          <w:szCs w:val="24"/>
        </w:rPr>
        <w:t>Journal of Physical Chemistry B</w:t>
      </w:r>
      <w:r w:rsidRPr="006D59B8">
        <w:rPr>
          <w:rFonts w:ascii="Calibri" w:hAnsi="Calibri" w:cs="Times New Roman"/>
          <w:noProof/>
          <w:szCs w:val="24"/>
        </w:rPr>
        <w:t>, 117, pp.11502–11508.</w:t>
      </w:r>
    </w:p>
    <w:p w14:paraId="7FBCE5E6"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Burg, M.B. &amp; Ferraris, J.D., 2008. Intracellular organic osmolytes: Function and regulation. </w:t>
      </w:r>
      <w:r w:rsidRPr="006D59B8">
        <w:rPr>
          <w:rFonts w:ascii="Calibri" w:hAnsi="Calibri" w:cs="Times New Roman"/>
          <w:i/>
          <w:iCs/>
          <w:noProof/>
          <w:szCs w:val="24"/>
        </w:rPr>
        <w:t>Journal of Biological Chemistry</w:t>
      </w:r>
      <w:r w:rsidRPr="006D59B8">
        <w:rPr>
          <w:rFonts w:ascii="Calibri" w:hAnsi="Calibri" w:cs="Times New Roman"/>
          <w:noProof/>
          <w:szCs w:val="24"/>
        </w:rPr>
        <w:t>, 283, pp.7309–7313.</w:t>
      </w:r>
    </w:p>
    <w:p w14:paraId="0CCCB400"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Bye, J.W., Meliga, S., et al., 2014. Analysis of the hydration water around bovine serum albumin using terahertz coherent synchrotron radiation. </w:t>
      </w:r>
      <w:r w:rsidRPr="006D59B8">
        <w:rPr>
          <w:rFonts w:ascii="Calibri" w:hAnsi="Calibri" w:cs="Times New Roman"/>
          <w:i/>
          <w:iCs/>
          <w:noProof/>
          <w:szCs w:val="24"/>
        </w:rPr>
        <w:t>Journal of Physical Chemistry A</w:t>
      </w:r>
      <w:r w:rsidRPr="006D59B8">
        <w:rPr>
          <w:rFonts w:ascii="Calibri" w:hAnsi="Calibri" w:cs="Times New Roman"/>
          <w:noProof/>
          <w:szCs w:val="24"/>
        </w:rPr>
        <w:t>, 118, pp.83–88.</w:t>
      </w:r>
    </w:p>
    <w:p w14:paraId="242218D4"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Bye, J.W. et al., 2013. Dual effects of sodium phytate on the structural stability and solubility of proteins. </w:t>
      </w:r>
      <w:r w:rsidRPr="006D59B8">
        <w:rPr>
          <w:rFonts w:ascii="Calibri" w:hAnsi="Calibri" w:cs="Times New Roman"/>
          <w:i/>
          <w:iCs/>
          <w:noProof/>
          <w:szCs w:val="24"/>
        </w:rPr>
        <w:t>Journal of Agricultural and Food Chemistry</w:t>
      </w:r>
      <w:r w:rsidRPr="006D59B8">
        <w:rPr>
          <w:rFonts w:ascii="Calibri" w:hAnsi="Calibri" w:cs="Times New Roman"/>
          <w:noProof/>
          <w:szCs w:val="24"/>
        </w:rPr>
        <w:t>, 61, pp.290–295.</w:t>
      </w:r>
    </w:p>
    <w:p w14:paraId="4B1F32AA"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Bye, J.W., 2014. Interaction between macromolecules, inorganic salts and small organic molecules. PhD Thesis. </w:t>
      </w:r>
      <w:r w:rsidRPr="006D59B8">
        <w:rPr>
          <w:rFonts w:ascii="Calibri" w:hAnsi="Calibri" w:cs="Times New Roman"/>
          <w:i/>
          <w:iCs/>
          <w:noProof/>
          <w:szCs w:val="24"/>
        </w:rPr>
        <w:t>The University of Sheffield, UK</w:t>
      </w:r>
      <w:r w:rsidRPr="006D59B8">
        <w:rPr>
          <w:rFonts w:ascii="Calibri" w:hAnsi="Calibri" w:cs="Times New Roman"/>
          <w:noProof/>
          <w:szCs w:val="24"/>
        </w:rPr>
        <w:t>.</w:t>
      </w:r>
    </w:p>
    <w:p w14:paraId="06E77FB3"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Bye, J.W. &amp; Falconer, R.J., 2013. Thermal stability of lysozyme as a function of ion concentration: A reappraisal of the relationship between the Hofmeister series and protein stability. </w:t>
      </w:r>
      <w:r w:rsidRPr="006D59B8">
        <w:rPr>
          <w:rFonts w:ascii="Calibri" w:hAnsi="Calibri" w:cs="Times New Roman"/>
          <w:i/>
          <w:iCs/>
          <w:noProof/>
          <w:szCs w:val="24"/>
        </w:rPr>
        <w:t>Protein Science</w:t>
      </w:r>
      <w:r w:rsidRPr="006D59B8">
        <w:rPr>
          <w:rFonts w:ascii="Calibri" w:hAnsi="Calibri" w:cs="Times New Roman"/>
          <w:noProof/>
          <w:szCs w:val="24"/>
        </w:rPr>
        <w:t>, 22, pp.1563–1570.</w:t>
      </w:r>
    </w:p>
    <w:p w14:paraId="7A1AA4A1"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Bye, J.W. &amp; Falconer, R.J., 2014. Three stages of lysozyme thermal stabilization by high and medium charge density anions. </w:t>
      </w:r>
      <w:r w:rsidRPr="006D59B8">
        <w:rPr>
          <w:rFonts w:ascii="Calibri" w:hAnsi="Calibri" w:cs="Times New Roman"/>
          <w:i/>
          <w:iCs/>
          <w:noProof/>
          <w:szCs w:val="24"/>
        </w:rPr>
        <w:t>Journal of Physical Chemistry B</w:t>
      </w:r>
      <w:r w:rsidRPr="006D59B8">
        <w:rPr>
          <w:rFonts w:ascii="Calibri" w:hAnsi="Calibri" w:cs="Times New Roman"/>
          <w:noProof/>
          <w:szCs w:val="24"/>
        </w:rPr>
        <w:t>, 118, pp.4282–4286.</w:t>
      </w:r>
    </w:p>
    <w:p w14:paraId="6B2AB3F0"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Bye, J.W., Platts, L. &amp; Falconer, R.J., 2014. Biopharmaceutical liquid formulation: a review of the science of protein stability and solubility in aqueous environments. </w:t>
      </w:r>
      <w:r w:rsidRPr="006D59B8">
        <w:rPr>
          <w:rFonts w:ascii="Calibri" w:hAnsi="Calibri" w:cs="Times New Roman"/>
          <w:i/>
          <w:iCs/>
          <w:noProof/>
          <w:szCs w:val="24"/>
        </w:rPr>
        <w:t>Biotechnology Letters</w:t>
      </w:r>
      <w:r w:rsidRPr="006D59B8">
        <w:rPr>
          <w:rFonts w:ascii="Calibri" w:hAnsi="Calibri" w:cs="Times New Roman"/>
          <w:noProof/>
          <w:szCs w:val="24"/>
        </w:rPr>
        <w:t>, 36, pp.869–875.</w:t>
      </w:r>
    </w:p>
    <w:p w14:paraId="6045FD57"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Calorimetry Sciences Corporation, 2006. Characterizing Protein Stability by DSC. </w:t>
      </w:r>
      <w:r w:rsidRPr="006D59B8">
        <w:rPr>
          <w:rFonts w:ascii="Calibri" w:hAnsi="Calibri" w:cs="Times New Roman"/>
          <w:i/>
          <w:iCs/>
          <w:noProof/>
          <w:szCs w:val="24"/>
        </w:rPr>
        <w:t>Life Sciences Application Note</w:t>
      </w:r>
      <w:r w:rsidRPr="006D59B8">
        <w:rPr>
          <w:rFonts w:ascii="Calibri" w:hAnsi="Calibri" w:cs="Times New Roman"/>
          <w:noProof/>
          <w:szCs w:val="24"/>
        </w:rPr>
        <w:t>, p.20211021306.</w:t>
      </w:r>
    </w:p>
    <w:p w14:paraId="7814D5E2"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Campo, M.G., 2006. Molecular dynamics simulation of glycine zwitterion in aqueous solution. </w:t>
      </w:r>
      <w:r w:rsidRPr="006D59B8">
        <w:rPr>
          <w:rFonts w:ascii="Calibri" w:hAnsi="Calibri" w:cs="Times New Roman"/>
          <w:i/>
          <w:iCs/>
          <w:noProof/>
          <w:szCs w:val="24"/>
        </w:rPr>
        <w:t>Journal of Chemical Physics</w:t>
      </w:r>
      <w:r w:rsidRPr="006D59B8">
        <w:rPr>
          <w:rFonts w:ascii="Calibri" w:hAnsi="Calibri" w:cs="Times New Roman"/>
          <w:noProof/>
          <w:szCs w:val="24"/>
        </w:rPr>
        <w:t>, 125, p.114511.</w:t>
      </w:r>
    </w:p>
    <w:p w14:paraId="525E32CA"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Canchi, D.R. &amp; García, A.E., 2013. Cosolvent effects on protein stability. </w:t>
      </w:r>
      <w:r w:rsidRPr="006D59B8">
        <w:rPr>
          <w:rFonts w:ascii="Calibri" w:hAnsi="Calibri" w:cs="Times New Roman"/>
          <w:i/>
          <w:iCs/>
          <w:noProof/>
          <w:szCs w:val="24"/>
        </w:rPr>
        <w:t>Annual Review of Physical Chemistry</w:t>
      </w:r>
      <w:r w:rsidRPr="006D59B8">
        <w:rPr>
          <w:rFonts w:ascii="Calibri" w:hAnsi="Calibri" w:cs="Times New Roman"/>
          <w:noProof/>
          <w:szCs w:val="24"/>
        </w:rPr>
        <w:t>, 64, pp.273–293.</w:t>
      </w:r>
    </w:p>
    <w:p w14:paraId="02CF5A9C"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Canchi, D.R., Paschek, D. &amp; García, A.E., 2010. Equilibrium study of protein denaturation by urea. </w:t>
      </w:r>
      <w:r w:rsidRPr="006D59B8">
        <w:rPr>
          <w:rFonts w:ascii="Calibri" w:hAnsi="Calibri" w:cs="Times New Roman"/>
          <w:i/>
          <w:iCs/>
          <w:noProof/>
          <w:szCs w:val="24"/>
        </w:rPr>
        <w:t>Journal of the American Chemical Society</w:t>
      </w:r>
      <w:r w:rsidRPr="006D59B8">
        <w:rPr>
          <w:rFonts w:ascii="Calibri" w:hAnsi="Calibri" w:cs="Times New Roman"/>
          <w:noProof/>
          <w:szCs w:val="24"/>
        </w:rPr>
        <w:t>, 132, pp.2338–2344.</w:t>
      </w:r>
    </w:p>
    <w:p w14:paraId="67D3C360"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Carpenter, J.F. &amp; Crowe, J.H., 1989. An infrared spectroscopic study of the interactions of carbohydrates with dried proteins. </w:t>
      </w:r>
      <w:r w:rsidRPr="006D59B8">
        <w:rPr>
          <w:rFonts w:ascii="Calibri" w:hAnsi="Calibri" w:cs="Times New Roman"/>
          <w:i/>
          <w:iCs/>
          <w:noProof/>
          <w:szCs w:val="24"/>
        </w:rPr>
        <w:t>Biochemistry</w:t>
      </w:r>
      <w:r w:rsidRPr="006D59B8">
        <w:rPr>
          <w:rFonts w:ascii="Calibri" w:hAnsi="Calibri" w:cs="Times New Roman"/>
          <w:noProof/>
          <w:szCs w:val="24"/>
        </w:rPr>
        <w:t>, 28, pp.3916–3922.</w:t>
      </w:r>
    </w:p>
    <w:p w14:paraId="41FB1644"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Chaudhuri, R. et al., 2014. High-throughput biophysical analysis of protein therapeutics to examine interrelationships between aggregate formation and conformational stability. </w:t>
      </w:r>
      <w:r w:rsidRPr="006D59B8">
        <w:rPr>
          <w:rFonts w:ascii="Calibri" w:hAnsi="Calibri" w:cs="Times New Roman"/>
          <w:i/>
          <w:iCs/>
          <w:noProof/>
          <w:szCs w:val="24"/>
        </w:rPr>
        <w:t>The AAPS Journal</w:t>
      </w:r>
      <w:r w:rsidRPr="006D59B8">
        <w:rPr>
          <w:rFonts w:ascii="Calibri" w:hAnsi="Calibri" w:cs="Times New Roman"/>
          <w:noProof/>
          <w:szCs w:val="24"/>
        </w:rPr>
        <w:t>, 16, pp.48–64.</w:t>
      </w:r>
    </w:p>
    <w:p w14:paraId="5891F7C2"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Chen, B. et al., 2003. Influence of histidine on the stability and physical properties of a fully human antibody in aqueous and solid forms. </w:t>
      </w:r>
      <w:r w:rsidRPr="006D59B8">
        <w:rPr>
          <w:rFonts w:ascii="Calibri" w:hAnsi="Calibri" w:cs="Times New Roman"/>
          <w:i/>
          <w:iCs/>
          <w:noProof/>
          <w:szCs w:val="24"/>
        </w:rPr>
        <w:t>Pharmaceutical Research</w:t>
      </w:r>
      <w:r w:rsidRPr="006D59B8">
        <w:rPr>
          <w:rFonts w:ascii="Calibri" w:hAnsi="Calibri" w:cs="Times New Roman"/>
          <w:noProof/>
          <w:szCs w:val="24"/>
        </w:rPr>
        <w:t>, 20, pp.1952–1960.</w:t>
      </w:r>
    </w:p>
    <w:p w14:paraId="72DAAB22"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Chen, J. et al., 2009. Cooperative effects of urea and L-arginine on protein refolding. </w:t>
      </w:r>
      <w:r w:rsidRPr="006D59B8">
        <w:rPr>
          <w:rFonts w:ascii="Calibri" w:hAnsi="Calibri" w:cs="Times New Roman"/>
          <w:i/>
          <w:iCs/>
          <w:noProof/>
          <w:szCs w:val="24"/>
        </w:rPr>
        <w:t>Protein Expression &amp; Purification</w:t>
      </w:r>
      <w:r w:rsidRPr="006D59B8">
        <w:rPr>
          <w:rFonts w:ascii="Calibri" w:hAnsi="Calibri" w:cs="Times New Roman"/>
          <w:noProof/>
          <w:szCs w:val="24"/>
        </w:rPr>
        <w:t>, 66, pp.82–90.</w:t>
      </w:r>
    </w:p>
    <w:p w14:paraId="49E43980"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Chen, M. et al., 2012. Molecular dynamics simulations of the interaction of glucose with imidazole in aqueous solution. </w:t>
      </w:r>
      <w:r w:rsidRPr="006D59B8">
        <w:rPr>
          <w:rFonts w:ascii="Calibri" w:hAnsi="Calibri" w:cs="Times New Roman"/>
          <w:i/>
          <w:iCs/>
          <w:noProof/>
          <w:szCs w:val="24"/>
        </w:rPr>
        <w:t>Carbohydrate Research</w:t>
      </w:r>
      <w:r w:rsidRPr="006D59B8">
        <w:rPr>
          <w:rFonts w:ascii="Calibri" w:hAnsi="Calibri" w:cs="Times New Roman"/>
          <w:noProof/>
          <w:szCs w:val="24"/>
        </w:rPr>
        <w:t>, 349, pp.73–77.</w:t>
      </w:r>
    </w:p>
    <w:p w14:paraId="537ED0F8"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Chien, P. &amp; Gierasch, L.M., 2014. Challenges and dreams: Physics of weak interactions essential to life. </w:t>
      </w:r>
      <w:r w:rsidRPr="006D59B8">
        <w:rPr>
          <w:rFonts w:ascii="Calibri" w:hAnsi="Calibri" w:cs="Times New Roman"/>
          <w:i/>
          <w:iCs/>
          <w:noProof/>
          <w:szCs w:val="24"/>
        </w:rPr>
        <w:t>Molecular Biology of the Cell</w:t>
      </w:r>
      <w:r w:rsidRPr="006D59B8">
        <w:rPr>
          <w:rFonts w:ascii="Calibri" w:hAnsi="Calibri" w:cs="Times New Roman"/>
          <w:noProof/>
          <w:szCs w:val="24"/>
        </w:rPr>
        <w:t>, 25, pp.3474–3477.</w:t>
      </w:r>
    </w:p>
    <w:p w14:paraId="4323A265"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Cirkovas, A. &amp; Sereikaite, J., 2011. Different effects of L-arginine on the heat-induced unfolding and aggregation of proteins. </w:t>
      </w:r>
      <w:r w:rsidRPr="006D59B8">
        <w:rPr>
          <w:rFonts w:ascii="Calibri" w:hAnsi="Calibri" w:cs="Times New Roman"/>
          <w:i/>
          <w:iCs/>
          <w:noProof/>
          <w:szCs w:val="24"/>
        </w:rPr>
        <w:t>Biologicals</w:t>
      </w:r>
      <w:r w:rsidRPr="006D59B8">
        <w:rPr>
          <w:rFonts w:ascii="Calibri" w:hAnsi="Calibri" w:cs="Times New Roman"/>
          <w:noProof/>
          <w:szCs w:val="24"/>
        </w:rPr>
        <w:t>, 39, pp.181–188.</w:t>
      </w:r>
    </w:p>
    <w:p w14:paraId="4919D089"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Clark, M.E. &amp; Zounes, M., 1977. The effects of selected cell osmolytes on the activity of lactate dehydrogenase from the Euryhaline Polychaete, Nereis succinea. </w:t>
      </w:r>
      <w:r w:rsidRPr="006D59B8">
        <w:rPr>
          <w:rFonts w:ascii="Calibri" w:hAnsi="Calibri" w:cs="Times New Roman"/>
          <w:i/>
          <w:iCs/>
          <w:noProof/>
          <w:szCs w:val="24"/>
        </w:rPr>
        <w:t>Biological Bulletin</w:t>
      </w:r>
      <w:r w:rsidRPr="006D59B8">
        <w:rPr>
          <w:rFonts w:ascii="Calibri" w:hAnsi="Calibri" w:cs="Times New Roman"/>
          <w:noProof/>
          <w:szCs w:val="24"/>
        </w:rPr>
        <w:t>, 153, pp.468–484.</w:t>
      </w:r>
    </w:p>
    <w:p w14:paraId="7E61FB6C"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Collins, K.D., 1997. Charge density-dependent strength of hydration and biological structure. </w:t>
      </w:r>
      <w:r w:rsidRPr="006D59B8">
        <w:rPr>
          <w:rFonts w:ascii="Calibri" w:hAnsi="Calibri" w:cs="Times New Roman"/>
          <w:i/>
          <w:iCs/>
          <w:noProof/>
          <w:szCs w:val="24"/>
        </w:rPr>
        <w:t>Biophysical Journal</w:t>
      </w:r>
      <w:r w:rsidRPr="006D59B8">
        <w:rPr>
          <w:rFonts w:ascii="Calibri" w:hAnsi="Calibri" w:cs="Times New Roman"/>
          <w:noProof/>
          <w:szCs w:val="24"/>
        </w:rPr>
        <w:t>, 72, pp.65–76.</w:t>
      </w:r>
    </w:p>
    <w:p w14:paraId="0FF74E68"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Collins, K.D., 2004. Ions from the Hofmeister series and osmolytes: Effects on proteins in solution and in the crystallization process. </w:t>
      </w:r>
      <w:r w:rsidRPr="006D59B8">
        <w:rPr>
          <w:rFonts w:ascii="Calibri" w:hAnsi="Calibri" w:cs="Times New Roman"/>
          <w:i/>
          <w:iCs/>
          <w:noProof/>
          <w:szCs w:val="24"/>
        </w:rPr>
        <w:t>Methods</w:t>
      </w:r>
      <w:r w:rsidRPr="006D59B8">
        <w:rPr>
          <w:rFonts w:ascii="Calibri" w:hAnsi="Calibri" w:cs="Times New Roman"/>
          <w:noProof/>
          <w:szCs w:val="24"/>
        </w:rPr>
        <w:t>, 34, pp.300–311.</w:t>
      </w:r>
    </w:p>
    <w:p w14:paraId="1D879C1D"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Collins, K.D., 1995. Sticky ions in biological systems. </w:t>
      </w:r>
      <w:r w:rsidRPr="006D59B8">
        <w:rPr>
          <w:rFonts w:ascii="Calibri" w:hAnsi="Calibri" w:cs="Times New Roman"/>
          <w:i/>
          <w:iCs/>
          <w:noProof/>
          <w:szCs w:val="24"/>
        </w:rPr>
        <w:t>Proceedings of the National Academy of Sciences of the United States of America</w:t>
      </w:r>
      <w:r w:rsidRPr="006D59B8">
        <w:rPr>
          <w:rFonts w:ascii="Calibri" w:hAnsi="Calibri" w:cs="Times New Roman"/>
          <w:noProof/>
          <w:szCs w:val="24"/>
        </w:rPr>
        <w:t>, 92, pp.5553–5557.</w:t>
      </w:r>
    </w:p>
    <w:p w14:paraId="767CBE14"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Collins, K.D. &amp; Washabaugh, M.W., 1985. The Hofmeister effect and the behaviour of water at interfaces. </w:t>
      </w:r>
      <w:r w:rsidRPr="006D59B8">
        <w:rPr>
          <w:rFonts w:ascii="Calibri" w:hAnsi="Calibri" w:cs="Times New Roman"/>
          <w:i/>
          <w:iCs/>
          <w:noProof/>
          <w:szCs w:val="24"/>
        </w:rPr>
        <w:t>Quarterly Review of Biophysics</w:t>
      </w:r>
      <w:r w:rsidRPr="006D59B8">
        <w:rPr>
          <w:rFonts w:ascii="Calibri" w:hAnsi="Calibri" w:cs="Times New Roman"/>
          <w:noProof/>
          <w:szCs w:val="24"/>
        </w:rPr>
        <w:t>, 18, pp.323–422.</w:t>
      </w:r>
    </w:p>
    <w:p w14:paraId="2A94F24A"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Cooper, A., Nutley, M.A. &amp; Wadood, A., 2000. Differential scanning microcalorimetry. In </w:t>
      </w:r>
      <w:r w:rsidRPr="006D59B8">
        <w:rPr>
          <w:rFonts w:ascii="Calibri" w:hAnsi="Calibri" w:cs="Times New Roman"/>
          <w:i/>
          <w:iCs/>
          <w:noProof/>
          <w:szCs w:val="24"/>
        </w:rPr>
        <w:t>Protein-Ligand Interactions: hydrodynamics and calorimetry</w:t>
      </w:r>
      <w:r w:rsidRPr="006D59B8">
        <w:rPr>
          <w:rFonts w:ascii="Calibri" w:hAnsi="Calibri" w:cs="Times New Roman"/>
          <w:noProof/>
          <w:szCs w:val="24"/>
        </w:rPr>
        <w:t>. pp. 287–318.</w:t>
      </w:r>
    </w:p>
    <w:p w14:paraId="2F1FBF73"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Courtenay, E.S. et al., 2000. Vapor pressure osmometry studies of osmolyte-protein interactions: Implications for the action of osmoprotectants in vivo and for the interpretation of “osmotic stress” experiments in vitro. </w:t>
      </w:r>
      <w:r w:rsidRPr="006D59B8">
        <w:rPr>
          <w:rFonts w:ascii="Calibri" w:hAnsi="Calibri" w:cs="Times New Roman"/>
          <w:i/>
          <w:iCs/>
          <w:noProof/>
          <w:szCs w:val="24"/>
        </w:rPr>
        <w:t>Biochemistry</w:t>
      </w:r>
      <w:r w:rsidRPr="006D59B8">
        <w:rPr>
          <w:rFonts w:ascii="Calibri" w:hAnsi="Calibri" w:cs="Times New Roman"/>
          <w:noProof/>
          <w:szCs w:val="24"/>
        </w:rPr>
        <w:t>, 39, pp.4455–4471.</w:t>
      </w:r>
    </w:p>
    <w:p w14:paraId="70006BF3"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Courtenay, E.S., Capp, M.W. &amp; Record, M.T., 2001. Thermodynamics of interactions of urea and guanidinium salts with protein surface: Relationship between solute effects on protein processes and changes in water-accessible surface area. </w:t>
      </w:r>
      <w:r w:rsidRPr="006D59B8">
        <w:rPr>
          <w:rFonts w:ascii="Calibri" w:hAnsi="Calibri" w:cs="Times New Roman"/>
          <w:i/>
          <w:iCs/>
          <w:noProof/>
          <w:szCs w:val="24"/>
        </w:rPr>
        <w:t>Protein Science</w:t>
      </w:r>
      <w:r w:rsidRPr="006D59B8">
        <w:rPr>
          <w:rFonts w:ascii="Calibri" w:hAnsi="Calibri" w:cs="Times New Roman"/>
          <w:noProof/>
          <w:szCs w:val="24"/>
        </w:rPr>
        <w:t>, 10, pp.2485–2497.</w:t>
      </w:r>
    </w:p>
    <w:p w14:paraId="5B3A4CED"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Cox, W.M. &amp; Wolfenden, J.H., 1934. The viscosity of strong electrolytes measured by a differential method. </w:t>
      </w:r>
      <w:r w:rsidRPr="006D59B8">
        <w:rPr>
          <w:rFonts w:ascii="Calibri" w:hAnsi="Calibri" w:cs="Times New Roman"/>
          <w:i/>
          <w:iCs/>
          <w:noProof/>
          <w:szCs w:val="24"/>
        </w:rPr>
        <w:t>Proceedings of the Royal Society of London: Series A</w:t>
      </w:r>
      <w:r w:rsidRPr="006D59B8">
        <w:rPr>
          <w:rFonts w:ascii="Calibri" w:hAnsi="Calibri" w:cs="Times New Roman"/>
          <w:noProof/>
          <w:szCs w:val="24"/>
        </w:rPr>
        <w:t>, 92, pp.475–488.</w:t>
      </w:r>
    </w:p>
    <w:p w14:paraId="66A5FF7B"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Creamer, T.P., Srinivasan, R. &amp; Rose, G.D., 1997. Modeling unfolded states of proteins and peptides. II. Backbone solvent accessibility. </w:t>
      </w:r>
      <w:r w:rsidRPr="006D59B8">
        <w:rPr>
          <w:rFonts w:ascii="Calibri" w:hAnsi="Calibri" w:cs="Times New Roman"/>
          <w:i/>
          <w:iCs/>
          <w:noProof/>
          <w:szCs w:val="24"/>
        </w:rPr>
        <w:t>Biochemistry</w:t>
      </w:r>
      <w:r w:rsidRPr="006D59B8">
        <w:rPr>
          <w:rFonts w:ascii="Calibri" w:hAnsi="Calibri" w:cs="Times New Roman"/>
          <w:noProof/>
          <w:szCs w:val="24"/>
        </w:rPr>
        <w:t>, 36, pp.2832–2835.</w:t>
      </w:r>
    </w:p>
    <w:p w14:paraId="0946F44B" w14:textId="77777777" w:rsidR="006D59B8" w:rsidRPr="00E3274E" w:rsidRDefault="006D59B8" w:rsidP="006D59B8">
      <w:pPr>
        <w:widowControl w:val="0"/>
        <w:autoSpaceDE w:val="0"/>
        <w:autoSpaceDN w:val="0"/>
        <w:adjustRightInd w:val="0"/>
        <w:ind w:left="480" w:hanging="480"/>
        <w:rPr>
          <w:rFonts w:ascii="Calibri" w:hAnsi="Calibri" w:cs="Times New Roman"/>
          <w:noProof/>
          <w:szCs w:val="24"/>
          <w:lang w:val="de-DE"/>
        </w:rPr>
      </w:pPr>
      <w:r w:rsidRPr="006D59B8">
        <w:rPr>
          <w:rFonts w:ascii="Calibri" w:hAnsi="Calibri" w:cs="Times New Roman"/>
          <w:noProof/>
          <w:szCs w:val="24"/>
        </w:rPr>
        <w:t xml:space="preserve">Crowley, P.B. &amp; Golovin, A., 2005. </w:t>
      </w:r>
      <w:r w:rsidRPr="00E3274E">
        <w:rPr>
          <w:rFonts w:ascii="Calibri" w:hAnsi="Calibri" w:cs="Times New Roman"/>
          <w:noProof/>
          <w:szCs w:val="24"/>
          <w:lang w:val="de-DE"/>
        </w:rPr>
        <w:t>Cation-</w:t>
      </w:r>
      <w:r w:rsidRPr="006D59B8">
        <w:rPr>
          <w:rFonts w:ascii="Calibri" w:hAnsi="Calibri" w:cs="Times New Roman"/>
          <w:noProof/>
          <w:szCs w:val="24"/>
        </w:rPr>
        <w:t>π</w:t>
      </w:r>
      <w:r w:rsidRPr="00E3274E">
        <w:rPr>
          <w:rFonts w:ascii="Calibri" w:hAnsi="Calibri" w:cs="Times New Roman"/>
          <w:noProof/>
          <w:szCs w:val="24"/>
          <w:lang w:val="de-DE"/>
        </w:rPr>
        <w:t xml:space="preserve"> interactions in protein-protein interfaces. </w:t>
      </w:r>
      <w:r w:rsidRPr="00E3274E">
        <w:rPr>
          <w:rFonts w:ascii="Calibri" w:hAnsi="Calibri" w:cs="Times New Roman"/>
          <w:i/>
          <w:iCs/>
          <w:noProof/>
          <w:szCs w:val="24"/>
          <w:lang w:val="de-DE"/>
        </w:rPr>
        <w:t>Proteins</w:t>
      </w:r>
      <w:r w:rsidRPr="00E3274E">
        <w:rPr>
          <w:rFonts w:ascii="Calibri" w:hAnsi="Calibri" w:cs="Times New Roman"/>
          <w:noProof/>
          <w:szCs w:val="24"/>
          <w:lang w:val="de-DE"/>
        </w:rPr>
        <w:t>, 59, pp.231–239.</w:t>
      </w:r>
    </w:p>
    <w:p w14:paraId="02169639"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E3274E">
        <w:rPr>
          <w:rFonts w:ascii="Calibri" w:hAnsi="Calibri" w:cs="Times New Roman"/>
          <w:noProof/>
          <w:szCs w:val="24"/>
          <w:lang w:val="de-DE"/>
        </w:rPr>
        <w:t xml:space="preserve">Das, U. et al., 2007. </w:t>
      </w:r>
      <w:r w:rsidRPr="006D59B8">
        <w:rPr>
          <w:rFonts w:ascii="Calibri" w:hAnsi="Calibri" w:cs="Times New Roman"/>
          <w:noProof/>
          <w:szCs w:val="24"/>
        </w:rPr>
        <w:t xml:space="preserve">Inhibition of protein aggregation: Supramolecular assemblies of arginine hold the key. </w:t>
      </w:r>
      <w:r w:rsidRPr="006D59B8">
        <w:rPr>
          <w:rFonts w:ascii="Calibri" w:hAnsi="Calibri" w:cs="Times New Roman"/>
          <w:i/>
          <w:iCs/>
          <w:noProof/>
          <w:szCs w:val="24"/>
        </w:rPr>
        <w:t>PloS One</w:t>
      </w:r>
      <w:r w:rsidRPr="006D59B8">
        <w:rPr>
          <w:rFonts w:ascii="Calibri" w:hAnsi="Calibri" w:cs="Times New Roman"/>
          <w:noProof/>
          <w:szCs w:val="24"/>
        </w:rPr>
        <w:t>, 2, p.e1176.</w:t>
      </w:r>
    </w:p>
    <w:p w14:paraId="378DCC4B"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Dill, K.A., 1990. Dominant forces in protein folding. </w:t>
      </w:r>
      <w:r w:rsidRPr="006D59B8">
        <w:rPr>
          <w:rFonts w:ascii="Calibri" w:hAnsi="Calibri" w:cs="Times New Roman"/>
          <w:i/>
          <w:iCs/>
          <w:noProof/>
          <w:szCs w:val="24"/>
        </w:rPr>
        <w:t>Biochemistry</w:t>
      </w:r>
      <w:r w:rsidRPr="006D59B8">
        <w:rPr>
          <w:rFonts w:ascii="Calibri" w:hAnsi="Calibri" w:cs="Times New Roman"/>
          <w:noProof/>
          <w:szCs w:val="24"/>
        </w:rPr>
        <w:t>, 29, pp.7133–7155.</w:t>
      </w:r>
    </w:p>
    <w:p w14:paraId="55E32CF1"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Dobson, C.M., 2003. Protein folding and misfolding. </w:t>
      </w:r>
      <w:r w:rsidRPr="006D59B8">
        <w:rPr>
          <w:rFonts w:ascii="Calibri" w:hAnsi="Calibri" w:cs="Times New Roman"/>
          <w:i/>
          <w:iCs/>
          <w:noProof/>
          <w:szCs w:val="24"/>
        </w:rPr>
        <w:t>Nature</w:t>
      </w:r>
      <w:r w:rsidRPr="006D59B8">
        <w:rPr>
          <w:rFonts w:ascii="Calibri" w:hAnsi="Calibri" w:cs="Times New Roman"/>
          <w:noProof/>
          <w:szCs w:val="24"/>
        </w:rPr>
        <w:t>, 426, pp.884–890.</w:t>
      </w:r>
    </w:p>
    <w:p w14:paraId="07400647"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Dong, X.Y., Shi, J.H. &amp; Sun, Y., 2002. Cooperative effect of artificial chaperones and guanidinium chloride on lysozyme renaturation at high concentrations. </w:t>
      </w:r>
      <w:r w:rsidRPr="006D59B8">
        <w:rPr>
          <w:rFonts w:ascii="Calibri" w:hAnsi="Calibri" w:cs="Times New Roman"/>
          <w:i/>
          <w:iCs/>
          <w:noProof/>
          <w:szCs w:val="24"/>
        </w:rPr>
        <w:t>Biotechnology Progress</w:t>
      </w:r>
      <w:r w:rsidRPr="006D59B8">
        <w:rPr>
          <w:rFonts w:ascii="Calibri" w:hAnsi="Calibri" w:cs="Times New Roman"/>
          <w:noProof/>
          <w:szCs w:val="24"/>
        </w:rPr>
        <w:t>, 18, pp.663–665.</w:t>
      </w:r>
    </w:p>
    <w:p w14:paraId="3E3D7469"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Dyson, H.J. &amp; Wright, P.E., 2002. Insights into the structure and dynamics of unfolded proteins from nuclear magnetic resonance. </w:t>
      </w:r>
      <w:r w:rsidRPr="006D59B8">
        <w:rPr>
          <w:rFonts w:ascii="Calibri" w:hAnsi="Calibri" w:cs="Times New Roman"/>
          <w:i/>
          <w:iCs/>
          <w:noProof/>
          <w:szCs w:val="24"/>
        </w:rPr>
        <w:t>Advances in Protein Chemistry</w:t>
      </w:r>
      <w:r w:rsidRPr="006D59B8">
        <w:rPr>
          <w:rFonts w:ascii="Calibri" w:hAnsi="Calibri" w:cs="Times New Roman"/>
          <w:noProof/>
          <w:szCs w:val="24"/>
        </w:rPr>
        <w:t>, 62, pp.311–340.</w:t>
      </w:r>
    </w:p>
    <w:p w14:paraId="56A7B6D6"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Ebbinghaus, S. et al., 2007. An extended dynamical hydration shell around proteins. </w:t>
      </w:r>
      <w:r w:rsidRPr="006D59B8">
        <w:rPr>
          <w:rFonts w:ascii="Calibri" w:hAnsi="Calibri" w:cs="Times New Roman"/>
          <w:i/>
          <w:iCs/>
          <w:noProof/>
          <w:szCs w:val="24"/>
        </w:rPr>
        <w:t>Proceedings of the National Academy of Sciences of the United States of America</w:t>
      </w:r>
      <w:r w:rsidRPr="006D59B8">
        <w:rPr>
          <w:rFonts w:ascii="Calibri" w:hAnsi="Calibri" w:cs="Times New Roman"/>
          <w:noProof/>
          <w:szCs w:val="24"/>
        </w:rPr>
        <w:t>, 104, pp.20749–20752.</w:t>
      </w:r>
    </w:p>
    <w:p w14:paraId="7B1E0FA6"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E3274E">
        <w:rPr>
          <w:rFonts w:ascii="Calibri" w:hAnsi="Calibri" w:cs="Times New Roman"/>
          <w:noProof/>
          <w:szCs w:val="24"/>
          <w:lang w:val="it-IT"/>
        </w:rPr>
        <w:t xml:space="preserve">Ejima, D., Yumioka, R., et al., 2005. </w:t>
      </w:r>
      <w:r w:rsidRPr="006D59B8">
        <w:rPr>
          <w:rFonts w:ascii="Calibri" w:hAnsi="Calibri" w:cs="Times New Roman"/>
          <w:noProof/>
          <w:szCs w:val="24"/>
        </w:rPr>
        <w:t xml:space="preserve">Effective elution of antibodies by arginine and arginine derivatives in affinity column chromatography. </w:t>
      </w:r>
      <w:r w:rsidRPr="006D59B8">
        <w:rPr>
          <w:rFonts w:ascii="Calibri" w:hAnsi="Calibri" w:cs="Times New Roman"/>
          <w:i/>
          <w:iCs/>
          <w:noProof/>
          <w:szCs w:val="24"/>
        </w:rPr>
        <w:t>Analytical Biochemistry</w:t>
      </w:r>
      <w:r w:rsidRPr="006D59B8">
        <w:rPr>
          <w:rFonts w:ascii="Calibri" w:hAnsi="Calibri" w:cs="Times New Roman"/>
          <w:noProof/>
          <w:szCs w:val="24"/>
        </w:rPr>
        <w:t>, 345, pp.250–7.</w:t>
      </w:r>
    </w:p>
    <w:p w14:paraId="4B4B4053"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Ejima, D., Tsumoto, K. &amp; Arakawa, T., 2005. Biotech applications of arginine. Novel uses in protein production, processing, analysis and formulation. </w:t>
      </w:r>
      <w:r w:rsidRPr="006D59B8">
        <w:rPr>
          <w:rFonts w:ascii="Calibri" w:hAnsi="Calibri" w:cs="Times New Roman"/>
          <w:i/>
          <w:iCs/>
          <w:noProof/>
          <w:szCs w:val="24"/>
        </w:rPr>
        <w:t>BioProcess International</w:t>
      </w:r>
      <w:r w:rsidRPr="006D59B8">
        <w:rPr>
          <w:rFonts w:ascii="Calibri" w:hAnsi="Calibri" w:cs="Times New Roman"/>
          <w:noProof/>
          <w:szCs w:val="24"/>
        </w:rPr>
        <w:t>, pp.20–28.</w:t>
      </w:r>
    </w:p>
    <w:p w14:paraId="20EF9515"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E3274E">
        <w:rPr>
          <w:rFonts w:ascii="Calibri" w:hAnsi="Calibri" w:cs="Times New Roman"/>
          <w:noProof/>
          <w:szCs w:val="24"/>
          <w:lang w:val="it-IT"/>
        </w:rPr>
        <w:t xml:space="preserve">Ellis, R.J. &amp; Minton, A.P., 2003. </w:t>
      </w:r>
      <w:r w:rsidRPr="006D59B8">
        <w:rPr>
          <w:rFonts w:ascii="Calibri" w:hAnsi="Calibri" w:cs="Times New Roman"/>
          <w:noProof/>
          <w:szCs w:val="24"/>
        </w:rPr>
        <w:t xml:space="preserve">Join the crowd. </w:t>
      </w:r>
      <w:r w:rsidRPr="006D59B8">
        <w:rPr>
          <w:rFonts w:ascii="Calibri" w:hAnsi="Calibri" w:cs="Times New Roman"/>
          <w:i/>
          <w:iCs/>
          <w:noProof/>
          <w:szCs w:val="24"/>
        </w:rPr>
        <w:t>Nature</w:t>
      </w:r>
      <w:r w:rsidRPr="006D59B8">
        <w:rPr>
          <w:rFonts w:ascii="Calibri" w:hAnsi="Calibri" w:cs="Times New Roman"/>
          <w:noProof/>
          <w:szCs w:val="24"/>
        </w:rPr>
        <w:t>, 425, pp.27–28.</w:t>
      </w:r>
    </w:p>
    <w:p w14:paraId="223713CF"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England, J.L. &amp; Haran, G., 2011. Role of solvation effects in protein denaturation: From thermodynamics to single molecules and back. </w:t>
      </w:r>
      <w:r w:rsidRPr="006D59B8">
        <w:rPr>
          <w:rFonts w:ascii="Calibri" w:hAnsi="Calibri" w:cs="Times New Roman"/>
          <w:i/>
          <w:iCs/>
          <w:noProof/>
          <w:szCs w:val="24"/>
        </w:rPr>
        <w:t>Annual Review of Physical Chemistry</w:t>
      </w:r>
      <w:r w:rsidRPr="006D59B8">
        <w:rPr>
          <w:rFonts w:ascii="Calibri" w:hAnsi="Calibri" w:cs="Times New Roman"/>
          <w:noProof/>
          <w:szCs w:val="24"/>
        </w:rPr>
        <w:t>, 62, pp.257–277.</w:t>
      </w:r>
    </w:p>
    <w:p w14:paraId="35FFA31F"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England, J.L., Pande, V.S. &amp; Haran, G., 2008. Chemical denaturants inhibit the onset of dewetting. </w:t>
      </w:r>
      <w:r w:rsidRPr="006D59B8">
        <w:rPr>
          <w:rFonts w:ascii="Calibri" w:hAnsi="Calibri" w:cs="Times New Roman"/>
          <w:i/>
          <w:iCs/>
          <w:noProof/>
          <w:szCs w:val="24"/>
        </w:rPr>
        <w:t>Journal of the American Chemical Society</w:t>
      </w:r>
      <w:r w:rsidRPr="006D59B8">
        <w:rPr>
          <w:rFonts w:ascii="Calibri" w:hAnsi="Calibri" w:cs="Times New Roman"/>
          <w:noProof/>
          <w:szCs w:val="24"/>
        </w:rPr>
        <w:t>, 130, pp.11854–11855.</w:t>
      </w:r>
    </w:p>
    <w:p w14:paraId="2B21BB92"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Falconer, R.J. et al., 2011. Stabilization of a monoclonal antibody during purification and formulation by addition of basic amino acid excipients. </w:t>
      </w:r>
      <w:r w:rsidRPr="006D59B8">
        <w:rPr>
          <w:rFonts w:ascii="Calibri" w:hAnsi="Calibri" w:cs="Times New Roman"/>
          <w:i/>
          <w:iCs/>
          <w:noProof/>
          <w:szCs w:val="24"/>
        </w:rPr>
        <w:t>Journal of Chemical Technology &amp; Biotechnology</w:t>
      </w:r>
      <w:r w:rsidRPr="006D59B8">
        <w:rPr>
          <w:rFonts w:ascii="Calibri" w:hAnsi="Calibri" w:cs="Times New Roman"/>
          <w:noProof/>
          <w:szCs w:val="24"/>
        </w:rPr>
        <w:t>, 86, pp.942–948.</w:t>
      </w:r>
    </w:p>
    <w:p w14:paraId="4825ABAD"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Filipe, V., Hawe, A. &amp; Jiskoot, W., 2010. Critical evaluation of nanoparticle tracking analysis (NTA) by NanoSight for the measurement of nanoparticles and protein aggregates. </w:t>
      </w:r>
      <w:r w:rsidRPr="006D59B8">
        <w:rPr>
          <w:rFonts w:ascii="Calibri" w:hAnsi="Calibri" w:cs="Times New Roman"/>
          <w:i/>
          <w:iCs/>
          <w:noProof/>
          <w:szCs w:val="24"/>
        </w:rPr>
        <w:t>Pharmaceutical Research</w:t>
      </w:r>
      <w:r w:rsidRPr="006D59B8">
        <w:rPr>
          <w:rFonts w:ascii="Calibri" w:hAnsi="Calibri" w:cs="Times New Roman"/>
          <w:noProof/>
          <w:szCs w:val="24"/>
        </w:rPr>
        <w:t>, 27, pp.796–810.</w:t>
      </w:r>
    </w:p>
    <w:p w14:paraId="6837EB4E"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Finet, S. et al., 2004. The hofmeister effect as seen by SAXS in protein solutions. </w:t>
      </w:r>
      <w:r w:rsidRPr="006D59B8">
        <w:rPr>
          <w:rFonts w:ascii="Calibri" w:hAnsi="Calibri" w:cs="Times New Roman"/>
          <w:i/>
          <w:iCs/>
          <w:noProof/>
          <w:szCs w:val="24"/>
        </w:rPr>
        <w:t>Current Opinion in Colloid &amp; Interface Science</w:t>
      </w:r>
      <w:r w:rsidRPr="006D59B8">
        <w:rPr>
          <w:rFonts w:ascii="Calibri" w:hAnsi="Calibri" w:cs="Times New Roman"/>
          <w:noProof/>
          <w:szCs w:val="24"/>
        </w:rPr>
        <w:t>, 9, pp.112–116.</w:t>
      </w:r>
    </w:p>
    <w:p w14:paraId="444AF8E9"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Flores, S.C., Kherb, J. &amp; Cremer, P.S., 2012. Direct and reverse Hofmeister effects on interfacial water structure. </w:t>
      </w:r>
      <w:r w:rsidRPr="006D59B8">
        <w:rPr>
          <w:rFonts w:ascii="Calibri" w:hAnsi="Calibri" w:cs="Times New Roman"/>
          <w:i/>
          <w:iCs/>
          <w:noProof/>
          <w:szCs w:val="24"/>
        </w:rPr>
        <w:t>Journal of Physical Chemistry C</w:t>
      </w:r>
      <w:r w:rsidRPr="006D59B8">
        <w:rPr>
          <w:rFonts w:ascii="Calibri" w:hAnsi="Calibri" w:cs="Times New Roman"/>
          <w:noProof/>
          <w:szCs w:val="24"/>
        </w:rPr>
        <w:t>, 116, pp.14408–14413.</w:t>
      </w:r>
    </w:p>
    <w:p w14:paraId="0B3BD9DD"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Frank, H.S. &amp; Evans, M.W., 1945. Free volume and entropy in condensed systems III. Entropy in binary liquid mixtures; partial molal entropy in dilute solutions; structure and thermodynamics in aqueous electrolytes. </w:t>
      </w:r>
      <w:r w:rsidRPr="006D59B8">
        <w:rPr>
          <w:rFonts w:ascii="Calibri" w:hAnsi="Calibri" w:cs="Times New Roman"/>
          <w:i/>
          <w:iCs/>
          <w:noProof/>
          <w:szCs w:val="24"/>
        </w:rPr>
        <w:t>Journal of Chemical Physics</w:t>
      </w:r>
      <w:r w:rsidRPr="006D59B8">
        <w:rPr>
          <w:rFonts w:ascii="Calibri" w:hAnsi="Calibri" w:cs="Times New Roman"/>
          <w:noProof/>
          <w:szCs w:val="24"/>
        </w:rPr>
        <w:t>, 13, pp.507–532.</w:t>
      </w:r>
    </w:p>
    <w:p w14:paraId="1221B740"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Fromm, J.R. et al., 1995. Differences in the interaction of heparin with arginine and lysine and the importance of these basic amino acids in the binding of heparin to acidic fibroblast growth factor. </w:t>
      </w:r>
      <w:r w:rsidRPr="006D59B8">
        <w:rPr>
          <w:rFonts w:ascii="Calibri" w:hAnsi="Calibri" w:cs="Times New Roman"/>
          <w:i/>
          <w:iCs/>
          <w:noProof/>
          <w:szCs w:val="24"/>
        </w:rPr>
        <w:t>Archives of Biochemistry and Biophysics</w:t>
      </w:r>
      <w:r w:rsidRPr="006D59B8">
        <w:rPr>
          <w:rFonts w:ascii="Calibri" w:hAnsi="Calibri" w:cs="Times New Roman"/>
          <w:noProof/>
          <w:szCs w:val="24"/>
        </w:rPr>
        <w:t>, 323, pp.279–287.</w:t>
      </w:r>
    </w:p>
    <w:p w14:paraId="327FBC10"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Fukuda, M. et al., 2014. Thermodynamic and fluorescence analyses to determine mechanisms of IgG1 stabilization and destabilization by arginine. </w:t>
      </w:r>
      <w:r w:rsidRPr="006D59B8">
        <w:rPr>
          <w:rFonts w:ascii="Calibri" w:hAnsi="Calibri" w:cs="Times New Roman"/>
          <w:i/>
          <w:iCs/>
          <w:noProof/>
          <w:szCs w:val="24"/>
        </w:rPr>
        <w:t>Pharmaceutical Research</w:t>
      </w:r>
      <w:r w:rsidRPr="006D59B8">
        <w:rPr>
          <w:rFonts w:ascii="Calibri" w:hAnsi="Calibri" w:cs="Times New Roman"/>
          <w:noProof/>
          <w:szCs w:val="24"/>
        </w:rPr>
        <w:t>, 31, pp.992–1001.</w:t>
      </w:r>
    </w:p>
    <w:p w14:paraId="695E72EC"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Gallivan, J.P. &amp; Dougherty, D.A., 1999. Cation-pi interactions in structural biology. </w:t>
      </w:r>
      <w:r w:rsidRPr="006D59B8">
        <w:rPr>
          <w:rFonts w:ascii="Calibri" w:hAnsi="Calibri" w:cs="Times New Roman"/>
          <w:i/>
          <w:iCs/>
          <w:noProof/>
          <w:szCs w:val="24"/>
        </w:rPr>
        <w:t>Proceedings of the National Academy of Sciences of the United States of America</w:t>
      </w:r>
      <w:r w:rsidRPr="006D59B8">
        <w:rPr>
          <w:rFonts w:ascii="Calibri" w:hAnsi="Calibri" w:cs="Times New Roman"/>
          <w:noProof/>
          <w:szCs w:val="24"/>
        </w:rPr>
        <w:t>, 96, pp.9459–9464.</w:t>
      </w:r>
    </w:p>
    <w:p w14:paraId="676BC204"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Gao, M.T., Dong, X.Y. &amp; Sun, Y., 2013. Interactions between L-arginine/L-arginine derivatives and lysozyme and implications to their inhibition effects on protein aggregation. </w:t>
      </w:r>
      <w:r w:rsidRPr="006D59B8">
        <w:rPr>
          <w:rFonts w:ascii="Calibri" w:hAnsi="Calibri" w:cs="Times New Roman"/>
          <w:i/>
          <w:iCs/>
          <w:noProof/>
          <w:szCs w:val="24"/>
        </w:rPr>
        <w:t>Biotechnology Progress</w:t>
      </w:r>
      <w:r w:rsidRPr="006D59B8">
        <w:rPr>
          <w:rFonts w:ascii="Calibri" w:hAnsi="Calibri" w:cs="Times New Roman"/>
          <w:noProof/>
          <w:szCs w:val="24"/>
        </w:rPr>
        <w:t>, 29, pp.1316–1324.</w:t>
      </w:r>
    </w:p>
    <w:p w14:paraId="2BFEFE14"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Gill, S.C. &amp; von Hippel, P.H., 1989. Calculation of protein extinction coefficients from amino acid sequence data. </w:t>
      </w:r>
      <w:r w:rsidRPr="006D59B8">
        <w:rPr>
          <w:rFonts w:ascii="Calibri" w:hAnsi="Calibri" w:cs="Times New Roman"/>
          <w:i/>
          <w:iCs/>
          <w:noProof/>
          <w:szCs w:val="24"/>
        </w:rPr>
        <w:t>Analytical Biochemistry</w:t>
      </w:r>
      <w:r w:rsidRPr="006D59B8">
        <w:rPr>
          <w:rFonts w:ascii="Calibri" w:hAnsi="Calibri" w:cs="Times New Roman"/>
          <w:noProof/>
          <w:szCs w:val="24"/>
        </w:rPr>
        <w:t>, 182, pp.319–326.</w:t>
      </w:r>
    </w:p>
    <w:p w14:paraId="70660AF2"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Gliński, J. &amp; Burakowski, A., 2011. Structure of liquid water: Is the two-state model operative? </w:t>
      </w:r>
      <w:r w:rsidRPr="006D59B8">
        <w:rPr>
          <w:rFonts w:ascii="Calibri" w:hAnsi="Calibri" w:cs="Times New Roman"/>
          <w:i/>
          <w:iCs/>
          <w:noProof/>
          <w:szCs w:val="24"/>
        </w:rPr>
        <w:t>Chemical Physics Letters</w:t>
      </w:r>
      <w:r w:rsidRPr="006D59B8">
        <w:rPr>
          <w:rFonts w:ascii="Calibri" w:hAnsi="Calibri" w:cs="Times New Roman"/>
          <w:noProof/>
          <w:szCs w:val="24"/>
        </w:rPr>
        <w:t>, 508, pp.210–214.</w:t>
      </w:r>
    </w:p>
    <w:p w14:paraId="15BEE346"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Godawat, R., Jamadagni, S.N. &amp; Garde, S., 2010. Unfolding of hydrophobic polymers in guanidinium chloride solutions. </w:t>
      </w:r>
      <w:r w:rsidRPr="006D59B8">
        <w:rPr>
          <w:rFonts w:ascii="Calibri" w:hAnsi="Calibri" w:cs="Times New Roman"/>
          <w:i/>
          <w:iCs/>
          <w:noProof/>
          <w:szCs w:val="24"/>
        </w:rPr>
        <w:t>Journal of Physical Chemistry B</w:t>
      </w:r>
      <w:r w:rsidRPr="006D59B8">
        <w:rPr>
          <w:rFonts w:ascii="Calibri" w:hAnsi="Calibri" w:cs="Times New Roman"/>
          <w:noProof/>
          <w:szCs w:val="24"/>
        </w:rPr>
        <w:t>, 114, pp.2246–2254.</w:t>
      </w:r>
    </w:p>
    <w:p w14:paraId="5721A38F"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Golovanov, A.P. et al., 2004. A simple method for improving protein solubility and long-term stability. </w:t>
      </w:r>
      <w:r w:rsidRPr="006D59B8">
        <w:rPr>
          <w:rFonts w:ascii="Calibri" w:hAnsi="Calibri" w:cs="Times New Roman"/>
          <w:i/>
          <w:iCs/>
          <w:noProof/>
          <w:szCs w:val="24"/>
        </w:rPr>
        <w:t>Journal of the American Chemical Society</w:t>
      </w:r>
      <w:r w:rsidRPr="006D59B8">
        <w:rPr>
          <w:rFonts w:ascii="Calibri" w:hAnsi="Calibri" w:cs="Times New Roman"/>
          <w:noProof/>
          <w:szCs w:val="24"/>
        </w:rPr>
        <w:t>, 126, pp.8933–8939.</w:t>
      </w:r>
    </w:p>
    <w:p w14:paraId="408C8874"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Granata, V. et al., 2006. The effect of the osmolyte trimethylamine N-oxide on the stability of the prion protein at low pH. </w:t>
      </w:r>
      <w:r w:rsidRPr="006D59B8">
        <w:rPr>
          <w:rFonts w:ascii="Calibri" w:hAnsi="Calibri" w:cs="Times New Roman"/>
          <w:i/>
          <w:iCs/>
          <w:noProof/>
          <w:szCs w:val="24"/>
        </w:rPr>
        <w:t>Biopolymers</w:t>
      </w:r>
      <w:r w:rsidRPr="006D59B8">
        <w:rPr>
          <w:rFonts w:ascii="Calibri" w:hAnsi="Calibri" w:cs="Times New Roman"/>
          <w:noProof/>
          <w:szCs w:val="24"/>
        </w:rPr>
        <w:t>, 82, pp.234–240.</w:t>
      </w:r>
    </w:p>
    <w:p w14:paraId="6A5BAC5F"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Graziano, G., 2011. Contrasting the denaturing effect of guanidinium chloride with the stabilizing effect of guanidinium sulfate. </w:t>
      </w:r>
      <w:r w:rsidRPr="006D59B8">
        <w:rPr>
          <w:rFonts w:ascii="Calibri" w:hAnsi="Calibri" w:cs="Times New Roman"/>
          <w:i/>
          <w:iCs/>
          <w:noProof/>
          <w:szCs w:val="24"/>
        </w:rPr>
        <w:t>Physical Chemistry &amp; Chemical Physics</w:t>
      </w:r>
      <w:r w:rsidRPr="006D59B8">
        <w:rPr>
          <w:rFonts w:ascii="Calibri" w:hAnsi="Calibri" w:cs="Times New Roman"/>
          <w:noProof/>
          <w:szCs w:val="24"/>
        </w:rPr>
        <w:t>, 13, pp.12008–12014.</w:t>
      </w:r>
    </w:p>
    <w:p w14:paraId="59F0975F"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Greene Jr, R.F. &amp; Pace, C.N., 1974. Urea and guanidine hydrochloride denaturation of ribonuclease, lysozyme, a-chymotrypsin, and B-lactoglobulin. </w:t>
      </w:r>
      <w:r w:rsidRPr="006D59B8">
        <w:rPr>
          <w:rFonts w:ascii="Calibri" w:hAnsi="Calibri" w:cs="Times New Roman"/>
          <w:i/>
          <w:iCs/>
          <w:noProof/>
          <w:szCs w:val="24"/>
        </w:rPr>
        <w:t>Journal of Biological Chemistry</w:t>
      </w:r>
      <w:r w:rsidRPr="006D59B8">
        <w:rPr>
          <w:rFonts w:ascii="Calibri" w:hAnsi="Calibri" w:cs="Times New Roman"/>
          <w:noProof/>
          <w:szCs w:val="24"/>
        </w:rPr>
        <w:t>, 249, pp.5388–5393.</w:t>
      </w:r>
    </w:p>
    <w:p w14:paraId="7DEBEFB3"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Gupta, R., Yadav, S. &amp; Ahmad, F., 1996. Protein stability: Urea-induced versus guanidine-induced unfolding of metmyoglobin. </w:t>
      </w:r>
      <w:r w:rsidRPr="006D59B8">
        <w:rPr>
          <w:rFonts w:ascii="Calibri" w:hAnsi="Calibri" w:cs="Times New Roman"/>
          <w:i/>
          <w:iCs/>
          <w:noProof/>
          <w:szCs w:val="24"/>
        </w:rPr>
        <w:t>Biochemistry</w:t>
      </w:r>
      <w:r w:rsidRPr="006D59B8">
        <w:rPr>
          <w:rFonts w:ascii="Calibri" w:hAnsi="Calibri" w:cs="Times New Roman"/>
          <w:noProof/>
          <w:szCs w:val="24"/>
        </w:rPr>
        <w:t>, 35, pp.11925–11930.</w:t>
      </w:r>
    </w:p>
    <w:p w14:paraId="5F579E36"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Hamada, H. &amp; Shiraki, K., 2007. L-Argininamide improves the refolding more effectively than L-arginine. </w:t>
      </w:r>
      <w:r w:rsidRPr="006D59B8">
        <w:rPr>
          <w:rFonts w:ascii="Calibri" w:hAnsi="Calibri" w:cs="Times New Roman"/>
          <w:i/>
          <w:iCs/>
          <w:noProof/>
          <w:szCs w:val="24"/>
        </w:rPr>
        <w:t>Journal of Biotechnology</w:t>
      </w:r>
      <w:r w:rsidRPr="006D59B8">
        <w:rPr>
          <w:rFonts w:ascii="Calibri" w:hAnsi="Calibri" w:cs="Times New Roman"/>
          <w:noProof/>
          <w:szCs w:val="24"/>
        </w:rPr>
        <w:t>, 130, pp.153–160.</w:t>
      </w:r>
    </w:p>
    <w:p w14:paraId="3F5D64F2"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Hamilton, S. et al., 2003. Effect of imidazole on the solubility of a his-tagged antibody fragment. </w:t>
      </w:r>
      <w:r w:rsidRPr="006D59B8">
        <w:rPr>
          <w:rFonts w:ascii="Calibri" w:hAnsi="Calibri" w:cs="Times New Roman"/>
          <w:i/>
          <w:iCs/>
          <w:noProof/>
          <w:szCs w:val="24"/>
        </w:rPr>
        <w:t>Hybridoma and Hybridomics</w:t>
      </w:r>
      <w:r w:rsidRPr="006D59B8">
        <w:rPr>
          <w:rFonts w:ascii="Calibri" w:hAnsi="Calibri" w:cs="Times New Roman"/>
          <w:noProof/>
          <w:szCs w:val="24"/>
        </w:rPr>
        <w:t>, 22, pp.347–355.</w:t>
      </w:r>
    </w:p>
    <w:p w14:paraId="7CF65DE5"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Haque, I., Singh, R., Moosavi-Movahedi, A.A., et al., 2005. Effect of polyol osmolytes on DeltaG(D), the Gibbs energy of stabilisation of proteins at different pH values. </w:t>
      </w:r>
      <w:r w:rsidRPr="006D59B8">
        <w:rPr>
          <w:rFonts w:ascii="Calibri" w:hAnsi="Calibri" w:cs="Times New Roman"/>
          <w:i/>
          <w:iCs/>
          <w:noProof/>
          <w:szCs w:val="24"/>
        </w:rPr>
        <w:t>Biophysical Chemistry</w:t>
      </w:r>
      <w:r w:rsidRPr="006D59B8">
        <w:rPr>
          <w:rFonts w:ascii="Calibri" w:hAnsi="Calibri" w:cs="Times New Roman"/>
          <w:noProof/>
          <w:szCs w:val="24"/>
        </w:rPr>
        <w:t>, 117, pp.1–12.</w:t>
      </w:r>
    </w:p>
    <w:p w14:paraId="127D0D0F"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Haque, I., Singh, R., Ahmad, F., et al., 2005. Testing polyols’ compatibility with Gibbs energy of stabilization of proteins under conditions in which they behave as compatible osmolytes. </w:t>
      </w:r>
      <w:r w:rsidRPr="006D59B8">
        <w:rPr>
          <w:rFonts w:ascii="Calibri" w:hAnsi="Calibri" w:cs="Times New Roman"/>
          <w:i/>
          <w:iCs/>
          <w:noProof/>
          <w:szCs w:val="24"/>
        </w:rPr>
        <w:t>FEBS Letters</w:t>
      </w:r>
      <w:r w:rsidRPr="006D59B8">
        <w:rPr>
          <w:rFonts w:ascii="Calibri" w:hAnsi="Calibri" w:cs="Times New Roman"/>
          <w:noProof/>
          <w:szCs w:val="24"/>
        </w:rPr>
        <w:t>, 579, pp.3891–3898.</w:t>
      </w:r>
    </w:p>
    <w:p w14:paraId="626ABD75"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Harries, D. &amp; Rösgen, J., 2008. A practical guide on how osmolytes modulate macromolecular properties. </w:t>
      </w:r>
      <w:r w:rsidRPr="006D59B8">
        <w:rPr>
          <w:rFonts w:ascii="Calibri" w:hAnsi="Calibri" w:cs="Times New Roman"/>
          <w:i/>
          <w:iCs/>
          <w:noProof/>
          <w:szCs w:val="24"/>
        </w:rPr>
        <w:t>Methods in Cell Biology</w:t>
      </w:r>
      <w:r w:rsidRPr="006D59B8">
        <w:rPr>
          <w:rFonts w:ascii="Calibri" w:hAnsi="Calibri" w:cs="Times New Roman"/>
          <w:noProof/>
          <w:szCs w:val="24"/>
        </w:rPr>
        <w:t>, 84, pp.679–735.</w:t>
      </w:r>
    </w:p>
    <w:p w14:paraId="33F31682"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Higo, J. &amp; Nakasako, M., 2002. Hydration structure of human lysozyme investigated by molecular dynamics simulation and cryogenic x-ray crystal structure analyses: On the correlation between crystal water sites, solvent density, and solvent dipole. </w:t>
      </w:r>
      <w:r w:rsidRPr="006D59B8">
        <w:rPr>
          <w:rFonts w:ascii="Calibri" w:hAnsi="Calibri" w:cs="Times New Roman"/>
          <w:i/>
          <w:iCs/>
          <w:noProof/>
          <w:szCs w:val="24"/>
        </w:rPr>
        <w:t>Journal of Computational Chemistry</w:t>
      </w:r>
      <w:r w:rsidRPr="006D59B8">
        <w:rPr>
          <w:rFonts w:ascii="Calibri" w:hAnsi="Calibri" w:cs="Times New Roman"/>
          <w:noProof/>
          <w:szCs w:val="24"/>
        </w:rPr>
        <w:t>, 23, pp.1323–1336.</w:t>
      </w:r>
    </w:p>
    <w:p w14:paraId="0FB34D60"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Hingorani, K.S. &amp; Gierasch, L.M., 2014. Comparing protein folding in vitro and in vivo: Foldability meets the fitness challenge. </w:t>
      </w:r>
      <w:r w:rsidRPr="006D59B8">
        <w:rPr>
          <w:rFonts w:ascii="Calibri" w:hAnsi="Calibri" w:cs="Times New Roman"/>
          <w:i/>
          <w:iCs/>
          <w:noProof/>
          <w:szCs w:val="24"/>
        </w:rPr>
        <w:t>Current Opinion in Structural Biology</w:t>
      </w:r>
      <w:r w:rsidRPr="006D59B8">
        <w:rPr>
          <w:rFonts w:ascii="Calibri" w:hAnsi="Calibri" w:cs="Times New Roman"/>
          <w:noProof/>
          <w:szCs w:val="24"/>
        </w:rPr>
        <w:t>, 24, pp.81–90.</w:t>
      </w:r>
    </w:p>
    <w:p w14:paraId="6CAC0EAD"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von Hippel, P.H. &amp; Schleich, T., 1969. Ion effects on the solution structure of biological macromolecules. </w:t>
      </w:r>
      <w:r w:rsidRPr="006D59B8">
        <w:rPr>
          <w:rFonts w:ascii="Calibri" w:hAnsi="Calibri" w:cs="Times New Roman"/>
          <w:i/>
          <w:iCs/>
          <w:noProof/>
          <w:szCs w:val="24"/>
        </w:rPr>
        <w:t>Accounts of Chemical Research</w:t>
      </w:r>
      <w:r w:rsidRPr="006D59B8">
        <w:rPr>
          <w:rFonts w:ascii="Calibri" w:hAnsi="Calibri" w:cs="Times New Roman"/>
          <w:noProof/>
          <w:szCs w:val="24"/>
        </w:rPr>
        <w:t>, 2, pp.257–265.</w:t>
      </w:r>
    </w:p>
    <w:p w14:paraId="1FBBE289"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von Hippel, P.H. &amp; Wong, K.Y., 1965. On the conformational stability of globular proteins. </w:t>
      </w:r>
      <w:r w:rsidRPr="006D59B8">
        <w:rPr>
          <w:rFonts w:ascii="Calibri" w:hAnsi="Calibri" w:cs="Times New Roman"/>
          <w:i/>
          <w:iCs/>
          <w:noProof/>
          <w:szCs w:val="24"/>
        </w:rPr>
        <w:t>Journal of Biological Chemistry</w:t>
      </w:r>
      <w:r w:rsidRPr="006D59B8">
        <w:rPr>
          <w:rFonts w:ascii="Calibri" w:hAnsi="Calibri" w:cs="Times New Roman"/>
          <w:noProof/>
          <w:szCs w:val="24"/>
        </w:rPr>
        <w:t>, 240, pp.3909–3923.</w:t>
      </w:r>
    </w:p>
    <w:p w14:paraId="05EE539A"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Holthauzen, L.M.F. et al., 2011. Protein stability in the presence of cosolutes. </w:t>
      </w:r>
      <w:r w:rsidRPr="006D59B8">
        <w:rPr>
          <w:rFonts w:ascii="Calibri" w:hAnsi="Calibri" w:cs="Times New Roman"/>
          <w:i/>
          <w:iCs/>
          <w:noProof/>
          <w:szCs w:val="24"/>
        </w:rPr>
        <w:t>Methods in Enzymology</w:t>
      </w:r>
      <w:r w:rsidRPr="006D59B8">
        <w:rPr>
          <w:rFonts w:ascii="Calibri" w:hAnsi="Calibri" w:cs="Times New Roman"/>
          <w:noProof/>
          <w:szCs w:val="24"/>
        </w:rPr>
        <w:t>, 492, pp.61–125.</w:t>
      </w:r>
    </w:p>
    <w:p w14:paraId="2309E668"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Holthauzen, L.M.F. &amp; Bolen, D.W., 2007. Mixed osmolytes: The degree to which one osmolyte affects the protein stabilizing ability of another. </w:t>
      </w:r>
      <w:r w:rsidRPr="006D59B8">
        <w:rPr>
          <w:rFonts w:ascii="Calibri" w:hAnsi="Calibri" w:cs="Times New Roman"/>
          <w:i/>
          <w:iCs/>
          <w:noProof/>
          <w:szCs w:val="24"/>
        </w:rPr>
        <w:t>Protein Science</w:t>
      </w:r>
      <w:r w:rsidRPr="006D59B8">
        <w:rPr>
          <w:rFonts w:ascii="Calibri" w:hAnsi="Calibri" w:cs="Times New Roman"/>
          <w:noProof/>
          <w:szCs w:val="24"/>
        </w:rPr>
        <w:t>, 16, pp.293–298.</w:t>
      </w:r>
    </w:p>
    <w:p w14:paraId="4DD8E4BE"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Hua, L. et al., 2008. Urea denaturation by stronger dispersion interactions with proteins than water implies a 2-stage unfolding. </w:t>
      </w:r>
      <w:r w:rsidRPr="006D59B8">
        <w:rPr>
          <w:rFonts w:ascii="Calibri" w:hAnsi="Calibri" w:cs="Times New Roman"/>
          <w:i/>
          <w:iCs/>
          <w:noProof/>
          <w:szCs w:val="24"/>
        </w:rPr>
        <w:t>Proceedings of the National Academy of Sciences of the United States of America</w:t>
      </w:r>
      <w:r w:rsidRPr="006D59B8">
        <w:rPr>
          <w:rFonts w:ascii="Calibri" w:hAnsi="Calibri" w:cs="Times New Roman"/>
          <w:noProof/>
          <w:szCs w:val="24"/>
        </w:rPr>
        <w:t>, 105, pp.16928–16933.</w:t>
      </w:r>
    </w:p>
    <w:p w14:paraId="14CC395F"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E3274E">
        <w:rPr>
          <w:rFonts w:ascii="Calibri" w:hAnsi="Calibri" w:cs="Times New Roman"/>
          <w:noProof/>
          <w:szCs w:val="24"/>
          <w:lang w:val="it-IT"/>
        </w:rPr>
        <w:t xml:space="preserve">Ignatova, Z. &amp; Gierasch, L.M., 2006. </w:t>
      </w:r>
      <w:r w:rsidRPr="006D59B8">
        <w:rPr>
          <w:rFonts w:ascii="Calibri" w:hAnsi="Calibri" w:cs="Times New Roman"/>
          <w:noProof/>
          <w:szCs w:val="24"/>
        </w:rPr>
        <w:t xml:space="preserve">Inhibition of protein aggregation in vitro and in vivo by a natural osmoprotectant. </w:t>
      </w:r>
      <w:r w:rsidRPr="006D59B8">
        <w:rPr>
          <w:rFonts w:ascii="Calibri" w:hAnsi="Calibri" w:cs="Times New Roman"/>
          <w:i/>
          <w:iCs/>
          <w:noProof/>
          <w:szCs w:val="24"/>
        </w:rPr>
        <w:t>Proceedings of the National Academy of Sciences of the United States of America</w:t>
      </w:r>
      <w:r w:rsidRPr="006D59B8">
        <w:rPr>
          <w:rFonts w:ascii="Calibri" w:hAnsi="Calibri" w:cs="Times New Roman"/>
          <w:noProof/>
          <w:szCs w:val="24"/>
        </w:rPr>
        <w:t>, 103, pp.13357–13361.</w:t>
      </w:r>
    </w:p>
    <w:p w14:paraId="79C1BE03"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Inoue, N. et al., 2014. Specific decrease in solution viscosity of antibodies by arginine for therapeutic formulations. </w:t>
      </w:r>
      <w:r w:rsidRPr="006D59B8">
        <w:rPr>
          <w:rFonts w:ascii="Calibri" w:hAnsi="Calibri" w:cs="Times New Roman"/>
          <w:i/>
          <w:iCs/>
          <w:noProof/>
          <w:szCs w:val="24"/>
        </w:rPr>
        <w:t>Molecular Pharmaceutics</w:t>
      </w:r>
      <w:r w:rsidRPr="006D59B8">
        <w:rPr>
          <w:rFonts w:ascii="Calibri" w:hAnsi="Calibri" w:cs="Times New Roman"/>
          <w:noProof/>
          <w:szCs w:val="24"/>
        </w:rPr>
        <w:t>, 11, pp.1889–1896.</w:t>
      </w:r>
    </w:p>
    <w:p w14:paraId="18A36464"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Ishibashi, M. et al., 2005. Is arginine a protein-denaturant? </w:t>
      </w:r>
      <w:r w:rsidRPr="006D59B8">
        <w:rPr>
          <w:rFonts w:ascii="Calibri" w:hAnsi="Calibri" w:cs="Times New Roman"/>
          <w:i/>
          <w:iCs/>
          <w:noProof/>
          <w:szCs w:val="24"/>
        </w:rPr>
        <w:t>Protein Expression &amp; Purification</w:t>
      </w:r>
      <w:r w:rsidRPr="006D59B8">
        <w:rPr>
          <w:rFonts w:ascii="Calibri" w:hAnsi="Calibri" w:cs="Times New Roman"/>
          <w:noProof/>
          <w:szCs w:val="24"/>
        </w:rPr>
        <w:t>, 42, pp.1–6.</w:t>
      </w:r>
    </w:p>
    <w:p w14:paraId="4F4F0800"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Ito, L. et al., 2011. High-resolution X-ray analysis reveals binding of arginine to aromatic residues of lysozyme surface: Implication of suppression of protein aggregation by arginine. </w:t>
      </w:r>
      <w:r w:rsidRPr="006D59B8">
        <w:rPr>
          <w:rFonts w:ascii="Calibri" w:hAnsi="Calibri" w:cs="Times New Roman"/>
          <w:i/>
          <w:iCs/>
          <w:noProof/>
          <w:szCs w:val="24"/>
        </w:rPr>
        <w:t>Protein Engineering Design &amp; Selection</w:t>
      </w:r>
      <w:r w:rsidRPr="006D59B8">
        <w:rPr>
          <w:rFonts w:ascii="Calibri" w:hAnsi="Calibri" w:cs="Times New Roman"/>
          <w:noProof/>
          <w:szCs w:val="24"/>
        </w:rPr>
        <w:t>, 24, pp.269–274.</w:t>
      </w:r>
    </w:p>
    <w:p w14:paraId="25F2C044"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Jorgensen, L. et al., 2009. Recent trends in stabilising peptides and proteins in pharmaceutical formulation - considerations in the choice of excipients. </w:t>
      </w:r>
      <w:r w:rsidRPr="006D59B8">
        <w:rPr>
          <w:rFonts w:ascii="Calibri" w:hAnsi="Calibri" w:cs="Times New Roman"/>
          <w:i/>
          <w:iCs/>
          <w:noProof/>
          <w:szCs w:val="24"/>
        </w:rPr>
        <w:t>Expert Opinion on Drug Delivery</w:t>
      </w:r>
      <w:r w:rsidRPr="006D59B8">
        <w:rPr>
          <w:rFonts w:ascii="Calibri" w:hAnsi="Calibri" w:cs="Times New Roman"/>
          <w:noProof/>
          <w:szCs w:val="24"/>
        </w:rPr>
        <w:t>, 6, pp.1219–1230.</w:t>
      </w:r>
    </w:p>
    <w:p w14:paraId="6CC6C97E"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Joshi, S.B. et al., 2008. The interaction of heparin / polyanions with bovine, porcine, and human growth hormone. </w:t>
      </w:r>
      <w:r w:rsidRPr="006D59B8">
        <w:rPr>
          <w:rFonts w:ascii="Calibri" w:hAnsi="Calibri" w:cs="Times New Roman"/>
          <w:i/>
          <w:iCs/>
          <w:noProof/>
          <w:szCs w:val="24"/>
        </w:rPr>
        <w:t>Journal of Pharmaceutical Sciences</w:t>
      </w:r>
      <w:r w:rsidRPr="006D59B8">
        <w:rPr>
          <w:rFonts w:ascii="Calibri" w:hAnsi="Calibri" w:cs="Times New Roman"/>
          <w:noProof/>
          <w:szCs w:val="24"/>
        </w:rPr>
        <w:t>, 97, pp.1368–1385.</w:t>
      </w:r>
    </w:p>
    <w:p w14:paraId="212CC9FB"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Kamerzell, T.J. et al., 2011. Protein-excipient interactions: Mechanisms and biophysical characterization applied to protein formulation development. </w:t>
      </w:r>
      <w:r w:rsidRPr="006D59B8">
        <w:rPr>
          <w:rFonts w:ascii="Calibri" w:hAnsi="Calibri" w:cs="Times New Roman"/>
          <w:i/>
          <w:iCs/>
          <w:noProof/>
          <w:szCs w:val="24"/>
        </w:rPr>
        <w:t>Advanced Drug Delivery Reviews</w:t>
      </w:r>
      <w:r w:rsidRPr="006D59B8">
        <w:rPr>
          <w:rFonts w:ascii="Calibri" w:hAnsi="Calibri" w:cs="Times New Roman"/>
          <w:noProof/>
          <w:szCs w:val="24"/>
        </w:rPr>
        <w:t>, 63, pp.1118–1159.</w:t>
      </w:r>
    </w:p>
    <w:p w14:paraId="4E4D688A"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Kaushik, J.K. &amp; Bhat, R., 1998. Thermal stability of proteins in aqueous polyol solutions: Role of the surface tension of water in the stabilizing effect of polyols. </w:t>
      </w:r>
      <w:r w:rsidRPr="006D59B8">
        <w:rPr>
          <w:rFonts w:ascii="Calibri" w:hAnsi="Calibri" w:cs="Times New Roman"/>
          <w:i/>
          <w:iCs/>
          <w:noProof/>
          <w:szCs w:val="24"/>
        </w:rPr>
        <w:t>Journal of Physical Chemistry B</w:t>
      </w:r>
      <w:r w:rsidRPr="006D59B8">
        <w:rPr>
          <w:rFonts w:ascii="Calibri" w:hAnsi="Calibri" w:cs="Times New Roman"/>
          <w:noProof/>
          <w:szCs w:val="24"/>
        </w:rPr>
        <w:t>, 102, pp.7058–7066.</w:t>
      </w:r>
    </w:p>
    <w:p w14:paraId="0AB0657B"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Kauzmann, W., 1959. Some factors in the interpretation of protein denaturation. </w:t>
      </w:r>
      <w:r w:rsidRPr="006D59B8">
        <w:rPr>
          <w:rFonts w:ascii="Calibri" w:hAnsi="Calibri" w:cs="Times New Roman"/>
          <w:i/>
          <w:iCs/>
          <w:noProof/>
          <w:szCs w:val="24"/>
        </w:rPr>
        <w:t>Advances in Protein Chemistry</w:t>
      </w:r>
      <w:r w:rsidRPr="006D59B8">
        <w:rPr>
          <w:rFonts w:ascii="Calibri" w:hAnsi="Calibri" w:cs="Times New Roman"/>
          <w:noProof/>
          <w:szCs w:val="24"/>
        </w:rPr>
        <w:t>, 14, pp.1–63.</w:t>
      </w:r>
    </w:p>
    <w:p w14:paraId="2C31D004"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Khan, S. et al., 2013a. Testing the ability of non-methylamine osmolytes present in kidney cells to counteract the deleterious effects of urea on structure, stability and function of proteins. </w:t>
      </w:r>
      <w:r w:rsidRPr="006D59B8">
        <w:rPr>
          <w:rFonts w:ascii="Calibri" w:hAnsi="Calibri" w:cs="Times New Roman"/>
          <w:i/>
          <w:iCs/>
          <w:noProof/>
          <w:szCs w:val="24"/>
        </w:rPr>
        <w:t>PloS One</w:t>
      </w:r>
      <w:r w:rsidRPr="006D59B8">
        <w:rPr>
          <w:rFonts w:ascii="Calibri" w:hAnsi="Calibri" w:cs="Times New Roman"/>
          <w:noProof/>
          <w:szCs w:val="24"/>
        </w:rPr>
        <w:t>, 8, p.e72533.</w:t>
      </w:r>
    </w:p>
    <w:p w14:paraId="0E05E300"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Khan, S. et al., 2013b. Why is glycine not a part of the osmoticum in the urea-rich cells? </w:t>
      </w:r>
      <w:r w:rsidRPr="006D59B8">
        <w:rPr>
          <w:rFonts w:ascii="Calibri" w:hAnsi="Calibri" w:cs="Times New Roman"/>
          <w:i/>
          <w:iCs/>
          <w:noProof/>
          <w:szCs w:val="24"/>
        </w:rPr>
        <w:t>Protein &amp; Peptide Letters</w:t>
      </w:r>
      <w:r w:rsidRPr="006D59B8">
        <w:rPr>
          <w:rFonts w:ascii="Calibri" w:hAnsi="Calibri" w:cs="Times New Roman"/>
          <w:noProof/>
          <w:szCs w:val="24"/>
        </w:rPr>
        <w:t>, 20, pp.61–70.</w:t>
      </w:r>
    </w:p>
    <w:p w14:paraId="12E23DA9"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Khan, S.H. et al., 2010. Naturally occurring organic osmolytes: From cell physiology to disease prevention. </w:t>
      </w:r>
      <w:r w:rsidRPr="006D59B8">
        <w:rPr>
          <w:rFonts w:ascii="Calibri" w:hAnsi="Calibri" w:cs="Times New Roman"/>
          <w:i/>
          <w:iCs/>
          <w:noProof/>
          <w:szCs w:val="24"/>
        </w:rPr>
        <w:t>IUBMB life</w:t>
      </w:r>
      <w:r w:rsidRPr="006D59B8">
        <w:rPr>
          <w:rFonts w:ascii="Calibri" w:hAnsi="Calibri" w:cs="Times New Roman"/>
          <w:noProof/>
          <w:szCs w:val="24"/>
        </w:rPr>
        <w:t>, 62, pp.891–895.</w:t>
      </w:r>
    </w:p>
    <w:p w14:paraId="0C643AE3"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Kheddo, P. et al., 2014. The effect of arginine glutamate on the stability of monoclonal antibodies in solution. </w:t>
      </w:r>
      <w:r w:rsidRPr="006D59B8">
        <w:rPr>
          <w:rFonts w:ascii="Calibri" w:hAnsi="Calibri" w:cs="Times New Roman"/>
          <w:i/>
          <w:iCs/>
          <w:noProof/>
          <w:szCs w:val="24"/>
        </w:rPr>
        <w:t>International Journal of Pharmaceutics</w:t>
      </w:r>
      <w:r w:rsidRPr="006D59B8">
        <w:rPr>
          <w:rFonts w:ascii="Calibri" w:hAnsi="Calibri" w:cs="Times New Roman"/>
          <w:noProof/>
          <w:szCs w:val="24"/>
        </w:rPr>
        <w:t>, 473, pp.126–133.</w:t>
      </w:r>
    </w:p>
    <w:p w14:paraId="7C33DCAB"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Kirkwood, J.G. &amp; Buff, F.P., 1951. The statistical mechanical theory of solutions. I. </w:t>
      </w:r>
      <w:r w:rsidRPr="006D59B8">
        <w:rPr>
          <w:rFonts w:ascii="Calibri" w:hAnsi="Calibri" w:cs="Times New Roman"/>
          <w:i/>
          <w:iCs/>
          <w:noProof/>
          <w:szCs w:val="24"/>
        </w:rPr>
        <w:t>Journal of Chemical Physics</w:t>
      </w:r>
      <w:r w:rsidRPr="006D59B8">
        <w:rPr>
          <w:rFonts w:ascii="Calibri" w:hAnsi="Calibri" w:cs="Times New Roman"/>
          <w:noProof/>
          <w:szCs w:val="24"/>
        </w:rPr>
        <w:t>, 19, pp.774–777.</w:t>
      </w:r>
    </w:p>
    <w:p w14:paraId="6CA593E4"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Kita, Y. et al., 1994. Contribution of the surface free energy perturbation to protein-solvent interactions. </w:t>
      </w:r>
      <w:r w:rsidRPr="006D59B8">
        <w:rPr>
          <w:rFonts w:ascii="Calibri" w:hAnsi="Calibri" w:cs="Times New Roman"/>
          <w:i/>
          <w:iCs/>
          <w:noProof/>
          <w:szCs w:val="24"/>
        </w:rPr>
        <w:t>Biochemistry</w:t>
      </w:r>
      <w:r w:rsidRPr="006D59B8">
        <w:rPr>
          <w:rFonts w:ascii="Calibri" w:hAnsi="Calibri" w:cs="Times New Roman"/>
          <w:noProof/>
          <w:szCs w:val="24"/>
        </w:rPr>
        <w:t>, 33, pp.15178–15189.</w:t>
      </w:r>
    </w:p>
    <w:p w14:paraId="272770C4"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Knapp, S., Ladenstein, R. &amp; Galinski, E. a, 1999. Extrinsic protein stabilization by the naturally occurring osmolytes beta-hydroxyectoine and betaine. </w:t>
      </w:r>
      <w:r w:rsidRPr="006D59B8">
        <w:rPr>
          <w:rFonts w:ascii="Calibri" w:hAnsi="Calibri" w:cs="Times New Roman"/>
          <w:i/>
          <w:iCs/>
          <w:noProof/>
          <w:szCs w:val="24"/>
        </w:rPr>
        <w:t>Extremophiles</w:t>
      </w:r>
      <w:r w:rsidRPr="006D59B8">
        <w:rPr>
          <w:rFonts w:ascii="Calibri" w:hAnsi="Calibri" w:cs="Times New Roman"/>
          <w:noProof/>
          <w:szCs w:val="24"/>
        </w:rPr>
        <w:t>, 3, pp.191–198.</w:t>
      </w:r>
    </w:p>
    <w:p w14:paraId="2F1DC813"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Kumar, N. &amp; Kishore, N., 2013. Synergistic behavior of glycine betaine-urea mixture: A molecular dynamics study. </w:t>
      </w:r>
      <w:r w:rsidRPr="006D59B8">
        <w:rPr>
          <w:rFonts w:ascii="Calibri" w:hAnsi="Calibri" w:cs="Times New Roman"/>
          <w:i/>
          <w:iCs/>
          <w:noProof/>
          <w:szCs w:val="24"/>
        </w:rPr>
        <w:t>Journal of Chemical Physics</w:t>
      </w:r>
      <w:r w:rsidRPr="006D59B8">
        <w:rPr>
          <w:rFonts w:ascii="Calibri" w:hAnsi="Calibri" w:cs="Times New Roman"/>
          <w:noProof/>
          <w:szCs w:val="24"/>
        </w:rPr>
        <w:t>, 139, p.115104.</w:t>
      </w:r>
    </w:p>
    <w:p w14:paraId="24915593"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Kunz, W., Henle, J. &amp; Ninham, B.W., 2004. “Zur Lehre von der Wirkung der Salze” (about the science of the effect of salts): Franz Hofmeister’s historical papers. </w:t>
      </w:r>
      <w:r w:rsidRPr="006D59B8">
        <w:rPr>
          <w:rFonts w:ascii="Calibri" w:hAnsi="Calibri" w:cs="Times New Roman"/>
          <w:i/>
          <w:iCs/>
          <w:noProof/>
          <w:szCs w:val="24"/>
        </w:rPr>
        <w:t>Current Opinion in Colloid &amp; Interface Science</w:t>
      </w:r>
      <w:r w:rsidRPr="006D59B8">
        <w:rPr>
          <w:rFonts w:ascii="Calibri" w:hAnsi="Calibri" w:cs="Times New Roman"/>
          <w:noProof/>
          <w:szCs w:val="24"/>
        </w:rPr>
        <w:t>, 9, pp.19–37.</w:t>
      </w:r>
    </w:p>
    <w:p w14:paraId="768CA59E"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E3274E">
        <w:rPr>
          <w:rFonts w:ascii="Calibri" w:hAnsi="Calibri" w:cs="Times New Roman"/>
          <w:noProof/>
          <w:szCs w:val="24"/>
          <w:lang w:val="it-IT"/>
        </w:rPr>
        <w:t xml:space="preserve">Kunz, W., Lo Nostro, P. &amp; Ninham, B.W., 2004. </w:t>
      </w:r>
      <w:r w:rsidRPr="006D59B8">
        <w:rPr>
          <w:rFonts w:ascii="Calibri" w:hAnsi="Calibri" w:cs="Times New Roman"/>
          <w:noProof/>
          <w:szCs w:val="24"/>
        </w:rPr>
        <w:t xml:space="preserve">The present state of affairs with Hofmeister effects. </w:t>
      </w:r>
      <w:r w:rsidRPr="006D59B8">
        <w:rPr>
          <w:rFonts w:ascii="Calibri" w:hAnsi="Calibri" w:cs="Times New Roman"/>
          <w:i/>
          <w:iCs/>
          <w:noProof/>
          <w:szCs w:val="24"/>
        </w:rPr>
        <w:t>Current Opinion in Colloid &amp; Interface Science</w:t>
      </w:r>
      <w:r w:rsidRPr="006D59B8">
        <w:rPr>
          <w:rFonts w:ascii="Calibri" w:hAnsi="Calibri" w:cs="Times New Roman"/>
          <w:noProof/>
          <w:szCs w:val="24"/>
        </w:rPr>
        <w:t>, 9, pp.1–18.</w:t>
      </w:r>
    </w:p>
    <w:p w14:paraId="0CBA879A"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Lange, C. &amp; Rudolph, R., 2009. Suppression of protein aggregation by L-arginine. </w:t>
      </w:r>
      <w:r w:rsidRPr="006D59B8">
        <w:rPr>
          <w:rFonts w:ascii="Calibri" w:hAnsi="Calibri" w:cs="Times New Roman"/>
          <w:i/>
          <w:iCs/>
          <w:noProof/>
          <w:szCs w:val="24"/>
        </w:rPr>
        <w:t>Current Pharmaceutical Biotechnology</w:t>
      </w:r>
      <w:r w:rsidRPr="006D59B8">
        <w:rPr>
          <w:rFonts w:ascii="Calibri" w:hAnsi="Calibri" w:cs="Times New Roman"/>
          <w:noProof/>
          <w:szCs w:val="24"/>
        </w:rPr>
        <w:t>, 10, pp.408–414.</w:t>
      </w:r>
    </w:p>
    <w:p w14:paraId="6AF0D351"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Lee, D., Lee, J. &amp; Seok, C., 2013. What stabilizes close arginine pairing in proteins? </w:t>
      </w:r>
      <w:r w:rsidRPr="006D59B8">
        <w:rPr>
          <w:rFonts w:ascii="Calibri" w:hAnsi="Calibri" w:cs="Times New Roman"/>
          <w:i/>
          <w:iCs/>
          <w:noProof/>
          <w:szCs w:val="24"/>
        </w:rPr>
        <w:t>Physical Chemistry &amp; Chemical Physics</w:t>
      </w:r>
      <w:r w:rsidRPr="006D59B8">
        <w:rPr>
          <w:rFonts w:ascii="Calibri" w:hAnsi="Calibri" w:cs="Times New Roman"/>
          <w:noProof/>
          <w:szCs w:val="24"/>
        </w:rPr>
        <w:t>, 15, pp.5844–5853.</w:t>
      </w:r>
    </w:p>
    <w:p w14:paraId="33E7C95B"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Lee, J.C., 2000. Biopharmaceutical formulation. </w:t>
      </w:r>
      <w:r w:rsidRPr="006D59B8">
        <w:rPr>
          <w:rFonts w:ascii="Calibri" w:hAnsi="Calibri" w:cs="Times New Roman"/>
          <w:i/>
          <w:iCs/>
          <w:noProof/>
          <w:szCs w:val="24"/>
        </w:rPr>
        <w:t>Current Opinion in Biotechnology</w:t>
      </w:r>
      <w:r w:rsidRPr="006D59B8">
        <w:rPr>
          <w:rFonts w:ascii="Calibri" w:hAnsi="Calibri" w:cs="Times New Roman"/>
          <w:noProof/>
          <w:szCs w:val="24"/>
        </w:rPr>
        <w:t>, 11, pp.81–84.</w:t>
      </w:r>
    </w:p>
    <w:p w14:paraId="5E247682"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Lee, J.C. &amp; Timasheff, S.N., 1974. Partial specific volumes and interactions with solvent components of proteins in guanidine hydrochloride. </w:t>
      </w:r>
      <w:r w:rsidRPr="006D59B8">
        <w:rPr>
          <w:rFonts w:ascii="Calibri" w:hAnsi="Calibri" w:cs="Times New Roman"/>
          <w:i/>
          <w:iCs/>
          <w:noProof/>
          <w:szCs w:val="24"/>
        </w:rPr>
        <w:t>Biochemistry</w:t>
      </w:r>
      <w:r w:rsidRPr="006D59B8">
        <w:rPr>
          <w:rFonts w:ascii="Calibri" w:hAnsi="Calibri" w:cs="Times New Roman"/>
          <w:noProof/>
          <w:szCs w:val="24"/>
        </w:rPr>
        <w:t>, 13, pp.257–265.</w:t>
      </w:r>
    </w:p>
    <w:p w14:paraId="37E339E3"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Lee, J.C. &amp; Timasheff, S.N., 1981. The stabilization of proteins by sucrose. </w:t>
      </w:r>
      <w:r w:rsidRPr="006D59B8">
        <w:rPr>
          <w:rFonts w:ascii="Calibri" w:hAnsi="Calibri" w:cs="Times New Roman"/>
          <w:i/>
          <w:iCs/>
          <w:noProof/>
          <w:szCs w:val="24"/>
        </w:rPr>
        <w:t>Journal of Biological Chemistry</w:t>
      </w:r>
      <w:r w:rsidRPr="006D59B8">
        <w:rPr>
          <w:rFonts w:ascii="Calibri" w:hAnsi="Calibri" w:cs="Times New Roman"/>
          <w:noProof/>
          <w:szCs w:val="24"/>
        </w:rPr>
        <w:t>, 256, pp.7193–7201.</w:t>
      </w:r>
    </w:p>
    <w:p w14:paraId="23307915"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Lerbret, A. et al., 2007. How do trehalose, maltose, and sucrose influence some structural and dynamical properties of lysozyme? Insight from molecular dynamics simulations. </w:t>
      </w:r>
      <w:r w:rsidRPr="006D59B8">
        <w:rPr>
          <w:rFonts w:ascii="Calibri" w:hAnsi="Calibri" w:cs="Times New Roman"/>
          <w:i/>
          <w:iCs/>
          <w:noProof/>
          <w:szCs w:val="24"/>
        </w:rPr>
        <w:t>Journal of Physical Chemistry B</w:t>
      </w:r>
      <w:r w:rsidRPr="006D59B8">
        <w:rPr>
          <w:rFonts w:ascii="Calibri" w:hAnsi="Calibri" w:cs="Times New Roman"/>
          <w:noProof/>
          <w:szCs w:val="24"/>
        </w:rPr>
        <w:t>, 111, pp.9410–9420.</w:t>
      </w:r>
    </w:p>
    <w:p w14:paraId="15A1D646"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E3274E">
        <w:rPr>
          <w:rFonts w:ascii="Calibri" w:hAnsi="Calibri" w:cs="Times New Roman"/>
          <w:noProof/>
          <w:szCs w:val="24"/>
          <w:lang w:val="de-DE"/>
        </w:rPr>
        <w:t xml:space="preserve">Lim, W.K., Rösgen, J. &amp; Englander, S.W., 2009. </w:t>
      </w:r>
      <w:r w:rsidRPr="006D59B8">
        <w:rPr>
          <w:rFonts w:ascii="Calibri" w:hAnsi="Calibri" w:cs="Times New Roman"/>
          <w:noProof/>
          <w:szCs w:val="24"/>
        </w:rPr>
        <w:t xml:space="preserve">Urea, but not guanidinium, destabilizes proteins by forming hydrogen bonds to the peptide group. </w:t>
      </w:r>
      <w:r w:rsidRPr="006D59B8">
        <w:rPr>
          <w:rFonts w:ascii="Calibri" w:hAnsi="Calibri" w:cs="Times New Roman"/>
          <w:i/>
          <w:iCs/>
          <w:noProof/>
          <w:szCs w:val="24"/>
        </w:rPr>
        <w:t>Proceedings of the National Academy of Sciences of the United States of America</w:t>
      </w:r>
      <w:r w:rsidRPr="006D59B8">
        <w:rPr>
          <w:rFonts w:ascii="Calibri" w:hAnsi="Calibri" w:cs="Times New Roman"/>
          <w:noProof/>
          <w:szCs w:val="24"/>
        </w:rPr>
        <w:t>, 106, pp.2595–2600.</w:t>
      </w:r>
    </w:p>
    <w:p w14:paraId="7CA60561"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Lin, T.Y. &amp; Timasheff, S.N., 1996. On the role of surface tension in the stabilization of globular proteins. </w:t>
      </w:r>
      <w:r w:rsidRPr="006D59B8">
        <w:rPr>
          <w:rFonts w:ascii="Calibri" w:hAnsi="Calibri" w:cs="Times New Roman"/>
          <w:i/>
          <w:iCs/>
          <w:noProof/>
          <w:szCs w:val="24"/>
        </w:rPr>
        <w:t>Protein Science</w:t>
      </w:r>
      <w:r w:rsidRPr="006D59B8">
        <w:rPr>
          <w:rFonts w:ascii="Calibri" w:hAnsi="Calibri" w:cs="Times New Roman"/>
          <w:noProof/>
          <w:szCs w:val="24"/>
        </w:rPr>
        <w:t>, 5, pp.372–381.</w:t>
      </w:r>
    </w:p>
    <w:p w14:paraId="08296529"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Lin, T.Y. &amp; Timasheff, S.N., 1994. Why do some organisms use a urea-methylamine mixture as osmolyte? Thermodynamic compensation of urea and trimethylamine N-oxide interactions with protein. </w:t>
      </w:r>
      <w:r w:rsidRPr="006D59B8">
        <w:rPr>
          <w:rFonts w:ascii="Calibri" w:hAnsi="Calibri" w:cs="Times New Roman"/>
          <w:i/>
          <w:iCs/>
          <w:noProof/>
          <w:szCs w:val="24"/>
        </w:rPr>
        <w:t>Biochemistry</w:t>
      </w:r>
      <w:r w:rsidRPr="006D59B8">
        <w:rPr>
          <w:rFonts w:ascii="Calibri" w:hAnsi="Calibri" w:cs="Times New Roman"/>
          <w:noProof/>
          <w:szCs w:val="24"/>
        </w:rPr>
        <w:t>, 33, pp.12695–12701.</w:t>
      </w:r>
    </w:p>
    <w:p w14:paraId="371A8061"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Liu, Y. &amp; Bolen, D.W., 1995. The peptide backbone plays a dominant role in protein stabilization by naturally occurring osmolytes. </w:t>
      </w:r>
      <w:r w:rsidRPr="006D59B8">
        <w:rPr>
          <w:rFonts w:ascii="Calibri" w:hAnsi="Calibri" w:cs="Times New Roman"/>
          <w:i/>
          <w:iCs/>
          <w:noProof/>
          <w:szCs w:val="24"/>
        </w:rPr>
        <w:t>Biochemistry</w:t>
      </w:r>
      <w:r w:rsidRPr="006D59B8">
        <w:rPr>
          <w:rFonts w:ascii="Calibri" w:hAnsi="Calibri" w:cs="Times New Roman"/>
          <w:noProof/>
          <w:szCs w:val="24"/>
        </w:rPr>
        <w:t>, 34, pp.12884–12891.</w:t>
      </w:r>
    </w:p>
    <w:p w14:paraId="0EBBE2B5"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Lyutova, E.M., Kasakov, A.S. &amp; Gurvits, B.Y., 2007. Effects of arginine on kinetics of protein aggregation studied by dynamic laser light scattering and tubidimetry techniques. </w:t>
      </w:r>
      <w:r w:rsidRPr="006D59B8">
        <w:rPr>
          <w:rFonts w:ascii="Calibri" w:hAnsi="Calibri" w:cs="Times New Roman"/>
          <w:i/>
          <w:iCs/>
          <w:noProof/>
          <w:szCs w:val="24"/>
        </w:rPr>
        <w:t>Biotechnology Progress</w:t>
      </w:r>
      <w:r w:rsidRPr="006D59B8">
        <w:rPr>
          <w:rFonts w:ascii="Calibri" w:hAnsi="Calibri" w:cs="Times New Roman"/>
          <w:noProof/>
          <w:szCs w:val="24"/>
        </w:rPr>
        <w:t>, 23, pp.1411–1416.</w:t>
      </w:r>
    </w:p>
    <w:p w14:paraId="58F4E895"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Makhatadze, G.I. et al., 1998. Anion binding to the ubiquitin molecule. </w:t>
      </w:r>
      <w:r w:rsidRPr="006D59B8">
        <w:rPr>
          <w:rFonts w:ascii="Calibri" w:hAnsi="Calibri" w:cs="Times New Roman"/>
          <w:i/>
          <w:iCs/>
          <w:noProof/>
          <w:szCs w:val="24"/>
        </w:rPr>
        <w:t>Protein Science</w:t>
      </w:r>
      <w:r w:rsidRPr="006D59B8">
        <w:rPr>
          <w:rFonts w:ascii="Calibri" w:hAnsi="Calibri" w:cs="Times New Roman"/>
          <w:noProof/>
          <w:szCs w:val="24"/>
        </w:rPr>
        <w:t>, 7, pp.689–697.</w:t>
      </w:r>
    </w:p>
    <w:p w14:paraId="468B8A20"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Makhatadze, G.I., 1999. Thermodynamics of protein interactions with urea and guanidinium hydrochloride. </w:t>
      </w:r>
      <w:r w:rsidRPr="006D59B8">
        <w:rPr>
          <w:rFonts w:ascii="Calibri" w:hAnsi="Calibri" w:cs="Times New Roman"/>
          <w:i/>
          <w:iCs/>
          <w:noProof/>
          <w:szCs w:val="24"/>
        </w:rPr>
        <w:t>Journal of Physical Chemistry B</w:t>
      </w:r>
      <w:r w:rsidRPr="006D59B8">
        <w:rPr>
          <w:rFonts w:ascii="Calibri" w:hAnsi="Calibri" w:cs="Times New Roman"/>
          <w:noProof/>
          <w:szCs w:val="24"/>
        </w:rPr>
        <w:t>, 103, pp.4781–4785.</w:t>
      </w:r>
    </w:p>
    <w:p w14:paraId="723EB9F9"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Makhatadze, G.I. &amp; Privalov, P.L., 1990. Heat capacity of proteins I. Partial molar heat capacity of individual amino acid residues in aqueous solution: hydration effect. </w:t>
      </w:r>
      <w:r w:rsidRPr="006D59B8">
        <w:rPr>
          <w:rFonts w:ascii="Calibri" w:hAnsi="Calibri" w:cs="Times New Roman"/>
          <w:i/>
          <w:iCs/>
          <w:noProof/>
          <w:szCs w:val="24"/>
        </w:rPr>
        <w:t>Journal of Molecular Biology</w:t>
      </w:r>
      <w:r w:rsidRPr="006D59B8">
        <w:rPr>
          <w:rFonts w:ascii="Calibri" w:hAnsi="Calibri" w:cs="Times New Roman"/>
          <w:noProof/>
          <w:szCs w:val="24"/>
        </w:rPr>
        <w:t>, 213, pp.375–384.</w:t>
      </w:r>
    </w:p>
    <w:p w14:paraId="6B71892E"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Makhatadze, G.I. &amp; Privalov, P.L., 1992. Protein interactions with urea and guanidinium chloride: A calorimetric study. </w:t>
      </w:r>
      <w:r w:rsidRPr="006D59B8">
        <w:rPr>
          <w:rFonts w:ascii="Calibri" w:hAnsi="Calibri" w:cs="Times New Roman"/>
          <w:i/>
          <w:iCs/>
          <w:noProof/>
          <w:szCs w:val="24"/>
        </w:rPr>
        <w:t>Journal of Molecular Biology</w:t>
      </w:r>
      <w:r w:rsidRPr="006D59B8">
        <w:rPr>
          <w:rFonts w:ascii="Calibri" w:hAnsi="Calibri" w:cs="Times New Roman"/>
          <w:noProof/>
          <w:szCs w:val="24"/>
        </w:rPr>
        <w:t>, 226, pp.491–505.</w:t>
      </w:r>
    </w:p>
    <w:p w14:paraId="7DA89022"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Malvern Instruments Limited, 2015a. Comparison of statistical measures reported by NTA and DLS techniques. </w:t>
      </w:r>
      <w:r w:rsidRPr="006D59B8">
        <w:rPr>
          <w:rFonts w:ascii="Calibri" w:hAnsi="Calibri" w:cs="Times New Roman"/>
          <w:i/>
          <w:iCs/>
          <w:noProof/>
          <w:szCs w:val="24"/>
        </w:rPr>
        <w:t>Retrieved from: www.malvern.com</w:t>
      </w:r>
      <w:r w:rsidRPr="006D59B8">
        <w:rPr>
          <w:rFonts w:ascii="Calibri" w:hAnsi="Calibri" w:cs="Times New Roman"/>
          <w:noProof/>
          <w:szCs w:val="24"/>
        </w:rPr>
        <w:t>.</w:t>
      </w:r>
    </w:p>
    <w:p w14:paraId="46AE743E"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Malvern Instruments Limited, 2015b. Differential scanning calorimetry (DSC): Theory and practice. </w:t>
      </w:r>
      <w:r w:rsidRPr="006D59B8">
        <w:rPr>
          <w:rFonts w:ascii="Calibri" w:hAnsi="Calibri" w:cs="Times New Roman"/>
          <w:i/>
          <w:iCs/>
          <w:noProof/>
          <w:szCs w:val="24"/>
        </w:rPr>
        <w:t>Retrieved from: www.malvern.com</w:t>
      </w:r>
      <w:r w:rsidRPr="006D59B8">
        <w:rPr>
          <w:rFonts w:ascii="Calibri" w:hAnsi="Calibri" w:cs="Times New Roman"/>
          <w:noProof/>
          <w:szCs w:val="24"/>
        </w:rPr>
        <w:t>.</w:t>
      </w:r>
    </w:p>
    <w:p w14:paraId="2DAE4D29"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Malvern Instruments Limited, 2015c. Nanoscale material characterization: A review of the use of nanoparticle tracking analysis (NTA). </w:t>
      </w:r>
      <w:r w:rsidRPr="006D59B8">
        <w:rPr>
          <w:rFonts w:ascii="Calibri" w:hAnsi="Calibri" w:cs="Times New Roman"/>
          <w:i/>
          <w:iCs/>
          <w:noProof/>
          <w:szCs w:val="24"/>
        </w:rPr>
        <w:t>Retrieved from: www.malvern.com</w:t>
      </w:r>
      <w:r w:rsidRPr="006D59B8">
        <w:rPr>
          <w:rFonts w:ascii="Calibri" w:hAnsi="Calibri" w:cs="Times New Roman"/>
          <w:noProof/>
          <w:szCs w:val="24"/>
        </w:rPr>
        <w:t>.</w:t>
      </w:r>
    </w:p>
    <w:p w14:paraId="12D2E12F"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Malvern Instruments Limited, 2015d. NTA: Industrial applications. </w:t>
      </w:r>
      <w:r w:rsidRPr="006D59B8">
        <w:rPr>
          <w:rFonts w:ascii="Calibri" w:hAnsi="Calibri" w:cs="Times New Roman"/>
          <w:i/>
          <w:iCs/>
          <w:noProof/>
          <w:szCs w:val="24"/>
        </w:rPr>
        <w:t>Retrieved from: www.malvern.com</w:t>
      </w:r>
      <w:r w:rsidRPr="006D59B8">
        <w:rPr>
          <w:rFonts w:ascii="Calibri" w:hAnsi="Calibri" w:cs="Times New Roman"/>
          <w:noProof/>
          <w:szCs w:val="24"/>
        </w:rPr>
        <w:t>.</w:t>
      </w:r>
    </w:p>
    <w:p w14:paraId="3F157FE5"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Malvern Instruments Limited, 2015e. NTA: Principles and methodology. </w:t>
      </w:r>
      <w:r w:rsidRPr="006D59B8">
        <w:rPr>
          <w:rFonts w:ascii="Calibri" w:hAnsi="Calibri" w:cs="Times New Roman"/>
          <w:i/>
          <w:iCs/>
          <w:noProof/>
          <w:szCs w:val="24"/>
        </w:rPr>
        <w:t>Retrieved from: www.malvern.com</w:t>
      </w:r>
      <w:r w:rsidRPr="006D59B8">
        <w:rPr>
          <w:rFonts w:ascii="Calibri" w:hAnsi="Calibri" w:cs="Times New Roman"/>
          <w:noProof/>
          <w:szCs w:val="24"/>
        </w:rPr>
        <w:t>.</w:t>
      </w:r>
    </w:p>
    <w:p w14:paraId="36D85A65"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Malvern Instruments Limited, 2015f. NTA: Protein aggregation. </w:t>
      </w:r>
      <w:r w:rsidRPr="006D59B8">
        <w:rPr>
          <w:rFonts w:ascii="Calibri" w:hAnsi="Calibri" w:cs="Times New Roman"/>
          <w:i/>
          <w:iCs/>
          <w:noProof/>
          <w:szCs w:val="24"/>
        </w:rPr>
        <w:t>Retrieved from: www.malvern.com</w:t>
      </w:r>
      <w:r w:rsidRPr="006D59B8">
        <w:rPr>
          <w:rFonts w:ascii="Calibri" w:hAnsi="Calibri" w:cs="Times New Roman"/>
          <w:noProof/>
          <w:szCs w:val="24"/>
        </w:rPr>
        <w:t>.</w:t>
      </w:r>
    </w:p>
    <w:p w14:paraId="2510A53E"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Mason, P.E. et al., 2009. Preferential interactions of guanidinum ions with aromatic groups over aliphatic groups. </w:t>
      </w:r>
      <w:r w:rsidRPr="006D59B8">
        <w:rPr>
          <w:rFonts w:ascii="Calibri" w:hAnsi="Calibri" w:cs="Times New Roman"/>
          <w:i/>
          <w:iCs/>
          <w:noProof/>
          <w:szCs w:val="24"/>
        </w:rPr>
        <w:t>Journal of the American Chemical Society</w:t>
      </w:r>
      <w:r w:rsidRPr="006D59B8">
        <w:rPr>
          <w:rFonts w:ascii="Calibri" w:hAnsi="Calibri" w:cs="Times New Roman"/>
          <w:noProof/>
          <w:szCs w:val="24"/>
        </w:rPr>
        <w:t>, 131, pp.16689–16696.</w:t>
      </w:r>
    </w:p>
    <w:p w14:paraId="0A9FF91E"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Mason, P.E. et al., 2003. The hydration structure of guanidinium and thiocyanate ions: implications for protein stability in aqueous solution. </w:t>
      </w:r>
      <w:r w:rsidRPr="006D59B8">
        <w:rPr>
          <w:rFonts w:ascii="Calibri" w:hAnsi="Calibri" w:cs="Times New Roman"/>
          <w:i/>
          <w:iCs/>
          <w:noProof/>
          <w:szCs w:val="24"/>
        </w:rPr>
        <w:t>Proceedings of the National Academy of Sciences of the United States of America</w:t>
      </w:r>
      <w:r w:rsidRPr="006D59B8">
        <w:rPr>
          <w:rFonts w:ascii="Calibri" w:hAnsi="Calibri" w:cs="Times New Roman"/>
          <w:noProof/>
          <w:szCs w:val="24"/>
        </w:rPr>
        <w:t>, 100, pp.4557–4561.</w:t>
      </w:r>
    </w:p>
    <w:p w14:paraId="3624B337"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Mason, P.E. et al., 2004. The structure of aqueous guanidinium chloride solutions. </w:t>
      </w:r>
      <w:r w:rsidRPr="006D59B8">
        <w:rPr>
          <w:rFonts w:ascii="Calibri" w:hAnsi="Calibri" w:cs="Times New Roman"/>
          <w:i/>
          <w:iCs/>
          <w:noProof/>
          <w:szCs w:val="24"/>
        </w:rPr>
        <w:t>Journal of the American Chemical Society</w:t>
      </w:r>
      <w:r w:rsidRPr="006D59B8">
        <w:rPr>
          <w:rFonts w:ascii="Calibri" w:hAnsi="Calibri" w:cs="Times New Roman"/>
          <w:noProof/>
          <w:szCs w:val="24"/>
        </w:rPr>
        <w:t>, 126, pp.11462–11470.</w:t>
      </w:r>
    </w:p>
    <w:p w14:paraId="38FC0B1D"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Mayr, L.M. &amp; Schmid, F.X., 1993. Stabilization of a protein by guanidinium chloride. </w:t>
      </w:r>
      <w:r w:rsidRPr="006D59B8">
        <w:rPr>
          <w:rFonts w:ascii="Calibri" w:hAnsi="Calibri" w:cs="Times New Roman"/>
          <w:i/>
          <w:iCs/>
          <w:noProof/>
          <w:szCs w:val="24"/>
        </w:rPr>
        <w:t>Biochemistry</w:t>
      </w:r>
      <w:r w:rsidRPr="006D59B8">
        <w:rPr>
          <w:rFonts w:ascii="Calibri" w:hAnsi="Calibri" w:cs="Times New Roman"/>
          <w:noProof/>
          <w:szCs w:val="24"/>
        </w:rPr>
        <w:t>, 32, pp.7994–7998.</w:t>
      </w:r>
    </w:p>
    <w:p w14:paraId="384331F9"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McConkey, E.H., 1982. Molecular evolution, intracellular organization, and the quinary structure of proteins. </w:t>
      </w:r>
      <w:r w:rsidRPr="006D59B8">
        <w:rPr>
          <w:rFonts w:ascii="Calibri" w:hAnsi="Calibri" w:cs="Times New Roman"/>
          <w:i/>
          <w:iCs/>
          <w:noProof/>
          <w:szCs w:val="24"/>
        </w:rPr>
        <w:t>Proceedings of the National Academy of Sciences of the United States of America</w:t>
      </w:r>
      <w:r w:rsidRPr="006D59B8">
        <w:rPr>
          <w:rFonts w:ascii="Calibri" w:hAnsi="Calibri" w:cs="Times New Roman"/>
          <w:noProof/>
          <w:szCs w:val="24"/>
        </w:rPr>
        <w:t>, 79, pp.3236–3240.</w:t>
      </w:r>
    </w:p>
    <w:p w14:paraId="04E10084"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E3274E">
        <w:rPr>
          <w:rFonts w:ascii="Calibri" w:hAnsi="Calibri" w:cs="Times New Roman"/>
          <w:noProof/>
          <w:szCs w:val="24"/>
          <w:lang w:val="it-IT"/>
        </w:rPr>
        <w:t xml:space="preserve">Mello, C.C. &amp; Barrick, D., 2003. </w:t>
      </w:r>
      <w:r w:rsidRPr="006D59B8">
        <w:rPr>
          <w:rFonts w:ascii="Calibri" w:hAnsi="Calibri" w:cs="Times New Roman"/>
          <w:noProof/>
          <w:szCs w:val="24"/>
        </w:rPr>
        <w:t xml:space="preserve">Measuring the stability of partly folded proteins using TMAO. </w:t>
      </w:r>
      <w:r w:rsidRPr="006D59B8">
        <w:rPr>
          <w:rFonts w:ascii="Calibri" w:hAnsi="Calibri" w:cs="Times New Roman"/>
          <w:i/>
          <w:iCs/>
          <w:noProof/>
          <w:szCs w:val="24"/>
        </w:rPr>
        <w:t>Protein Science</w:t>
      </w:r>
      <w:r w:rsidRPr="006D59B8">
        <w:rPr>
          <w:rFonts w:ascii="Calibri" w:hAnsi="Calibri" w:cs="Times New Roman"/>
          <w:noProof/>
          <w:szCs w:val="24"/>
        </w:rPr>
        <w:t>, 12, pp.1522–1529.</w:t>
      </w:r>
    </w:p>
    <w:p w14:paraId="46DD8060"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Miyawaki, O., Dozen, M. &amp; Nomura, K., 2014. Thermodynamic analysis of osmolyte effect on thermal stability of ribonuclease A in terms of water activity. </w:t>
      </w:r>
      <w:r w:rsidRPr="006D59B8">
        <w:rPr>
          <w:rFonts w:ascii="Calibri" w:hAnsi="Calibri" w:cs="Times New Roman"/>
          <w:i/>
          <w:iCs/>
          <w:noProof/>
          <w:szCs w:val="24"/>
        </w:rPr>
        <w:t>Biophysical Chemistry</w:t>
      </w:r>
      <w:r w:rsidRPr="006D59B8">
        <w:rPr>
          <w:rFonts w:ascii="Calibri" w:hAnsi="Calibri" w:cs="Times New Roman"/>
          <w:noProof/>
          <w:szCs w:val="24"/>
        </w:rPr>
        <w:t>, 185, pp.19–24.</w:t>
      </w:r>
    </w:p>
    <w:p w14:paraId="3A92B419"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Möglich, A., Krieger, F. &amp; Kiefhaber, T., 2005. Molecular basis for the effect of urea and guanidinium chloride on the dynamics of unfolded polypeptide chains. </w:t>
      </w:r>
      <w:r w:rsidRPr="006D59B8">
        <w:rPr>
          <w:rFonts w:ascii="Calibri" w:hAnsi="Calibri" w:cs="Times New Roman"/>
          <w:i/>
          <w:iCs/>
          <w:noProof/>
          <w:szCs w:val="24"/>
        </w:rPr>
        <w:t>Journal of Molecular Biology</w:t>
      </w:r>
      <w:r w:rsidRPr="006D59B8">
        <w:rPr>
          <w:rFonts w:ascii="Calibri" w:hAnsi="Calibri" w:cs="Times New Roman"/>
          <w:noProof/>
          <w:szCs w:val="24"/>
        </w:rPr>
        <w:t>, 345, pp.153–162.</w:t>
      </w:r>
    </w:p>
    <w:p w14:paraId="2913F907"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Monera, O.D., Kay, C.M. &amp; Hodges, R.S., 1994. Protein denaturation with guanidine hydrochloride or urea provides a different estimate of stability depending on the contributions of electrostatic interactions. </w:t>
      </w:r>
      <w:r w:rsidRPr="006D59B8">
        <w:rPr>
          <w:rFonts w:ascii="Calibri" w:hAnsi="Calibri" w:cs="Times New Roman"/>
          <w:i/>
          <w:iCs/>
          <w:noProof/>
          <w:szCs w:val="24"/>
        </w:rPr>
        <w:t>Protein Science</w:t>
      </w:r>
      <w:r w:rsidRPr="006D59B8">
        <w:rPr>
          <w:rFonts w:ascii="Calibri" w:hAnsi="Calibri" w:cs="Times New Roman"/>
          <w:noProof/>
          <w:szCs w:val="24"/>
        </w:rPr>
        <w:t>, 3, pp.1984–1991.</w:t>
      </w:r>
    </w:p>
    <w:p w14:paraId="7E454221"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Monteith, W.B. et al., 2015. Quinary structure modulates protein stability in cells. </w:t>
      </w:r>
      <w:r w:rsidRPr="006D59B8">
        <w:rPr>
          <w:rFonts w:ascii="Calibri" w:hAnsi="Calibri" w:cs="Times New Roman"/>
          <w:i/>
          <w:iCs/>
          <w:noProof/>
          <w:szCs w:val="24"/>
        </w:rPr>
        <w:t>Proceedings of the National Academy of Sciences of the United States of America</w:t>
      </w:r>
      <w:r w:rsidRPr="006D59B8">
        <w:rPr>
          <w:rFonts w:ascii="Calibri" w:hAnsi="Calibri" w:cs="Times New Roman"/>
          <w:noProof/>
          <w:szCs w:val="24"/>
        </w:rPr>
        <w:t>, 112, pp.1739–1742.</w:t>
      </w:r>
    </w:p>
    <w:p w14:paraId="4206DBDB"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Mountain, R.D. &amp; Thirumalai, D., 2003. Molecular dynamics simulations of end-to-end contact formation in hydrocarbon chains in water and aqueous urea solution. </w:t>
      </w:r>
      <w:r w:rsidRPr="006D59B8">
        <w:rPr>
          <w:rFonts w:ascii="Calibri" w:hAnsi="Calibri" w:cs="Times New Roman"/>
          <w:i/>
          <w:iCs/>
          <w:noProof/>
          <w:szCs w:val="24"/>
        </w:rPr>
        <w:t>Journal of the American Chemical Society</w:t>
      </w:r>
      <w:r w:rsidRPr="006D59B8">
        <w:rPr>
          <w:rFonts w:ascii="Calibri" w:hAnsi="Calibri" w:cs="Times New Roman"/>
          <w:noProof/>
          <w:szCs w:val="24"/>
        </w:rPr>
        <w:t>, 125, pp.1950–1957.</w:t>
      </w:r>
    </w:p>
    <w:p w14:paraId="1C2D41BE"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Myers, J.K., Pace, C.N. &amp; Scholtz, J.M., 1995. Denaturant m values and heat capacity changes: Relation to changes in accessible surface areas of protein unfolding. </w:t>
      </w:r>
      <w:r w:rsidRPr="006D59B8">
        <w:rPr>
          <w:rFonts w:ascii="Calibri" w:hAnsi="Calibri" w:cs="Times New Roman"/>
          <w:i/>
          <w:iCs/>
          <w:noProof/>
          <w:szCs w:val="24"/>
        </w:rPr>
        <w:t>Protein Science</w:t>
      </w:r>
      <w:r w:rsidRPr="006D59B8">
        <w:rPr>
          <w:rFonts w:ascii="Calibri" w:hAnsi="Calibri" w:cs="Times New Roman"/>
          <w:noProof/>
          <w:szCs w:val="24"/>
        </w:rPr>
        <w:t>, 4, pp.2138–48.</w:t>
      </w:r>
    </w:p>
    <w:p w14:paraId="0F3FE00E"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Nakamura, H., 1996. Roles of electrostatic interaction in proteins. </w:t>
      </w:r>
      <w:r w:rsidRPr="006D59B8">
        <w:rPr>
          <w:rFonts w:ascii="Calibri" w:hAnsi="Calibri" w:cs="Times New Roman"/>
          <w:i/>
          <w:iCs/>
          <w:noProof/>
          <w:szCs w:val="24"/>
        </w:rPr>
        <w:t>Quarterly Review of Biophysics</w:t>
      </w:r>
      <w:r w:rsidRPr="006D59B8">
        <w:rPr>
          <w:rFonts w:ascii="Calibri" w:hAnsi="Calibri" w:cs="Times New Roman"/>
          <w:noProof/>
          <w:szCs w:val="24"/>
        </w:rPr>
        <w:t>, 29, pp.1–90.</w:t>
      </w:r>
    </w:p>
    <w:p w14:paraId="20833E3F"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Nanosight Ltd, 2010. NanoSight NTA 2.1 Analytical Software Operating Manual version 1.0. </w:t>
      </w:r>
      <w:r w:rsidRPr="006D59B8">
        <w:rPr>
          <w:rFonts w:ascii="Calibri" w:hAnsi="Calibri" w:cs="Times New Roman"/>
          <w:i/>
          <w:iCs/>
          <w:noProof/>
          <w:szCs w:val="24"/>
        </w:rPr>
        <w:t>Retrieved from: www.malvern.com</w:t>
      </w:r>
      <w:r w:rsidRPr="006D59B8">
        <w:rPr>
          <w:rFonts w:ascii="Calibri" w:hAnsi="Calibri" w:cs="Times New Roman"/>
          <w:noProof/>
          <w:szCs w:val="24"/>
        </w:rPr>
        <w:t>.</w:t>
      </w:r>
    </w:p>
    <w:p w14:paraId="65F7C376"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Natalello, A. et al., 2009. The osmolyte betaine promotes protein misfolding and disruption of protein aggregates. </w:t>
      </w:r>
      <w:r w:rsidRPr="006D59B8">
        <w:rPr>
          <w:rFonts w:ascii="Calibri" w:hAnsi="Calibri" w:cs="Times New Roman"/>
          <w:i/>
          <w:iCs/>
          <w:noProof/>
          <w:szCs w:val="24"/>
        </w:rPr>
        <w:t>Proteins</w:t>
      </w:r>
      <w:r w:rsidRPr="006D59B8">
        <w:rPr>
          <w:rFonts w:ascii="Calibri" w:hAnsi="Calibri" w:cs="Times New Roman"/>
          <w:noProof/>
          <w:szCs w:val="24"/>
        </w:rPr>
        <w:t>, 75, pp.509–517.</w:t>
      </w:r>
    </w:p>
    <w:p w14:paraId="6D127821"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Nozaki, Y. &amp; Tanford, C., 1970. The solubility of amino acids, diglycine, and triglycine in aqueous guanidine hydrochloride solutions. </w:t>
      </w:r>
      <w:r w:rsidRPr="006D59B8">
        <w:rPr>
          <w:rFonts w:ascii="Calibri" w:hAnsi="Calibri" w:cs="Times New Roman"/>
          <w:i/>
          <w:iCs/>
          <w:noProof/>
          <w:szCs w:val="24"/>
        </w:rPr>
        <w:t>Journal of Biological Chemistry</w:t>
      </w:r>
      <w:r w:rsidRPr="006D59B8">
        <w:rPr>
          <w:rFonts w:ascii="Calibri" w:hAnsi="Calibri" w:cs="Times New Roman"/>
          <w:noProof/>
          <w:szCs w:val="24"/>
        </w:rPr>
        <w:t>, 245, pp.1648–1652.</w:t>
      </w:r>
    </w:p>
    <w:p w14:paraId="78978A43"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O’ Sullivan, C. &amp; Tompson, F.W., 1890. Invertase: A contribution to the history of an enzyme or unorganised ferment. </w:t>
      </w:r>
      <w:r w:rsidRPr="006D59B8">
        <w:rPr>
          <w:rFonts w:ascii="Calibri" w:hAnsi="Calibri" w:cs="Times New Roman"/>
          <w:i/>
          <w:iCs/>
          <w:noProof/>
          <w:szCs w:val="24"/>
        </w:rPr>
        <w:t>Journal of Chemical Society</w:t>
      </w:r>
      <w:r w:rsidRPr="006D59B8">
        <w:rPr>
          <w:rFonts w:ascii="Calibri" w:hAnsi="Calibri" w:cs="Times New Roman"/>
          <w:noProof/>
          <w:szCs w:val="24"/>
        </w:rPr>
        <w:t>, 57, pp.834–931.</w:t>
      </w:r>
    </w:p>
    <w:p w14:paraId="68A02B57"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O’Brien, E.P. et al., 2007. Interactions between hydrophobic and ionic solutes in aqueous guanidinium chloride and urea solutions: Lessons for protein denaturation mechanism. </w:t>
      </w:r>
      <w:r w:rsidRPr="006D59B8">
        <w:rPr>
          <w:rFonts w:ascii="Calibri" w:hAnsi="Calibri" w:cs="Times New Roman"/>
          <w:i/>
          <w:iCs/>
          <w:noProof/>
          <w:szCs w:val="24"/>
        </w:rPr>
        <w:t>Journal of the American Chemical Society</w:t>
      </w:r>
      <w:r w:rsidRPr="006D59B8">
        <w:rPr>
          <w:rFonts w:ascii="Calibri" w:hAnsi="Calibri" w:cs="Times New Roman"/>
          <w:noProof/>
          <w:szCs w:val="24"/>
        </w:rPr>
        <w:t>, 129, pp.7346–7353.</w:t>
      </w:r>
    </w:p>
    <w:p w14:paraId="63ABA44F"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Ohtake, S., Kita, Y. &amp; Arakawa, T., 2011. Interactions of formulation excipients with proteins in solution and in the dried state. </w:t>
      </w:r>
      <w:r w:rsidRPr="006D59B8">
        <w:rPr>
          <w:rFonts w:ascii="Calibri" w:hAnsi="Calibri" w:cs="Times New Roman"/>
          <w:i/>
          <w:iCs/>
          <w:noProof/>
          <w:szCs w:val="24"/>
        </w:rPr>
        <w:t>Advanced Drug Delivery Reviews</w:t>
      </w:r>
      <w:r w:rsidRPr="006D59B8">
        <w:rPr>
          <w:rFonts w:ascii="Calibri" w:hAnsi="Calibri" w:cs="Times New Roman"/>
          <w:noProof/>
          <w:szCs w:val="24"/>
        </w:rPr>
        <w:t>, 63, pp.1053–1073.</w:t>
      </w:r>
    </w:p>
    <w:p w14:paraId="4ACB66A1"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Oliveberg, M., Tan, Y.J. &amp; Fersht, A.R., 1995. Negative activation enthalpies in the kinetics of protein folding. </w:t>
      </w:r>
      <w:r w:rsidRPr="006D59B8">
        <w:rPr>
          <w:rFonts w:ascii="Calibri" w:hAnsi="Calibri" w:cs="Times New Roman"/>
          <w:i/>
          <w:iCs/>
          <w:noProof/>
          <w:szCs w:val="24"/>
        </w:rPr>
        <w:t>Proceedings of the National Academy of Sciences of the United States of America</w:t>
      </w:r>
      <w:r w:rsidRPr="006D59B8">
        <w:rPr>
          <w:rFonts w:ascii="Calibri" w:hAnsi="Calibri" w:cs="Times New Roman"/>
          <w:noProof/>
          <w:szCs w:val="24"/>
        </w:rPr>
        <w:t>, 92, pp.8926–8929.</w:t>
      </w:r>
    </w:p>
    <w:p w14:paraId="782D18F5"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E3274E">
        <w:rPr>
          <w:rFonts w:ascii="Calibri" w:hAnsi="Calibri" w:cs="Times New Roman"/>
          <w:noProof/>
          <w:szCs w:val="24"/>
          <w:lang w:val="it-IT"/>
        </w:rPr>
        <w:t xml:space="preserve">Omta, A.W. et al., 2003. </w:t>
      </w:r>
      <w:r w:rsidRPr="006D59B8">
        <w:rPr>
          <w:rFonts w:ascii="Calibri" w:hAnsi="Calibri" w:cs="Times New Roman"/>
          <w:noProof/>
          <w:szCs w:val="24"/>
        </w:rPr>
        <w:t xml:space="preserve">Negligible effect of ions on the hydrogen-bond structure in liquid water. </w:t>
      </w:r>
      <w:r w:rsidRPr="006D59B8">
        <w:rPr>
          <w:rFonts w:ascii="Calibri" w:hAnsi="Calibri" w:cs="Times New Roman"/>
          <w:i/>
          <w:iCs/>
          <w:noProof/>
          <w:szCs w:val="24"/>
        </w:rPr>
        <w:t>Science</w:t>
      </w:r>
      <w:r w:rsidRPr="006D59B8">
        <w:rPr>
          <w:rFonts w:ascii="Calibri" w:hAnsi="Calibri" w:cs="Times New Roman"/>
          <w:noProof/>
          <w:szCs w:val="24"/>
        </w:rPr>
        <w:t>, 301, pp.347–349.</w:t>
      </w:r>
    </w:p>
    <w:p w14:paraId="75237379"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Orthen, B., Popp, M. &amp; Smirnoff, N., 1994. Hydroxyl radical scavenging properties of cyclitols. </w:t>
      </w:r>
      <w:r w:rsidRPr="006D59B8">
        <w:rPr>
          <w:rFonts w:ascii="Calibri" w:hAnsi="Calibri" w:cs="Times New Roman"/>
          <w:i/>
          <w:iCs/>
          <w:noProof/>
          <w:szCs w:val="24"/>
        </w:rPr>
        <w:t>Proceedings of the Royal Society of Edinburgh. Section B. Biological Sciences</w:t>
      </w:r>
      <w:r w:rsidRPr="006D59B8">
        <w:rPr>
          <w:rFonts w:ascii="Calibri" w:hAnsi="Calibri" w:cs="Times New Roman"/>
          <w:noProof/>
          <w:szCs w:val="24"/>
        </w:rPr>
        <w:t>, 102, pp.269–272.</w:t>
      </w:r>
    </w:p>
    <w:p w14:paraId="6C11EE8D"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Pace, C.N., 1990. Conformational stability of globular proteins. </w:t>
      </w:r>
      <w:r w:rsidRPr="006D59B8">
        <w:rPr>
          <w:rFonts w:ascii="Calibri" w:hAnsi="Calibri" w:cs="Times New Roman"/>
          <w:i/>
          <w:iCs/>
          <w:noProof/>
          <w:szCs w:val="24"/>
        </w:rPr>
        <w:t>Trends in Biochemical Sciences</w:t>
      </w:r>
      <w:r w:rsidRPr="006D59B8">
        <w:rPr>
          <w:rFonts w:ascii="Calibri" w:hAnsi="Calibri" w:cs="Times New Roman"/>
          <w:noProof/>
          <w:szCs w:val="24"/>
        </w:rPr>
        <w:t>, 15, pp.14–17.</w:t>
      </w:r>
    </w:p>
    <w:p w14:paraId="06F99255"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Pace, C.N., 1986. Determination and analysis of urea and guanidine hydrochloride denaturation curves. </w:t>
      </w:r>
      <w:r w:rsidRPr="006D59B8">
        <w:rPr>
          <w:rFonts w:ascii="Calibri" w:hAnsi="Calibri" w:cs="Times New Roman"/>
          <w:i/>
          <w:iCs/>
          <w:noProof/>
          <w:szCs w:val="24"/>
        </w:rPr>
        <w:t>Methods in Enzymology</w:t>
      </w:r>
      <w:r w:rsidRPr="006D59B8">
        <w:rPr>
          <w:rFonts w:ascii="Calibri" w:hAnsi="Calibri" w:cs="Times New Roman"/>
          <w:noProof/>
          <w:szCs w:val="24"/>
        </w:rPr>
        <w:t>, 131, pp.266–280.</w:t>
      </w:r>
    </w:p>
    <w:p w14:paraId="2F6F8B24"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Pace, C.N. et al., 1996. Forces contributing to the conformational stability of proteins. </w:t>
      </w:r>
      <w:r w:rsidRPr="006D59B8">
        <w:rPr>
          <w:rFonts w:ascii="Calibri" w:hAnsi="Calibri" w:cs="Times New Roman"/>
          <w:i/>
          <w:iCs/>
          <w:noProof/>
          <w:szCs w:val="24"/>
        </w:rPr>
        <w:t>Journal of the Federation of American Societies for Experimental Biology</w:t>
      </w:r>
      <w:r w:rsidRPr="006D59B8">
        <w:rPr>
          <w:rFonts w:ascii="Calibri" w:hAnsi="Calibri" w:cs="Times New Roman"/>
          <w:noProof/>
          <w:szCs w:val="24"/>
        </w:rPr>
        <w:t>, 10, pp.75–83.</w:t>
      </w:r>
    </w:p>
    <w:p w14:paraId="6539A9C2"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Panuszko, A. et al., 2009. Effects of urea and trimethylamine-N-oxide on the properties of water and the secondary structure of hen egg white lysozyme. </w:t>
      </w:r>
      <w:r w:rsidRPr="006D59B8">
        <w:rPr>
          <w:rFonts w:ascii="Calibri" w:hAnsi="Calibri" w:cs="Times New Roman"/>
          <w:i/>
          <w:iCs/>
          <w:noProof/>
          <w:szCs w:val="24"/>
        </w:rPr>
        <w:t>Journal of Physical Chemistry B</w:t>
      </w:r>
      <w:r w:rsidRPr="006D59B8">
        <w:rPr>
          <w:rFonts w:ascii="Calibri" w:hAnsi="Calibri" w:cs="Times New Roman"/>
          <w:noProof/>
          <w:szCs w:val="24"/>
        </w:rPr>
        <w:t>, 113, pp.14797–14809.</w:t>
      </w:r>
    </w:p>
    <w:p w14:paraId="703274D4"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Parkins, D.A. &amp; Lashmar, U.T., 2000. The formulation of biopharmaceutical products. </w:t>
      </w:r>
      <w:r w:rsidRPr="006D59B8">
        <w:rPr>
          <w:rFonts w:ascii="Calibri" w:hAnsi="Calibri" w:cs="Times New Roman"/>
          <w:i/>
          <w:iCs/>
          <w:noProof/>
          <w:szCs w:val="24"/>
        </w:rPr>
        <w:t>Pharmaceutical Science &amp; Technology Today</w:t>
      </w:r>
      <w:r w:rsidRPr="006D59B8">
        <w:rPr>
          <w:rFonts w:ascii="Calibri" w:hAnsi="Calibri" w:cs="Times New Roman"/>
          <w:noProof/>
          <w:szCs w:val="24"/>
        </w:rPr>
        <w:t>, 3, pp.129–137.</w:t>
      </w:r>
    </w:p>
    <w:p w14:paraId="5AB8E4CC"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Paul, S. &amp; Patey, G.N., 2007. Structure and interaction in aqueous urea-trimethylamine-N-oxide solutions. </w:t>
      </w:r>
      <w:r w:rsidRPr="006D59B8">
        <w:rPr>
          <w:rFonts w:ascii="Calibri" w:hAnsi="Calibri" w:cs="Times New Roman"/>
          <w:i/>
          <w:iCs/>
          <w:noProof/>
          <w:szCs w:val="24"/>
        </w:rPr>
        <w:t>Journal of the American Chemical Society</w:t>
      </w:r>
      <w:r w:rsidRPr="006D59B8">
        <w:rPr>
          <w:rFonts w:ascii="Calibri" w:hAnsi="Calibri" w:cs="Times New Roman"/>
          <w:noProof/>
          <w:szCs w:val="24"/>
        </w:rPr>
        <w:t>, 129, pp.4476–4482.</w:t>
      </w:r>
    </w:p>
    <w:p w14:paraId="022E42A6"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Pednekar, D., Tendulkar, A. &amp; Durani, S., 2009. Electrostatics-defying interaction between arginine termini as a thermodynamic driving force in protein-protein interaction. </w:t>
      </w:r>
      <w:r w:rsidRPr="006D59B8">
        <w:rPr>
          <w:rFonts w:ascii="Calibri" w:hAnsi="Calibri" w:cs="Times New Roman"/>
          <w:i/>
          <w:iCs/>
          <w:noProof/>
          <w:szCs w:val="24"/>
        </w:rPr>
        <w:t>Proteins</w:t>
      </w:r>
      <w:r w:rsidRPr="006D59B8">
        <w:rPr>
          <w:rFonts w:ascii="Calibri" w:hAnsi="Calibri" w:cs="Times New Roman"/>
          <w:noProof/>
          <w:szCs w:val="24"/>
        </w:rPr>
        <w:t>, 74, pp.155–163.</w:t>
      </w:r>
    </w:p>
    <w:p w14:paraId="43BF9A4B"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Pegram, L.M. &amp; Record, M.T., 2007. Hofmeister salt effects on surface tension arise from partitioning of anions and cations between bulk water and the air-water interface. </w:t>
      </w:r>
      <w:r w:rsidRPr="006D59B8">
        <w:rPr>
          <w:rFonts w:ascii="Calibri" w:hAnsi="Calibri" w:cs="Times New Roman"/>
          <w:i/>
          <w:iCs/>
          <w:noProof/>
          <w:szCs w:val="24"/>
        </w:rPr>
        <w:t>Journal of Physical Chemistry B</w:t>
      </w:r>
      <w:r w:rsidRPr="006D59B8">
        <w:rPr>
          <w:rFonts w:ascii="Calibri" w:hAnsi="Calibri" w:cs="Times New Roman"/>
          <w:noProof/>
          <w:szCs w:val="24"/>
        </w:rPr>
        <w:t>, 111, pp.5411–5417.</w:t>
      </w:r>
    </w:p>
    <w:p w14:paraId="288F0DBC"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Pegram, L.M. &amp; Record, M.T., 2008. Thermodynamic origin of Hofmeister ion effects. </w:t>
      </w:r>
      <w:r w:rsidRPr="006D59B8">
        <w:rPr>
          <w:rFonts w:ascii="Calibri" w:hAnsi="Calibri" w:cs="Times New Roman"/>
          <w:i/>
          <w:iCs/>
          <w:noProof/>
          <w:szCs w:val="24"/>
        </w:rPr>
        <w:t>Journal of Physical Chemistry B</w:t>
      </w:r>
      <w:r w:rsidRPr="006D59B8">
        <w:rPr>
          <w:rFonts w:ascii="Calibri" w:hAnsi="Calibri" w:cs="Times New Roman"/>
          <w:noProof/>
          <w:szCs w:val="24"/>
        </w:rPr>
        <w:t>, 112, pp.9428–9436.</w:t>
      </w:r>
    </w:p>
    <w:p w14:paraId="130EB1A7"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Pifferi, G. &amp; Restani, P., 2003. The safety of pharmaceutical excipients. </w:t>
      </w:r>
      <w:r w:rsidRPr="006D59B8">
        <w:rPr>
          <w:rFonts w:ascii="Calibri" w:hAnsi="Calibri" w:cs="Times New Roman"/>
          <w:i/>
          <w:iCs/>
          <w:noProof/>
          <w:szCs w:val="24"/>
        </w:rPr>
        <w:t>Il Farmaco</w:t>
      </w:r>
      <w:r w:rsidRPr="006D59B8">
        <w:rPr>
          <w:rFonts w:ascii="Calibri" w:hAnsi="Calibri" w:cs="Times New Roman"/>
          <w:noProof/>
          <w:szCs w:val="24"/>
        </w:rPr>
        <w:t>, 58, pp.541–550.</w:t>
      </w:r>
    </w:p>
    <w:p w14:paraId="35C20AAB"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Platts, L. &amp; Falconer, R.J., 2015. Controlling protein stability: Mechanisms revealed using formulations of arginine, glycine and guanidinium HCl with three globular proteins. </w:t>
      </w:r>
      <w:r w:rsidRPr="006D59B8">
        <w:rPr>
          <w:rFonts w:ascii="Calibri" w:hAnsi="Calibri" w:cs="Times New Roman"/>
          <w:i/>
          <w:iCs/>
          <w:noProof/>
          <w:szCs w:val="24"/>
        </w:rPr>
        <w:t>International Journal of Pharmaceutics</w:t>
      </w:r>
      <w:r w:rsidRPr="006D59B8">
        <w:rPr>
          <w:rFonts w:ascii="Calibri" w:hAnsi="Calibri" w:cs="Times New Roman"/>
          <w:noProof/>
          <w:szCs w:val="24"/>
        </w:rPr>
        <w:t>, 486, pp.131–135.</w:t>
      </w:r>
    </w:p>
    <w:p w14:paraId="70200208"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Poddar, N.K. et al., 2008. Effect of monomeric and oligomeric sugar osmolytes on deltaGD, the Gibbs energy of stabilization of the protein at different pH values: Is the sum effect of monosaccharide individually additive in a mixture? </w:t>
      </w:r>
      <w:r w:rsidRPr="006D59B8">
        <w:rPr>
          <w:rFonts w:ascii="Calibri" w:hAnsi="Calibri" w:cs="Times New Roman"/>
          <w:i/>
          <w:iCs/>
          <w:noProof/>
          <w:szCs w:val="24"/>
        </w:rPr>
        <w:t>Biophysical Chemistry</w:t>
      </w:r>
      <w:r w:rsidRPr="006D59B8">
        <w:rPr>
          <w:rFonts w:ascii="Calibri" w:hAnsi="Calibri" w:cs="Times New Roman"/>
          <w:noProof/>
          <w:szCs w:val="24"/>
        </w:rPr>
        <w:t>, 138, pp.120–129.</w:t>
      </w:r>
    </w:p>
    <w:p w14:paraId="16FAEACA"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Privalov, P.L., 1997. Thermodynamics of protein folding. </w:t>
      </w:r>
      <w:r w:rsidRPr="006D59B8">
        <w:rPr>
          <w:rFonts w:ascii="Calibri" w:hAnsi="Calibri" w:cs="Times New Roman"/>
          <w:i/>
          <w:iCs/>
          <w:noProof/>
          <w:szCs w:val="24"/>
        </w:rPr>
        <w:t>Journal of Chemical Thermodynamics</w:t>
      </w:r>
      <w:r w:rsidRPr="006D59B8">
        <w:rPr>
          <w:rFonts w:ascii="Calibri" w:hAnsi="Calibri" w:cs="Times New Roman"/>
          <w:noProof/>
          <w:szCs w:val="24"/>
        </w:rPr>
        <w:t>, 29, pp.447–474.</w:t>
      </w:r>
    </w:p>
    <w:p w14:paraId="330E00DB"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Privalov, P.L. &amp; Makhatadze, G.I., 1992. Contribution of hydration and non-covalent interactions to the heat capacity effect on protein unfolding. </w:t>
      </w:r>
      <w:r w:rsidRPr="006D59B8">
        <w:rPr>
          <w:rFonts w:ascii="Calibri" w:hAnsi="Calibri" w:cs="Times New Roman"/>
          <w:i/>
          <w:iCs/>
          <w:noProof/>
          <w:szCs w:val="24"/>
        </w:rPr>
        <w:t>Journal of Molecular Biology</w:t>
      </w:r>
      <w:r w:rsidRPr="006D59B8">
        <w:rPr>
          <w:rFonts w:ascii="Calibri" w:hAnsi="Calibri" w:cs="Times New Roman"/>
          <w:noProof/>
          <w:szCs w:val="24"/>
        </w:rPr>
        <w:t>, 224, pp.715–723.</w:t>
      </w:r>
    </w:p>
    <w:p w14:paraId="3B439140"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Privalov, P.L. &amp; Potekhin, S.A., 1986. Scanning microcalorimetry in studying temperature-induced changes in proteins. </w:t>
      </w:r>
      <w:r w:rsidRPr="006D59B8">
        <w:rPr>
          <w:rFonts w:ascii="Calibri" w:hAnsi="Calibri" w:cs="Times New Roman"/>
          <w:i/>
          <w:iCs/>
          <w:noProof/>
          <w:szCs w:val="24"/>
        </w:rPr>
        <w:t>Methods in Enzymology</w:t>
      </w:r>
      <w:r w:rsidRPr="006D59B8">
        <w:rPr>
          <w:rFonts w:ascii="Calibri" w:hAnsi="Calibri" w:cs="Times New Roman"/>
          <w:noProof/>
          <w:szCs w:val="24"/>
        </w:rPr>
        <w:t>, 131, pp.4–51.</w:t>
      </w:r>
    </w:p>
    <w:p w14:paraId="2A2806DD"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Qu, Y., Bolen, C.L. &amp; Bolen, D.W., 1998. Osmolyte-driven contraction of a random coil protein. </w:t>
      </w:r>
      <w:r w:rsidRPr="006D59B8">
        <w:rPr>
          <w:rFonts w:ascii="Calibri" w:hAnsi="Calibri" w:cs="Times New Roman"/>
          <w:i/>
          <w:iCs/>
          <w:noProof/>
          <w:szCs w:val="24"/>
        </w:rPr>
        <w:t>Proceedings of the National Academy of Sciences of the United States of America</w:t>
      </w:r>
      <w:r w:rsidRPr="006D59B8">
        <w:rPr>
          <w:rFonts w:ascii="Calibri" w:hAnsi="Calibri" w:cs="Times New Roman"/>
          <w:noProof/>
          <w:szCs w:val="24"/>
        </w:rPr>
        <w:t>, 95, pp.9268–9273.</w:t>
      </w:r>
    </w:p>
    <w:p w14:paraId="5C9C121E"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Quinn, C., 2011. Buffer compatibility with Nano DSC (TA Instruments Technical Note). </w:t>
      </w:r>
      <w:r w:rsidRPr="006D59B8">
        <w:rPr>
          <w:rFonts w:ascii="Calibri" w:hAnsi="Calibri" w:cs="Times New Roman"/>
          <w:i/>
          <w:iCs/>
          <w:noProof/>
          <w:szCs w:val="24"/>
        </w:rPr>
        <w:t>Retrieved from: www.tainstruments.com</w:t>
      </w:r>
      <w:r w:rsidRPr="006D59B8">
        <w:rPr>
          <w:rFonts w:ascii="Calibri" w:hAnsi="Calibri" w:cs="Times New Roman"/>
          <w:noProof/>
          <w:szCs w:val="24"/>
        </w:rPr>
        <w:t>.</w:t>
      </w:r>
    </w:p>
    <w:p w14:paraId="6A6FEDD3"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Reddy, R.C. et al., 2005. L-Arginine increases the solubility of unfolded species of hen egg white lysozyme. </w:t>
      </w:r>
      <w:r w:rsidRPr="006D59B8">
        <w:rPr>
          <w:rFonts w:ascii="Calibri" w:hAnsi="Calibri" w:cs="Times New Roman"/>
          <w:i/>
          <w:iCs/>
          <w:noProof/>
          <w:szCs w:val="24"/>
        </w:rPr>
        <w:t>Protein Science</w:t>
      </w:r>
      <w:r w:rsidRPr="006D59B8">
        <w:rPr>
          <w:rFonts w:ascii="Calibri" w:hAnsi="Calibri" w:cs="Times New Roman"/>
          <w:noProof/>
          <w:szCs w:val="24"/>
        </w:rPr>
        <w:t>, 14, pp.929–935.</w:t>
      </w:r>
    </w:p>
    <w:p w14:paraId="6303AB31"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Rezus, Y.L.A. &amp; Bakker, H.J., 2006. Effect of urea on the structural dynamics of water. </w:t>
      </w:r>
      <w:r w:rsidRPr="006D59B8">
        <w:rPr>
          <w:rFonts w:ascii="Calibri" w:hAnsi="Calibri" w:cs="Times New Roman"/>
          <w:i/>
          <w:iCs/>
          <w:noProof/>
          <w:szCs w:val="24"/>
        </w:rPr>
        <w:t>Proceedings of the National Academy of Sciences of the United States of America</w:t>
      </w:r>
      <w:r w:rsidRPr="006D59B8">
        <w:rPr>
          <w:rFonts w:ascii="Calibri" w:hAnsi="Calibri" w:cs="Times New Roman"/>
          <w:noProof/>
          <w:szCs w:val="24"/>
        </w:rPr>
        <w:t>, 103, pp.18417–18420.</w:t>
      </w:r>
    </w:p>
    <w:p w14:paraId="1ECB5417"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Rishi, V. et al., 1998. Role of non-compatible osmolytes in the stabilization of proteins during heat stress. </w:t>
      </w:r>
      <w:r w:rsidRPr="006D59B8">
        <w:rPr>
          <w:rFonts w:ascii="Calibri" w:hAnsi="Calibri" w:cs="Times New Roman"/>
          <w:i/>
          <w:iCs/>
          <w:noProof/>
          <w:szCs w:val="24"/>
        </w:rPr>
        <w:t>Biochemical Journal</w:t>
      </w:r>
      <w:r w:rsidRPr="006D59B8">
        <w:rPr>
          <w:rFonts w:ascii="Calibri" w:hAnsi="Calibri" w:cs="Times New Roman"/>
          <w:noProof/>
          <w:szCs w:val="24"/>
        </w:rPr>
        <w:t>, 329, pp.137–143.</w:t>
      </w:r>
    </w:p>
    <w:p w14:paraId="7965AF4C"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Robertson, M.I., 1999. Regulatory issues with excipients. </w:t>
      </w:r>
      <w:r w:rsidRPr="006D59B8">
        <w:rPr>
          <w:rFonts w:ascii="Calibri" w:hAnsi="Calibri" w:cs="Times New Roman"/>
          <w:i/>
          <w:iCs/>
          <w:noProof/>
          <w:szCs w:val="24"/>
        </w:rPr>
        <w:t>International Journal of Pharmaceutics</w:t>
      </w:r>
      <w:r w:rsidRPr="006D59B8">
        <w:rPr>
          <w:rFonts w:ascii="Calibri" w:hAnsi="Calibri" w:cs="Times New Roman"/>
          <w:noProof/>
          <w:szCs w:val="24"/>
        </w:rPr>
        <w:t>, 187, pp.273–276.</w:t>
      </w:r>
    </w:p>
    <w:p w14:paraId="4D02F89C"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E3274E">
        <w:rPr>
          <w:rFonts w:ascii="Calibri" w:hAnsi="Calibri" w:cs="Times New Roman"/>
          <w:noProof/>
          <w:szCs w:val="24"/>
          <w:lang w:val="it-IT"/>
        </w:rPr>
        <w:t xml:space="preserve">Romero, C.M. et al., 2009. </w:t>
      </w:r>
      <w:r w:rsidRPr="006D59B8">
        <w:rPr>
          <w:rFonts w:ascii="Calibri" w:hAnsi="Calibri" w:cs="Times New Roman"/>
          <w:noProof/>
          <w:szCs w:val="24"/>
        </w:rPr>
        <w:t xml:space="preserve">Thermodynamic study of the influence of polyols and glucose on the thermal stability of holo-bovine α-lactalbumin. </w:t>
      </w:r>
      <w:r w:rsidRPr="006D59B8">
        <w:rPr>
          <w:rFonts w:ascii="Calibri" w:hAnsi="Calibri" w:cs="Times New Roman"/>
          <w:i/>
          <w:iCs/>
          <w:noProof/>
          <w:szCs w:val="24"/>
        </w:rPr>
        <w:t>Journal of Thermal Analysis &amp; Calorimetry</w:t>
      </w:r>
      <w:r w:rsidRPr="006D59B8">
        <w:rPr>
          <w:rFonts w:ascii="Calibri" w:hAnsi="Calibri" w:cs="Times New Roman"/>
          <w:noProof/>
          <w:szCs w:val="24"/>
        </w:rPr>
        <w:t>, 98, pp.165–171.</w:t>
      </w:r>
    </w:p>
    <w:p w14:paraId="06085836"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Rose, G.D. et al., 2006. A backbone-based theory of protein folding. </w:t>
      </w:r>
      <w:r w:rsidRPr="006D59B8">
        <w:rPr>
          <w:rFonts w:ascii="Calibri" w:hAnsi="Calibri" w:cs="Times New Roman"/>
          <w:i/>
          <w:iCs/>
          <w:noProof/>
          <w:szCs w:val="24"/>
        </w:rPr>
        <w:t>Proceedings of the National Academy of Sciences of the United States of America</w:t>
      </w:r>
      <w:r w:rsidRPr="006D59B8">
        <w:rPr>
          <w:rFonts w:ascii="Calibri" w:hAnsi="Calibri" w:cs="Times New Roman"/>
          <w:noProof/>
          <w:szCs w:val="24"/>
        </w:rPr>
        <w:t>, 103, pp.16623–16633.</w:t>
      </w:r>
    </w:p>
    <w:p w14:paraId="092CB370"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E3274E">
        <w:rPr>
          <w:rFonts w:ascii="Calibri" w:hAnsi="Calibri" w:cs="Times New Roman"/>
          <w:noProof/>
          <w:szCs w:val="24"/>
          <w:lang w:val="de-DE"/>
        </w:rPr>
        <w:t xml:space="preserve">Rosgen, J., 2015. Synergy in protein-osmolyte mixtures. </w:t>
      </w:r>
      <w:r w:rsidRPr="006D59B8">
        <w:rPr>
          <w:rFonts w:ascii="Calibri" w:hAnsi="Calibri" w:cs="Times New Roman"/>
          <w:i/>
          <w:iCs/>
          <w:noProof/>
          <w:szCs w:val="24"/>
        </w:rPr>
        <w:t>Journal of Physical Chemistry B</w:t>
      </w:r>
      <w:r w:rsidRPr="006D59B8">
        <w:rPr>
          <w:rFonts w:ascii="Calibri" w:hAnsi="Calibri" w:cs="Times New Roman"/>
          <w:noProof/>
          <w:szCs w:val="24"/>
        </w:rPr>
        <w:t>, 119, pp.150–157.</w:t>
      </w:r>
    </w:p>
    <w:p w14:paraId="12EC7C6C"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E3274E">
        <w:rPr>
          <w:rFonts w:ascii="Calibri" w:hAnsi="Calibri" w:cs="Times New Roman"/>
          <w:noProof/>
          <w:szCs w:val="24"/>
          <w:lang w:val="de-DE"/>
        </w:rPr>
        <w:t xml:space="preserve">Rosgen, J., Pettitt, B.M. &amp; Bolen, D.W., 2005. </w:t>
      </w:r>
      <w:r w:rsidRPr="006D59B8">
        <w:rPr>
          <w:rFonts w:ascii="Calibri" w:hAnsi="Calibri" w:cs="Times New Roman"/>
          <w:noProof/>
          <w:szCs w:val="24"/>
        </w:rPr>
        <w:t xml:space="preserve">Protein folding, stability, and solvation structure in osmolyte solutions. </w:t>
      </w:r>
      <w:r w:rsidRPr="006D59B8">
        <w:rPr>
          <w:rFonts w:ascii="Calibri" w:hAnsi="Calibri" w:cs="Times New Roman"/>
          <w:i/>
          <w:iCs/>
          <w:noProof/>
          <w:szCs w:val="24"/>
        </w:rPr>
        <w:t>Biophysical Journal</w:t>
      </w:r>
      <w:r w:rsidRPr="006D59B8">
        <w:rPr>
          <w:rFonts w:ascii="Calibri" w:hAnsi="Calibri" w:cs="Times New Roman"/>
          <w:noProof/>
          <w:szCs w:val="24"/>
        </w:rPr>
        <w:t>, 89, pp.2988–2997.</w:t>
      </w:r>
    </w:p>
    <w:p w14:paraId="156DFF92"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Rudolph, A.S. &amp; Crowe, J.H., 1985. Membrane stabilization during freezing: The role of two natural cryoprotectants, trehalose and proline. </w:t>
      </w:r>
      <w:r w:rsidRPr="006D59B8">
        <w:rPr>
          <w:rFonts w:ascii="Calibri" w:hAnsi="Calibri" w:cs="Times New Roman"/>
          <w:i/>
          <w:iCs/>
          <w:noProof/>
          <w:szCs w:val="24"/>
        </w:rPr>
        <w:t>Cryobiology</w:t>
      </w:r>
      <w:r w:rsidRPr="006D59B8">
        <w:rPr>
          <w:rFonts w:ascii="Calibri" w:hAnsi="Calibri" w:cs="Times New Roman"/>
          <w:noProof/>
          <w:szCs w:val="24"/>
        </w:rPr>
        <w:t>, 22, pp.367–377.</w:t>
      </w:r>
    </w:p>
    <w:p w14:paraId="37F250B1"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Sachar, K. &amp; Sadoff, H.L., 1966. Effect of glucose on the denaturation of glucose dehydrogenase by urea. </w:t>
      </w:r>
      <w:r w:rsidRPr="006D59B8">
        <w:rPr>
          <w:rFonts w:ascii="Calibri" w:hAnsi="Calibri" w:cs="Times New Roman"/>
          <w:i/>
          <w:iCs/>
          <w:noProof/>
          <w:szCs w:val="24"/>
        </w:rPr>
        <w:t>Nature</w:t>
      </w:r>
      <w:r w:rsidRPr="006D59B8">
        <w:rPr>
          <w:rFonts w:ascii="Calibri" w:hAnsi="Calibri" w:cs="Times New Roman"/>
          <w:noProof/>
          <w:szCs w:val="24"/>
        </w:rPr>
        <w:t>, 211, pp.983–984.</w:t>
      </w:r>
    </w:p>
    <w:p w14:paraId="660E692B"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Sagle, L.B. et al., 2009. Investigating the hydrogen-bonding model of urea denaturation. </w:t>
      </w:r>
      <w:r w:rsidRPr="006D59B8">
        <w:rPr>
          <w:rFonts w:ascii="Calibri" w:hAnsi="Calibri" w:cs="Times New Roman"/>
          <w:i/>
          <w:iCs/>
          <w:noProof/>
          <w:szCs w:val="24"/>
        </w:rPr>
        <w:t>Journal of the American Chemical Society</w:t>
      </w:r>
      <w:r w:rsidRPr="006D59B8">
        <w:rPr>
          <w:rFonts w:ascii="Calibri" w:hAnsi="Calibri" w:cs="Times New Roman"/>
          <w:noProof/>
          <w:szCs w:val="24"/>
        </w:rPr>
        <w:t>, 131, pp.9304–9310.</w:t>
      </w:r>
    </w:p>
    <w:p w14:paraId="51E592C7"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Samuel, D. et al., 2008. Proline inhibits aggregation during protein refolding. </w:t>
      </w:r>
      <w:r w:rsidRPr="006D59B8">
        <w:rPr>
          <w:rFonts w:ascii="Calibri" w:hAnsi="Calibri" w:cs="Times New Roman"/>
          <w:i/>
          <w:iCs/>
          <w:noProof/>
          <w:szCs w:val="24"/>
        </w:rPr>
        <w:t>Protein Science</w:t>
      </w:r>
      <w:r w:rsidRPr="006D59B8">
        <w:rPr>
          <w:rFonts w:ascii="Calibri" w:hAnsi="Calibri" w:cs="Times New Roman"/>
          <w:noProof/>
          <w:szCs w:val="24"/>
        </w:rPr>
        <w:t>, 9, pp.344–352.</w:t>
      </w:r>
    </w:p>
    <w:p w14:paraId="6F3CB54E"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Sánchez-Ruiz, J.M. et al., 1988. Differential scanning calorimetry of the irreversible thermal denaturation of thermolysin. </w:t>
      </w:r>
      <w:r w:rsidRPr="006D59B8">
        <w:rPr>
          <w:rFonts w:ascii="Calibri" w:hAnsi="Calibri" w:cs="Times New Roman"/>
          <w:i/>
          <w:iCs/>
          <w:noProof/>
          <w:szCs w:val="24"/>
        </w:rPr>
        <w:t>Biochemistry</w:t>
      </w:r>
      <w:r w:rsidRPr="006D59B8">
        <w:rPr>
          <w:rFonts w:ascii="Calibri" w:hAnsi="Calibri" w:cs="Times New Roman"/>
          <w:noProof/>
          <w:szCs w:val="24"/>
        </w:rPr>
        <w:t>, 27, pp.1648–1652.</w:t>
      </w:r>
    </w:p>
    <w:p w14:paraId="07046973"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Santoro, M.M. et al., 1992. Increased thermal stability of proteins in the presence of naturally occurring osmolytes. </w:t>
      </w:r>
      <w:r w:rsidRPr="006D59B8">
        <w:rPr>
          <w:rFonts w:ascii="Calibri" w:hAnsi="Calibri" w:cs="Times New Roman"/>
          <w:i/>
          <w:iCs/>
          <w:noProof/>
          <w:szCs w:val="24"/>
        </w:rPr>
        <w:t>Biochemistry</w:t>
      </w:r>
      <w:r w:rsidRPr="006D59B8">
        <w:rPr>
          <w:rFonts w:ascii="Calibri" w:hAnsi="Calibri" w:cs="Times New Roman"/>
          <w:noProof/>
          <w:szCs w:val="24"/>
        </w:rPr>
        <w:t>, 31, pp.5278–5283.</w:t>
      </w:r>
    </w:p>
    <w:p w14:paraId="4F4E1AD9"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Sapir, L. &amp; Harries, D., 2011. Linking trehalose self-association with binary aqueous solution equation of state. </w:t>
      </w:r>
      <w:r w:rsidRPr="006D59B8">
        <w:rPr>
          <w:rFonts w:ascii="Calibri" w:hAnsi="Calibri" w:cs="Times New Roman"/>
          <w:i/>
          <w:iCs/>
          <w:noProof/>
          <w:szCs w:val="24"/>
        </w:rPr>
        <w:t>Journal of Physical Chemistry B</w:t>
      </w:r>
      <w:r w:rsidRPr="006D59B8">
        <w:rPr>
          <w:rFonts w:ascii="Calibri" w:hAnsi="Calibri" w:cs="Times New Roman"/>
          <w:noProof/>
          <w:szCs w:val="24"/>
        </w:rPr>
        <w:t>, 115, pp.624–634.</w:t>
      </w:r>
    </w:p>
    <w:p w14:paraId="0268C7E9"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Sarma, R. &amp; Paul, S., 2013. Exploring the molecular mechanism of trimethylamine-N-oxide’s ability to counteract the protein denaturing effects of urea. </w:t>
      </w:r>
      <w:r w:rsidRPr="006D59B8">
        <w:rPr>
          <w:rFonts w:ascii="Calibri" w:hAnsi="Calibri" w:cs="Times New Roman"/>
          <w:i/>
          <w:iCs/>
          <w:noProof/>
          <w:szCs w:val="24"/>
        </w:rPr>
        <w:t>Journal of Physical Chemistry B</w:t>
      </w:r>
      <w:r w:rsidRPr="006D59B8">
        <w:rPr>
          <w:rFonts w:ascii="Calibri" w:hAnsi="Calibri" w:cs="Times New Roman"/>
          <w:noProof/>
          <w:szCs w:val="24"/>
        </w:rPr>
        <w:t>, 117, pp.5691–5704.</w:t>
      </w:r>
    </w:p>
    <w:p w14:paraId="08C9D74B"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Scharnagl, C., Reif, M. &amp; Friedrich, J., 2005. Stability of proteins: Temperature, pressure and the role of the solvent. </w:t>
      </w:r>
      <w:r w:rsidRPr="006D59B8">
        <w:rPr>
          <w:rFonts w:ascii="Calibri" w:hAnsi="Calibri" w:cs="Times New Roman"/>
          <w:i/>
          <w:iCs/>
          <w:noProof/>
          <w:szCs w:val="24"/>
        </w:rPr>
        <w:t>Biochimica et Biophysica Acta</w:t>
      </w:r>
      <w:r w:rsidRPr="006D59B8">
        <w:rPr>
          <w:rFonts w:ascii="Calibri" w:hAnsi="Calibri" w:cs="Times New Roman"/>
          <w:noProof/>
          <w:szCs w:val="24"/>
        </w:rPr>
        <w:t>, 1749, pp.187–213.</w:t>
      </w:r>
    </w:p>
    <w:p w14:paraId="4254FAB7"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Schellman, J.A., 1978. Solvent denaturation. </w:t>
      </w:r>
      <w:r w:rsidRPr="006D59B8">
        <w:rPr>
          <w:rFonts w:ascii="Calibri" w:hAnsi="Calibri" w:cs="Times New Roman"/>
          <w:i/>
          <w:iCs/>
          <w:noProof/>
          <w:szCs w:val="24"/>
        </w:rPr>
        <w:t>Biopolymers</w:t>
      </w:r>
      <w:r w:rsidRPr="006D59B8">
        <w:rPr>
          <w:rFonts w:ascii="Calibri" w:hAnsi="Calibri" w:cs="Times New Roman"/>
          <w:noProof/>
          <w:szCs w:val="24"/>
        </w:rPr>
        <w:t>, 17, pp.1305–1322.</w:t>
      </w:r>
    </w:p>
    <w:p w14:paraId="51231E3B"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Schellman, J.A., 1987. The thermodynamic stability of proteins. </w:t>
      </w:r>
      <w:r w:rsidRPr="006D59B8">
        <w:rPr>
          <w:rFonts w:ascii="Calibri" w:hAnsi="Calibri" w:cs="Times New Roman"/>
          <w:i/>
          <w:iCs/>
          <w:noProof/>
          <w:szCs w:val="24"/>
        </w:rPr>
        <w:t>Annual Review of Biophysics and Biophysical Chemistry</w:t>
      </w:r>
      <w:r w:rsidRPr="006D59B8">
        <w:rPr>
          <w:rFonts w:ascii="Calibri" w:hAnsi="Calibri" w:cs="Times New Roman"/>
          <w:noProof/>
          <w:szCs w:val="24"/>
        </w:rPr>
        <w:t>, 16, pp.115–137.</w:t>
      </w:r>
    </w:p>
    <w:p w14:paraId="4B4B8D3B"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Schiefner, A. et al., 2004. Cation-pi interactions as determinants for binding of the compatible solutes glycine betaine and proline betaine by the periplasmic ligand-binding protein ProX from Escherichia coli. </w:t>
      </w:r>
      <w:r w:rsidRPr="006D59B8">
        <w:rPr>
          <w:rFonts w:ascii="Calibri" w:hAnsi="Calibri" w:cs="Times New Roman"/>
          <w:i/>
          <w:iCs/>
          <w:noProof/>
          <w:szCs w:val="24"/>
        </w:rPr>
        <w:t>Journal of Biological Chemistry</w:t>
      </w:r>
      <w:r w:rsidRPr="006D59B8">
        <w:rPr>
          <w:rFonts w:ascii="Calibri" w:hAnsi="Calibri" w:cs="Times New Roman"/>
          <w:noProof/>
          <w:szCs w:val="24"/>
        </w:rPr>
        <w:t>, 279, pp.5588–5596.</w:t>
      </w:r>
    </w:p>
    <w:p w14:paraId="2C75FB6F"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Schneider, C.P., Shukla, D. &amp; Trout, B.L., 2011. Arginine and the hofmeister series: The role of ion-ion interactions in protein aggregation suppression. </w:t>
      </w:r>
      <w:r w:rsidRPr="006D59B8">
        <w:rPr>
          <w:rFonts w:ascii="Calibri" w:hAnsi="Calibri" w:cs="Times New Roman"/>
          <w:i/>
          <w:iCs/>
          <w:noProof/>
          <w:szCs w:val="24"/>
        </w:rPr>
        <w:t>Journal of Physical Chemistry B</w:t>
      </w:r>
      <w:r w:rsidRPr="006D59B8">
        <w:rPr>
          <w:rFonts w:ascii="Calibri" w:hAnsi="Calibri" w:cs="Times New Roman"/>
          <w:noProof/>
          <w:szCs w:val="24"/>
        </w:rPr>
        <w:t>, 115, pp.7447–7458.</w:t>
      </w:r>
    </w:p>
    <w:p w14:paraId="453B937C"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Schneider, C.P. &amp; Trout, B.L., 2009. Investigation of cosolute-protein preferential interaction coefficients: New insight into the mechanism by which arginine inhibits aggregation. </w:t>
      </w:r>
      <w:r w:rsidRPr="006D59B8">
        <w:rPr>
          <w:rFonts w:ascii="Calibri" w:hAnsi="Calibri" w:cs="Times New Roman"/>
          <w:i/>
          <w:iCs/>
          <w:noProof/>
          <w:szCs w:val="24"/>
        </w:rPr>
        <w:t>Journal of Physical Chemistry B</w:t>
      </w:r>
      <w:r w:rsidRPr="006D59B8">
        <w:rPr>
          <w:rFonts w:ascii="Calibri" w:hAnsi="Calibri" w:cs="Times New Roman"/>
          <w:noProof/>
          <w:szCs w:val="24"/>
        </w:rPr>
        <w:t>, 113, pp.2050–2058.</w:t>
      </w:r>
    </w:p>
    <w:p w14:paraId="1995E4CD"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Shah, D. et al., 2011. Effects of arginine on heat-induced aggregation of concentrated protein solutions. </w:t>
      </w:r>
      <w:r w:rsidRPr="006D59B8">
        <w:rPr>
          <w:rFonts w:ascii="Calibri" w:hAnsi="Calibri" w:cs="Times New Roman"/>
          <w:i/>
          <w:iCs/>
          <w:noProof/>
          <w:szCs w:val="24"/>
        </w:rPr>
        <w:t>Biotechnology Progress</w:t>
      </w:r>
      <w:r w:rsidRPr="006D59B8">
        <w:rPr>
          <w:rFonts w:ascii="Calibri" w:hAnsi="Calibri" w:cs="Times New Roman"/>
          <w:noProof/>
          <w:szCs w:val="24"/>
        </w:rPr>
        <w:t>, 27, pp.513–520.</w:t>
      </w:r>
    </w:p>
    <w:p w14:paraId="26773D67"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Shah, D. &amp; Shaikh, A.R., 2015. Interaction of arginine, lysine, and guanidine with surface residues of lysozyme: Implication to protein stability. </w:t>
      </w:r>
      <w:r w:rsidRPr="006D59B8">
        <w:rPr>
          <w:rFonts w:ascii="Calibri" w:hAnsi="Calibri" w:cs="Times New Roman"/>
          <w:i/>
          <w:iCs/>
          <w:noProof/>
          <w:szCs w:val="24"/>
        </w:rPr>
        <w:t>Journal of Biomolecular Structure &amp; Dynamics</w:t>
      </w:r>
      <w:r w:rsidRPr="006D59B8">
        <w:rPr>
          <w:rFonts w:ascii="Calibri" w:hAnsi="Calibri" w:cs="Times New Roman"/>
          <w:noProof/>
          <w:szCs w:val="24"/>
        </w:rPr>
        <w:t>, 1102, pp.1–11.</w:t>
      </w:r>
    </w:p>
    <w:p w14:paraId="477B6359"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Shiraki, K. et al., 2002. Biophysical effect of amino acids on the prevention of protein aggregation. </w:t>
      </w:r>
      <w:r w:rsidRPr="006D59B8">
        <w:rPr>
          <w:rFonts w:ascii="Calibri" w:hAnsi="Calibri" w:cs="Times New Roman"/>
          <w:i/>
          <w:iCs/>
          <w:noProof/>
          <w:szCs w:val="24"/>
        </w:rPr>
        <w:t>Journal of Biochemistry</w:t>
      </w:r>
      <w:r w:rsidRPr="006D59B8">
        <w:rPr>
          <w:rFonts w:ascii="Calibri" w:hAnsi="Calibri" w:cs="Times New Roman"/>
          <w:noProof/>
          <w:szCs w:val="24"/>
        </w:rPr>
        <w:t>, 132, pp.591–595.</w:t>
      </w:r>
    </w:p>
    <w:p w14:paraId="639F1962"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Shortle, D., 1996. The denatured state (The other half of the folding equation) and its role in protein stability. </w:t>
      </w:r>
      <w:r w:rsidRPr="006D59B8">
        <w:rPr>
          <w:rFonts w:ascii="Calibri" w:hAnsi="Calibri" w:cs="Times New Roman"/>
          <w:i/>
          <w:iCs/>
          <w:noProof/>
          <w:szCs w:val="24"/>
        </w:rPr>
        <w:t>Journal of the Federation of American Societies for Experimental Biology</w:t>
      </w:r>
      <w:r w:rsidRPr="006D59B8">
        <w:rPr>
          <w:rFonts w:ascii="Calibri" w:hAnsi="Calibri" w:cs="Times New Roman"/>
          <w:noProof/>
          <w:szCs w:val="24"/>
        </w:rPr>
        <w:t>, 10, pp.27–34.</w:t>
      </w:r>
    </w:p>
    <w:p w14:paraId="699DAC73"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Shukla, D., Schneider, C.P. &amp; Trout, B.L., 2011a. Complex interactions between molecular ions in solution and their effect on protein stability. </w:t>
      </w:r>
      <w:r w:rsidRPr="006D59B8">
        <w:rPr>
          <w:rFonts w:ascii="Calibri" w:hAnsi="Calibri" w:cs="Times New Roman"/>
          <w:i/>
          <w:iCs/>
          <w:noProof/>
          <w:szCs w:val="24"/>
        </w:rPr>
        <w:t>Journal of the American Chemical Society</w:t>
      </w:r>
      <w:r w:rsidRPr="006D59B8">
        <w:rPr>
          <w:rFonts w:ascii="Calibri" w:hAnsi="Calibri" w:cs="Times New Roman"/>
          <w:noProof/>
          <w:szCs w:val="24"/>
        </w:rPr>
        <w:t>, 133, pp.18713–18718.</w:t>
      </w:r>
    </w:p>
    <w:p w14:paraId="60EDAE89"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Shukla, D., Schneider, C.P. &amp; Trout, B.L., 2011b. Molecular level insight into intra-solvent interaction effects on protein stability and aggregation. </w:t>
      </w:r>
      <w:r w:rsidRPr="006D59B8">
        <w:rPr>
          <w:rFonts w:ascii="Calibri" w:hAnsi="Calibri" w:cs="Times New Roman"/>
          <w:i/>
          <w:iCs/>
          <w:noProof/>
          <w:szCs w:val="24"/>
        </w:rPr>
        <w:t>Advanced Drug Delivery Reviews</w:t>
      </w:r>
      <w:r w:rsidRPr="006D59B8">
        <w:rPr>
          <w:rFonts w:ascii="Calibri" w:hAnsi="Calibri" w:cs="Times New Roman"/>
          <w:noProof/>
          <w:szCs w:val="24"/>
        </w:rPr>
        <w:t>, 63, pp.1074–1085.</w:t>
      </w:r>
    </w:p>
    <w:p w14:paraId="194DBA27"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Shukla, D. &amp; Trout, B.L., 2010. Interaction of arginine with proteins and the mechanism by which it inhibits aggregation. </w:t>
      </w:r>
      <w:r w:rsidRPr="006D59B8">
        <w:rPr>
          <w:rFonts w:ascii="Calibri" w:hAnsi="Calibri" w:cs="Times New Roman"/>
          <w:i/>
          <w:iCs/>
          <w:noProof/>
          <w:szCs w:val="24"/>
        </w:rPr>
        <w:t>Journal of Physical Chemistry B</w:t>
      </w:r>
      <w:r w:rsidRPr="006D59B8">
        <w:rPr>
          <w:rFonts w:ascii="Calibri" w:hAnsi="Calibri" w:cs="Times New Roman"/>
          <w:noProof/>
          <w:szCs w:val="24"/>
        </w:rPr>
        <w:t>, 114, pp.13426–13438.</w:t>
      </w:r>
    </w:p>
    <w:p w14:paraId="55EB31B9"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Shukla, D. &amp; Trout, B.L., 2011a. Preferential interaction coefficients of proteins in aqueous arginine solutions and their molecular origins. </w:t>
      </w:r>
      <w:r w:rsidRPr="006D59B8">
        <w:rPr>
          <w:rFonts w:ascii="Calibri" w:hAnsi="Calibri" w:cs="Times New Roman"/>
          <w:i/>
          <w:iCs/>
          <w:noProof/>
          <w:szCs w:val="24"/>
        </w:rPr>
        <w:t>Journal of Physical Chemistry B</w:t>
      </w:r>
      <w:r w:rsidRPr="006D59B8">
        <w:rPr>
          <w:rFonts w:ascii="Calibri" w:hAnsi="Calibri" w:cs="Times New Roman"/>
          <w:noProof/>
          <w:szCs w:val="24"/>
        </w:rPr>
        <w:t>, 115, pp.1243–1253.</w:t>
      </w:r>
    </w:p>
    <w:p w14:paraId="3ADF71F4"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Shukla, D. &amp; Trout, B.L., 2011b. Understanding the synergistic effect of arginine and glutamic acid mixtures on protein solubility. </w:t>
      </w:r>
      <w:r w:rsidRPr="006D59B8">
        <w:rPr>
          <w:rFonts w:ascii="Calibri" w:hAnsi="Calibri" w:cs="Times New Roman"/>
          <w:i/>
          <w:iCs/>
          <w:noProof/>
          <w:szCs w:val="24"/>
        </w:rPr>
        <w:t>Journal of Physical Chemistry B</w:t>
      </w:r>
      <w:r w:rsidRPr="006D59B8">
        <w:rPr>
          <w:rFonts w:ascii="Calibri" w:hAnsi="Calibri" w:cs="Times New Roman"/>
          <w:noProof/>
          <w:szCs w:val="24"/>
        </w:rPr>
        <w:t>, 115, pp.11831–11839.</w:t>
      </w:r>
    </w:p>
    <w:p w14:paraId="29237F20"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Singh, L.R., Poddar, N.K., Dar, T.A., Rahman, S., et al., 2011. Forty years of research on osmolyte-induced protein folding and stability. </w:t>
      </w:r>
      <w:r w:rsidRPr="006D59B8">
        <w:rPr>
          <w:rFonts w:ascii="Calibri" w:hAnsi="Calibri" w:cs="Times New Roman"/>
          <w:i/>
          <w:iCs/>
          <w:noProof/>
          <w:szCs w:val="24"/>
        </w:rPr>
        <w:t>Journal of the Iranian Chemical Society</w:t>
      </w:r>
      <w:r w:rsidRPr="006D59B8">
        <w:rPr>
          <w:rFonts w:ascii="Calibri" w:hAnsi="Calibri" w:cs="Times New Roman"/>
          <w:noProof/>
          <w:szCs w:val="24"/>
        </w:rPr>
        <w:t>, 8, pp.1–23.</w:t>
      </w:r>
    </w:p>
    <w:p w14:paraId="51D0AE2A"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Singh, L.R. et al., 2009. Glycine betaine may have opposite effects on protein stability at high and low pH values. </w:t>
      </w:r>
      <w:r w:rsidRPr="006D59B8">
        <w:rPr>
          <w:rFonts w:ascii="Calibri" w:hAnsi="Calibri" w:cs="Times New Roman"/>
          <w:i/>
          <w:iCs/>
          <w:noProof/>
          <w:szCs w:val="24"/>
        </w:rPr>
        <w:t>Biochimica et Biophysica Acta</w:t>
      </w:r>
      <w:r w:rsidRPr="006D59B8">
        <w:rPr>
          <w:rFonts w:ascii="Calibri" w:hAnsi="Calibri" w:cs="Times New Roman"/>
          <w:noProof/>
          <w:szCs w:val="24"/>
        </w:rPr>
        <w:t>, 1794, pp.929–935.</w:t>
      </w:r>
    </w:p>
    <w:p w14:paraId="4DB65C4C"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Singh, L.R., Poddar, N.K., Dar, T.A., Kumar, R., et al., 2011. Protein and DNA destabilization by osmolytes: The other side of the coin. </w:t>
      </w:r>
      <w:r w:rsidRPr="006D59B8">
        <w:rPr>
          <w:rFonts w:ascii="Calibri" w:hAnsi="Calibri" w:cs="Times New Roman"/>
          <w:i/>
          <w:iCs/>
          <w:noProof/>
          <w:szCs w:val="24"/>
        </w:rPr>
        <w:t>Life Sciences</w:t>
      </w:r>
      <w:r w:rsidRPr="006D59B8">
        <w:rPr>
          <w:rFonts w:ascii="Calibri" w:hAnsi="Calibri" w:cs="Times New Roman"/>
          <w:noProof/>
          <w:szCs w:val="24"/>
        </w:rPr>
        <w:t>, 88, pp.117–125.</w:t>
      </w:r>
    </w:p>
    <w:p w14:paraId="67FF9DAF"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Singh, R., Haque, I. &amp; Ahmad, F., 2005. Counteracting osmolyte trimethylamine N-oxide destabilizes proteins at pH below its pKa. Measurements of thermodynamic parameters of proteins in the presence and absence of trimethylamine N-oxide. </w:t>
      </w:r>
      <w:r w:rsidRPr="006D59B8">
        <w:rPr>
          <w:rFonts w:ascii="Calibri" w:hAnsi="Calibri" w:cs="Times New Roman"/>
          <w:i/>
          <w:iCs/>
          <w:noProof/>
          <w:szCs w:val="24"/>
        </w:rPr>
        <w:t>Journal of Biological Chemistry</w:t>
      </w:r>
      <w:r w:rsidRPr="006D59B8">
        <w:rPr>
          <w:rFonts w:ascii="Calibri" w:hAnsi="Calibri" w:cs="Times New Roman"/>
          <w:noProof/>
          <w:szCs w:val="24"/>
        </w:rPr>
        <w:t>, 280, pp.11035–11042.</w:t>
      </w:r>
    </w:p>
    <w:p w14:paraId="545126C1"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Sinha, S.K., Chakraborty, S. &amp; Bandyopadhyay, S., 2008. Thickness of the hydration layer of a protein from molecular dynamics simulation. </w:t>
      </w:r>
      <w:r w:rsidRPr="006D59B8">
        <w:rPr>
          <w:rFonts w:ascii="Calibri" w:hAnsi="Calibri" w:cs="Times New Roman"/>
          <w:i/>
          <w:iCs/>
          <w:noProof/>
          <w:szCs w:val="24"/>
        </w:rPr>
        <w:t>Journal of Physical Chemistry B</w:t>
      </w:r>
      <w:r w:rsidRPr="006D59B8">
        <w:rPr>
          <w:rFonts w:ascii="Calibri" w:hAnsi="Calibri" w:cs="Times New Roman"/>
          <w:noProof/>
          <w:szCs w:val="24"/>
        </w:rPr>
        <w:t>, 112, pp.8203–8209.</w:t>
      </w:r>
    </w:p>
    <w:p w14:paraId="48488E55"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Smiatek, J. et al., 2012. Properties of compatible solutes in aqueous solution. </w:t>
      </w:r>
      <w:r w:rsidRPr="006D59B8">
        <w:rPr>
          <w:rFonts w:ascii="Calibri" w:hAnsi="Calibri" w:cs="Times New Roman"/>
          <w:i/>
          <w:iCs/>
          <w:noProof/>
          <w:szCs w:val="24"/>
        </w:rPr>
        <w:t>Biophysical Chemistry</w:t>
      </w:r>
      <w:r w:rsidRPr="006D59B8">
        <w:rPr>
          <w:rFonts w:ascii="Calibri" w:hAnsi="Calibri" w:cs="Times New Roman"/>
          <w:noProof/>
          <w:szCs w:val="24"/>
        </w:rPr>
        <w:t>, 160, pp.62–68.</w:t>
      </w:r>
    </w:p>
    <w:p w14:paraId="22893304"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Solé, M., Brandt, W. &amp; Arnold, U., 2013. Striking stabilization of Rana catesbeiana ribonuclease 3 by guanidine hydrochloride. </w:t>
      </w:r>
      <w:r w:rsidRPr="006D59B8">
        <w:rPr>
          <w:rFonts w:ascii="Calibri" w:hAnsi="Calibri" w:cs="Times New Roman"/>
          <w:i/>
          <w:iCs/>
          <w:noProof/>
          <w:szCs w:val="24"/>
        </w:rPr>
        <w:t>FEBS Letters</w:t>
      </w:r>
      <w:r w:rsidRPr="006D59B8">
        <w:rPr>
          <w:rFonts w:ascii="Calibri" w:hAnsi="Calibri" w:cs="Times New Roman"/>
          <w:noProof/>
          <w:szCs w:val="24"/>
        </w:rPr>
        <w:t>, 587, pp.737–742.</w:t>
      </w:r>
    </w:p>
    <w:p w14:paraId="0476D5A8"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Somero, G.N., 1986. Protons, osmolytes, and fitness of internal milieu for protein function. </w:t>
      </w:r>
      <w:r w:rsidRPr="006D59B8">
        <w:rPr>
          <w:rFonts w:ascii="Calibri" w:hAnsi="Calibri" w:cs="Times New Roman"/>
          <w:i/>
          <w:iCs/>
          <w:noProof/>
          <w:szCs w:val="24"/>
        </w:rPr>
        <w:t>American Journal of Physiology Regulatory, Integrative and Comparative Physiology</w:t>
      </w:r>
      <w:r w:rsidRPr="006D59B8">
        <w:rPr>
          <w:rFonts w:ascii="Calibri" w:hAnsi="Calibri" w:cs="Times New Roman"/>
          <w:noProof/>
          <w:szCs w:val="24"/>
        </w:rPr>
        <w:t>, 251, pp.R197–R213.</w:t>
      </w:r>
    </w:p>
    <w:p w14:paraId="5DEF4028"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Street, T.O., Bolen, D.W. &amp; Rose, G.D., 2006. A molecular mechanism for osmolyte-induced protein stability. </w:t>
      </w:r>
      <w:r w:rsidRPr="006D59B8">
        <w:rPr>
          <w:rFonts w:ascii="Calibri" w:hAnsi="Calibri" w:cs="Times New Roman"/>
          <w:i/>
          <w:iCs/>
          <w:noProof/>
          <w:szCs w:val="24"/>
        </w:rPr>
        <w:t>Proceedings of the National Academy of Sciences of the United States of America</w:t>
      </w:r>
      <w:r w:rsidRPr="006D59B8">
        <w:rPr>
          <w:rFonts w:ascii="Calibri" w:hAnsi="Calibri" w:cs="Times New Roman"/>
          <w:noProof/>
          <w:szCs w:val="24"/>
        </w:rPr>
        <w:t>, 103, pp.13997–14002.</w:t>
      </w:r>
    </w:p>
    <w:p w14:paraId="3E7D2C3A"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E3274E">
        <w:rPr>
          <w:rFonts w:ascii="Calibri" w:hAnsi="Calibri" w:cs="Times New Roman"/>
          <w:noProof/>
          <w:szCs w:val="24"/>
          <w:lang w:val="de-DE"/>
        </w:rPr>
        <w:t xml:space="preserve">Stumpe, M.C. &amp; Grubmüller, H., 2007a. </w:t>
      </w:r>
      <w:r w:rsidRPr="006D59B8">
        <w:rPr>
          <w:rFonts w:ascii="Calibri" w:hAnsi="Calibri" w:cs="Times New Roman"/>
          <w:noProof/>
          <w:szCs w:val="24"/>
        </w:rPr>
        <w:t xml:space="preserve">Aqueous urea solutions: Structure, energetics, and urea aggregation. </w:t>
      </w:r>
      <w:r w:rsidRPr="006D59B8">
        <w:rPr>
          <w:rFonts w:ascii="Calibri" w:hAnsi="Calibri" w:cs="Times New Roman"/>
          <w:i/>
          <w:iCs/>
          <w:noProof/>
          <w:szCs w:val="24"/>
        </w:rPr>
        <w:t>Journal of Physical Chemistry B</w:t>
      </w:r>
      <w:r w:rsidRPr="006D59B8">
        <w:rPr>
          <w:rFonts w:ascii="Calibri" w:hAnsi="Calibri" w:cs="Times New Roman"/>
          <w:noProof/>
          <w:szCs w:val="24"/>
        </w:rPr>
        <w:t>, 111, pp.6220–6228.</w:t>
      </w:r>
    </w:p>
    <w:p w14:paraId="631683E9"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Stumpe, M.C. &amp; Grubmüller, H., 2007b. Interaction of urea with amino acids: Implications for urea-induced protein denaturation. </w:t>
      </w:r>
      <w:r w:rsidRPr="006D59B8">
        <w:rPr>
          <w:rFonts w:ascii="Calibri" w:hAnsi="Calibri" w:cs="Times New Roman"/>
          <w:i/>
          <w:iCs/>
          <w:noProof/>
          <w:szCs w:val="24"/>
        </w:rPr>
        <w:t>Journal of the American Chemical Society</w:t>
      </w:r>
      <w:r w:rsidRPr="006D59B8">
        <w:rPr>
          <w:rFonts w:ascii="Calibri" w:hAnsi="Calibri" w:cs="Times New Roman"/>
          <w:noProof/>
          <w:szCs w:val="24"/>
        </w:rPr>
        <w:t>, 129, pp.16126–16131.</w:t>
      </w:r>
    </w:p>
    <w:p w14:paraId="71CF6F7D"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Sun, J. et al., 2010. Glycine in aqueous solution: Solvation shells, interfacial water, and vibrational spectroscopy from ab initio molecular dynamics. </w:t>
      </w:r>
      <w:r w:rsidRPr="006D59B8">
        <w:rPr>
          <w:rFonts w:ascii="Calibri" w:hAnsi="Calibri" w:cs="Times New Roman"/>
          <w:i/>
          <w:iCs/>
          <w:noProof/>
          <w:szCs w:val="24"/>
        </w:rPr>
        <w:t>Journal of Chemical Physics</w:t>
      </w:r>
      <w:r w:rsidRPr="006D59B8">
        <w:rPr>
          <w:rFonts w:ascii="Calibri" w:hAnsi="Calibri" w:cs="Times New Roman"/>
          <w:noProof/>
          <w:szCs w:val="24"/>
        </w:rPr>
        <w:t>, 133, p.e114508.</w:t>
      </w:r>
    </w:p>
    <w:p w14:paraId="3DF4F330"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Sun, J. et al., 2014. Understanding THz spectra of aqueous solutions: Glycine in light and heavy water. </w:t>
      </w:r>
      <w:r w:rsidRPr="006D59B8">
        <w:rPr>
          <w:rFonts w:ascii="Calibri" w:hAnsi="Calibri" w:cs="Times New Roman"/>
          <w:i/>
          <w:iCs/>
          <w:noProof/>
          <w:szCs w:val="24"/>
        </w:rPr>
        <w:t>Journal of the American Chemical Society</w:t>
      </w:r>
      <w:r w:rsidRPr="006D59B8">
        <w:rPr>
          <w:rFonts w:ascii="Calibri" w:hAnsi="Calibri" w:cs="Times New Roman"/>
          <w:noProof/>
          <w:szCs w:val="24"/>
        </w:rPr>
        <w:t>, 136, pp.5031–5038.</w:t>
      </w:r>
    </w:p>
    <w:p w14:paraId="79225E1D"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TA Instruments, 2010. Advantages of using a Nano DSC when studying proteins that aggregate and precipitate when denatured. </w:t>
      </w:r>
      <w:r w:rsidRPr="006D59B8">
        <w:rPr>
          <w:rFonts w:ascii="Calibri" w:hAnsi="Calibri" w:cs="Times New Roman"/>
          <w:i/>
          <w:iCs/>
          <w:noProof/>
          <w:szCs w:val="24"/>
        </w:rPr>
        <w:t>Retrieved from: www.tainstruments.com</w:t>
      </w:r>
      <w:r w:rsidRPr="006D59B8">
        <w:rPr>
          <w:rFonts w:ascii="Calibri" w:hAnsi="Calibri" w:cs="Times New Roman"/>
          <w:noProof/>
          <w:szCs w:val="24"/>
        </w:rPr>
        <w:t>.</w:t>
      </w:r>
    </w:p>
    <w:p w14:paraId="36816B08"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Tanaka, Y. et al., 2004. Structural evidence for guanidine-protein side chain interactions: Crystal structure of CutA from Pyrococcus horikoshii in 3 M guanidine hydrochloride. </w:t>
      </w:r>
      <w:r w:rsidRPr="006D59B8">
        <w:rPr>
          <w:rFonts w:ascii="Calibri" w:hAnsi="Calibri" w:cs="Times New Roman"/>
          <w:i/>
          <w:iCs/>
          <w:noProof/>
          <w:szCs w:val="24"/>
        </w:rPr>
        <w:t>Biochemical and Biophysical Research Communications</w:t>
      </w:r>
      <w:r w:rsidRPr="006D59B8">
        <w:rPr>
          <w:rFonts w:ascii="Calibri" w:hAnsi="Calibri" w:cs="Times New Roman"/>
          <w:noProof/>
          <w:szCs w:val="24"/>
        </w:rPr>
        <w:t>, 323, pp.185–191.</w:t>
      </w:r>
    </w:p>
    <w:p w14:paraId="1DF3EC59"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Taneja, S. &amp; Ahmad, F., 1994. Increased thermal stability of proteins in the presence of amino acids. </w:t>
      </w:r>
      <w:r w:rsidRPr="006D59B8">
        <w:rPr>
          <w:rFonts w:ascii="Calibri" w:hAnsi="Calibri" w:cs="Times New Roman"/>
          <w:i/>
          <w:iCs/>
          <w:noProof/>
          <w:szCs w:val="24"/>
        </w:rPr>
        <w:t>Biochemical Journal</w:t>
      </w:r>
      <w:r w:rsidRPr="006D59B8">
        <w:rPr>
          <w:rFonts w:ascii="Calibri" w:hAnsi="Calibri" w:cs="Times New Roman"/>
          <w:noProof/>
          <w:szCs w:val="24"/>
        </w:rPr>
        <w:t>, 303, pp.147–153.</w:t>
      </w:r>
    </w:p>
    <w:p w14:paraId="31BECF06"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Tanford, C., 1964. Isothermal unfolding of globular proteins in aqueous urea solutions. </w:t>
      </w:r>
      <w:r w:rsidRPr="006D59B8">
        <w:rPr>
          <w:rFonts w:ascii="Calibri" w:hAnsi="Calibri" w:cs="Times New Roman"/>
          <w:i/>
          <w:iCs/>
          <w:noProof/>
          <w:szCs w:val="24"/>
        </w:rPr>
        <w:t>Journal of the American Chemical Society</w:t>
      </w:r>
      <w:r w:rsidRPr="006D59B8">
        <w:rPr>
          <w:rFonts w:ascii="Calibri" w:hAnsi="Calibri" w:cs="Times New Roman"/>
          <w:noProof/>
          <w:szCs w:val="24"/>
        </w:rPr>
        <w:t>, 86, pp.2050–2059.</w:t>
      </w:r>
    </w:p>
    <w:p w14:paraId="0018F7F8"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Tanford, C., 1968. Protein denaturation. </w:t>
      </w:r>
      <w:r w:rsidRPr="006D59B8">
        <w:rPr>
          <w:rFonts w:ascii="Calibri" w:hAnsi="Calibri" w:cs="Times New Roman"/>
          <w:i/>
          <w:iCs/>
          <w:noProof/>
          <w:szCs w:val="24"/>
        </w:rPr>
        <w:t>Advances in Protein Chemistry</w:t>
      </w:r>
      <w:r w:rsidRPr="006D59B8">
        <w:rPr>
          <w:rFonts w:ascii="Calibri" w:hAnsi="Calibri" w:cs="Times New Roman"/>
          <w:noProof/>
          <w:szCs w:val="24"/>
        </w:rPr>
        <w:t>, 23, pp.121–282.</w:t>
      </w:r>
    </w:p>
    <w:p w14:paraId="58ED8FF4"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E3274E">
        <w:rPr>
          <w:rFonts w:ascii="Calibri" w:hAnsi="Calibri" w:cs="Times New Roman"/>
          <w:noProof/>
          <w:szCs w:val="24"/>
          <w:lang w:val="de-DE"/>
        </w:rPr>
        <w:t xml:space="preserve">Thakkar, S. V et al., 2012. </w:t>
      </w:r>
      <w:r w:rsidRPr="006D59B8">
        <w:rPr>
          <w:rFonts w:ascii="Calibri" w:hAnsi="Calibri" w:cs="Times New Roman"/>
          <w:noProof/>
          <w:szCs w:val="24"/>
        </w:rPr>
        <w:t xml:space="preserve">Excipients differentially influence the conformational stability and pretransition dynamics of two IgG1 monoclonal antibodies. </w:t>
      </w:r>
      <w:r w:rsidRPr="006D59B8">
        <w:rPr>
          <w:rFonts w:ascii="Calibri" w:hAnsi="Calibri" w:cs="Times New Roman"/>
          <w:i/>
          <w:iCs/>
          <w:noProof/>
          <w:szCs w:val="24"/>
        </w:rPr>
        <w:t>Journal of Pharmaceutical Sciences</w:t>
      </w:r>
      <w:r w:rsidRPr="006D59B8">
        <w:rPr>
          <w:rFonts w:ascii="Calibri" w:hAnsi="Calibri" w:cs="Times New Roman"/>
          <w:noProof/>
          <w:szCs w:val="24"/>
        </w:rPr>
        <w:t>, 101, pp.3062–3077.</w:t>
      </w:r>
    </w:p>
    <w:p w14:paraId="2CB85996"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Tian, F. et al., 2007. Spectroscopic evaluation of the stabilization of humanized monoclonal antibodies in amino acid formulations. </w:t>
      </w:r>
      <w:r w:rsidRPr="006D59B8">
        <w:rPr>
          <w:rFonts w:ascii="Calibri" w:hAnsi="Calibri" w:cs="Times New Roman"/>
          <w:i/>
          <w:iCs/>
          <w:noProof/>
          <w:szCs w:val="24"/>
        </w:rPr>
        <w:t>International Journal of Pharmaceutics</w:t>
      </w:r>
      <w:r w:rsidRPr="006D59B8">
        <w:rPr>
          <w:rFonts w:ascii="Calibri" w:hAnsi="Calibri" w:cs="Times New Roman"/>
          <w:noProof/>
          <w:szCs w:val="24"/>
        </w:rPr>
        <w:t>, 335, pp.20–31.</w:t>
      </w:r>
    </w:p>
    <w:p w14:paraId="37519DB8"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Timasheff, S.N., 1998. Control of protein stability and reactions by weakly interacting cosolvents. </w:t>
      </w:r>
      <w:r w:rsidRPr="006D59B8">
        <w:rPr>
          <w:rFonts w:ascii="Calibri" w:hAnsi="Calibri" w:cs="Times New Roman"/>
          <w:i/>
          <w:iCs/>
          <w:noProof/>
          <w:szCs w:val="24"/>
        </w:rPr>
        <w:t>Advances in Protein Chemistry</w:t>
      </w:r>
      <w:r w:rsidRPr="006D59B8">
        <w:rPr>
          <w:rFonts w:ascii="Calibri" w:hAnsi="Calibri" w:cs="Times New Roman"/>
          <w:noProof/>
          <w:szCs w:val="24"/>
        </w:rPr>
        <w:t>, 51, pp.355–432.</w:t>
      </w:r>
    </w:p>
    <w:p w14:paraId="511C6798"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Timasheff, S.N., 2002a. Protein hydration, thermodynamic binding, and preferential hydration. </w:t>
      </w:r>
      <w:r w:rsidRPr="006D59B8">
        <w:rPr>
          <w:rFonts w:ascii="Calibri" w:hAnsi="Calibri" w:cs="Times New Roman"/>
          <w:i/>
          <w:iCs/>
          <w:noProof/>
          <w:szCs w:val="24"/>
        </w:rPr>
        <w:t>Biochemistry</w:t>
      </w:r>
      <w:r w:rsidRPr="006D59B8">
        <w:rPr>
          <w:rFonts w:ascii="Calibri" w:hAnsi="Calibri" w:cs="Times New Roman"/>
          <w:noProof/>
          <w:szCs w:val="24"/>
        </w:rPr>
        <w:t>, 41, pp.13473–13482.</w:t>
      </w:r>
    </w:p>
    <w:p w14:paraId="49BF248F"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Timasheff, S.N., 2002b. Protein-solvent preferential interactions, protein hydration, and the modulation of biochemical reactions by solvent components. </w:t>
      </w:r>
      <w:r w:rsidRPr="006D59B8">
        <w:rPr>
          <w:rFonts w:ascii="Calibri" w:hAnsi="Calibri" w:cs="Times New Roman"/>
          <w:i/>
          <w:iCs/>
          <w:noProof/>
          <w:szCs w:val="24"/>
        </w:rPr>
        <w:t>Proceedings of the National Academy of Sciences of the United States of America</w:t>
      </w:r>
      <w:r w:rsidRPr="006D59B8">
        <w:rPr>
          <w:rFonts w:ascii="Calibri" w:hAnsi="Calibri" w:cs="Times New Roman"/>
          <w:noProof/>
          <w:szCs w:val="24"/>
        </w:rPr>
        <w:t>, 99, pp.9721–9726.</w:t>
      </w:r>
    </w:p>
    <w:p w14:paraId="44EA62D5"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Tsumoto, K. et al., 2004. Role of arginine in protein refolding, solubilization, and purification. </w:t>
      </w:r>
      <w:r w:rsidRPr="006D59B8">
        <w:rPr>
          <w:rFonts w:ascii="Calibri" w:hAnsi="Calibri" w:cs="Times New Roman"/>
          <w:i/>
          <w:iCs/>
          <w:noProof/>
          <w:szCs w:val="24"/>
        </w:rPr>
        <w:t>Biotechnology Progress</w:t>
      </w:r>
      <w:r w:rsidRPr="006D59B8">
        <w:rPr>
          <w:rFonts w:ascii="Calibri" w:hAnsi="Calibri" w:cs="Times New Roman"/>
          <w:noProof/>
          <w:szCs w:val="24"/>
        </w:rPr>
        <w:t>, 20, pp.1301–1308.</w:t>
      </w:r>
    </w:p>
    <w:p w14:paraId="6EDE59E5"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Tsumoto, K. et al., 2003. Solubilization of active green fluorescent protein from insoluble particles by guanidine and arginine. </w:t>
      </w:r>
      <w:r w:rsidRPr="006D59B8">
        <w:rPr>
          <w:rFonts w:ascii="Calibri" w:hAnsi="Calibri" w:cs="Times New Roman"/>
          <w:i/>
          <w:iCs/>
          <w:noProof/>
          <w:szCs w:val="24"/>
        </w:rPr>
        <w:t>Biochemical and Biophysical Research Communications</w:t>
      </w:r>
      <w:r w:rsidRPr="006D59B8">
        <w:rPr>
          <w:rFonts w:ascii="Calibri" w:hAnsi="Calibri" w:cs="Times New Roman"/>
          <w:noProof/>
          <w:szCs w:val="24"/>
        </w:rPr>
        <w:t>, 312, pp.1383–1386.</w:t>
      </w:r>
    </w:p>
    <w:p w14:paraId="632BA232"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Vagenende, V. et al., 2013. Protein-associated cation clusters in aqueous arginine solutions and their effects on protein stability and size. </w:t>
      </w:r>
      <w:r w:rsidRPr="006D59B8">
        <w:rPr>
          <w:rFonts w:ascii="Calibri" w:hAnsi="Calibri" w:cs="Times New Roman"/>
          <w:i/>
          <w:iCs/>
          <w:noProof/>
          <w:szCs w:val="24"/>
        </w:rPr>
        <w:t>ACS Chemical Biology</w:t>
      </w:r>
      <w:r w:rsidRPr="006D59B8">
        <w:rPr>
          <w:rFonts w:ascii="Calibri" w:hAnsi="Calibri" w:cs="Times New Roman"/>
          <w:noProof/>
          <w:szCs w:val="24"/>
        </w:rPr>
        <w:t>, 8, pp.416–422.</w:t>
      </w:r>
    </w:p>
    <w:p w14:paraId="1BFA49AF"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Vanzi, F., Madan, B. &amp; Sharp, K.A., 1998. Effect of the protein denaturants urea and guanidinium on water structure: A structural and thermodynamic study. </w:t>
      </w:r>
      <w:r w:rsidRPr="006D59B8">
        <w:rPr>
          <w:rFonts w:ascii="Calibri" w:hAnsi="Calibri" w:cs="Times New Roman"/>
          <w:i/>
          <w:iCs/>
          <w:noProof/>
          <w:szCs w:val="24"/>
        </w:rPr>
        <w:t>Journal of the American Chemical Society</w:t>
      </w:r>
      <w:r w:rsidRPr="006D59B8">
        <w:rPr>
          <w:rFonts w:ascii="Calibri" w:hAnsi="Calibri" w:cs="Times New Roman"/>
          <w:noProof/>
          <w:szCs w:val="24"/>
        </w:rPr>
        <w:t>, 120, pp.10748–10753.</w:t>
      </w:r>
    </w:p>
    <w:p w14:paraId="6BE9792A"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Varshney, A. et al., 2010. Ligand binding strategies of human serum albumin: How can the cargo be utilized? </w:t>
      </w:r>
      <w:r w:rsidRPr="006D59B8">
        <w:rPr>
          <w:rFonts w:ascii="Calibri" w:hAnsi="Calibri" w:cs="Times New Roman"/>
          <w:i/>
          <w:iCs/>
          <w:noProof/>
          <w:szCs w:val="24"/>
        </w:rPr>
        <w:t>Chirality</w:t>
      </w:r>
      <w:r w:rsidRPr="006D59B8">
        <w:rPr>
          <w:rFonts w:ascii="Calibri" w:hAnsi="Calibri" w:cs="Times New Roman"/>
          <w:noProof/>
          <w:szCs w:val="24"/>
        </w:rPr>
        <w:t>, 22, pp.77–87.</w:t>
      </w:r>
    </w:p>
    <w:p w14:paraId="76DA421B"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Varughese, M.M. &amp; Newman, J., 2012. Inhibitory effects of arginine on the aggregation of bovine insulin. </w:t>
      </w:r>
      <w:r w:rsidRPr="006D59B8">
        <w:rPr>
          <w:rFonts w:ascii="Calibri" w:hAnsi="Calibri" w:cs="Times New Roman"/>
          <w:i/>
          <w:iCs/>
          <w:noProof/>
          <w:szCs w:val="24"/>
        </w:rPr>
        <w:t>Journal of Biophysics</w:t>
      </w:r>
      <w:r w:rsidRPr="006D59B8">
        <w:rPr>
          <w:rFonts w:ascii="Calibri" w:hAnsi="Calibri" w:cs="Times New Roman"/>
          <w:noProof/>
          <w:szCs w:val="24"/>
        </w:rPr>
        <w:t>, p.e434289.</w:t>
      </w:r>
    </w:p>
    <w:p w14:paraId="2E26FDC5"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Vedadi, M. et al., 2006. Chemical screening methods to identify ligands that promote protein stability, protein crystallization, and structure determination. </w:t>
      </w:r>
      <w:r w:rsidRPr="006D59B8">
        <w:rPr>
          <w:rFonts w:ascii="Calibri" w:hAnsi="Calibri" w:cs="Times New Roman"/>
          <w:i/>
          <w:iCs/>
          <w:noProof/>
          <w:szCs w:val="24"/>
        </w:rPr>
        <w:t>Proceedings of the National Academy of Sciences of the United States of America</w:t>
      </w:r>
      <w:r w:rsidRPr="006D59B8">
        <w:rPr>
          <w:rFonts w:ascii="Calibri" w:hAnsi="Calibri" w:cs="Times New Roman"/>
          <w:noProof/>
          <w:szCs w:val="24"/>
        </w:rPr>
        <w:t>, 103, pp.15835–15840.</w:t>
      </w:r>
    </w:p>
    <w:p w14:paraId="28E24110"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E3274E">
        <w:rPr>
          <w:rFonts w:ascii="Calibri" w:hAnsi="Calibri" w:cs="Times New Roman"/>
          <w:noProof/>
          <w:szCs w:val="24"/>
          <w:lang w:val="de-DE"/>
        </w:rPr>
        <w:t xml:space="preserve">Venkatesu, P., Lee, M.J. &amp; Lin, H., 2007. </w:t>
      </w:r>
      <w:r w:rsidRPr="006D59B8">
        <w:rPr>
          <w:rFonts w:ascii="Calibri" w:hAnsi="Calibri" w:cs="Times New Roman"/>
          <w:noProof/>
          <w:szCs w:val="24"/>
        </w:rPr>
        <w:t xml:space="preserve">Trimethylamine N-oxide counteracts the denaturing effects of urea or GdnHCl on protein denatured state. </w:t>
      </w:r>
      <w:r w:rsidRPr="006D59B8">
        <w:rPr>
          <w:rFonts w:ascii="Calibri" w:hAnsi="Calibri" w:cs="Times New Roman"/>
          <w:i/>
          <w:iCs/>
          <w:noProof/>
          <w:szCs w:val="24"/>
        </w:rPr>
        <w:t>Archives of Biochemistry and Biophysics</w:t>
      </w:r>
      <w:r w:rsidRPr="006D59B8">
        <w:rPr>
          <w:rFonts w:ascii="Calibri" w:hAnsi="Calibri" w:cs="Times New Roman"/>
          <w:noProof/>
          <w:szCs w:val="24"/>
        </w:rPr>
        <w:t>, 466, pp.106–115.</w:t>
      </w:r>
    </w:p>
    <w:p w14:paraId="0AE6DC21"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Venkatesu, P., Lee, M.J. &amp; Lin, H.M., 2009. Osmolyte counteracts urea-induced denaturation of a-chymotrypsin. </w:t>
      </w:r>
      <w:r w:rsidRPr="006D59B8">
        <w:rPr>
          <w:rFonts w:ascii="Calibri" w:hAnsi="Calibri" w:cs="Times New Roman"/>
          <w:i/>
          <w:iCs/>
          <w:noProof/>
          <w:szCs w:val="24"/>
        </w:rPr>
        <w:t>Journal of Physical Chemistry B</w:t>
      </w:r>
      <w:r w:rsidRPr="006D59B8">
        <w:rPr>
          <w:rFonts w:ascii="Calibri" w:hAnsi="Calibri" w:cs="Times New Roman"/>
          <w:noProof/>
          <w:szCs w:val="24"/>
        </w:rPr>
        <w:t>, 113, pp.5327–5338.</w:t>
      </w:r>
    </w:p>
    <w:p w14:paraId="5597A53E"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Vondrásek, J. et al., 2009. The molecular origin of like-charge arginine-arginine pairing in water. </w:t>
      </w:r>
      <w:r w:rsidRPr="006D59B8">
        <w:rPr>
          <w:rFonts w:ascii="Calibri" w:hAnsi="Calibri" w:cs="Times New Roman"/>
          <w:i/>
          <w:iCs/>
          <w:noProof/>
          <w:szCs w:val="24"/>
        </w:rPr>
        <w:t>Journal of Physical Chemistry B Letters</w:t>
      </w:r>
      <w:r w:rsidRPr="006D59B8">
        <w:rPr>
          <w:rFonts w:ascii="Calibri" w:hAnsi="Calibri" w:cs="Times New Roman"/>
          <w:noProof/>
          <w:szCs w:val="24"/>
        </w:rPr>
        <w:t>, 113, pp.9041–9045.</w:t>
      </w:r>
    </w:p>
    <w:p w14:paraId="35AB31C3"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Wallace, V.P. et al., 2015. Modulation of the hydration water around monoclonal antibodies on addition of excipients detected by terahertz time-domain spectroscopy. </w:t>
      </w:r>
      <w:r w:rsidRPr="006D59B8">
        <w:rPr>
          <w:rFonts w:ascii="Calibri" w:hAnsi="Calibri" w:cs="Times New Roman"/>
          <w:i/>
          <w:iCs/>
          <w:noProof/>
          <w:szCs w:val="24"/>
        </w:rPr>
        <w:t>Journal of Pharmaceutical Sciences</w:t>
      </w:r>
      <w:r w:rsidRPr="006D59B8">
        <w:rPr>
          <w:rFonts w:ascii="Calibri" w:hAnsi="Calibri" w:cs="Times New Roman"/>
          <w:noProof/>
          <w:szCs w:val="24"/>
        </w:rPr>
        <w:t>, 104, pp.4025–4033.</w:t>
      </w:r>
    </w:p>
    <w:p w14:paraId="03A0D172"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Wang, A. &amp; Bolen, D.W., 1997. A naturally occurring protective system in urea-rich cells: Mechanism of osmolyte protection of proteins against urea denaturation. </w:t>
      </w:r>
      <w:r w:rsidRPr="006D59B8">
        <w:rPr>
          <w:rFonts w:ascii="Calibri" w:hAnsi="Calibri" w:cs="Times New Roman"/>
          <w:i/>
          <w:iCs/>
          <w:noProof/>
          <w:szCs w:val="24"/>
        </w:rPr>
        <w:t>Biochemistry</w:t>
      </w:r>
      <w:r w:rsidRPr="006D59B8">
        <w:rPr>
          <w:rFonts w:ascii="Calibri" w:hAnsi="Calibri" w:cs="Times New Roman"/>
          <w:noProof/>
          <w:szCs w:val="24"/>
        </w:rPr>
        <w:t>, 36, pp.9101–9108.</w:t>
      </w:r>
    </w:p>
    <w:p w14:paraId="4B8FC074"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Wang, W., 1999. Instability, stabilization, and formulation of liquid protein pharmaceuticals. </w:t>
      </w:r>
      <w:r w:rsidRPr="006D59B8">
        <w:rPr>
          <w:rFonts w:ascii="Calibri" w:hAnsi="Calibri" w:cs="Times New Roman"/>
          <w:i/>
          <w:iCs/>
          <w:noProof/>
          <w:szCs w:val="24"/>
        </w:rPr>
        <w:t>International Journal of Pharmaceutics</w:t>
      </w:r>
      <w:r w:rsidRPr="006D59B8">
        <w:rPr>
          <w:rFonts w:ascii="Calibri" w:hAnsi="Calibri" w:cs="Times New Roman"/>
          <w:noProof/>
          <w:szCs w:val="24"/>
        </w:rPr>
        <w:t>, 185, pp.129–188.</w:t>
      </w:r>
    </w:p>
    <w:p w14:paraId="64D70B43"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Wang, W., 2005. Protein aggregation and its inhibition in biopharmaceutics. </w:t>
      </w:r>
      <w:r w:rsidRPr="006D59B8">
        <w:rPr>
          <w:rFonts w:ascii="Calibri" w:hAnsi="Calibri" w:cs="Times New Roman"/>
          <w:i/>
          <w:iCs/>
          <w:noProof/>
          <w:szCs w:val="24"/>
        </w:rPr>
        <w:t>International Journal of Pharmaceutics</w:t>
      </w:r>
      <w:r w:rsidRPr="006D59B8">
        <w:rPr>
          <w:rFonts w:ascii="Calibri" w:hAnsi="Calibri" w:cs="Times New Roman"/>
          <w:noProof/>
          <w:szCs w:val="24"/>
        </w:rPr>
        <w:t>, 289, pp.1–30.</w:t>
      </w:r>
    </w:p>
    <w:p w14:paraId="28D8037A"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Warepam, M. &amp; Singh, L.R., 2015. Osmolyte mixtures have different effects than individual osmolytes on protein folding and functional activity. </w:t>
      </w:r>
      <w:r w:rsidRPr="006D59B8">
        <w:rPr>
          <w:rFonts w:ascii="Calibri" w:hAnsi="Calibri" w:cs="Times New Roman"/>
          <w:i/>
          <w:iCs/>
          <w:noProof/>
          <w:szCs w:val="24"/>
        </w:rPr>
        <w:t>Archives of Biochemistry and Biophysics</w:t>
      </w:r>
      <w:r w:rsidRPr="006D59B8">
        <w:rPr>
          <w:rFonts w:ascii="Calibri" w:hAnsi="Calibri" w:cs="Times New Roman"/>
          <w:noProof/>
          <w:szCs w:val="24"/>
        </w:rPr>
        <w:t>, 573, pp.77–83.</w:t>
      </w:r>
    </w:p>
    <w:p w14:paraId="020A15A6"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Washabaugh, M.W. &amp; Collins, K.D., 1986. The systematic characterization by aqueous column chromatography of solutes which affect protein stability. </w:t>
      </w:r>
      <w:r w:rsidRPr="006D59B8">
        <w:rPr>
          <w:rFonts w:ascii="Calibri" w:hAnsi="Calibri" w:cs="Times New Roman"/>
          <w:i/>
          <w:iCs/>
          <w:noProof/>
          <w:szCs w:val="24"/>
        </w:rPr>
        <w:t>Journal of Biological Chemistry</w:t>
      </w:r>
      <w:r w:rsidRPr="006D59B8">
        <w:rPr>
          <w:rFonts w:ascii="Calibri" w:hAnsi="Calibri" w:cs="Times New Roman"/>
          <w:noProof/>
          <w:szCs w:val="24"/>
        </w:rPr>
        <w:t>, 261, pp.12477–12485.</w:t>
      </w:r>
    </w:p>
    <w:p w14:paraId="57ED28DE"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Welch, W.J. &amp; Brown, C.R., 1996. Influence of molecular and chemical chaperones on protein folding. </w:t>
      </w:r>
      <w:r w:rsidRPr="006D59B8">
        <w:rPr>
          <w:rFonts w:ascii="Calibri" w:hAnsi="Calibri" w:cs="Times New Roman"/>
          <w:i/>
          <w:iCs/>
          <w:noProof/>
          <w:szCs w:val="24"/>
        </w:rPr>
        <w:t>Cell stress &amp; chaperones</w:t>
      </w:r>
      <w:r w:rsidRPr="006D59B8">
        <w:rPr>
          <w:rFonts w:ascii="Calibri" w:hAnsi="Calibri" w:cs="Times New Roman"/>
          <w:noProof/>
          <w:szCs w:val="24"/>
        </w:rPr>
        <w:t>, 1, pp.109–115.</w:t>
      </w:r>
    </w:p>
    <w:p w14:paraId="4045A2E5"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Wen, L. et al., 2015. Preferential interactions between protein and arginine: Effects of arginine on tertiary conformational and colloidal stability of protein solution. </w:t>
      </w:r>
      <w:r w:rsidRPr="006D59B8">
        <w:rPr>
          <w:rFonts w:ascii="Calibri" w:hAnsi="Calibri" w:cs="Times New Roman"/>
          <w:i/>
          <w:iCs/>
          <w:noProof/>
          <w:szCs w:val="24"/>
        </w:rPr>
        <w:t>International Journal of Pharmaceutics</w:t>
      </w:r>
      <w:r w:rsidRPr="006D59B8">
        <w:rPr>
          <w:rFonts w:ascii="Calibri" w:hAnsi="Calibri" w:cs="Times New Roman"/>
          <w:noProof/>
          <w:szCs w:val="24"/>
        </w:rPr>
        <w:t>, 478, pp.753–761.</w:t>
      </w:r>
    </w:p>
    <w:p w14:paraId="4A86F84B"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Wetlaufer, D.B. et al., 1963. Nonpolar group participation in the denaturation of proteins by urea and guanidinium salts. Model compound studies. </w:t>
      </w:r>
      <w:r w:rsidRPr="006D59B8">
        <w:rPr>
          <w:rFonts w:ascii="Calibri" w:hAnsi="Calibri" w:cs="Times New Roman"/>
          <w:i/>
          <w:iCs/>
          <w:noProof/>
          <w:szCs w:val="24"/>
        </w:rPr>
        <w:t>Journal of the American Chemical Society</w:t>
      </w:r>
      <w:r w:rsidRPr="006D59B8">
        <w:rPr>
          <w:rFonts w:ascii="Calibri" w:hAnsi="Calibri" w:cs="Times New Roman"/>
          <w:noProof/>
          <w:szCs w:val="24"/>
        </w:rPr>
        <w:t>, 86, pp.508–514.</w:t>
      </w:r>
    </w:p>
    <w:p w14:paraId="36F02B90"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Wolf, M. et al., 2012. Relaxation dynamics of a protein solution investigated by dielectric spectroscopy. </w:t>
      </w:r>
      <w:r w:rsidRPr="006D59B8">
        <w:rPr>
          <w:rFonts w:ascii="Calibri" w:hAnsi="Calibri" w:cs="Times New Roman"/>
          <w:i/>
          <w:iCs/>
          <w:noProof/>
          <w:szCs w:val="24"/>
        </w:rPr>
        <w:t>Biochimica et Biophysica Acta</w:t>
      </w:r>
      <w:r w:rsidRPr="006D59B8">
        <w:rPr>
          <w:rFonts w:ascii="Calibri" w:hAnsi="Calibri" w:cs="Times New Roman"/>
          <w:noProof/>
          <w:szCs w:val="24"/>
        </w:rPr>
        <w:t>, 1824, pp.723–730.</w:t>
      </w:r>
    </w:p>
    <w:p w14:paraId="36C416BE"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Xie, Q. et al., 2004. The guanidine like effects of arginine on aminoacylase and salt-induced molten globule state. </w:t>
      </w:r>
      <w:r w:rsidRPr="006D59B8">
        <w:rPr>
          <w:rFonts w:ascii="Calibri" w:hAnsi="Calibri" w:cs="Times New Roman"/>
          <w:i/>
          <w:iCs/>
          <w:noProof/>
          <w:szCs w:val="24"/>
        </w:rPr>
        <w:t>International Journal of Biochemistry &amp; Cell Biology</w:t>
      </w:r>
      <w:r w:rsidRPr="006D59B8">
        <w:rPr>
          <w:rFonts w:ascii="Calibri" w:hAnsi="Calibri" w:cs="Times New Roman"/>
          <w:noProof/>
          <w:szCs w:val="24"/>
        </w:rPr>
        <w:t>, 36, pp.296–306.</w:t>
      </w:r>
    </w:p>
    <w:p w14:paraId="1BA9524A"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Xin, Y., 2007. Electrokinetic modeling of free solution electrophoresis. PhD Thesis. </w:t>
      </w:r>
      <w:r w:rsidRPr="006D59B8">
        <w:rPr>
          <w:rFonts w:ascii="Calibri" w:hAnsi="Calibri" w:cs="Times New Roman"/>
          <w:i/>
          <w:iCs/>
          <w:noProof/>
          <w:szCs w:val="24"/>
        </w:rPr>
        <w:t>Georgia State University, USA</w:t>
      </w:r>
      <w:r w:rsidRPr="006D59B8">
        <w:rPr>
          <w:rFonts w:ascii="Calibri" w:hAnsi="Calibri" w:cs="Times New Roman"/>
          <w:noProof/>
          <w:szCs w:val="24"/>
        </w:rPr>
        <w:t>.</w:t>
      </w:r>
    </w:p>
    <w:p w14:paraId="49C69D80"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Yancey, P.H., 2004. Compatible and counteracting solutes: Protecting cells from the Dead Sea to the deep sea. </w:t>
      </w:r>
      <w:r w:rsidRPr="006D59B8">
        <w:rPr>
          <w:rFonts w:ascii="Calibri" w:hAnsi="Calibri" w:cs="Times New Roman"/>
          <w:i/>
          <w:iCs/>
          <w:noProof/>
          <w:szCs w:val="24"/>
        </w:rPr>
        <w:t>Science Progress</w:t>
      </w:r>
      <w:r w:rsidRPr="006D59B8">
        <w:rPr>
          <w:rFonts w:ascii="Calibri" w:hAnsi="Calibri" w:cs="Times New Roman"/>
          <w:noProof/>
          <w:szCs w:val="24"/>
        </w:rPr>
        <w:t>, 87, pp.1–24.</w:t>
      </w:r>
    </w:p>
    <w:p w14:paraId="63950F50"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Yancey, P.H. et al., 1982. Living with water stress: Evolution of osmolyte systems. </w:t>
      </w:r>
      <w:r w:rsidRPr="006D59B8">
        <w:rPr>
          <w:rFonts w:ascii="Calibri" w:hAnsi="Calibri" w:cs="Times New Roman"/>
          <w:i/>
          <w:iCs/>
          <w:noProof/>
          <w:szCs w:val="24"/>
        </w:rPr>
        <w:t>Science</w:t>
      </w:r>
      <w:r w:rsidRPr="006D59B8">
        <w:rPr>
          <w:rFonts w:ascii="Calibri" w:hAnsi="Calibri" w:cs="Times New Roman"/>
          <w:noProof/>
          <w:szCs w:val="24"/>
        </w:rPr>
        <w:t>, 217, pp.1214–1222.</w:t>
      </w:r>
    </w:p>
    <w:p w14:paraId="68796BC4"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Yancey, P.H. et al., 2004. Trimethylamine oxide, betaine and other osmolytes in deep-sea animals: Depth trends and effects on enzymes under hydrostatic pressure. </w:t>
      </w:r>
      <w:r w:rsidRPr="006D59B8">
        <w:rPr>
          <w:rFonts w:ascii="Calibri" w:hAnsi="Calibri" w:cs="Times New Roman"/>
          <w:i/>
          <w:iCs/>
          <w:noProof/>
          <w:szCs w:val="24"/>
        </w:rPr>
        <w:t>Cellular &amp; Molecular Biology</w:t>
      </w:r>
      <w:r w:rsidRPr="006D59B8">
        <w:rPr>
          <w:rFonts w:ascii="Calibri" w:hAnsi="Calibri" w:cs="Times New Roman"/>
          <w:noProof/>
          <w:szCs w:val="24"/>
        </w:rPr>
        <w:t>, 50, pp.371–376.</w:t>
      </w:r>
    </w:p>
    <w:p w14:paraId="15283A23"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Yancey, P.H., 2001. Water stress, osmolytes and proteins. </w:t>
      </w:r>
      <w:r w:rsidRPr="006D59B8">
        <w:rPr>
          <w:rFonts w:ascii="Calibri" w:hAnsi="Calibri" w:cs="Times New Roman"/>
          <w:i/>
          <w:iCs/>
          <w:noProof/>
          <w:szCs w:val="24"/>
        </w:rPr>
        <w:t>American Zoology</w:t>
      </w:r>
      <w:r w:rsidRPr="006D59B8">
        <w:rPr>
          <w:rFonts w:ascii="Calibri" w:hAnsi="Calibri" w:cs="Times New Roman"/>
          <w:noProof/>
          <w:szCs w:val="24"/>
        </w:rPr>
        <w:t>, 41, pp.699–709.</w:t>
      </w:r>
    </w:p>
    <w:p w14:paraId="434B14D3"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Yancey, P.H. &amp; Somero, G.N., 1980. Methylamine osmoregulatory solutes of elasmobranch fishes counteract urea inhibition of enzymes. </w:t>
      </w:r>
      <w:r w:rsidRPr="006D59B8">
        <w:rPr>
          <w:rFonts w:ascii="Calibri" w:hAnsi="Calibri" w:cs="Times New Roman"/>
          <w:i/>
          <w:iCs/>
          <w:noProof/>
          <w:szCs w:val="24"/>
        </w:rPr>
        <w:t>Journal of Experimental Biology</w:t>
      </w:r>
      <w:r w:rsidRPr="006D59B8">
        <w:rPr>
          <w:rFonts w:ascii="Calibri" w:hAnsi="Calibri" w:cs="Times New Roman"/>
          <w:noProof/>
          <w:szCs w:val="24"/>
        </w:rPr>
        <w:t>, 212, pp.205–213.</w:t>
      </w:r>
    </w:p>
    <w:p w14:paraId="326AC0C3"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Yokomizo, T., Higo, J. &amp; Nakasako, M., 2005. Patterns and networks of hydrogen-bonds in the hydration structure of human lysozyme. </w:t>
      </w:r>
      <w:r w:rsidRPr="006D59B8">
        <w:rPr>
          <w:rFonts w:ascii="Calibri" w:hAnsi="Calibri" w:cs="Times New Roman"/>
          <w:i/>
          <w:iCs/>
          <w:noProof/>
          <w:szCs w:val="24"/>
        </w:rPr>
        <w:t>Chemical Physics Letters</w:t>
      </w:r>
      <w:r w:rsidRPr="006D59B8">
        <w:rPr>
          <w:rFonts w:ascii="Calibri" w:hAnsi="Calibri" w:cs="Times New Roman"/>
          <w:noProof/>
          <w:szCs w:val="24"/>
        </w:rPr>
        <w:t>, 410, pp.31–35.</w:t>
      </w:r>
    </w:p>
    <w:p w14:paraId="4471D813"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Zangi, R., Zhou, R. &amp; Berne, B.J., 2009. Urea’s action on hydrophobic interactions. </w:t>
      </w:r>
      <w:r w:rsidRPr="006D59B8">
        <w:rPr>
          <w:rFonts w:ascii="Calibri" w:hAnsi="Calibri" w:cs="Times New Roman"/>
          <w:i/>
          <w:iCs/>
          <w:noProof/>
          <w:szCs w:val="24"/>
        </w:rPr>
        <w:t>Journal of the American Chemical Society</w:t>
      </w:r>
      <w:r w:rsidRPr="006D59B8">
        <w:rPr>
          <w:rFonts w:ascii="Calibri" w:hAnsi="Calibri" w:cs="Times New Roman"/>
          <w:noProof/>
          <w:szCs w:val="24"/>
        </w:rPr>
        <w:t>, 131, pp.1535–1541.</w:t>
      </w:r>
    </w:p>
    <w:p w14:paraId="5E7B2592"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Zarrine-Afsar, A. et al., 2006. Protein stabilization by specific binding of guanidinium to a functional arginine-binding surface on an SH3 domain. </w:t>
      </w:r>
      <w:r w:rsidRPr="006D59B8">
        <w:rPr>
          <w:rFonts w:ascii="Calibri" w:hAnsi="Calibri" w:cs="Times New Roman"/>
          <w:i/>
          <w:iCs/>
          <w:noProof/>
          <w:szCs w:val="24"/>
        </w:rPr>
        <w:t>Protein Science</w:t>
      </w:r>
      <w:r w:rsidRPr="006D59B8">
        <w:rPr>
          <w:rFonts w:ascii="Calibri" w:hAnsi="Calibri" w:cs="Times New Roman"/>
          <w:noProof/>
          <w:szCs w:val="24"/>
        </w:rPr>
        <w:t>, 15, pp.162–170.</w:t>
      </w:r>
    </w:p>
    <w:p w14:paraId="355D359F"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Zhang, Y. &amp; Cremer, P.S., 2010. Chemistry of Hofmeister anions and osmolytes. </w:t>
      </w:r>
      <w:r w:rsidRPr="006D59B8">
        <w:rPr>
          <w:rFonts w:ascii="Calibri" w:hAnsi="Calibri" w:cs="Times New Roman"/>
          <w:i/>
          <w:iCs/>
          <w:noProof/>
          <w:szCs w:val="24"/>
        </w:rPr>
        <w:t>Annual Review of Physical Chemistry</w:t>
      </w:r>
      <w:r w:rsidRPr="006D59B8">
        <w:rPr>
          <w:rFonts w:ascii="Calibri" w:hAnsi="Calibri" w:cs="Times New Roman"/>
          <w:noProof/>
          <w:szCs w:val="24"/>
        </w:rPr>
        <w:t>, 61, pp.63–83.</w:t>
      </w:r>
    </w:p>
    <w:p w14:paraId="53DED799"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Zhang, Y. &amp; Cremer, P.S., 2009. The inverse and direct Hofmeister series for lysozyme. </w:t>
      </w:r>
      <w:r w:rsidRPr="006D59B8">
        <w:rPr>
          <w:rFonts w:ascii="Calibri" w:hAnsi="Calibri" w:cs="Times New Roman"/>
          <w:i/>
          <w:iCs/>
          <w:noProof/>
          <w:szCs w:val="24"/>
        </w:rPr>
        <w:t>Proceedings of the National Academy of Sciences of the United States of America</w:t>
      </w:r>
      <w:r w:rsidRPr="006D59B8">
        <w:rPr>
          <w:rFonts w:ascii="Calibri" w:hAnsi="Calibri" w:cs="Times New Roman"/>
          <w:noProof/>
          <w:szCs w:val="24"/>
        </w:rPr>
        <w:t>, 106(36), pp.15249–53.</w:t>
      </w:r>
    </w:p>
    <w:p w14:paraId="2701E352" w14:textId="77777777" w:rsidR="006D59B8" w:rsidRPr="006D59B8" w:rsidRDefault="006D59B8" w:rsidP="006D59B8">
      <w:pPr>
        <w:widowControl w:val="0"/>
        <w:autoSpaceDE w:val="0"/>
        <w:autoSpaceDN w:val="0"/>
        <w:adjustRightInd w:val="0"/>
        <w:ind w:left="480" w:hanging="480"/>
        <w:rPr>
          <w:rFonts w:ascii="Calibri" w:hAnsi="Calibri" w:cs="Times New Roman"/>
          <w:noProof/>
          <w:szCs w:val="24"/>
        </w:rPr>
      </w:pPr>
      <w:r w:rsidRPr="006D59B8">
        <w:rPr>
          <w:rFonts w:ascii="Calibri" w:hAnsi="Calibri" w:cs="Times New Roman"/>
          <w:noProof/>
          <w:szCs w:val="24"/>
        </w:rPr>
        <w:t xml:space="preserve">Zou, Q. et al., 2002. The molecular mechanism of stabilization of proteins by TMAO and its ability to counteract the effects of urea. </w:t>
      </w:r>
      <w:r w:rsidRPr="006D59B8">
        <w:rPr>
          <w:rFonts w:ascii="Calibri" w:hAnsi="Calibri" w:cs="Times New Roman"/>
          <w:i/>
          <w:iCs/>
          <w:noProof/>
          <w:szCs w:val="24"/>
        </w:rPr>
        <w:t>Journal of the American Chemical Society</w:t>
      </w:r>
      <w:r w:rsidRPr="006D59B8">
        <w:rPr>
          <w:rFonts w:ascii="Calibri" w:hAnsi="Calibri" w:cs="Times New Roman"/>
          <w:noProof/>
          <w:szCs w:val="24"/>
        </w:rPr>
        <w:t>, 124, pp.1192–1202.</w:t>
      </w:r>
    </w:p>
    <w:p w14:paraId="0E7A995C" w14:textId="77777777" w:rsidR="006D59B8" w:rsidRPr="006D59B8" w:rsidRDefault="006D59B8" w:rsidP="006D59B8">
      <w:pPr>
        <w:widowControl w:val="0"/>
        <w:autoSpaceDE w:val="0"/>
        <w:autoSpaceDN w:val="0"/>
        <w:adjustRightInd w:val="0"/>
        <w:ind w:left="480" w:hanging="480"/>
        <w:rPr>
          <w:rFonts w:ascii="Calibri" w:hAnsi="Calibri"/>
          <w:noProof/>
        </w:rPr>
      </w:pPr>
      <w:r w:rsidRPr="006D59B8">
        <w:rPr>
          <w:rFonts w:ascii="Calibri" w:hAnsi="Calibri" w:cs="Times New Roman"/>
          <w:noProof/>
          <w:szCs w:val="24"/>
        </w:rPr>
        <w:t xml:space="preserve">Zweifel, M.E. &amp; Barrick, D., 2002. Relationships between the temperature dependence of solvent denaturation and the denaturant dependence of protein stability curves. </w:t>
      </w:r>
      <w:r w:rsidRPr="006D59B8">
        <w:rPr>
          <w:rFonts w:ascii="Calibri" w:hAnsi="Calibri" w:cs="Times New Roman"/>
          <w:i/>
          <w:iCs/>
          <w:noProof/>
          <w:szCs w:val="24"/>
        </w:rPr>
        <w:t>Biophysical Chemistry</w:t>
      </w:r>
      <w:r w:rsidRPr="006D59B8">
        <w:rPr>
          <w:rFonts w:ascii="Calibri" w:hAnsi="Calibri" w:cs="Times New Roman"/>
          <w:noProof/>
          <w:szCs w:val="24"/>
        </w:rPr>
        <w:t>, 101–102, pp.221–237.</w:t>
      </w:r>
    </w:p>
    <w:p w14:paraId="105A065D" w14:textId="77777777" w:rsidR="00C82B9F" w:rsidRDefault="00570275" w:rsidP="006D59B8">
      <w:pPr>
        <w:widowControl w:val="0"/>
        <w:autoSpaceDE w:val="0"/>
        <w:autoSpaceDN w:val="0"/>
        <w:adjustRightInd w:val="0"/>
        <w:ind w:left="480" w:hanging="480"/>
      </w:pPr>
      <w:r>
        <w:fldChar w:fldCharType="end"/>
      </w:r>
      <w:r w:rsidR="00D821EF">
        <w:t>Appendices</w:t>
      </w:r>
    </w:p>
    <w:p w14:paraId="68B2CA24" w14:textId="77777777" w:rsidR="00D821EF" w:rsidRDefault="00D821EF" w:rsidP="008C2B83">
      <w:pPr>
        <w:spacing w:before="0" w:after="200" w:line="276" w:lineRule="auto"/>
      </w:pPr>
      <w:r>
        <w:br w:type="page"/>
      </w:r>
    </w:p>
    <w:p w14:paraId="2E01B54D" w14:textId="77777777" w:rsidR="00184734" w:rsidRDefault="00184734" w:rsidP="008C2B83">
      <w:pPr>
        <w:pStyle w:val="Heading2"/>
        <w:sectPr w:rsidR="00184734" w:rsidSect="004224F5">
          <w:footerReference w:type="default" r:id="rId106"/>
          <w:pgSz w:w="11906" w:h="16838"/>
          <w:pgMar w:top="1440" w:right="1134" w:bottom="1440" w:left="2268" w:header="709" w:footer="709" w:gutter="0"/>
          <w:pgNumType w:start="1"/>
          <w:cols w:space="708"/>
          <w:docGrid w:linePitch="360"/>
        </w:sectPr>
      </w:pPr>
    </w:p>
    <w:p w14:paraId="129505DF" w14:textId="77777777" w:rsidR="00D821EF" w:rsidRDefault="00184734" w:rsidP="00184734">
      <w:pPr>
        <w:pStyle w:val="Heading2"/>
        <w:numPr>
          <w:ilvl w:val="0"/>
          <w:numId w:val="0"/>
        </w:numPr>
      </w:pPr>
      <w:bookmarkStart w:id="294" w:name="_Toc485712836"/>
      <w:r>
        <w:t xml:space="preserve">Appendix A: </w:t>
      </w:r>
      <w:r w:rsidR="007B2306">
        <w:t>Raw data &amp; data tables</w:t>
      </w:r>
      <w:r w:rsidR="00D821EF">
        <w:t xml:space="preserve"> for Chapter 3</w:t>
      </w:r>
      <w:bookmarkEnd w:id="294"/>
    </w:p>
    <w:p w14:paraId="7A0EE6A5" w14:textId="77777777" w:rsidR="00D821EF" w:rsidRDefault="007B2306" w:rsidP="008C2B83">
      <w:pPr>
        <w:keepNext/>
        <w:framePr w:w="7771" w:hSpace="180" w:wrap="around" w:vAnchor="text" w:hAnchor="text" w:x="1" w:y="1"/>
      </w:pPr>
      <w:r>
        <w:object w:dxaOrig="8176" w:dyaOrig="17235" w14:anchorId="31481047">
          <v:shape id="_x0000_i1068" type="#_x0000_t75" style="width:330pt;height:698.25pt" o:ole="">
            <v:imagedata r:id="rId107" o:title=""/>
          </v:shape>
          <o:OLEObject Type="Embed" ProgID="SigmaPlotGraphicObject.12" ShapeID="_x0000_i1068" DrawAspect="Content" ObjectID="_1559454722" r:id="rId108"/>
        </w:object>
      </w:r>
    </w:p>
    <w:p w14:paraId="28B32F58" w14:textId="77777777" w:rsidR="00D821EF" w:rsidRDefault="00D821EF" w:rsidP="008C2B83">
      <w:pPr>
        <w:pStyle w:val="Caption"/>
        <w:framePr w:w="7771" w:hSpace="180" w:wrap="around" w:vAnchor="text" w:hAnchor="text" w:x="1" w:y="1"/>
        <w:jc w:val="left"/>
      </w:pPr>
      <w:bookmarkStart w:id="295" w:name="_Toc482633208"/>
      <w:r>
        <w:t xml:space="preserve">Figure </w:t>
      </w:r>
      <w:fldSimple w:instr=" STYLEREF 1 \s ">
        <w:r w:rsidR="00AA6926">
          <w:rPr>
            <w:noProof/>
          </w:rPr>
          <w:t>8</w:t>
        </w:r>
      </w:fldSimple>
      <w:r w:rsidR="00BA082C">
        <w:noBreakHyphen/>
      </w:r>
      <w:fldSimple w:instr=" SEQ Figure \* ARABIC \s 1 ">
        <w:r w:rsidR="00AA6926">
          <w:rPr>
            <w:noProof/>
          </w:rPr>
          <w:t>1</w:t>
        </w:r>
      </w:fldSimple>
      <w:r>
        <w:t xml:space="preserve">. </w:t>
      </w:r>
      <w:r w:rsidRPr="00D926F3">
        <w:t>DSC thermograms of 1 g/L BSA pH 7 in the presence of different concentrations of glycine (top panel), GdnHCl (middle panel) and arg</w:t>
      </w:r>
      <w:r>
        <w:t>i</w:t>
      </w:r>
      <w:r w:rsidRPr="00D926F3">
        <w:t>nine (bottom panel). Black scan shows thermogram of 1 g/L BSA pH 7 in aqueous solution with no cosolute present</w:t>
      </w:r>
      <w:bookmarkEnd w:id="295"/>
    </w:p>
    <w:p w14:paraId="7D2C0FEB" w14:textId="77777777" w:rsidR="00D821EF" w:rsidRDefault="00D821EF" w:rsidP="008C2B83">
      <w:pPr>
        <w:keepNext/>
        <w:framePr w:w="8011" w:hSpace="180" w:wrap="around" w:vAnchor="text" w:hAnchor="page" w:x="2191" w:y="1"/>
      </w:pPr>
      <w:r>
        <w:object w:dxaOrig="7651" w:dyaOrig="16815" w14:anchorId="34A5531A">
          <v:shape id="_x0000_i1069" type="#_x0000_t75" style="width:309.75pt;height:682.5pt" o:ole="">
            <v:imagedata r:id="rId109" o:title=""/>
          </v:shape>
          <o:OLEObject Type="Embed" ProgID="SigmaPlotGraphicObject.12" ShapeID="_x0000_i1069" DrawAspect="Content" ObjectID="_1559454723" r:id="rId110"/>
        </w:object>
      </w:r>
    </w:p>
    <w:p w14:paraId="1E6B991E" w14:textId="77777777" w:rsidR="00D821EF" w:rsidRDefault="00D821EF" w:rsidP="008C2B83">
      <w:pPr>
        <w:pStyle w:val="Caption"/>
        <w:framePr w:w="8011" w:hSpace="180" w:wrap="around" w:vAnchor="text" w:hAnchor="page" w:x="2191" w:y="1"/>
        <w:jc w:val="left"/>
      </w:pPr>
      <w:bookmarkStart w:id="296" w:name="_Toc482633209"/>
      <w:r>
        <w:t xml:space="preserve">Figure </w:t>
      </w:r>
      <w:fldSimple w:instr=" STYLEREF 1 \s ">
        <w:r w:rsidR="00AA6926">
          <w:rPr>
            <w:noProof/>
          </w:rPr>
          <w:t>8</w:t>
        </w:r>
      </w:fldSimple>
      <w:r w:rsidR="00BA082C">
        <w:noBreakHyphen/>
      </w:r>
      <w:fldSimple w:instr=" SEQ Figure \* ARABIC \s 1 ">
        <w:r w:rsidR="00AA6926">
          <w:rPr>
            <w:noProof/>
          </w:rPr>
          <w:t>2</w:t>
        </w:r>
      </w:fldSimple>
      <w:r>
        <w:t>. DSC thermograms of 1 g/L lysozyme pH 7 in the presence of different concentrations of glycine (top panel), GdnHCl (middle panel) and arginine (bottom panel). Black scans show thermogram of 1 g/L lysozyme pH 7 in aqueous solution with no cosolute present</w:t>
      </w:r>
      <w:bookmarkEnd w:id="296"/>
    </w:p>
    <w:p w14:paraId="20DDD95C" w14:textId="77777777" w:rsidR="00D821EF" w:rsidRPr="00FF0C6E" w:rsidRDefault="00D821EF" w:rsidP="008C2B83"/>
    <w:p w14:paraId="79E86081"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1</w:t>
        </w:r>
      </w:fldSimple>
      <w:r>
        <w:t>. Data values of 1 g/L BSA 10 mM sodium octanoate pH 7 in presence of various concentrations of glycine n=3</w:t>
      </w:r>
    </w:p>
    <w:tbl>
      <w:tblPr>
        <w:tblStyle w:val="LightShading"/>
        <w:tblW w:w="0" w:type="auto"/>
        <w:tblLook w:val="04A0" w:firstRow="1" w:lastRow="0" w:firstColumn="1" w:lastColumn="0" w:noHBand="0" w:noVBand="1"/>
      </w:tblPr>
      <w:tblGrid>
        <w:gridCol w:w="2018"/>
        <w:gridCol w:w="1764"/>
        <w:gridCol w:w="1593"/>
        <w:gridCol w:w="1678"/>
        <w:gridCol w:w="1667"/>
      </w:tblGrid>
      <w:tr w:rsidR="00D821EF" w14:paraId="71FB1D31"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2CB3D02" w14:textId="77777777" w:rsidR="00D821EF" w:rsidRPr="007E2B4E" w:rsidRDefault="00D821EF" w:rsidP="00D821EF">
            <w:pPr>
              <w:spacing w:before="0" w:after="0"/>
              <w:rPr>
                <w:sz w:val="18"/>
                <w:szCs w:val="18"/>
              </w:rPr>
            </w:pPr>
            <w:r w:rsidRPr="007E2B4E">
              <w:rPr>
                <w:sz w:val="18"/>
                <w:szCs w:val="18"/>
              </w:rPr>
              <w:t>Concentration (mM)</w:t>
            </w:r>
          </w:p>
        </w:tc>
        <w:tc>
          <w:tcPr>
            <w:tcW w:w="1764" w:type="dxa"/>
            <w:shd w:val="clear" w:color="auto" w:fill="auto"/>
          </w:tcPr>
          <w:p w14:paraId="29F05137"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mean (°C)</w:t>
            </w:r>
          </w:p>
        </w:tc>
        <w:tc>
          <w:tcPr>
            <w:tcW w:w="1593" w:type="dxa"/>
            <w:shd w:val="clear" w:color="auto" w:fill="auto"/>
          </w:tcPr>
          <w:p w14:paraId="03687C82"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SE</w:t>
            </w:r>
          </w:p>
        </w:tc>
        <w:tc>
          <w:tcPr>
            <w:tcW w:w="1678" w:type="dxa"/>
            <w:shd w:val="clear" w:color="auto" w:fill="auto"/>
          </w:tcPr>
          <w:p w14:paraId="5A7D2C51"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ΔH (kJ mol</w:t>
            </w:r>
            <w:r w:rsidRPr="007E2B4E">
              <w:rPr>
                <w:sz w:val="18"/>
                <w:szCs w:val="18"/>
                <w:vertAlign w:val="superscript"/>
              </w:rPr>
              <w:t>-1</w:t>
            </w:r>
            <w:r w:rsidRPr="007E2B4E">
              <w:rPr>
                <w:sz w:val="18"/>
                <w:szCs w:val="18"/>
              </w:rPr>
              <w:t>) mean</w:t>
            </w:r>
          </w:p>
        </w:tc>
        <w:tc>
          <w:tcPr>
            <w:tcW w:w="1667" w:type="dxa"/>
            <w:shd w:val="clear" w:color="auto" w:fill="auto"/>
          </w:tcPr>
          <w:p w14:paraId="0F19F5E5"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ΔS (kJ mol</w:t>
            </w:r>
            <w:r w:rsidRPr="007E2B4E">
              <w:rPr>
                <w:sz w:val="18"/>
                <w:szCs w:val="18"/>
                <w:vertAlign w:val="superscript"/>
              </w:rPr>
              <w:t>-1</w:t>
            </w:r>
            <w:r w:rsidRPr="007E2B4E">
              <w:rPr>
                <w:sz w:val="18"/>
                <w:szCs w:val="18"/>
              </w:rPr>
              <w:t xml:space="preserve"> K</w:t>
            </w:r>
            <w:r w:rsidRPr="007E2B4E">
              <w:rPr>
                <w:sz w:val="18"/>
                <w:szCs w:val="18"/>
                <w:vertAlign w:val="superscript"/>
              </w:rPr>
              <w:t>-1</w:t>
            </w:r>
            <w:r w:rsidRPr="007E2B4E">
              <w:rPr>
                <w:sz w:val="18"/>
                <w:szCs w:val="18"/>
              </w:rPr>
              <w:t>) mean</w:t>
            </w:r>
          </w:p>
        </w:tc>
      </w:tr>
      <w:tr w:rsidR="00D821EF" w14:paraId="4BC90A3A"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499BDA2F" w14:textId="77777777" w:rsidR="00D821EF" w:rsidRPr="007E2B4E" w:rsidRDefault="00D821EF" w:rsidP="00D821EF">
            <w:pPr>
              <w:spacing w:before="0" w:after="0"/>
              <w:rPr>
                <w:sz w:val="18"/>
                <w:szCs w:val="18"/>
              </w:rPr>
            </w:pPr>
            <w:r w:rsidRPr="007E2B4E">
              <w:rPr>
                <w:sz w:val="18"/>
                <w:szCs w:val="18"/>
              </w:rPr>
              <w:t>0.5</w:t>
            </w:r>
          </w:p>
        </w:tc>
        <w:tc>
          <w:tcPr>
            <w:tcW w:w="1764" w:type="dxa"/>
            <w:shd w:val="clear" w:color="auto" w:fill="auto"/>
          </w:tcPr>
          <w:p w14:paraId="7B0E20C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0.04</w:t>
            </w:r>
          </w:p>
        </w:tc>
        <w:tc>
          <w:tcPr>
            <w:tcW w:w="1593" w:type="dxa"/>
            <w:shd w:val="clear" w:color="auto" w:fill="auto"/>
          </w:tcPr>
          <w:p w14:paraId="680D4F9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0.16</w:t>
            </w:r>
          </w:p>
        </w:tc>
        <w:tc>
          <w:tcPr>
            <w:tcW w:w="1678" w:type="dxa"/>
            <w:shd w:val="clear" w:color="auto" w:fill="auto"/>
          </w:tcPr>
          <w:p w14:paraId="61B3E65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1076.95</w:t>
            </w:r>
          </w:p>
        </w:tc>
        <w:tc>
          <w:tcPr>
            <w:tcW w:w="1667" w:type="dxa"/>
            <w:shd w:val="clear" w:color="auto" w:fill="auto"/>
          </w:tcPr>
          <w:p w14:paraId="4D9798A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3.02</w:t>
            </w:r>
          </w:p>
        </w:tc>
      </w:tr>
      <w:tr w:rsidR="00D821EF" w14:paraId="00A08F2B"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7A9A23B1" w14:textId="77777777" w:rsidR="00D821EF" w:rsidRPr="007E2B4E" w:rsidRDefault="00D821EF" w:rsidP="00D821EF">
            <w:pPr>
              <w:spacing w:before="0" w:after="0"/>
              <w:rPr>
                <w:sz w:val="18"/>
                <w:szCs w:val="18"/>
              </w:rPr>
            </w:pPr>
            <w:r w:rsidRPr="007E2B4E">
              <w:rPr>
                <w:sz w:val="18"/>
                <w:szCs w:val="18"/>
              </w:rPr>
              <w:t>1</w:t>
            </w:r>
          </w:p>
        </w:tc>
        <w:tc>
          <w:tcPr>
            <w:tcW w:w="1764" w:type="dxa"/>
            <w:shd w:val="clear" w:color="auto" w:fill="auto"/>
          </w:tcPr>
          <w:p w14:paraId="0658283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0.04</w:t>
            </w:r>
          </w:p>
        </w:tc>
        <w:tc>
          <w:tcPr>
            <w:tcW w:w="1593" w:type="dxa"/>
            <w:shd w:val="clear" w:color="auto" w:fill="auto"/>
          </w:tcPr>
          <w:p w14:paraId="7F0BF45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0.30</w:t>
            </w:r>
          </w:p>
        </w:tc>
        <w:tc>
          <w:tcPr>
            <w:tcW w:w="1678" w:type="dxa"/>
            <w:shd w:val="clear" w:color="auto" w:fill="auto"/>
          </w:tcPr>
          <w:p w14:paraId="08A97B1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1108.53</w:t>
            </w:r>
          </w:p>
        </w:tc>
        <w:tc>
          <w:tcPr>
            <w:tcW w:w="1667" w:type="dxa"/>
            <w:shd w:val="clear" w:color="auto" w:fill="auto"/>
          </w:tcPr>
          <w:p w14:paraId="68E3A79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3.11</w:t>
            </w:r>
          </w:p>
        </w:tc>
      </w:tr>
      <w:tr w:rsidR="00D821EF" w14:paraId="6E3AEEAE"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2AA11327"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0068914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0.03</w:t>
            </w:r>
          </w:p>
        </w:tc>
        <w:tc>
          <w:tcPr>
            <w:tcW w:w="1593" w:type="dxa"/>
            <w:shd w:val="clear" w:color="auto" w:fill="auto"/>
          </w:tcPr>
          <w:p w14:paraId="469AAC3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0.23</w:t>
            </w:r>
          </w:p>
        </w:tc>
        <w:tc>
          <w:tcPr>
            <w:tcW w:w="1678" w:type="dxa"/>
            <w:shd w:val="clear" w:color="auto" w:fill="auto"/>
          </w:tcPr>
          <w:p w14:paraId="36CDCAD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1037.47</w:t>
            </w:r>
          </w:p>
        </w:tc>
        <w:tc>
          <w:tcPr>
            <w:tcW w:w="1667" w:type="dxa"/>
            <w:shd w:val="clear" w:color="auto" w:fill="auto"/>
          </w:tcPr>
          <w:p w14:paraId="0FEC105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2.91</w:t>
            </w:r>
          </w:p>
        </w:tc>
      </w:tr>
      <w:tr w:rsidR="00D821EF" w14:paraId="78D318C5"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5E381B2" w14:textId="77777777" w:rsidR="00D821EF" w:rsidRPr="007E2B4E" w:rsidRDefault="00D821EF" w:rsidP="00D821EF">
            <w:pPr>
              <w:spacing w:before="0" w:after="0"/>
              <w:rPr>
                <w:sz w:val="18"/>
                <w:szCs w:val="18"/>
              </w:rPr>
            </w:pPr>
            <w:r w:rsidRPr="007E2B4E">
              <w:rPr>
                <w:sz w:val="18"/>
                <w:szCs w:val="18"/>
              </w:rPr>
              <w:t>5</w:t>
            </w:r>
          </w:p>
        </w:tc>
        <w:tc>
          <w:tcPr>
            <w:tcW w:w="1764" w:type="dxa"/>
            <w:shd w:val="clear" w:color="auto" w:fill="auto"/>
          </w:tcPr>
          <w:p w14:paraId="63F3668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0.45</w:t>
            </w:r>
          </w:p>
        </w:tc>
        <w:tc>
          <w:tcPr>
            <w:tcW w:w="1593" w:type="dxa"/>
            <w:shd w:val="clear" w:color="auto" w:fill="auto"/>
          </w:tcPr>
          <w:p w14:paraId="0BB0185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0.17</w:t>
            </w:r>
          </w:p>
        </w:tc>
        <w:tc>
          <w:tcPr>
            <w:tcW w:w="1678" w:type="dxa"/>
            <w:shd w:val="clear" w:color="auto" w:fill="auto"/>
          </w:tcPr>
          <w:p w14:paraId="7DA375C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1129.93</w:t>
            </w:r>
          </w:p>
        </w:tc>
        <w:tc>
          <w:tcPr>
            <w:tcW w:w="1667" w:type="dxa"/>
            <w:shd w:val="clear" w:color="auto" w:fill="auto"/>
          </w:tcPr>
          <w:p w14:paraId="02EA7D3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3.17</w:t>
            </w:r>
          </w:p>
        </w:tc>
      </w:tr>
      <w:tr w:rsidR="00D821EF" w14:paraId="480B93A5"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556A43B0" w14:textId="77777777" w:rsidR="00D821EF" w:rsidRPr="007E2B4E" w:rsidRDefault="00D821EF" w:rsidP="00D821EF">
            <w:pPr>
              <w:spacing w:before="0" w:after="0"/>
              <w:rPr>
                <w:sz w:val="18"/>
                <w:szCs w:val="18"/>
              </w:rPr>
            </w:pPr>
            <w:r w:rsidRPr="007E2B4E">
              <w:rPr>
                <w:sz w:val="18"/>
                <w:szCs w:val="18"/>
              </w:rPr>
              <w:t>10</w:t>
            </w:r>
          </w:p>
        </w:tc>
        <w:tc>
          <w:tcPr>
            <w:tcW w:w="1764" w:type="dxa"/>
            <w:shd w:val="clear" w:color="auto" w:fill="auto"/>
          </w:tcPr>
          <w:p w14:paraId="68B3AD1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0.67</w:t>
            </w:r>
          </w:p>
        </w:tc>
        <w:tc>
          <w:tcPr>
            <w:tcW w:w="1593" w:type="dxa"/>
            <w:shd w:val="clear" w:color="auto" w:fill="auto"/>
          </w:tcPr>
          <w:p w14:paraId="5004831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0.22</w:t>
            </w:r>
          </w:p>
        </w:tc>
        <w:tc>
          <w:tcPr>
            <w:tcW w:w="1678" w:type="dxa"/>
            <w:shd w:val="clear" w:color="auto" w:fill="auto"/>
          </w:tcPr>
          <w:p w14:paraId="58257EC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1019.95</w:t>
            </w:r>
          </w:p>
        </w:tc>
        <w:tc>
          <w:tcPr>
            <w:tcW w:w="1667" w:type="dxa"/>
            <w:shd w:val="clear" w:color="auto" w:fill="auto"/>
          </w:tcPr>
          <w:p w14:paraId="317DF42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2.86</w:t>
            </w:r>
          </w:p>
        </w:tc>
      </w:tr>
      <w:tr w:rsidR="00D821EF" w14:paraId="5D020DB9"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7F2BEBDE"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5304961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1.17</w:t>
            </w:r>
          </w:p>
        </w:tc>
        <w:tc>
          <w:tcPr>
            <w:tcW w:w="1593" w:type="dxa"/>
            <w:shd w:val="clear" w:color="auto" w:fill="auto"/>
          </w:tcPr>
          <w:p w14:paraId="71FDCBB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0.26</w:t>
            </w:r>
          </w:p>
        </w:tc>
        <w:tc>
          <w:tcPr>
            <w:tcW w:w="1678" w:type="dxa"/>
            <w:shd w:val="clear" w:color="auto" w:fill="auto"/>
          </w:tcPr>
          <w:p w14:paraId="307DE907"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1006.75</w:t>
            </w:r>
          </w:p>
        </w:tc>
        <w:tc>
          <w:tcPr>
            <w:tcW w:w="1667" w:type="dxa"/>
            <w:shd w:val="clear" w:color="auto" w:fill="auto"/>
          </w:tcPr>
          <w:p w14:paraId="6961839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2.82</w:t>
            </w:r>
          </w:p>
        </w:tc>
      </w:tr>
      <w:tr w:rsidR="00D821EF" w14:paraId="7D959A70"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32D55231" w14:textId="77777777" w:rsidR="00D821EF" w:rsidRPr="007E2B4E" w:rsidRDefault="00D821EF" w:rsidP="00D821EF">
            <w:pPr>
              <w:spacing w:before="0" w:after="0"/>
              <w:rPr>
                <w:sz w:val="18"/>
                <w:szCs w:val="18"/>
              </w:rPr>
            </w:pPr>
            <w:r w:rsidRPr="007E2B4E">
              <w:rPr>
                <w:sz w:val="18"/>
                <w:szCs w:val="18"/>
              </w:rPr>
              <w:t>50</w:t>
            </w:r>
          </w:p>
        </w:tc>
        <w:tc>
          <w:tcPr>
            <w:tcW w:w="1764" w:type="dxa"/>
            <w:shd w:val="clear" w:color="auto" w:fill="auto"/>
          </w:tcPr>
          <w:p w14:paraId="3CBEEF6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1.64</w:t>
            </w:r>
          </w:p>
        </w:tc>
        <w:tc>
          <w:tcPr>
            <w:tcW w:w="1593" w:type="dxa"/>
            <w:shd w:val="clear" w:color="auto" w:fill="auto"/>
          </w:tcPr>
          <w:p w14:paraId="03F4095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0.42</w:t>
            </w:r>
          </w:p>
        </w:tc>
        <w:tc>
          <w:tcPr>
            <w:tcW w:w="1678" w:type="dxa"/>
            <w:shd w:val="clear" w:color="auto" w:fill="auto"/>
          </w:tcPr>
          <w:p w14:paraId="4416C87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1017.36</w:t>
            </w:r>
          </w:p>
        </w:tc>
        <w:tc>
          <w:tcPr>
            <w:tcW w:w="1667" w:type="dxa"/>
            <w:shd w:val="clear" w:color="auto" w:fill="auto"/>
          </w:tcPr>
          <w:p w14:paraId="391534C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2.84</w:t>
            </w:r>
          </w:p>
        </w:tc>
      </w:tr>
      <w:tr w:rsidR="00D821EF" w14:paraId="4970A8AC"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F52C215" w14:textId="77777777" w:rsidR="00D821EF" w:rsidRPr="007E2B4E" w:rsidRDefault="00D821EF" w:rsidP="00D821EF">
            <w:pPr>
              <w:spacing w:before="0" w:after="0"/>
              <w:rPr>
                <w:sz w:val="18"/>
                <w:szCs w:val="18"/>
              </w:rPr>
            </w:pPr>
            <w:r w:rsidRPr="007E2B4E">
              <w:rPr>
                <w:sz w:val="18"/>
                <w:szCs w:val="18"/>
              </w:rPr>
              <w:t>75</w:t>
            </w:r>
          </w:p>
        </w:tc>
        <w:tc>
          <w:tcPr>
            <w:tcW w:w="1764" w:type="dxa"/>
            <w:shd w:val="clear" w:color="auto" w:fill="auto"/>
          </w:tcPr>
          <w:p w14:paraId="54EC822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2.13</w:t>
            </w:r>
          </w:p>
        </w:tc>
        <w:tc>
          <w:tcPr>
            <w:tcW w:w="1593" w:type="dxa"/>
            <w:shd w:val="clear" w:color="auto" w:fill="auto"/>
          </w:tcPr>
          <w:p w14:paraId="104A335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0.29</w:t>
            </w:r>
          </w:p>
        </w:tc>
        <w:tc>
          <w:tcPr>
            <w:tcW w:w="1678" w:type="dxa"/>
            <w:shd w:val="clear" w:color="auto" w:fill="auto"/>
          </w:tcPr>
          <w:p w14:paraId="09A05F4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1075.90</w:t>
            </w:r>
          </w:p>
        </w:tc>
        <w:tc>
          <w:tcPr>
            <w:tcW w:w="1667" w:type="dxa"/>
            <w:shd w:val="clear" w:color="auto" w:fill="auto"/>
          </w:tcPr>
          <w:p w14:paraId="68741C5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3.00</w:t>
            </w:r>
          </w:p>
        </w:tc>
      </w:tr>
      <w:tr w:rsidR="00D821EF" w14:paraId="35BF22D4"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0203B19E" w14:textId="77777777" w:rsidR="00D821EF" w:rsidRPr="007E2B4E" w:rsidRDefault="00D821EF" w:rsidP="00D821EF">
            <w:pPr>
              <w:spacing w:before="0" w:after="0"/>
              <w:rPr>
                <w:sz w:val="18"/>
                <w:szCs w:val="18"/>
              </w:rPr>
            </w:pPr>
            <w:r w:rsidRPr="007E2B4E">
              <w:rPr>
                <w:sz w:val="18"/>
                <w:szCs w:val="18"/>
              </w:rPr>
              <w:t>100</w:t>
            </w:r>
          </w:p>
        </w:tc>
        <w:tc>
          <w:tcPr>
            <w:tcW w:w="1764" w:type="dxa"/>
            <w:shd w:val="clear" w:color="auto" w:fill="auto"/>
          </w:tcPr>
          <w:p w14:paraId="62C1B9C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2.68</w:t>
            </w:r>
          </w:p>
        </w:tc>
        <w:tc>
          <w:tcPr>
            <w:tcW w:w="1593" w:type="dxa"/>
            <w:shd w:val="clear" w:color="auto" w:fill="auto"/>
          </w:tcPr>
          <w:p w14:paraId="3D01477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0.05</w:t>
            </w:r>
          </w:p>
        </w:tc>
        <w:tc>
          <w:tcPr>
            <w:tcW w:w="1678" w:type="dxa"/>
            <w:shd w:val="clear" w:color="auto" w:fill="auto"/>
          </w:tcPr>
          <w:p w14:paraId="75204D5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1015.33</w:t>
            </w:r>
          </w:p>
        </w:tc>
        <w:tc>
          <w:tcPr>
            <w:tcW w:w="1667" w:type="dxa"/>
            <w:shd w:val="clear" w:color="auto" w:fill="auto"/>
          </w:tcPr>
          <w:p w14:paraId="7344E98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2.83</w:t>
            </w:r>
          </w:p>
        </w:tc>
      </w:tr>
      <w:tr w:rsidR="00D821EF" w14:paraId="4A1303FB"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00A7E993" w14:textId="77777777" w:rsidR="00D821EF" w:rsidRPr="007E2B4E" w:rsidRDefault="00D821EF" w:rsidP="00D821EF">
            <w:pPr>
              <w:spacing w:before="0" w:after="0"/>
              <w:rPr>
                <w:sz w:val="18"/>
                <w:szCs w:val="18"/>
              </w:rPr>
            </w:pPr>
            <w:r w:rsidRPr="007E2B4E">
              <w:rPr>
                <w:sz w:val="18"/>
                <w:szCs w:val="18"/>
              </w:rPr>
              <w:t>250</w:t>
            </w:r>
          </w:p>
        </w:tc>
        <w:tc>
          <w:tcPr>
            <w:tcW w:w="1764" w:type="dxa"/>
            <w:shd w:val="clear" w:color="auto" w:fill="auto"/>
          </w:tcPr>
          <w:p w14:paraId="44B8559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3.50</w:t>
            </w:r>
          </w:p>
        </w:tc>
        <w:tc>
          <w:tcPr>
            <w:tcW w:w="1593" w:type="dxa"/>
            <w:shd w:val="clear" w:color="auto" w:fill="auto"/>
          </w:tcPr>
          <w:p w14:paraId="6EB93E2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0.09</w:t>
            </w:r>
          </w:p>
        </w:tc>
        <w:tc>
          <w:tcPr>
            <w:tcW w:w="1678" w:type="dxa"/>
            <w:shd w:val="clear" w:color="auto" w:fill="auto"/>
          </w:tcPr>
          <w:p w14:paraId="539151F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943.923</w:t>
            </w:r>
          </w:p>
        </w:tc>
        <w:tc>
          <w:tcPr>
            <w:tcW w:w="1667" w:type="dxa"/>
            <w:shd w:val="clear" w:color="auto" w:fill="auto"/>
          </w:tcPr>
          <w:p w14:paraId="0902C38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2.62</w:t>
            </w:r>
          </w:p>
        </w:tc>
      </w:tr>
      <w:tr w:rsidR="00D821EF" w14:paraId="33F79346"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568C7F09" w14:textId="77777777" w:rsidR="00D821EF" w:rsidRPr="007E2B4E" w:rsidRDefault="00D821EF" w:rsidP="00D821EF">
            <w:pPr>
              <w:spacing w:before="0" w:after="0"/>
              <w:rPr>
                <w:sz w:val="18"/>
                <w:szCs w:val="18"/>
              </w:rPr>
            </w:pPr>
            <w:r w:rsidRPr="007E2B4E">
              <w:rPr>
                <w:sz w:val="18"/>
                <w:szCs w:val="18"/>
              </w:rPr>
              <w:t>500</w:t>
            </w:r>
          </w:p>
        </w:tc>
        <w:tc>
          <w:tcPr>
            <w:tcW w:w="1764" w:type="dxa"/>
            <w:shd w:val="clear" w:color="auto" w:fill="auto"/>
          </w:tcPr>
          <w:p w14:paraId="66F267B7"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4.39</w:t>
            </w:r>
          </w:p>
        </w:tc>
        <w:tc>
          <w:tcPr>
            <w:tcW w:w="1593" w:type="dxa"/>
            <w:shd w:val="clear" w:color="auto" w:fill="auto"/>
          </w:tcPr>
          <w:p w14:paraId="7C81C37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0.11</w:t>
            </w:r>
          </w:p>
        </w:tc>
        <w:tc>
          <w:tcPr>
            <w:tcW w:w="1678" w:type="dxa"/>
            <w:shd w:val="clear" w:color="auto" w:fill="auto"/>
          </w:tcPr>
          <w:p w14:paraId="1934092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1052.32</w:t>
            </w:r>
          </w:p>
        </w:tc>
        <w:tc>
          <w:tcPr>
            <w:tcW w:w="1667" w:type="dxa"/>
            <w:shd w:val="clear" w:color="auto" w:fill="auto"/>
          </w:tcPr>
          <w:p w14:paraId="7C5069C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2.92</w:t>
            </w:r>
          </w:p>
        </w:tc>
      </w:tr>
      <w:tr w:rsidR="00D821EF" w14:paraId="4F546A94"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3BD9A817" w14:textId="77777777" w:rsidR="00D821EF" w:rsidRPr="007E2B4E" w:rsidRDefault="00D821EF" w:rsidP="00D821EF">
            <w:pPr>
              <w:spacing w:before="0" w:after="0"/>
              <w:rPr>
                <w:sz w:val="18"/>
                <w:szCs w:val="18"/>
              </w:rPr>
            </w:pPr>
            <w:r w:rsidRPr="007E2B4E">
              <w:rPr>
                <w:sz w:val="18"/>
                <w:szCs w:val="18"/>
              </w:rPr>
              <w:t>750</w:t>
            </w:r>
          </w:p>
        </w:tc>
        <w:tc>
          <w:tcPr>
            <w:tcW w:w="1764" w:type="dxa"/>
            <w:shd w:val="clear" w:color="auto" w:fill="auto"/>
          </w:tcPr>
          <w:p w14:paraId="2812550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5.09</w:t>
            </w:r>
          </w:p>
        </w:tc>
        <w:tc>
          <w:tcPr>
            <w:tcW w:w="1593" w:type="dxa"/>
            <w:shd w:val="clear" w:color="auto" w:fill="auto"/>
          </w:tcPr>
          <w:p w14:paraId="6254726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0.14</w:t>
            </w:r>
          </w:p>
        </w:tc>
        <w:tc>
          <w:tcPr>
            <w:tcW w:w="1678" w:type="dxa"/>
            <w:shd w:val="clear" w:color="auto" w:fill="auto"/>
          </w:tcPr>
          <w:p w14:paraId="5CB61EE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989.81</w:t>
            </w:r>
          </w:p>
        </w:tc>
        <w:tc>
          <w:tcPr>
            <w:tcW w:w="1667" w:type="dxa"/>
            <w:shd w:val="clear" w:color="auto" w:fill="auto"/>
          </w:tcPr>
          <w:p w14:paraId="51CD62C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2.74</w:t>
            </w:r>
          </w:p>
        </w:tc>
      </w:tr>
      <w:tr w:rsidR="00D821EF" w14:paraId="1CF81C7D"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74897F43" w14:textId="77777777" w:rsidR="00D821EF" w:rsidRPr="007E2B4E" w:rsidRDefault="00D821EF" w:rsidP="00D821EF">
            <w:pPr>
              <w:spacing w:before="0" w:after="0"/>
              <w:rPr>
                <w:sz w:val="18"/>
                <w:szCs w:val="18"/>
              </w:rPr>
            </w:pPr>
            <w:r w:rsidRPr="007E2B4E">
              <w:rPr>
                <w:sz w:val="18"/>
                <w:szCs w:val="18"/>
              </w:rPr>
              <w:t>1000</w:t>
            </w:r>
          </w:p>
        </w:tc>
        <w:tc>
          <w:tcPr>
            <w:tcW w:w="1764" w:type="dxa"/>
            <w:shd w:val="clear" w:color="auto" w:fill="auto"/>
          </w:tcPr>
          <w:p w14:paraId="59E422D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5.83</w:t>
            </w:r>
          </w:p>
        </w:tc>
        <w:tc>
          <w:tcPr>
            <w:tcW w:w="1593" w:type="dxa"/>
            <w:shd w:val="clear" w:color="auto" w:fill="auto"/>
          </w:tcPr>
          <w:p w14:paraId="2018F1A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0.15</w:t>
            </w:r>
          </w:p>
        </w:tc>
        <w:tc>
          <w:tcPr>
            <w:tcW w:w="1678" w:type="dxa"/>
            <w:shd w:val="clear" w:color="auto" w:fill="auto"/>
          </w:tcPr>
          <w:p w14:paraId="77FBC7A5"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1057.82</w:t>
            </w:r>
          </w:p>
        </w:tc>
        <w:tc>
          <w:tcPr>
            <w:tcW w:w="1667" w:type="dxa"/>
            <w:shd w:val="clear" w:color="auto" w:fill="auto"/>
          </w:tcPr>
          <w:p w14:paraId="1126EA5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2.92</w:t>
            </w:r>
          </w:p>
        </w:tc>
      </w:tr>
    </w:tbl>
    <w:p w14:paraId="7569B2EF" w14:textId="77777777" w:rsidR="00D821EF" w:rsidRDefault="00D821EF" w:rsidP="008C2B83"/>
    <w:p w14:paraId="73027E9F" w14:textId="77777777" w:rsidR="00D821EF" w:rsidRPr="00CD1A45" w:rsidRDefault="00D821EF" w:rsidP="00FB0CA1">
      <w:pPr>
        <w:pStyle w:val="Caption"/>
        <w:keepNext/>
        <w:jc w:val="left"/>
      </w:pPr>
      <w:r w:rsidRPr="00CD1A45">
        <w:t xml:space="preserve">Table </w:t>
      </w:r>
      <w:fldSimple w:instr=" STYLEREF 1 \s ">
        <w:r w:rsidR="00AA6926">
          <w:rPr>
            <w:noProof/>
          </w:rPr>
          <w:t>8</w:t>
        </w:r>
      </w:fldSimple>
      <w:r>
        <w:noBreakHyphen/>
      </w:r>
      <w:fldSimple w:instr=" SEQ Table \* ARABIC \s 1 ">
        <w:r w:rsidR="00AA6926">
          <w:rPr>
            <w:noProof/>
          </w:rPr>
          <w:t>2</w:t>
        </w:r>
      </w:fldSimple>
      <w:r w:rsidRPr="00CD1A45">
        <w:t xml:space="preserve">. </w:t>
      </w:r>
      <w:r>
        <w:t>Data values of 1 g/L lysozyme pH 7 in presence of various concentrations of glycine n=3</w:t>
      </w:r>
    </w:p>
    <w:tbl>
      <w:tblPr>
        <w:tblStyle w:val="LightShading"/>
        <w:tblW w:w="0" w:type="auto"/>
        <w:tblLook w:val="04A0" w:firstRow="1" w:lastRow="0" w:firstColumn="1" w:lastColumn="0" w:noHBand="0" w:noVBand="1"/>
      </w:tblPr>
      <w:tblGrid>
        <w:gridCol w:w="2018"/>
        <w:gridCol w:w="1764"/>
        <w:gridCol w:w="1593"/>
        <w:gridCol w:w="1678"/>
        <w:gridCol w:w="1667"/>
      </w:tblGrid>
      <w:tr w:rsidR="00D821EF" w14:paraId="4C94DD9E"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41C08715" w14:textId="77777777" w:rsidR="00D821EF" w:rsidRPr="007E2B4E" w:rsidRDefault="00D821EF" w:rsidP="00D821EF">
            <w:pPr>
              <w:spacing w:before="0" w:after="0"/>
              <w:rPr>
                <w:sz w:val="18"/>
                <w:szCs w:val="18"/>
              </w:rPr>
            </w:pPr>
            <w:r w:rsidRPr="007E2B4E">
              <w:rPr>
                <w:sz w:val="18"/>
                <w:szCs w:val="18"/>
              </w:rPr>
              <w:t>Concentration (mM)</w:t>
            </w:r>
          </w:p>
        </w:tc>
        <w:tc>
          <w:tcPr>
            <w:tcW w:w="1764" w:type="dxa"/>
            <w:shd w:val="clear" w:color="auto" w:fill="auto"/>
          </w:tcPr>
          <w:p w14:paraId="120B0B12"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mean (°C)</w:t>
            </w:r>
          </w:p>
        </w:tc>
        <w:tc>
          <w:tcPr>
            <w:tcW w:w="1593" w:type="dxa"/>
            <w:shd w:val="clear" w:color="auto" w:fill="auto"/>
          </w:tcPr>
          <w:p w14:paraId="4CB46E3B"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SE</w:t>
            </w:r>
          </w:p>
        </w:tc>
        <w:tc>
          <w:tcPr>
            <w:tcW w:w="1678" w:type="dxa"/>
            <w:shd w:val="clear" w:color="auto" w:fill="auto"/>
          </w:tcPr>
          <w:p w14:paraId="40F5AC38"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ΔH (kJ mol</w:t>
            </w:r>
            <w:r w:rsidRPr="007E2B4E">
              <w:rPr>
                <w:sz w:val="18"/>
                <w:szCs w:val="18"/>
                <w:vertAlign w:val="superscript"/>
              </w:rPr>
              <w:t>-1</w:t>
            </w:r>
            <w:r w:rsidRPr="007E2B4E">
              <w:rPr>
                <w:sz w:val="18"/>
                <w:szCs w:val="18"/>
              </w:rPr>
              <w:t>) mean</w:t>
            </w:r>
          </w:p>
        </w:tc>
        <w:tc>
          <w:tcPr>
            <w:tcW w:w="1667" w:type="dxa"/>
            <w:shd w:val="clear" w:color="auto" w:fill="auto"/>
          </w:tcPr>
          <w:p w14:paraId="2BDCB191"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ΔS (kJ mol</w:t>
            </w:r>
            <w:r w:rsidRPr="007E2B4E">
              <w:rPr>
                <w:sz w:val="18"/>
                <w:szCs w:val="18"/>
                <w:vertAlign w:val="superscript"/>
              </w:rPr>
              <w:t>-1</w:t>
            </w:r>
            <w:r w:rsidRPr="007E2B4E">
              <w:rPr>
                <w:sz w:val="18"/>
                <w:szCs w:val="18"/>
              </w:rPr>
              <w:t xml:space="preserve"> K</w:t>
            </w:r>
            <w:r w:rsidRPr="007E2B4E">
              <w:rPr>
                <w:sz w:val="18"/>
                <w:szCs w:val="18"/>
                <w:vertAlign w:val="superscript"/>
              </w:rPr>
              <w:t>-1</w:t>
            </w:r>
            <w:r w:rsidRPr="007E2B4E">
              <w:rPr>
                <w:sz w:val="18"/>
                <w:szCs w:val="18"/>
              </w:rPr>
              <w:t>) mean</w:t>
            </w:r>
          </w:p>
        </w:tc>
      </w:tr>
      <w:tr w:rsidR="00D821EF" w14:paraId="76F5461A"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0606DD5B" w14:textId="77777777" w:rsidR="00D821EF" w:rsidRPr="007E2B4E" w:rsidRDefault="00D821EF" w:rsidP="00D821EF">
            <w:pPr>
              <w:spacing w:before="0" w:after="0"/>
              <w:rPr>
                <w:sz w:val="18"/>
                <w:szCs w:val="18"/>
              </w:rPr>
            </w:pPr>
            <w:r w:rsidRPr="007E2B4E">
              <w:rPr>
                <w:sz w:val="18"/>
                <w:szCs w:val="18"/>
              </w:rPr>
              <w:t>0.5</w:t>
            </w:r>
          </w:p>
        </w:tc>
        <w:tc>
          <w:tcPr>
            <w:tcW w:w="1764" w:type="dxa"/>
            <w:shd w:val="clear" w:color="auto" w:fill="auto"/>
          </w:tcPr>
          <w:p w14:paraId="50668F3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0.17</w:t>
            </w:r>
          </w:p>
        </w:tc>
        <w:tc>
          <w:tcPr>
            <w:tcW w:w="1593" w:type="dxa"/>
            <w:shd w:val="clear" w:color="auto" w:fill="auto"/>
          </w:tcPr>
          <w:p w14:paraId="099078A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0.19</w:t>
            </w:r>
          </w:p>
        </w:tc>
        <w:tc>
          <w:tcPr>
            <w:tcW w:w="1678" w:type="dxa"/>
            <w:shd w:val="clear" w:color="auto" w:fill="auto"/>
          </w:tcPr>
          <w:p w14:paraId="0670C84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383.50</w:t>
            </w:r>
          </w:p>
        </w:tc>
        <w:tc>
          <w:tcPr>
            <w:tcW w:w="1667" w:type="dxa"/>
            <w:shd w:val="clear" w:color="auto" w:fill="auto"/>
          </w:tcPr>
          <w:p w14:paraId="2FC0151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1.11</w:t>
            </w:r>
          </w:p>
        </w:tc>
      </w:tr>
      <w:tr w:rsidR="00D821EF" w14:paraId="06C7F9B1"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3A8F493C" w14:textId="77777777" w:rsidR="00D821EF" w:rsidRPr="007E2B4E" w:rsidRDefault="00D821EF" w:rsidP="00D821EF">
            <w:pPr>
              <w:spacing w:before="0" w:after="0"/>
              <w:rPr>
                <w:sz w:val="18"/>
                <w:szCs w:val="18"/>
              </w:rPr>
            </w:pPr>
            <w:r w:rsidRPr="007E2B4E">
              <w:rPr>
                <w:sz w:val="18"/>
                <w:szCs w:val="18"/>
              </w:rPr>
              <w:t>1</w:t>
            </w:r>
          </w:p>
        </w:tc>
        <w:tc>
          <w:tcPr>
            <w:tcW w:w="1764" w:type="dxa"/>
            <w:shd w:val="clear" w:color="auto" w:fill="auto"/>
          </w:tcPr>
          <w:p w14:paraId="25F94AF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0.20</w:t>
            </w:r>
          </w:p>
        </w:tc>
        <w:tc>
          <w:tcPr>
            <w:tcW w:w="1593" w:type="dxa"/>
            <w:shd w:val="clear" w:color="auto" w:fill="auto"/>
          </w:tcPr>
          <w:p w14:paraId="67BD496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0.09</w:t>
            </w:r>
          </w:p>
        </w:tc>
        <w:tc>
          <w:tcPr>
            <w:tcW w:w="1678" w:type="dxa"/>
            <w:shd w:val="clear" w:color="auto" w:fill="auto"/>
          </w:tcPr>
          <w:p w14:paraId="63B601A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390.39</w:t>
            </w:r>
          </w:p>
        </w:tc>
        <w:tc>
          <w:tcPr>
            <w:tcW w:w="1667" w:type="dxa"/>
            <w:shd w:val="clear" w:color="auto" w:fill="auto"/>
          </w:tcPr>
          <w:p w14:paraId="586A72E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1.13</w:t>
            </w:r>
          </w:p>
        </w:tc>
      </w:tr>
      <w:tr w:rsidR="00D821EF" w14:paraId="054AF53F"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40C2BDFD"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09FF5FB7"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0.22</w:t>
            </w:r>
          </w:p>
        </w:tc>
        <w:tc>
          <w:tcPr>
            <w:tcW w:w="1593" w:type="dxa"/>
            <w:shd w:val="clear" w:color="auto" w:fill="auto"/>
          </w:tcPr>
          <w:p w14:paraId="2507A9E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0.15</w:t>
            </w:r>
          </w:p>
        </w:tc>
        <w:tc>
          <w:tcPr>
            <w:tcW w:w="1678" w:type="dxa"/>
            <w:shd w:val="clear" w:color="auto" w:fill="auto"/>
          </w:tcPr>
          <w:p w14:paraId="320EB6A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387.00</w:t>
            </w:r>
          </w:p>
        </w:tc>
        <w:tc>
          <w:tcPr>
            <w:tcW w:w="1667" w:type="dxa"/>
            <w:shd w:val="clear" w:color="auto" w:fill="auto"/>
          </w:tcPr>
          <w:p w14:paraId="7981D81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1.12</w:t>
            </w:r>
          </w:p>
        </w:tc>
      </w:tr>
      <w:tr w:rsidR="00D821EF" w14:paraId="6020E96C"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27AF291C" w14:textId="77777777" w:rsidR="00D821EF" w:rsidRPr="007E2B4E" w:rsidRDefault="00D821EF" w:rsidP="00D821EF">
            <w:pPr>
              <w:spacing w:before="0" w:after="0"/>
              <w:rPr>
                <w:sz w:val="18"/>
                <w:szCs w:val="18"/>
              </w:rPr>
            </w:pPr>
            <w:r w:rsidRPr="007E2B4E">
              <w:rPr>
                <w:sz w:val="18"/>
                <w:szCs w:val="18"/>
              </w:rPr>
              <w:t>5</w:t>
            </w:r>
          </w:p>
        </w:tc>
        <w:tc>
          <w:tcPr>
            <w:tcW w:w="1764" w:type="dxa"/>
            <w:shd w:val="clear" w:color="auto" w:fill="auto"/>
          </w:tcPr>
          <w:p w14:paraId="05C8EBF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0.25</w:t>
            </w:r>
          </w:p>
        </w:tc>
        <w:tc>
          <w:tcPr>
            <w:tcW w:w="1593" w:type="dxa"/>
            <w:shd w:val="clear" w:color="auto" w:fill="auto"/>
          </w:tcPr>
          <w:p w14:paraId="08123A6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0.24</w:t>
            </w:r>
          </w:p>
        </w:tc>
        <w:tc>
          <w:tcPr>
            <w:tcW w:w="1678" w:type="dxa"/>
            <w:shd w:val="clear" w:color="auto" w:fill="auto"/>
          </w:tcPr>
          <w:p w14:paraId="3E58488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392.55</w:t>
            </w:r>
          </w:p>
        </w:tc>
        <w:tc>
          <w:tcPr>
            <w:tcW w:w="1667" w:type="dxa"/>
            <w:shd w:val="clear" w:color="auto" w:fill="auto"/>
          </w:tcPr>
          <w:p w14:paraId="5BE44B1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1.13</w:t>
            </w:r>
          </w:p>
        </w:tc>
      </w:tr>
      <w:tr w:rsidR="00D821EF" w14:paraId="752BB2A7"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9A7C60C" w14:textId="77777777" w:rsidR="00D821EF" w:rsidRPr="007E2B4E" w:rsidRDefault="00D821EF" w:rsidP="00D821EF">
            <w:pPr>
              <w:spacing w:before="0" w:after="0"/>
              <w:rPr>
                <w:sz w:val="18"/>
                <w:szCs w:val="18"/>
              </w:rPr>
            </w:pPr>
            <w:r w:rsidRPr="007E2B4E">
              <w:rPr>
                <w:sz w:val="18"/>
                <w:szCs w:val="18"/>
              </w:rPr>
              <w:t>10</w:t>
            </w:r>
          </w:p>
        </w:tc>
        <w:tc>
          <w:tcPr>
            <w:tcW w:w="1764" w:type="dxa"/>
            <w:shd w:val="clear" w:color="auto" w:fill="auto"/>
          </w:tcPr>
          <w:p w14:paraId="6465B730"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0.45</w:t>
            </w:r>
          </w:p>
        </w:tc>
        <w:tc>
          <w:tcPr>
            <w:tcW w:w="1593" w:type="dxa"/>
            <w:shd w:val="clear" w:color="auto" w:fill="auto"/>
          </w:tcPr>
          <w:p w14:paraId="2D319DC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0.24</w:t>
            </w:r>
          </w:p>
        </w:tc>
        <w:tc>
          <w:tcPr>
            <w:tcW w:w="1678" w:type="dxa"/>
            <w:shd w:val="clear" w:color="auto" w:fill="auto"/>
          </w:tcPr>
          <w:p w14:paraId="637FBAD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386.75</w:t>
            </w:r>
          </w:p>
        </w:tc>
        <w:tc>
          <w:tcPr>
            <w:tcW w:w="1667" w:type="dxa"/>
            <w:shd w:val="clear" w:color="auto" w:fill="auto"/>
          </w:tcPr>
          <w:p w14:paraId="3630474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1.11</w:t>
            </w:r>
          </w:p>
        </w:tc>
      </w:tr>
      <w:tr w:rsidR="00D821EF" w14:paraId="728DB1FD"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2871A987"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2B81796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0.57</w:t>
            </w:r>
          </w:p>
        </w:tc>
        <w:tc>
          <w:tcPr>
            <w:tcW w:w="1593" w:type="dxa"/>
            <w:shd w:val="clear" w:color="auto" w:fill="auto"/>
          </w:tcPr>
          <w:p w14:paraId="211C658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0.19</w:t>
            </w:r>
          </w:p>
        </w:tc>
        <w:tc>
          <w:tcPr>
            <w:tcW w:w="1678" w:type="dxa"/>
            <w:shd w:val="clear" w:color="auto" w:fill="auto"/>
          </w:tcPr>
          <w:p w14:paraId="59709DF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383.84</w:t>
            </w:r>
          </w:p>
        </w:tc>
        <w:tc>
          <w:tcPr>
            <w:tcW w:w="1667" w:type="dxa"/>
            <w:shd w:val="clear" w:color="auto" w:fill="auto"/>
          </w:tcPr>
          <w:p w14:paraId="50694BC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1.11</w:t>
            </w:r>
          </w:p>
        </w:tc>
      </w:tr>
      <w:tr w:rsidR="00D821EF" w14:paraId="1C6BB87F"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40F231CB" w14:textId="77777777" w:rsidR="00D821EF" w:rsidRPr="007E2B4E" w:rsidRDefault="00D821EF" w:rsidP="00D821EF">
            <w:pPr>
              <w:spacing w:before="0" w:after="0"/>
              <w:rPr>
                <w:sz w:val="18"/>
                <w:szCs w:val="18"/>
              </w:rPr>
            </w:pPr>
            <w:r w:rsidRPr="007E2B4E">
              <w:rPr>
                <w:sz w:val="18"/>
                <w:szCs w:val="18"/>
              </w:rPr>
              <w:t>50</w:t>
            </w:r>
          </w:p>
        </w:tc>
        <w:tc>
          <w:tcPr>
            <w:tcW w:w="1764" w:type="dxa"/>
            <w:shd w:val="clear" w:color="auto" w:fill="auto"/>
          </w:tcPr>
          <w:p w14:paraId="266D0E6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0.72</w:t>
            </w:r>
          </w:p>
        </w:tc>
        <w:tc>
          <w:tcPr>
            <w:tcW w:w="1593" w:type="dxa"/>
            <w:shd w:val="clear" w:color="auto" w:fill="auto"/>
          </w:tcPr>
          <w:p w14:paraId="40CDDD6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0.18</w:t>
            </w:r>
          </w:p>
        </w:tc>
        <w:tc>
          <w:tcPr>
            <w:tcW w:w="1678" w:type="dxa"/>
            <w:shd w:val="clear" w:color="auto" w:fill="auto"/>
          </w:tcPr>
          <w:p w14:paraId="34B3B8C5"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382.76</w:t>
            </w:r>
          </w:p>
        </w:tc>
        <w:tc>
          <w:tcPr>
            <w:tcW w:w="1667" w:type="dxa"/>
            <w:shd w:val="clear" w:color="auto" w:fill="auto"/>
          </w:tcPr>
          <w:p w14:paraId="6DC43D2C"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1.10</w:t>
            </w:r>
          </w:p>
        </w:tc>
      </w:tr>
      <w:tr w:rsidR="00D821EF" w14:paraId="26DD7725"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B91AF2F" w14:textId="77777777" w:rsidR="00D821EF" w:rsidRPr="007E2B4E" w:rsidRDefault="00D821EF" w:rsidP="00D821EF">
            <w:pPr>
              <w:spacing w:before="0" w:after="0"/>
              <w:rPr>
                <w:sz w:val="18"/>
                <w:szCs w:val="18"/>
              </w:rPr>
            </w:pPr>
            <w:r w:rsidRPr="007E2B4E">
              <w:rPr>
                <w:sz w:val="18"/>
                <w:szCs w:val="18"/>
              </w:rPr>
              <w:t>75</w:t>
            </w:r>
          </w:p>
        </w:tc>
        <w:tc>
          <w:tcPr>
            <w:tcW w:w="1764" w:type="dxa"/>
            <w:shd w:val="clear" w:color="auto" w:fill="auto"/>
          </w:tcPr>
          <w:p w14:paraId="4EFA901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0.89</w:t>
            </w:r>
          </w:p>
        </w:tc>
        <w:tc>
          <w:tcPr>
            <w:tcW w:w="1593" w:type="dxa"/>
            <w:shd w:val="clear" w:color="auto" w:fill="auto"/>
          </w:tcPr>
          <w:p w14:paraId="7D77940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0.16</w:t>
            </w:r>
          </w:p>
        </w:tc>
        <w:tc>
          <w:tcPr>
            <w:tcW w:w="1678" w:type="dxa"/>
            <w:shd w:val="clear" w:color="auto" w:fill="auto"/>
          </w:tcPr>
          <w:p w14:paraId="6F77D00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372.92</w:t>
            </w:r>
          </w:p>
        </w:tc>
        <w:tc>
          <w:tcPr>
            <w:tcW w:w="1667" w:type="dxa"/>
            <w:shd w:val="clear" w:color="auto" w:fill="auto"/>
          </w:tcPr>
          <w:p w14:paraId="6274689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1.10</w:t>
            </w:r>
          </w:p>
        </w:tc>
      </w:tr>
      <w:tr w:rsidR="00D821EF" w14:paraId="48D697C0"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19309DCF" w14:textId="77777777" w:rsidR="00D821EF" w:rsidRPr="007E2B4E" w:rsidRDefault="00D821EF" w:rsidP="00D821EF">
            <w:pPr>
              <w:spacing w:before="0" w:after="0"/>
              <w:rPr>
                <w:sz w:val="18"/>
                <w:szCs w:val="18"/>
              </w:rPr>
            </w:pPr>
            <w:r w:rsidRPr="007E2B4E">
              <w:rPr>
                <w:sz w:val="18"/>
                <w:szCs w:val="18"/>
              </w:rPr>
              <w:t>100</w:t>
            </w:r>
          </w:p>
        </w:tc>
        <w:tc>
          <w:tcPr>
            <w:tcW w:w="1764" w:type="dxa"/>
            <w:shd w:val="clear" w:color="auto" w:fill="auto"/>
          </w:tcPr>
          <w:p w14:paraId="7922E01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1.10</w:t>
            </w:r>
          </w:p>
        </w:tc>
        <w:tc>
          <w:tcPr>
            <w:tcW w:w="1593" w:type="dxa"/>
            <w:shd w:val="clear" w:color="auto" w:fill="auto"/>
          </w:tcPr>
          <w:p w14:paraId="49FBE70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0.20</w:t>
            </w:r>
          </w:p>
        </w:tc>
        <w:tc>
          <w:tcPr>
            <w:tcW w:w="1678" w:type="dxa"/>
            <w:shd w:val="clear" w:color="auto" w:fill="auto"/>
          </w:tcPr>
          <w:p w14:paraId="5FDA4650"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388.32</w:t>
            </w:r>
          </w:p>
        </w:tc>
        <w:tc>
          <w:tcPr>
            <w:tcW w:w="1667" w:type="dxa"/>
            <w:shd w:val="clear" w:color="auto" w:fill="auto"/>
          </w:tcPr>
          <w:p w14:paraId="53C85E4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1.12</w:t>
            </w:r>
          </w:p>
        </w:tc>
      </w:tr>
      <w:tr w:rsidR="00D821EF" w14:paraId="5075D461"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B886A2D" w14:textId="77777777" w:rsidR="00D821EF" w:rsidRPr="007E2B4E" w:rsidRDefault="00D821EF" w:rsidP="00D821EF">
            <w:pPr>
              <w:spacing w:before="0" w:after="0"/>
              <w:rPr>
                <w:sz w:val="18"/>
                <w:szCs w:val="18"/>
              </w:rPr>
            </w:pPr>
            <w:r w:rsidRPr="007E2B4E">
              <w:rPr>
                <w:sz w:val="18"/>
                <w:szCs w:val="18"/>
              </w:rPr>
              <w:t>250</w:t>
            </w:r>
          </w:p>
        </w:tc>
        <w:tc>
          <w:tcPr>
            <w:tcW w:w="1764" w:type="dxa"/>
            <w:shd w:val="clear" w:color="auto" w:fill="auto"/>
          </w:tcPr>
          <w:p w14:paraId="6B5E40D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1.87</w:t>
            </w:r>
          </w:p>
        </w:tc>
        <w:tc>
          <w:tcPr>
            <w:tcW w:w="1593" w:type="dxa"/>
            <w:shd w:val="clear" w:color="auto" w:fill="auto"/>
          </w:tcPr>
          <w:p w14:paraId="19EAB27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0.23</w:t>
            </w:r>
          </w:p>
        </w:tc>
        <w:tc>
          <w:tcPr>
            <w:tcW w:w="1678" w:type="dxa"/>
            <w:shd w:val="clear" w:color="auto" w:fill="auto"/>
          </w:tcPr>
          <w:p w14:paraId="5BCCDC1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388.48</w:t>
            </w:r>
          </w:p>
        </w:tc>
        <w:tc>
          <w:tcPr>
            <w:tcW w:w="1667" w:type="dxa"/>
            <w:shd w:val="clear" w:color="auto" w:fill="auto"/>
          </w:tcPr>
          <w:p w14:paraId="5D2430E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1.12</w:t>
            </w:r>
          </w:p>
        </w:tc>
      </w:tr>
      <w:tr w:rsidR="00D821EF" w14:paraId="554FB1F7"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536176BD" w14:textId="77777777" w:rsidR="00D821EF" w:rsidRPr="007E2B4E" w:rsidRDefault="00D821EF" w:rsidP="00D821EF">
            <w:pPr>
              <w:spacing w:before="0" w:after="0"/>
              <w:rPr>
                <w:sz w:val="18"/>
                <w:szCs w:val="18"/>
              </w:rPr>
            </w:pPr>
            <w:r w:rsidRPr="007E2B4E">
              <w:rPr>
                <w:sz w:val="18"/>
                <w:szCs w:val="18"/>
              </w:rPr>
              <w:t>500</w:t>
            </w:r>
          </w:p>
        </w:tc>
        <w:tc>
          <w:tcPr>
            <w:tcW w:w="1764" w:type="dxa"/>
            <w:shd w:val="clear" w:color="auto" w:fill="auto"/>
          </w:tcPr>
          <w:p w14:paraId="5D1500E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3.02</w:t>
            </w:r>
          </w:p>
        </w:tc>
        <w:tc>
          <w:tcPr>
            <w:tcW w:w="1593" w:type="dxa"/>
            <w:shd w:val="clear" w:color="auto" w:fill="auto"/>
          </w:tcPr>
          <w:p w14:paraId="09D0B2B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0.19</w:t>
            </w:r>
          </w:p>
        </w:tc>
        <w:tc>
          <w:tcPr>
            <w:tcW w:w="1678" w:type="dxa"/>
            <w:shd w:val="clear" w:color="auto" w:fill="auto"/>
          </w:tcPr>
          <w:p w14:paraId="2665595F"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390.75</w:t>
            </w:r>
          </w:p>
        </w:tc>
        <w:tc>
          <w:tcPr>
            <w:tcW w:w="1667" w:type="dxa"/>
            <w:shd w:val="clear" w:color="auto" w:fill="auto"/>
          </w:tcPr>
          <w:p w14:paraId="1922562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1.12</w:t>
            </w:r>
          </w:p>
        </w:tc>
      </w:tr>
      <w:tr w:rsidR="00D821EF" w14:paraId="28DBE8C1"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D6B397A" w14:textId="77777777" w:rsidR="00D821EF" w:rsidRPr="007E2B4E" w:rsidRDefault="00D821EF" w:rsidP="00D821EF">
            <w:pPr>
              <w:spacing w:before="0" w:after="0"/>
              <w:rPr>
                <w:sz w:val="18"/>
                <w:szCs w:val="18"/>
              </w:rPr>
            </w:pPr>
            <w:r w:rsidRPr="007E2B4E">
              <w:rPr>
                <w:sz w:val="18"/>
                <w:szCs w:val="18"/>
              </w:rPr>
              <w:t>750</w:t>
            </w:r>
          </w:p>
        </w:tc>
        <w:tc>
          <w:tcPr>
            <w:tcW w:w="1764" w:type="dxa"/>
            <w:shd w:val="clear" w:color="auto" w:fill="auto"/>
          </w:tcPr>
          <w:p w14:paraId="4588FAF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4.01</w:t>
            </w:r>
          </w:p>
        </w:tc>
        <w:tc>
          <w:tcPr>
            <w:tcW w:w="1593" w:type="dxa"/>
            <w:shd w:val="clear" w:color="auto" w:fill="auto"/>
          </w:tcPr>
          <w:p w14:paraId="331113D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0.20</w:t>
            </w:r>
          </w:p>
        </w:tc>
        <w:tc>
          <w:tcPr>
            <w:tcW w:w="1678" w:type="dxa"/>
            <w:shd w:val="clear" w:color="auto" w:fill="auto"/>
          </w:tcPr>
          <w:p w14:paraId="313258A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385.57</w:t>
            </w:r>
          </w:p>
        </w:tc>
        <w:tc>
          <w:tcPr>
            <w:tcW w:w="1667" w:type="dxa"/>
            <w:shd w:val="clear" w:color="auto" w:fill="auto"/>
          </w:tcPr>
          <w:p w14:paraId="7380A23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1.10</w:t>
            </w:r>
          </w:p>
        </w:tc>
      </w:tr>
      <w:tr w:rsidR="00D821EF" w14:paraId="3BDFF8E1"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177D06C3" w14:textId="77777777" w:rsidR="00D821EF" w:rsidRPr="007E2B4E" w:rsidRDefault="00D821EF" w:rsidP="00D821EF">
            <w:pPr>
              <w:spacing w:before="0" w:after="0"/>
              <w:rPr>
                <w:sz w:val="18"/>
                <w:szCs w:val="18"/>
              </w:rPr>
            </w:pPr>
            <w:r w:rsidRPr="007E2B4E">
              <w:rPr>
                <w:sz w:val="18"/>
                <w:szCs w:val="18"/>
              </w:rPr>
              <w:t>1000</w:t>
            </w:r>
          </w:p>
        </w:tc>
        <w:tc>
          <w:tcPr>
            <w:tcW w:w="1764" w:type="dxa"/>
            <w:shd w:val="clear" w:color="auto" w:fill="auto"/>
          </w:tcPr>
          <w:p w14:paraId="327927B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5.16</w:t>
            </w:r>
          </w:p>
        </w:tc>
        <w:tc>
          <w:tcPr>
            <w:tcW w:w="1593" w:type="dxa"/>
            <w:shd w:val="clear" w:color="auto" w:fill="auto"/>
          </w:tcPr>
          <w:p w14:paraId="6CF5EFF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0.17</w:t>
            </w:r>
          </w:p>
        </w:tc>
        <w:tc>
          <w:tcPr>
            <w:tcW w:w="1678" w:type="dxa"/>
            <w:shd w:val="clear" w:color="auto" w:fill="auto"/>
          </w:tcPr>
          <w:p w14:paraId="32030DE7"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395.39</w:t>
            </w:r>
          </w:p>
        </w:tc>
        <w:tc>
          <w:tcPr>
            <w:tcW w:w="1667" w:type="dxa"/>
            <w:shd w:val="clear" w:color="auto" w:fill="auto"/>
          </w:tcPr>
          <w:p w14:paraId="3A391B7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1.12</w:t>
            </w:r>
          </w:p>
        </w:tc>
      </w:tr>
    </w:tbl>
    <w:p w14:paraId="1A5B9640" w14:textId="77777777" w:rsidR="00D821EF" w:rsidRDefault="00D821EF" w:rsidP="008C2B83"/>
    <w:p w14:paraId="469FC5CE"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3</w:t>
        </w:r>
      </w:fldSimple>
      <w:r>
        <w:t xml:space="preserve"> Data values of 0.5 g/L myoglobin pH 8 in presence of various concentrations of glycine</w:t>
      </w:r>
    </w:p>
    <w:tbl>
      <w:tblPr>
        <w:tblStyle w:val="LightShading"/>
        <w:tblW w:w="5000" w:type="pct"/>
        <w:tblLook w:val="04A0" w:firstRow="1" w:lastRow="0" w:firstColumn="1" w:lastColumn="0" w:noHBand="0" w:noVBand="1"/>
      </w:tblPr>
      <w:tblGrid>
        <w:gridCol w:w="2469"/>
        <w:gridCol w:w="2159"/>
        <w:gridCol w:w="2053"/>
        <w:gridCol w:w="2039"/>
      </w:tblGrid>
      <w:tr w:rsidR="00D821EF" w14:paraId="141603A2"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7A743E48" w14:textId="77777777" w:rsidR="00D821EF" w:rsidRPr="007E2B4E" w:rsidRDefault="00D821EF" w:rsidP="00D821EF">
            <w:pPr>
              <w:spacing w:before="0" w:after="0"/>
              <w:rPr>
                <w:sz w:val="18"/>
                <w:szCs w:val="18"/>
              </w:rPr>
            </w:pPr>
            <w:r w:rsidRPr="007E2B4E">
              <w:rPr>
                <w:sz w:val="18"/>
                <w:szCs w:val="18"/>
              </w:rPr>
              <w:t>Concentration (mM)</w:t>
            </w:r>
          </w:p>
        </w:tc>
        <w:tc>
          <w:tcPr>
            <w:tcW w:w="1238" w:type="pct"/>
            <w:shd w:val="clear" w:color="auto" w:fill="auto"/>
          </w:tcPr>
          <w:p w14:paraId="5886572D"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(°C)</w:t>
            </w:r>
          </w:p>
        </w:tc>
        <w:tc>
          <w:tcPr>
            <w:tcW w:w="1177" w:type="pct"/>
            <w:shd w:val="clear" w:color="auto" w:fill="auto"/>
          </w:tcPr>
          <w:p w14:paraId="34CB3F7A"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ΔH (kJ mol</w:t>
            </w:r>
            <w:r w:rsidRPr="007E2B4E">
              <w:rPr>
                <w:sz w:val="18"/>
                <w:szCs w:val="18"/>
                <w:vertAlign w:val="superscript"/>
              </w:rPr>
              <w:t>-1</w:t>
            </w:r>
            <w:r w:rsidRPr="007E2B4E">
              <w:rPr>
                <w:sz w:val="18"/>
                <w:szCs w:val="18"/>
              </w:rPr>
              <w:t xml:space="preserve">) </w:t>
            </w:r>
          </w:p>
        </w:tc>
        <w:tc>
          <w:tcPr>
            <w:tcW w:w="1169" w:type="pct"/>
            <w:shd w:val="clear" w:color="auto" w:fill="auto"/>
          </w:tcPr>
          <w:p w14:paraId="744EF4E6"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ΔS (kJ mol</w:t>
            </w:r>
            <w:r w:rsidRPr="007E2B4E">
              <w:rPr>
                <w:sz w:val="18"/>
                <w:szCs w:val="18"/>
                <w:vertAlign w:val="superscript"/>
              </w:rPr>
              <w:t>-1</w:t>
            </w:r>
            <w:r w:rsidRPr="007E2B4E">
              <w:rPr>
                <w:sz w:val="18"/>
                <w:szCs w:val="18"/>
              </w:rPr>
              <w:t xml:space="preserve"> K</w:t>
            </w:r>
            <w:r w:rsidRPr="007E2B4E">
              <w:rPr>
                <w:sz w:val="18"/>
                <w:szCs w:val="18"/>
                <w:vertAlign w:val="superscript"/>
              </w:rPr>
              <w:t>-1</w:t>
            </w:r>
            <w:r w:rsidRPr="007E2B4E">
              <w:rPr>
                <w:sz w:val="18"/>
                <w:szCs w:val="18"/>
              </w:rPr>
              <w:t xml:space="preserve">) </w:t>
            </w:r>
          </w:p>
        </w:tc>
      </w:tr>
      <w:tr w:rsidR="00D821EF" w14:paraId="4812CF1A"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2B961CDE" w14:textId="77777777" w:rsidR="00D821EF" w:rsidRPr="007E2B4E" w:rsidRDefault="00D821EF" w:rsidP="00D821EF">
            <w:pPr>
              <w:spacing w:before="0" w:after="0"/>
              <w:rPr>
                <w:sz w:val="18"/>
                <w:szCs w:val="18"/>
              </w:rPr>
            </w:pPr>
            <w:r w:rsidRPr="007E2B4E">
              <w:rPr>
                <w:sz w:val="18"/>
                <w:szCs w:val="18"/>
              </w:rPr>
              <w:t>0.5</w:t>
            </w:r>
          </w:p>
        </w:tc>
        <w:tc>
          <w:tcPr>
            <w:tcW w:w="1238" w:type="pct"/>
            <w:shd w:val="clear" w:color="auto" w:fill="auto"/>
          </w:tcPr>
          <w:p w14:paraId="38DE414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-0.13</w:t>
            </w:r>
          </w:p>
        </w:tc>
        <w:tc>
          <w:tcPr>
            <w:tcW w:w="1177" w:type="pct"/>
            <w:shd w:val="clear" w:color="auto" w:fill="auto"/>
          </w:tcPr>
          <w:p w14:paraId="417ADEF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1267.53</w:t>
            </w:r>
          </w:p>
        </w:tc>
        <w:tc>
          <w:tcPr>
            <w:tcW w:w="1169" w:type="pct"/>
            <w:shd w:val="clear" w:color="auto" w:fill="auto"/>
          </w:tcPr>
          <w:p w14:paraId="21C9717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3.59</w:t>
            </w:r>
          </w:p>
        </w:tc>
      </w:tr>
      <w:tr w:rsidR="00D821EF" w14:paraId="1483ABE9"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149FEF5D" w14:textId="77777777" w:rsidR="00D821EF" w:rsidRPr="007E2B4E" w:rsidRDefault="00D821EF" w:rsidP="00D821EF">
            <w:pPr>
              <w:spacing w:before="0" w:after="0"/>
              <w:rPr>
                <w:sz w:val="18"/>
                <w:szCs w:val="18"/>
              </w:rPr>
            </w:pPr>
            <w:r w:rsidRPr="007E2B4E">
              <w:rPr>
                <w:sz w:val="18"/>
                <w:szCs w:val="18"/>
              </w:rPr>
              <w:t>1</w:t>
            </w:r>
          </w:p>
        </w:tc>
        <w:tc>
          <w:tcPr>
            <w:tcW w:w="1238" w:type="pct"/>
            <w:shd w:val="clear" w:color="auto" w:fill="auto"/>
          </w:tcPr>
          <w:p w14:paraId="56AE913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-0.10</w:t>
            </w:r>
          </w:p>
        </w:tc>
        <w:tc>
          <w:tcPr>
            <w:tcW w:w="1177" w:type="pct"/>
            <w:shd w:val="clear" w:color="auto" w:fill="auto"/>
          </w:tcPr>
          <w:p w14:paraId="02068B7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1316.23</w:t>
            </w:r>
          </w:p>
        </w:tc>
        <w:tc>
          <w:tcPr>
            <w:tcW w:w="1169" w:type="pct"/>
            <w:shd w:val="clear" w:color="auto" w:fill="auto"/>
          </w:tcPr>
          <w:p w14:paraId="5020C71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3.72</w:t>
            </w:r>
          </w:p>
        </w:tc>
      </w:tr>
      <w:tr w:rsidR="00D821EF" w14:paraId="155C1A10"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1A66C43E" w14:textId="77777777" w:rsidR="00D821EF" w:rsidRPr="007E2B4E" w:rsidRDefault="00D821EF" w:rsidP="00D821EF">
            <w:pPr>
              <w:spacing w:before="0" w:after="0"/>
              <w:rPr>
                <w:sz w:val="18"/>
                <w:szCs w:val="18"/>
              </w:rPr>
            </w:pPr>
            <w:r w:rsidRPr="007E2B4E">
              <w:rPr>
                <w:sz w:val="18"/>
                <w:szCs w:val="18"/>
              </w:rPr>
              <w:t>2.5</w:t>
            </w:r>
          </w:p>
        </w:tc>
        <w:tc>
          <w:tcPr>
            <w:tcW w:w="1238" w:type="pct"/>
            <w:shd w:val="clear" w:color="auto" w:fill="auto"/>
          </w:tcPr>
          <w:p w14:paraId="738333A5"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-0.36</w:t>
            </w:r>
          </w:p>
        </w:tc>
        <w:tc>
          <w:tcPr>
            <w:tcW w:w="1177" w:type="pct"/>
            <w:shd w:val="clear" w:color="auto" w:fill="auto"/>
          </w:tcPr>
          <w:p w14:paraId="0B6138D5"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1154.47</w:t>
            </w:r>
          </w:p>
        </w:tc>
        <w:tc>
          <w:tcPr>
            <w:tcW w:w="1169" w:type="pct"/>
            <w:shd w:val="clear" w:color="auto" w:fill="auto"/>
          </w:tcPr>
          <w:p w14:paraId="2BCDE87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3.27</w:t>
            </w:r>
          </w:p>
        </w:tc>
      </w:tr>
      <w:tr w:rsidR="00D821EF" w14:paraId="3FB8F5FA"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0960A2D2" w14:textId="77777777" w:rsidR="00D821EF" w:rsidRPr="007E2B4E" w:rsidRDefault="00D821EF" w:rsidP="00D821EF">
            <w:pPr>
              <w:spacing w:before="0" w:after="0"/>
              <w:rPr>
                <w:sz w:val="18"/>
                <w:szCs w:val="18"/>
              </w:rPr>
            </w:pPr>
            <w:r w:rsidRPr="007E2B4E">
              <w:rPr>
                <w:sz w:val="18"/>
                <w:szCs w:val="18"/>
              </w:rPr>
              <w:t>5</w:t>
            </w:r>
          </w:p>
        </w:tc>
        <w:tc>
          <w:tcPr>
            <w:tcW w:w="1238" w:type="pct"/>
            <w:shd w:val="clear" w:color="auto" w:fill="auto"/>
          </w:tcPr>
          <w:p w14:paraId="5B52FEF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-0.77</w:t>
            </w:r>
          </w:p>
        </w:tc>
        <w:tc>
          <w:tcPr>
            <w:tcW w:w="1177" w:type="pct"/>
            <w:shd w:val="clear" w:color="auto" w:fill="auto"/>
          </w:tcPr>
          <w:p w14:paraId="1A0B6DA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1236.68</w:t>
            </w:r>
          </w:p>
        </w:tc>
        <w:tc>
          <w:tcPr>
            <w:tcW w:w="1169" w:type="pct"/>
            <w:shd w:val="clear" w:color="auto" w:fill="auto"/>
          </w:tcPr>
          <w:p w14:paraId="437A23B7"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3.50</w:t>
            </w:r>
          </w:p>
        </w:tc>
      </w:tr>
      <w:tr w:rsidR="00D821EF" w14:paraId="7E3D1529"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35C15123" w14:textId="77777777" w:rsidR="00D821EF" w:rsidRPr="007E2B4E" w:rsidRDefault="00D821EF" w:rsidP="00D821EF">
            <w:pPr>
              <w:spacing w:before="0" w:after="0"/>
              <w:rPr>
                <w:sz w:val="18"/>
                <w:szCs w:val="18"/>
              </w:rPr>
            </w:pPr>
            <w:r w:rsidRPr="007E2B4E">
              <w:rPr>
                <w:sz w:val="18"/>
                <w:szCs w:val="18"/>
              </w:rPr>
              <w:t>10</w:t>
            </w:r>
          </w:p>
        </w:tc>
        <w:tc>
          <w:tcPr>
            <w:tcW w:w="1238" w:type="pct"/>
            <w:shd w:val="clear" w:color="auto" w:fill="auto"/>
          </w:tcPr>
          <w:p w14:paraId="545272F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-0.75</w:t>
            </w:r>
          </w:p>
        </w:tc>
        <w:tc>
          <w:tcPr>
            <w:tcW w:w="1177" w:type="pct"/>
            <w:shd w:val="clear" w:color="auto" w:fill="auto"/>
          </w:tcPr>
          <w:p w14:paraId="7A118A5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1220.01</w:t>
            </w:r>
          </w:p>
        </w:tc>
        <w:tc>
          <w:tcPr>
            <w:tcW w:w="1169" w:type="pct"/>
            <w:shd w:val="clear" w:color="auto" w:fill="auto"/>
          </w:tcPr>
          <w:p w14:paraId="0DF4AA7C"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3.46</w:t>
            </w:r>
          </w:p>
        </w:tc>
      </w:tr>
      <w:tr w:rsidR="00D821EF" w14:paraId="656637C6"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0861B5FE" w14:textId="77777777" w:rsidR="00D821EF" w:rsidRPr="007E2B4E" w:rsidRDefault="00D821EF" w:rsidP="00D821EF">
            <w:pPr>
              <w:spacing w:before="0" w:after="0"/>
              <w:rPr>
                <w:sz w:val="18"/>
                <w:szCs w:val="18"/>
              </w:rPr>
            </w:pPr>
            <w:r w:rsidRPr="007E2B4E">
              <w:rPr>
                <w:sz w:val="18"/>
                <w:szCs w:val="18"/>
              </w:rPr>
              <w:t>25</w:t>
            </w:r>
          </w:p>
        </w:tc>
        <w:tc>
          <w:tcPr>
            <w:tcW w:w="1238" w:type="pct"/>
            <w:shd w:val="clear" w:color="auto" w:fill="auto"/>
          </w:tcPr>
          <w:p w14:paraId="278F7A9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-0.85</w:t>
            </w:r>
          </w:p>
        </w:tc>
        <w:tc>
          <w:tcPr>
            <w:tcW w:w="1177" w:type="pct"/>
            <w:shd w:val="clear" w:color="auto" w:fill="auto"/>
          </w:tcPr>
          <w:p w14:paraId="465D9D0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1271.76</w:t>
            </w:r>
          </w:p>
        </w:tc>
        <w:tc>
          <w:tcPr>
            <w:tcW w:w="1169" w:type="pct"/>
            <w:shd w:val="clear" w:color="auto" w:fill="auto"/>
          </w:tcPr>
          <w:p w14:paraId="105D467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3.60</w:t>
            </w:r>
          </w:p>
        </w:tc>
      </w:tr>
      <w:tr w:rsidR="00D821EF" w14:paraId="5CB52CAB"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1D768544" w14:textId="77777777" w:rsidR="00D821EF" w:rsidRPr="007E2B4E" w:rsidRDefault="00D821EF" w:rsidP="00D821EF">
            <w:pPr>
              <w:spacing w:before="0" w:after="0"/>
              <w:rPr>
                <w:sz w:val="18"/>
                <w:szCs w:val="18"/>
              </w:rPr>
            </w:pPr>
            <w:r w:rsidRPr="007E2B4E">
              <w:rPr>
                <w:sz w:val="18"/>
                <w:szCs w:val="18"/>
              </w:rPr>
              <w:t>50</w:t>
            </w:r>
          </w:p>
        </w:tc>
        <w:tc>
          <w:tcPr>
            <w:tcW w:w="1238" w:type="pct"/>
            <w:shd w:val="clear" w:color="auto" w:fill="auto"/>
          </w:tcPr>
          <w:p w14:paraId="66E34F7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-0.10</w:t>
            </w:r>
          </w:p>
        </w:tc>
        <w:tc>
          <w:tcPr>
            <w:tcW w:w="1177" w:type="pct"/>
            <w:shd w:val="clear" w:color="auto" w:fill="auto"/>
          </w:tcPr>
          <w:p w14:paraId="396CE9F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1207.24</w:t>
            </w:r>
          </w:p>
        </w:tc>
        <w:tc>
          <w:tcPr>
            <w:tcW w:w="1169" w:type="pct"/>
            <w:shd w:val="clear" w:color="auto" w:fill="auto"/>
          </w:tcPr>
          <w:p w14:paraId="2259739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3.42</w:t>
            </w:r>
          </w:p>
        </w:tc>
      </w:tr>
      <w:tr w:rsidR="00D821EF" w14:paraId="4E2B1964"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2D7F85C5" w14:textId="77777777" w:rsidR="00D821EF" w:rsidRPr="007E2B4E" w:rsidRDefault="00D821EF" w:rsidP="00D821EF">
            <w:pPr>
              <w:spacing w:before="0" w:after="0"/>
              <w:rPr>
                <w:sz w:val="18"/>
                <w:szCs w:val="18"/>
              </w:rPr>
            </w:pPr>
            <w:r w:rsidRPr="007E2B4E">
              <w:rPr>
                <w:sz w:val="18"/>
                <w:szCs w:val="18"/>
              </w:rPr>
              <w:t>75</w:t>
            </w:r>
          </w:p>
        </w:tc>
        <w:tc>
          <w:tcPr>
            <w:tcW w:w="1238" w:type="pct"/>
            <w:shd w:val="clear" w:color="auto" w:fill="auto"/>
          </w:tcPr>
          <w:p w14:paraId="103BB4C1"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-1.03</w:t>
            </w:r>
          </w:p>
        </w:tc>
        <w:tc>
          <w:tcPr>
            <w:tcW w:w="1177" w:type="pct"/>
            <w:shd w:val="clear" w:color="auto" w:fill="auto"/>
          </w:tcPr>
          <w:p w14:paraId="5D920FF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1265.00</w:t>
            </w:r>
          </w:p>
        </w:tc>
        <w:tc>
          <w:tcPr>
            <w:tcW w:w="1169" w:type="pct"/>
            <w:shd w:val="clear" w:color="auto" w:fill="auto"/>
          </w:tcPr>
          <w:p w14:paraId="477AD43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3.59</w:t>
            </w:r>
          </w:p>
        </w:tc>
      </w:tr>
      <w:tr w:rsidR="00D821EF" w14:paraId="71A365F9"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6679F701" w14:textId="77777777" w:rsidR="00D821EF" w:rsidRPr="007E2B4E" w:rsidRDefault="00D821EF" w:rsidP="00D821EF">
            <w:pPr>
              <w:spacing w:before="0" w:after="0"/>
              <w:rPr>
                <w:sz w:val="18"/>
                <w:szCs w:val="18"/>
              </w:rPr>
            </w:pPr>
            <w:r w:rsidRPr="007E2B4E">
              <w:rPr>
                <w:sz w:val="18"/>
                <w:szCs w:val="18"/>
              </w:rPr>
              <w:t>100</w:t>
            </w:r>
          </w:p>
        </w:tc>
        <w:tc>
          <w:tcPr>
            <w:tcW w:w="1238" w:type="pct"/>
            <w:shd w:val="clear" w:color="auto" w:fill="auto"/>
          </w:tcPr>
          <w:p w14:paraId="7005CDD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-0.77</w:t>
            </w:r>
          </w:p>
        </w:tc>
        <w:tc>
          <w:tcPr>
            <w:tcW w:w="1177" w:type="pct"/>
            <w:shd w:val="clear" w:color="auto" w:fill="auto"/>
          </w:tcPr>
          <w:p w14:paraId="29B74B5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1265.77</w:t>
            </w:r>
          </w:p>
        </w:tc>
        <w:tc>
          <w:tcPr>
            <w:tcW w:w="1169" w:type="pct"/>
            <w:shd w:val="clear" w:color="auto" w:fill="auto"/>
          </w:tcPr>
          <w:p w14:paraId="77D2EB8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3.59</w:t>
            </w:r>
          </w:p>
        </w:tc>
      </w:tr>
      <w:tr w:rsidR="00D821EF" w14:paraId="56ABA2E2"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248BF513" w14:textId="77777777" w:rsidR="00D821EF" w:rsidRPr="007E2B4E" w:rsidRDefault="00D821EF" w:rsidP="00D821EF">
            <w:pPr>
              <w:spacing w:before="0" w:after="0"/>
              <w:rPr>
                <w:sz w:val="18"/>
                <w:szCs w:val="18"/>
              </w:rPr>
            </w:pPr>
            <w:r w:rsidRPr="007E2B4E">
              <w:rPr>
                <w:sz w:val="18"/>
                <w:szCs w:val="18"/>
              </w:rPr>
              <w:t>250</w:t>
            </w:r>
          </w:p>
        </w:tc>
        <w:tc>
          <w:tcPr>
            <w:tcW w:w="1238" w:type="pct"/>
            <w:shd w:val="clear" w:color="auto" w:fill="auto"/>
          </w:tcPr>
          <w:p w14:paraId="284597D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-0.26</w:t>
            </w:r>
          </w:p>
        </w:tc>
        <w:tc>
          <w:tcPr>
            <w:tcW w:w="1177" w:type="pct"/>
            <w:shd w:val="clear" w:color="auto" w:fill="auto"/>
          </w:tcPr>
          <w:p w14:paraId="10E001C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1254.26</w:t>
            </w:r>
          </w:p>
        </w:tc>
        <w:tc>
          <w:tcPr>
            <w:tcW w:w="1169" w:type="pct"/>
            <w:shd w:val="clear" w:color="auto" w:fill="auto"/>
          </w:tcPr>
          <w:p w14:paraId="7CB213B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3.55</w:t>
            </w:r>
          </w:p>
        </w:tc>
      </w:tr>
      <w:tr w:rsidR="00D821EF" w14:paraId="29993220"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1194898D" w14:textId="77777777" w:rsidR="00D821EF" w:rsidRPr="007E2B4E" w:rsidRDefault="00D821EF" w:rsidP="00D821EF">
            <w:pPr>
              <w:spacing w:before="0" w:after="0"/>
              <w:rPr>
                <w:sz w:val="18"/>
                <w:szCs w:val="18"/>
              </w:rPr>
            </w:pPr>
            <w:r w:rsidRPr="007E2B4E">
              <w:rPr>
                <w:sz w:val="18"/>
                <w:szCs w:val="18"/>
              </w:rPr>
              <w:t>500</w:t>
            </w:r>
          </w:p>
        </w:tc>
        <w:tc>
          <w:tcPr>
            <w:tcW w:w="1238" w:type="pct"/>
            <w:shd w:val="clear" w:color="auto" w:fill="auto"/>
          </w:tcPr>
          <w:p w14:paraId="0A6DAAB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0.26</w:t>
            </w:r>
          </w:p>
        </w:tc>
        <w:tc>
          <w:tcPr>
            <w:tcW w:w="1177" w:type="pct"/>
            <w:shd w:val="clear" w:color="auto" w:fill="auto"/>
          </w:tcPr>
          <w:p w14:paraId="2C3ABC5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1250.77</w:t>
            </w:r>
          </w:p>
        </w:tc>
        <w:tc>
          <w:tcPr>
            <w:tcW w:w="1169" w:type="pct"/>
            <w:shd w:val="clear" w:color="auto" w:fill="auto"/>
          </w:tcPr>
          <w:p w14:paraId="6458469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3.53</w:t>
            </w:r>
          </w:p>
        </w:tc>
      </w:tr>
      <w:tr w:rsidR="00D821EF" w14:paraId="1B88A400"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7524C798" w14:textId="77777777" w:rsidR="00D821EF" w:rsidRPr="007E2B4E" w:rsidRDefault="00D821EF" w:rsidP="00D821EF">
            <w:pPr>
              <w:spacing w:before="0" w:after="0"/>
              <w:rPr>
                <w:sz w:val="18"/>
                <w:szCs w:val="18"/>
              </w:rPr>
            </w:pPr>
            <w:r w:rsidRPr="007E2B4E">
              <w:rPr>
                <w:sz w:val="18"/>
                <w:szCs w:val="18"/>
              </w:rPr>
              <w:t>750</w:t>
            </w:r>
          </w:p>
        </w:tc>
        <w:tc>
          <w:tcPr>
            <w:tcW w:w="1238" w:type="pct"/>
            <w:shd w:val="clear" w:color="auto" w:fill="auto"/>
          </w:tcPr>
          <w:p w14:paraId="1F0A077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0.59</w:t>
            </w:r>
          </w:p>
        </w:tc>
        <w:tc>
          <w:tcPr>
            <w:tcW w:w="1177" w:type="pct"/>
            <w:shd w:val="clear" w:color="auto" w:fill="auto"/>
          </w:tcPr>
          <w:p w14:paraId="5ECDDDD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1247.53</w:t>
            </w:r>
          </w:p>
        </w:tc>
        <w:tc>
          <w:tcPr>
            <w:tcW w:w="1169" w:type="pct"/>
            <w:shd w:val="clear" w:color="auto" w:fill="auto"/>
          </w:tcPr>
          <w:p w14:paraId="1AC53B8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7E2B4E">
              <w:rPr>
                <w:sz w:val="18"/>
                <w:szCs w:val="18"/>
              </w:rPr>
              <w:t>3.52</w:t>
            </w:r>
          </w:p>
        </w:tc>
      </w:tr>
      <w:tr w:rsidR="00D821EF" w14:paraId="548C18C9"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64084932" w14:textId="77777777" w:rsidR="00D821EF" w:rsidRPr="007E2B4E" w:rsidRDefault="00D821EF" w:rsidP="00D821EF">
            <w:pPr>
              <w:spacing w:before="0" w:after="0"/>
              <w:rPr>
                <w:sz w:val="18"/>
                <w:szCs w:val="18"/>
              </w:rPr>
            </w:pPr>
            <w:r w:rsidRPr="007E2B4E">
              <w:rPr>
                <w:sz w:val="18"/>
                <w:szCs w:val="18"/>
              </w:rPr>
              <w:t>1000</w:t>
            </w:r>
          </w:p>
        </w:tc>
        <w:tc>
          <w:tcPr>
            <w:tcW w:w="1238" w:type="pct"/>
            <w:shd w:val="clear" w:color="auto" w:fill="auto"/>
          </w:tcPr>
          <w:p w14:paraId="2CED0205"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1.00</w:t>
            </w:r>
          </w:p>
        </w:tc>
        <w:tc>
          <w:tcPr>
            <w:tcW w:w="1177" w:type="pct"/>
            <w:shd w:val="clear" w:color="auto" w:fill="auto"/>
          </w:tcPr>
          <w:p w14:paraId="1B734127"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1213.04</w:t>
            </w:r>
          </w:p>
        </w:tc>
        <w:tc>
          <w:tcPr>
            <w:tcW w:w="1169" w:type="pct"/>
            <w:shd w:val="clear" w:color="auto" w:fill="auto"/>
          </w:tcPr>
          <w:p w14:paraId="2F9725A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E2B4E">
              <w:rPr>
                <w:sz w:val="18"/>
                <w:szCs w:val="18"/>
              </w:rPr>
              <w:t>3.42</w:t>
            </w:r>
          </w:p>
        </w:tc>
      </w:tr>
    </w:tbl>
    <w:p w14:paraId="1D9FBBCD" w14:textId="77777777" w:rsidR="00D821EF" w:rsidRDefault="00D821EF" w:rsidP="008C2B83"/>
    <w:p w14:paraId="13F466B7"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4</w:t>
        </w:r>
      </w:fldSimple>
      <w:r>
        <w:t>. Data values of 1 g/L BSA 10 mM sodium octanoate pH 7 in presence of various concentrations of GdnHCl n=3</w:t>
      </w:r>
    </w:p>
    <w:tbl>
      <w:tblPr>
        <w:tblStyle w:val="LightShading"/>
        <w:tblW w:w="0" w:type="auto"/>
        <w:tblLook w:val="04A0" w:firstRow="1" w:lastRow="0" w:firstColumn="1" w:lastColumn="0" w:noHBand="0" w:noVBand="1"/>
      </w:tblPr>
      <w:tblGrid>
        <w:gridCol w:w="2018"/>
        <w:gridCol w:w="1764"/>
        <w:gridCol w:w="1593"/>
        <w:gridCol w:w="1678"/>
        <w:gridCol w:w="1667"/>
      </w:tblGrid>
      <w:tr w:rsidR="00D821EF" w14:paraId="088E3DD8"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221539A6" w14:textId="77777777" w:rsidR="00D821EF" w:rsidRPr="007E2B4E" w:rsidRDefault="00D821EF" w:rsidP="00D821EF">
            <w:pPr>
              <w:spacing w:before="0" w:after="0"/>
              <w:rPr>
                <w:sz w:val="18"/>
                <w:szCs w:val="18"/>
              </w:rPr>
            </w:pPr>
            <w:r w:rsidRPr="007E2B4E">
              <w:rPr>
                <w:sz w:val="18"/>
                <w:szCs w:val="18"/>
              </w:rPr>
              <w:t>Concentration (mM)</w:t>
            </w:r>
          </w:p>
        </w:tc>
        <w:tc>
          <w:tcPr>
            <w:tcW w:w="1764" w:type="dxa"/>
            <w:shd w:val="clear" w:color="auto" w:fill="auto"/>
          </w:tcPr>
          <w:p w14:paraId="23514D81"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mean (°C)</w:t>
            </w:r>
          </w:p>
        </w:tc>
        <w:tc>
          <w:tcPr>
            <w:tcW w:w="1593" w:type="dxa"/>
            <w:shd w:val="clear" w:color="auto" w:fill="auto"/>
          </w:tcPr>
          <w:p w14:paraId="01170A2F"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SE</w:t>
            </w:r>
          </w:p>
        </w:tc>
        <w:tc>
          <w:tcPr>
            <w:tcW w:w="1678" w:type="dxa"/>
            <w:shd w:val="clear" w:color="auto" w:fill="auto"/>
          </w:tcPr>
          <w:p w14:paraId="6BEE6904"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ΔH (kJ mol</w:t>
            </w:r>
            <w:r w:rsidRPr="007E2B4E">
              <w:rPr>
                <w:sz w:val="18"/>
                <w:szCs w:val="18"/>
                <w:vertAlign w:val="superscript"/>
              </w:rPr>
              <w:t>-1</w:t>
            </w:r>
            <w:r w:rsidRPr="007E2B4E">
              <w:rPr>
                <w:sz w:val="18"/>
                <w:szCs w:val="18"/>
              </w:rPr>
              <w:t>) mean</w:t>
            </w:r>
          </w:p>
        </w:tc>
        <w:tc>
          <w:tcPr>
            <w:tcW w:w="1667" w:type="dxa"/>
            <w:shd w:val="clear" w:color="auto" w:fill="auto"/>
          </w:tcPr>
          <w:p w14:paraId="343FA448"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ΔS (kJ mol</w:t>
            </w:r>
            <w:r w:rsidRPr="007E2B4E">
              <w:rPr>
                <w:sz w:val="18"/>
                <w:szCs w:val="18"/>
                <w:vertAlign w:val="superscript"/>
              </w:rPr>
              <w:t>-1</w:t>
            </w:r>
            <w:r w:rsidRPr="007E2B4E">
              <w:rPr>
                <w:sz w:val="18"/>
                <w:szCs w:val="18"/>
              </w:rPr>
              <w:t xml:space="preserve"> K</w:t>
            </w:r>
            <w:r w:rsidRPr="007E2B4E">
              <w:rPr>
                <w:sz w:val="18"/>
                <w:szCs w:val="18"/>
                <w:vertAlign w:val="superscript"/>
              </w:rPr>
              <w:t>-1</w:t>
            </w:r>
            <w:r w:rsidRPr="007E2B4E">
              <w:rPr>
                <w:sz w:val="18"/>
                <w:szCs w:val="18"/>
              </w:rPr>
              <w:t>) mean</w:t>
            </w:r>
          </w:p>
        </w:tc>
      </w:tr>
      <w:tr w:rsidR="00D821EF" w14:paraId="5B033C32"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53E73938" w14:textId="77777777" w:rsidR="00D821EF" w:rsidRPr="007E2B4E" w:rsidRDefault="00D821EF" w:rsidP="00D821EF">
            <w:pPr>
              <w:spacing w:before="0" w:after="0"/>
              <w:rPr>
                <w:sz w:val="18"/>
                <w:szCs w:val="18"/>
              </w:rPr>
            </w:pPr>
            <w:r w:rsidRPr="007E2B4E">
              <w:rPr>
                <w:sz w:val="18"/>
                <w:szCs w:val="18"/>
              </w:rPr>
              <w:t>0.5</w:t>
            </w:r>
          </w:p>
        </w:tc>
        <w:tc>
          <w:tcPr>
            <w:tcW w:w="1764" w:type="dxa"/>
            <w:shd w:val="clear" w:color="auto" w:fill="auto"/>
          </w:tcPr>
          <w:p w14:paraId="688B0A8F"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-0.09</w:t>
            </w:r>
          </w:p>
        </w:tc>
        <w:tc>
          <w:tcPr>
            <w:tcW w:w="1593" w:type="dxa"/>
            <w:shd w:val="clear" w:color="auto" w:fill="auto"/>
          </w:tcPr>
          <w:p w14:paraId="3920FB6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0.15</w:t>
            </w:r>
          </w:p>
        </w:tc>
        <w:tc>
          <w:tcPr>
            <w:tcW w:w="1678" w:type="dxa"/>
            <w:shd w:val="clear" w:color="auto" w:fill="auto"/>
          </w:tcPr>
          <w:p w14:paraId="41593DA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1255.13</w:t>
            </w:r>
          </w:p>
        </w:tc>
        <w:tc>
          <w:tcPr>
            <w:tcW w:w="1667" w:type="dxa"/>
            <w:shd w:val="clear" w:color="auto" w:fill="auto"/>
          </w:tcPr>
          <w:p w14:paraId="179F72C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3.52</w:t>
            </w:r>
          </w:p>
        </w:tc>
      </w:tr>
      <w:tr w:rsidR="00D821EF" w14:paraId="65F32007"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26292654" w14:textId="77777777" w:rsidR="00D821EF" w:rsidRPr="007E2B4E" w:rsidRDefault="00D821EF" w:rsidP="00D821EF">
            <w:pPr>
              <w:spacing w:before="0" w:after="0"/>
              <w:rPr>
                <w:sz w:val="18"/>
                <w:szCs w:val="18"/>
              </w:rPr>
            </w:pPr>
            <w:r w:rsidRPr="007E2B4E">
              <w:rPr>
                <w:sz w:val="18"/>
                <w:szCs w:val="18"/>
              </w:rPr>
              <w:t>1</w:t>
            </w:r>
          </w:p>
        </w:tc>
        <w:tc>
          <w:tcPr>
            <w:tcW w:w="1764" w:type="dxa"/>
            <w:shd w:val="clear" w:color="auto" w:fill="auto"/>
          </w:tcPr>
          <w:p w14:paraId="13B02807"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0.01</w:t>
            </w:r>
          </w:p>
        </w:tc>
        <w:tc>
          <w:tcPr>
            <w:tcW w:w="1593" w:type="dxa"/>
            <w:shd w:val="clear" w:color="auto" w:fill="auto"/>
          </w:tcPr>
          <w:p w14:paraId="67FC614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0.12</w:t>
            </w:r>
          </w:p>
        </w:tc>
        <w:tc>
          <w:tcPr>
            <w:tcW w:w="1678" w:type="dxa"/>
            <w:shd w:val="clear" w:color="auto" w:fill="auto"/>
          </w:tcPr>
          <w:p w14:paraId="582C6DE7"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1143.14</w:t>
            </w:r>
          </w:p>
        </w:tc>
        <w:tc>
          <w:tcPr>
            <w:tcW w:w="1667" w:type="dxa"/>
            <w:shd w:val="clear" w:color="auto" w:fill="auto"/>
          </w:tcPr>
          <w:p w14:paraId="3B812EF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3.21</w:t>
            </w:r>
          </w:p>
        </w:tc>
      </w:tr>
      <w:tr w:rsidR="00D821EF" w14:paraId="08EC771E"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3B20A122"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6DD2611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-0.03</w:t>
            </w:r>
          </w:p>
        </w:tc>
        <w:tc>
          <w:tcPr>
            <w:tcW w:w="1593" w:type="dxa"/>
            <w:shd w:val="clear" w:color="auto" w:fill="auto"/>
          </w:tcPr>
          <w:p w14:paraId="3AE414C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0.19</w:t>
            </w:r>
          </w:p>
        </w:tc>
        <w:tc>
          <w:tcPr>
            <w:tcW w:w="1678" w:type="dxa"/>
            <w:shd w:val="clear" w:color="auto" w:fill="auto"/>
          </w:tcPr>
          <w:p w14:paraId="5AFE440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1163.70</w:t>
            </w:r>
          </w:p>
        </w:tc>
        <w:tc>
          <w:tcPr>
            <w:tcW w:w="1667" w:type="dxa"/>
            <w:shd w:val="clear" w:color="auto" w:fill="auto"/>
          </w:tcPr>
          <w:p w14:paraId="6785892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3.26</w:t>
            </w:r>
          </w:p>
        </w:tc>
      </w:tr>
      <w:tr w:rsidR="00D821EF" w14:paraId="1DE72795"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72A25F5C" w14:textId="77777777" w:rsidR="00D821EF" w:rsidRPr="007E2B4E" w:rsidRDefault="00D821EF" w:rsidP="00D821EF">
            <w:pPr>
              <w:spacing w:before="0" w:after="0"/>
              <w:rPr>
                <w:sz w:val="18"/>
                <w:szCs w:val="18"/>
              </w:rPr>
            </w:pPr>
            <w:r w:rsidRPr="007E2B4E">
              <w:rPr>
                <w:sz w:val="18"/>
                <w:szCs w:val="18"/>
              </w:rPr>
              <w:t>5</w:t>
            </w:r>
          </w:p>
        </w:tc>
        <w:tc>
          <w:tcPr>
            <w:tcW w:w="1764" w:type="dxa"/>
            <w:shd w:val="clear" w:color="auto" w:fill="auto"/>
          </w:tcPr>
          <w:p w14:paraId="5A3145BB"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0.30</w:t>
            </w:r>
          </w:p>
        </w:tc>
        <w:tc>
          <w:tcPr>
            <w:tcW w:w="1593" w:type="dxa"/>
            <w:shd w:val="clear" w:color="auto" w:fill="auto"/>
          </w:tcPr>
          <w:p w14:paraId="2F4CF3C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0.12</w:t>
            </w:r>
          </w:p>
        </w:tc>
        <w:tc>
          <w:tcPr>
            <w:tcW w:w="1678" w:type="dxa"/>
            <w:shd w:val="clear" w:color="auto" w:fill="auto"/>
          </w:tcPr>
          <w:p w14:paraId="3630A86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1332.78</w:t>
            </w:r>
          </w:p>
        </w:tc>
        <w:tc>
          <w:tcPr>
            <w:tcW w:w="1667" w:type="dxa"/>
            <w:shd w:val="clear" w:color="auto" w:fill="auto"/>
          </w:tcPr>
          <w:p w14:paraId="03BA51F7"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3.74</w:t>
            </w:r>
          </w:p>
        </w:tc>
      </w:tr>
      <w:tr w:rsidR="00D821EF" w14:paraId="12FF6860"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47E6311B" w14:textId="77777777" w:rsidR="00D821EF" w:rsidRPr="007E2B4E" w:rsidRDefault="00D821EF" w:rsidP="00D821EF">
            <w:pPr>
              <w:spacing w:before="0" w:after="0"/>
              <w:rPr>
                <w:sz w:val="18"/>
                <w:szCs w:val="18"/>
              </w:rPr>
            </w:pPr>
            <w:r w:rsidRPr="007E2B4E">
              <w:rPr>
                <w:sz w:val="18"/>
                <w:szCs w:val="18"/>
              </w:rPr>
              <w:t>10</w:t>
            </w:r>
          </w:p>
        </w:tc>
        <w:tc>
          <w:tcPr>
            <w:tcW w:w="1764" w:type="dxa"/>
            <w:shd w:val="clear" w:color="auto" w:fill="auto"/>
          </w:tcPr>
          <w:p w14:paraId="64F6B89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0.08</w:t>
            </w:r>
          </w:p>
        </w:tc>
        <w:tc>
          <w:tcPr>
            <w:tcW w:w="1593" w:type="dxa"/>
            <w:shd w:val="clear" w:color="auto" w:fill="auto"/>
          </w:tcPr>
          <w:p w14:paraId="681371C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0.24</w:t>
            </w:r>
          </w:p>
        </w:tc>
        <w:tc>
          <w:tcPr>
            <w:tcW w:w="1678" w:type="dxa"/>
            <w:shd w:val="clear" w:color="auto" w:fill="auto"/>
          </w:tcPr>
          <w:p w14:paraId="4D000C9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1147.79</w:t>
            </w:r>
          </w:p>
        </w:tc>
        <w:tc>
          <w:tcPr>
            <w:tcW w:w="1667" w:type="dxa"/>
            <w:shd w:val="clear" w:color="auto" w:fill="auto"/>
          </w:tcPr>
          <w:p w14:paraId="15EF28D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3.22</w:t>
            </w:r>
          </w:p>
        </w:tc>
      </w:tr>
      <w:tr w:rsidR="00D821EF" w14:paraId="46CE9A68"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B53E64A"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0CB6A6A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0.07</w:t>
            </w:r>
          </w:p>
        </w:tc>
        <w:tc>
          <w:tcPr>
            <w:tcW w:w="1593" w:type="dxa"/>
            <w:shd w:val="clear" w:color="auto" w:fill="auto"/>
          </w:tcPr>
          <w:p w14:paraId="56246BF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0.35</w:t>
            </w:r>
          </w:p>
        </w:tc>
        <w:tc>
          <w:tcPr>
            <w:tcW w:w="1678" w:type="dxa"/>
            <w:shd w:val="clear" w:color="auto" w:fill="auto"/>
          </w:tcPr>
          <w:p w14:paraId="4E4E18D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1125.37</w:t>
            </w:r>
          </w:p>
        </w:tc>
        <w:tc>
          <w:tcPr>
            <w:tcW w:w="1667" w:type="dxa"/>
            <w:shd w:val="clear" w:color="auto" w:fill="auto"/>
          </w:tcPr>
          <w:p w14:paraId="251C394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3.16</w:t>
            </w:r>
          </w:p>
        </w:tc>
      </w:tr>
      <w:tr w:rsidR="00D821EF" w14:paraId="6F259022"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7F066F67" w14:textId="77777777" w:rsidR="00D821EF" w:rsidRPr="007E2B4E" w:rsidRDefault="00D821EF" w:rsidP="00D821EF">
            <w:pPr>
              <w:spacing w:before="0" w:after="0"/>
              <w:rPr>
                <w:sz w:val="18"/>
                <w:szCs w:val="18"/>
              </w:rPr>
            </w:pPr>
            <w:r w:rsidRPr="007E2B4E">
              <w:rPr>
                <w:sz w:val="18"/>
                <w:szCs w:val="18"/>
              </w:rPr>
              <w:t>50</w:t>
            </w:r>
          </w:p>
        </w:tc>
        <w:tc>
          <w:tcPr>
            <w:tcW w:w="1764" w:type="dxa"/>
            <w:shd w:val="clear" w:color="auto" w:fill="auto"/>
          </w:tcPr>
          <w:p w14:paraId="34ECCAA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0.39</w:t>
            </w:r>
          </w:p>
        </w:tc>
        <w:tc>
          <w:tcPr>
            <w:tcW w:w="1593" w:type="dxa"/>
            <w:shd w:val="clear" w:color="auto" w:fill="auto"/>
          </w:tcPr>
          <w:p w14:paraId="7B26B1B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0.27</w:t>
            </w:r>
          </w:p>
        </w:tc>
        <w:tc>
          <w:tcPr>
            <w:tcW w:w="1678" w:type="dxa"/>
            <w:shd w:val="clear" w:color="auto" w:fill="auto"/>
          </w:tcPr>
          <w:p w14:paraId="167DC0C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1152.06</w:t>
            </w:r>
          </w:p>
        </w:tc>
        <w:tc>
          <w:tcPr>
            <w:tcW w:w="1667" w:type="dxa"/>
            <w:shd w:val="clear" w:color="auto" w:fill="auto"/>
          </w:tcPr>
          <w:p w14:paraId="71589A55"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3.23</w:t>
            </w:r>
          </w:p>
        </w:tc>
      </w:tr>
      <w:tr w:rsidR="00D821EF" w14:paraId="5D9E8EB0"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0F175FDE" w14:textId="77777777" w:rsidR="00D821EF" w:rsidRPr="007E2B4E" w:rsidRDefault="00D821EF" w:rsidP="00D821EF">
            <w:pPr>
              <w:spacing w:before="0" w:after="0"/>
              <w:rPr>
                <w:sz w:val="18"/>
                <w:szCs w:val="18"/>
              </w:rPr>
            </w:pPr>
            <w:r w:rsidRPr="007E2B4E">
              <w:rPr>
                <w:sz w:val="18"/>
                <w:szCs w:val="18"/>
              </w:rPr>
              <w:t>75</w:t>
            </w:r>
          </w:p>
        </w:tc>
        <w:tc>
          <w:tcPr>
            <w:tcW w:w="1764" w:type="dxa"/>
            <w:shd w:val="clear" w:color="auto" w:fill="auto"/>
          </w:tcPr>
          <w:p w14:paraId="0EC5705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0.17</w:t>
            </w:r>
          </w:p>
        </w:tc>
        <w:tc>
          <w:tcPr>
            <w:tcW w:w="1593" w:type="dxa"/>
            <w:shd w:val="clear" w:color="auto" w:fill="auto"/>
          </w:tcPr>
          <w:p w14:paraId="47735EEB"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0.18</w:t>
            </w:r>
          </w:p>
        </w:tc>
        <w:tc>
          <w:tcPr>
            <w:tcW w:w="1678" w:type="dxa"/>
            <w:shd w:val="clear" w:color="auto" w:fill="auto"/>
          </w:tcPr>
          <w:p w14:paraId="300D48B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1258.44</w:t>
            </w:r>
          </w:p>
        </w:tc>
        <w:tc>
          <w:tcPr>
            <w:tcW w:w="1667" w:type="dxa"/>
            <w:shd w:val="clear" w:color="auto" w:fill="auto"/>
          </w:tcPr>
          <w:p w14:paraId="08AC860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3.53</w:t>
            </w:r>
          </w:p>
        </w:tc>
      </w:tr>
      <w:tr w:rsidR="00D821EF" w14:paraId="4DA2F9F3"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26D4CF1B" w14:textId="77777777" w:rsidR="00D821EF" w:rsidRPr="007E2B4E" w:rsidRDefault="00D821EF" w:rsidP="00D821EF">
            <w:pPr>
              <w:spacing w:before="0" w:after="0"/>
              <w:rPr>
                <w:sz w:val="18"/>
                <w:szCs w:val="18"/>
              </w:rPr>
            </w:pPr>
            <w:r w:rsidRPr="007E2B4E">
              <w:rPr>
                <w:sz w:val="18"/>
                <w:szCs w:val="18"/>
              </w:rPr>
              <w:t>100</w:t>
            </w:r>
          </w:p>
        </w:tc>
        <w:tc>
          <w:tcPr>
            <w:tcW w:w="1764" w:type="dxa"/>
            <w:shd w:val="clear" w:color="auto" w:fill="auto"/>
          </w:tcPr>
          <w:p w14:paraId="4D19F82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-0.20</w:t>
            </w:r>
          </w:p>
        </w:tc>
        <w:tc>
          <w:tcPr>
            <w:tcW w:w="1593" w:type="dxa"/>
            <w:shd w:val="clear" w:color="auto" w:fill="auto"/>
          </w:tcPr>
          <w:p w14:paraId="7850E21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0.21</w:t>
            </w:r>
          </w:p>
        </w:tc>
        <w:tc>
          <w:tcPr>
            <w:tcW w:w="1678" w:type="dxa"/>
            <w:shd w:val="clear" w:color="auto" w:fill="auto"/>
          </w:tcPr>
          <w:p w14:paraId="51FEF0A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1214.98</w:t>
            </w:r>
          </w:p>
        </w:tc>
        <w:tc>
          <w:tcPr>
            <w:tcW w:w="1667" w:type="dxa"/>
            <w:shd w:val="clear" w:color="auto" w:fill="auto"/>
          </w:tcPr>
          <w:p w14:paraId="3C636EE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3.41</w:t>
            </w:r>
          </w:p>
        </w:tc>
      </w:tr>
      <w:tr w:rsidR="00D821EF" w14:paraId="191F2C31"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005BAB2F" w14:textId="77777777" w:rsidR="00D821EF" w:rsidRPr="007E2B4E" w:rsidRDefault="00D821EF" w:rsidP="00D821EF">
            <w:pPr>
              <w:spacing w:before="0" w:after="0"/>
              <w:rPr>
                <w:sz w:val="18"/>
                <w:szCs w:val="18"/>
              </w:rPr>
            </w:pPr>
            <w:r w:rsidRPr="007E2B4E">
              <w:rPr>
                <w:sz w:val="18"/>
                <w:szCs w:val="18"/>
              </w:rPr>
              <w:t>250</w:t>
            </w:r>
          </w:p>
        </w:tc>
        <w:tc>
          <w:tcPr>
            <w:tcW w:w="1764" w:type="dxa"/>
            <w:shd w:val="clear" w:color="auto" w:fill="auto"/>
          </w:tcPr>
          <w:p w14:paraId="57C2DDA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-2.91</w:t>
            </w:r>
          </w:p>
        </w:tc>
        <w:tc>
          <w:tcPr>
            <w:tcW w:w="1593" w:type="dxa"/>
            <w:shd w:val="clear" w:color="auto" w:fill="auto"/>
          </w:tcPr>
          <w:p w14:paraId="69BD1BC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0.15</w:t>
            </w:r>
          </w:p>
        </w:tc>
        <w:tc>
          <w:tcPr>
            <w:tcW w:w="1678" w:type="dxa"/>
            <w:shd w:val="clear" w:color="auto" w:fill="auto"/>
          </w:tcPr>
          <w:p w14:paraId="16DF11D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1171.09</w:t>
            </w:r>
          </w:p>
        </w:tc>
        <w:tc>
          <w:tcPr>
            <w:tcW w:w="1667" w:type="dxa"/>
            <w:shd w:val="clear" w:color="auto" w:fill="auto"/>
          </w:tcPr>
          <w:p w14:paraId="06BCEEBB"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3.31</w:t>
            </w:r>
          </w:p>
        </w:tc>
      </w:tr>
      <w:tr w:rsidR="00D821EF" w14:paraId="05BB1CC1"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5BEF0660" w14:textId="77777777" w:rsidR="00D821EF" w:rsidRPr="007E2B4E" w:rsidRDefault="00D821EF" w:rsidP="00D821EF">
            <w:pPr>
              <w:spacing w:before="0" w:after="0"/>
              <w:rPr>
                <w:sz w:val="18"/>
                <w:szCs w:val="18"/>
              </w:rPr>
            </w:pPr>
            <w:r w:rsidRPr="007E2B4E">
              <w:rPr>
                <w:sz w:val="18"/>
                <w:szCs w:val="18"/>
              </w:rPr>
              <w:t>500</w:t>
            </w:r>
          </w:p>
        </w:tc>
        <w:tc>
          <w:tcPr>
            <w:tcW w:w="1764" w:type="dxa"/>
            <w:shd w:val="clear" w:color="auto" w:fill="auto"/>
          </w:tcPr>
          <w:p w14:paraId="7BD4820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-6.54</w:t>
            </w:r>
          </w:p>
        </w:tc>
        <w:tc>
          <w:tcPr>
            <w:tcW w:w="1593" w:type="dxa"/>
            <w:shd w:val="clear" w:color="auto" w:fill="auto"/>
          </w:tcPr>
          <w:p w14:paraId="228CB7EF"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0.25</w:t>
            </w:r>
          </w:p>
        </w:tc>
        <w:tc>
          <w:tcPr>
            <w:tcW w:w="1678" w:type="dxa"/>
            <w:shd w:val="clear" w:color="auto" w:fill="auto"/>
          </w:tcPr>
          <w:p w14:paraId="0B7915A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1091.51</w:t>
            </w:r>
          </w:p>
        </w:tc>
        <w:tc>
          <w:tcPr>
            <w:tcW w:w="1667" w:type="dxa"/>
            <w:shd w:val="clear" w:color="auto" w:fill="auto"/>
          </w:tcPr>
          <w:p w14:paraId="3F3F981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3.12</w:t>
            </w:r>
          </w:p>
        </w:tc>
      </w:tr>
      <w:tr w:rsidR="00D821EF" w14:paraId="30C11BCF"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764ABC87" w14:textId="77777777" w:rsidR="00D821EF" w:rsidRPr="007E2B4E" w:rsidRDefault="00D821EF" w:rsidP="00D821EF">
            <w:pPr>
              <w:spacing w:before="0" w:after="0"/>
              <w:rPr>
                <w:sz w:val="18"/>
                <w:szCs w:val="18"/>
              </w:rPr>
            </w:pPr>
            <w:r w:rsidRPr="007E2B4E">
              <w:rPr>
                <w:sz w:val="18"/>
                <w:szCs w:val="18"/>
              </w:rPr>
              <w:t>750</w:t>
            </w:r>
          </w:p>
        </w:tc>
        <w:tc>
          <w:tcPr>
            <w:tcW w:w="1764" w:type="dxa"/>
            <w:shd w:val="clear" w:color="auto" w:fill="auto"/>
          </w:tcPr>
          <w:p w14:paraId="2C2F6B8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-9.09</w:t>
            </w:r>
          </w:p>
        </w:tc>
        <w:tc>
          <w:tcPr>
            <w:tcW w:w="1593" w:type="dxa"/>
            <w:shd w:val="clear" w:color="auto" w:fill="auto"/>
          </w:tcPr>
          <w:p w14:paraId="323CBD7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0.92</w:t>
            </w:r>
          </w:p>
        </w:tc>
        <w:tc>
          <w:tcPr>
            <w:tcW w:w="1678" w:type="dxa"/>
            <w:shd w:val="clear" w:color="auto" w:fill="auto"/>
          </w:tcPr>
          <w:p w14:paraId="5F3E14A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1090.47</w:t>
            </w:r>
          </w:p>
        </w:tc>
        <w:tc>
          <w:tcPr>
            <w:tcW w:w="1667" w:type="dxa"/>
            <w:shd w:val="clear" w:color="auto" w:fill="auto"/>
          </w:tcPr>
          <w:p w14:paraId="6BAB96B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3.14</w:t>
            </w:r>
          </w:p>
        </w:tc>
      </w:tr>
      <w:tr w:rsidR="00D821EF" w14:paraId="713B48FC"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7B549276" w14:textId="77777777" w:rsidR="00D821EF" w:rsidRPr="007E2B4E" w:rsidRDefault="00D821EF" w:rsidP="00D821EF">
            <w:pPr>
              <w:spacing w:before="0" w:after="0"/>
              <w:rPr>
                <w:sz w:val="18"/>
                <w:szCs w:val="18"/>
              </w:rPr>
            </w:pPr>
            <w:r w:rsidRPr="007E2B4E">
              <w:rPr>
                <w:sz w:val="18"/>
                <w:szCs w:val="18"/>
              </w:rPr>
              <w:t>1000</w:t>
            </w:r>
          </w:p>
        </w:tc>
        <w:tc>
          <w:tcPr>
            <w:tcW w:w="1764" w:type="dxa"/>
            <w:shd w:val="clear" w:color="auto" w:fill="auto"/>
          </w:tcPr>
          <w:p w14:paraId="7683B6E5"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-13.81</w:t>
            </w:r>
          </w:p>
        </w:tc>
        <w:tc>
          <w:tcPr>
            <w:tcW w:w="1593" w:type="dxa"/>
            <w:shd w:val="clear" w:color="auto" w:fill="auto"/>
          </w:tcPr>
          <w:p w14:paraId="360C5D1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0.27</w:t>
            </w:r>
          </w:p>
        </w:tc>
        <w:tc>
          <w:tcPr>
            <w:tcW w:w="1678" w:type="dxa"/>
            <w:shd w:val="clear" w:color="auto" w:fill="auto"/>
          </w:tcPr>
          <w:p w14:paraId="135CE6FF"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874.83</w:t>
            </w:r>
          </w:p>
        </w:tc>
        <w:tc>
          <w:tcPr>
            <w:tcW w:w="1667" w:type="dxa"/>
            <w:shd w:val="clear" w:color="auto" w:fill="auto"/>
          </w:tcPr>
          <w:p w14:paraId="6E1686B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2.55</w:t>
            </w:r>
          </w:p>
        </w:tc>
      </w:tr>
    </w:tbl>
    <w:p w14:paraId="0A6BED67" w14:textId="77777777" w:rsidR="00D821EF" w:rsidRDefault="00D821EF" w:rsidP="008C2B83"/>
    <w:p w14:paraId="697F33A6"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5</w:t>
        </w:r>
      </w:fldSimple>
      <w:r>
        <w:t>. Data values of 1 g/L lysozyme pH 7 in presence of various concentrations of GdnHCl n=3</w:t>
      </w:r>
    </w:p>
    <w:tbl>
      <w:tblPr>
        <w:tblStyle w:val="LightShading"/>
        <w:tblW w:w="0" w:type="auto"/>
        <w:tblLook w:val="04A0" w:firstRow="1" w:lastRow="0" w:firstColumn="1" w:lastColumn="0" w:noHBand="0" w:noVBand="1"/>
      </w:tblPr>
      <w:tblGrid>
        <w:gridCol w:w="2018"/>
        <w:gridCol w:w="1764"/>
        <w:gridCol w:w="1593"/>
        <w:gridCol w:w="1678"/>
        <w:gridCol w:w="1667"/>
      </w:tblGrid>
      <w:tr w:rsidR="00D821EF" w14:paraId="10FB407E"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4FED6017" w14:textId="77777777" w:rsidR="00D821EF" w:rsidRPr="007E2B4E" w:rsidRDefault="00D821EF" w:rsidP="00D821EF">
            <w:pPr>
              <w:spacing w:before="0" w:after="0"/>
              <w:rPr>
                <w:sz w:val="18"/>
                <w:szCs w:val="18"/>
              </w:rPr>
            </w:pPr>
            <w:r w:rsidRPr="007E2B4E">
              <w:rPr>
                <w:sz w:val="18"/>
                <w:szCs w:val="18"/>
              </w:rPr>
              <w:t>Concentration (mM)</w:t>
            </w:r>
          </w:p>
        </w:tc>
        <w:tc>
          <w:tcPr>
            <w:tcW w:w="1764" w:type="dxa"/>
            <w:shd w:val="clear" w:color="auto" w:fill="auto"/>
          </w:tcPr>
          <w:p w14:paraId="608C24B3"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mean (°C)</w:t>
            </w:r>
          </w:p>
        </w:tc>
        <w:tc>
          <w:tcPr>
            <w:tcW w:w="1593" w:type="dxa"/>
            <w:shd w:val="clear" w:color="auto" w:fill="auto"/>
          </w:tcPr>
          <w:p w14:paraId="7B68D8C4"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SE</w:t>
            </w:r>
          </w:p>
        </w:tc>
        <w:tc>
          <w:tcPr>
            <w:tcW w:w="1678" w:type="dxa"/>
            <w:shd w:val="clear" w:color="auto" w:fill="auto"/>
          </w:tcPr>
          <w:p w14:paraId="0050CD12"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ΔH (kJ mol</w:t>
            </w:r>
            <w:r w:rsidRPr="007E2B4E">
              <w:rPr>
                <w:sz w:val="18"/>
                <w:szCs w:val="18"/>
                <w:vertAlign w:val="superscript"/>
              </w:rPr>
              <w:t>-1</w:t>
            </w:r>
            <w:r w:rsidRPr="007E2B4E">
              <w:rPr>
                <w:sz w:val="18"/>
                <w:szCs w:val="18"/>
              </w:rPr>
              <w:t>) mean</w:t>
            </w:r>
          </w:p>
        </w:tc>
        <w:tc>
          <w:tcPr>
            <w:tcW w:w="1667" w:type="dxa"/>
            <w:shd w:val="clear" w:color="auto" w:fill="auto"/>
          </w:tcPr>
          <w:p w14:paraId="36D7D460"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ΔS (kJ mol</w:t>
            </w:r>
            <w:r w:rsidRPr="007E2B4E">
              <w:rPr>
                <w:sz w:val="18"/>
                <w:szCs w:val="18"/>
                <w:vertAlign w:val="superscript"/>
              </w:rPr>
              <w:t>-1</w:t>
            </w:r>
            <w:r w:rsidRPr="007E2B4E">
              <w:rPr>
                <w:sz w:val="18"/>
                <w:szCs w:val="18"/>
              </w:rPr>
              <w:t xml:space="preserve"> K</w:t>
            </w:r>
            <w:r w:rsidRPr="007E2B4E">
              <w:rPr>
                <w:sz w:val="18"/>
                <w:szCs w:val="18"/>
                <w:vertAlign w:val="superscript"/>
              </w:rPr>
              <w:t>-1</w:t>
            </w:r>
            <w:r w:rsidRPr="007E2B4E">
              <w:rPr>
                <w:sz w:val="18"/>
                <w:szCs w:val="18"/>
              </w:rPr>
              <w:t>) mean</w:t>
            </w:r>
          </w:p>
        </w:tc>
      </w:tr>
      <w:tr w:rsidR="00D821EF" w14:paraId="4777F7B1"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11E5ECEE" w14:textId="77777777" w:rsidR="00D821EF" w:rsidRPr="007E2B4E" w:rsidRDefault="00D821EF" w:rsidP="00D821EF">
            <w:pPr>
              <w:spacing w:before="0" w:after="0"/>
              <w:rPr>
                <w:sz w:val="18"/>
                <w:szCs w:val="18"/>
              </w:rPr>
            </w:pPr>
            <w:r w:rsidRPr="007E2B4E">
              <w:rPr>
                <w:sz w:val="18"/>
                <w:szCs w:val="18"/>
              </w:rPr>
              <w:t>0.5</w:t>
            </w:r>
          </w:p>
        </w:tc>
        <w:tc>
          <w:tcPr>
            <w:tcW w:w="1764" w:type="dxa"/>
            <w:shd w:val="clear" w:color="auto" w:fill="auto"/>
          </w:tcPr>
          <w:p w14:paraId="3CBF210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0.46</w:t>
            </w:r>
          </w:p>
        </w:tc>
        <w:tc>
          <w:tcPr>
            <w:tcW w:w="1593" w:type="dxa"/>
            <w:shd w:val="clear" w:color="auto" w:fill="auto"/>
          </w:tcPr>
          <w:p w14:paraId="0B63F19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0.31</w:t>
            </w:r>
          </w:p>
        </w:tc>
        <w:tc>
          <w:tcPr>
            <w:tcW w:w="1678" w:type="dxa"/>
            <w:shd w:val="clear" w:color="auto" w:fill="auto"/>
          </w:tcPr>
          <w:p w14:paraId="143765E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366.79</w:t>
            </w:r>
          </w:p>
        </w:tc>
        <w:tc>
          <w:tcPr>
            <w:tcW w:w="1667" w:type="dxa"/>
            <w:shd w:val="clear" w:color="auto" w:fill="auto"/>
          </w:tcPr>
          <w:p w14:paraId="2C4E008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1.06</w:t>
            </w:r>
          </w:p>
        </w:tc>
      </w:tr>
      <w:tr w:rsidR="00D821EF" w14:paraId="2F31C5EF"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0660C4D" w14:textId="77777777" w:rsidR="00D821EF" w:rsidRPr="007E2B4E" w:rsidRDefault="00D821EF" w:rsidP="00D821EF">
            <w:pPr>
              <w:spacing w:before="0" w:after="0"/>
              <w:rPr>
                <w:sz w:val="18"/>
                <w:szCs w:val="18"/>
              </w:rPr>
            </w:pPr>
            <w:r w:rsidRPr="007E2B4E">
              <w:rPr>
                <w:sz w:val="18"/>
                <w:szCs w:val="18"/>
              </w:rPr>
              <w:t>1</w:t>
            </w:r>
          </w:p>
        </w:tc>
        <w:tc>
          <w:tcPr>
            <w:tcW w:w="1764" w:type="dxa"/>
            <w:shd w:val="clear" w:color="auto" w:fill="auto"/>
          </w:tcPr>
          <w:p w14:paraId="45F2DF5B"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0.27</w:t>
            </w:r>
          </w:p>
        </w:tc>
        <w:tc>
          <w:tcPr>
            <w:tcW w:w="1593" w:type="dxa"/>
            <w:shd w:val="clear" w:color="auto" w:fill="auto"/>
          </w:tcPr>
          <w:p w14:paraId="116F89CB"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0.11</w:t>
            </w:r>
          </w:p>
        </w:tc>
        <w:tc>
          <w:tcPr>
            <w:tcW w:w="1678" w:type="dxa"/>
            <w:shd w:val="clear" w:color="auto" w:fill="auto"/>
          </w:tcPr>
          <w:p w14:paraId="7F05DB27"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364.57</w:t>
            </w:r>
          </w:p>
        </w:tc>
        <w:tc>
          <w:tcPr>
            <w:tcW w:w="1667" w:type="dxa"/>
            <w:shd w:val="clear" w:color="auto" w:fill="auto"/>
          </w:tcPr>
          <w:p w14:paraId="1EB5600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1.05</w:t>
            </w:r>
          </w:p>
        </w:tc>
      </w:tr>
      <w:tr w:rsidR="00D821EF" w14:paraId="5BD95AAB"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2383300D"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7AD72E7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0.46</w:t>
            </w:r>
          </w:p>
        </w:tc>
        <w:tc>
          <w:tcPr>
            <w:tcW w:w="1593" w:type="dxa"/>
            <w:shd w:val="clear" w:color="auto" w:fill="auto"/>
          </w:tcPr>
          <w:p w14:paraId="2C1ECA4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0.19</w:t>
            </w:r>
          </w:p>
        </w:tc>
        <w:tc>
          <w:tcPr>
            <w:tcW w:w="1678" w:type="dxa"/>
            <w:shd w:val="clear" w:color="auto" w:fill="auto"/>
          </w:tcPr>
          <w:p w14:paraId="3443A6A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368.53</w:t>
            </w:r>
          </w:p>
        </w:tc>
        <w:tc>
          <w:tcPr>
            <w:tcW w:w="1667" w:type="dxa"/>
            <w:shd w:val="clear" w:color="auto" w:fill="auto"/>
          </w:tcPr>
          <w:p w14:paraId="225CC40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1.06</w:t>
            </w:r>
          </w:p>
        </w:tc>
      </w:tr>
      <w:tr w:rsidR="00D821EF" w14:paraId="3679141F"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3C784450" w14:textId="77777777" w:rsidR="00D821EF" w:rsidRPr="007E2B4E" w:rsidRDefault="00D821EF" w:rsidP="00D821EF">
            <w:pPr>
              <w:spacing w:before="0" w:after="0"/>
              <w:rPr>
                <w:sz w:val="18"/>
                <w:szCs w:val="18"/>
              </w:rPr>
            </w:pPr>
            <w:r w:rsidRPr="007E2B4E">
              <w:rPr>
                <w:sz w:val="18"/>
                <w:szCs w:val="18"/>
              </w:rPr>
              <w:t>5</w:t>
            </w:r>
          </w:p>
        </w:tc>
        <w:tc>
          <w:tcPr>
            <w:tcW w:w="1764" w:type="dxa"/>
            <w:shd w:val="clear" w:color="auto" w:fill="auto"/>
          </w:tcPr>
          <w:p w14:paraId="6CE18401"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-0.38</w:t>
            </w:r>
          </w:p>
        </w:tc>
        <w:tc>
          <w:tcPr>
            <w:tcW w:w="1593" w:type="dxa"/>
            <w:shd w:val="clear" w:color="auto" w:fill="auto"/>
          </w:tcPr>
          <w:p w14:paraId="22921D7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0.17</w:t>
            </w:r>
          </w:p>
        </w:tc>
        <w:tc>
          <w:tcPr>
            <w:tcW w:w="1678" w:type="dxa"/>
            <w:shd w:val="clear" w:color="auto" w:fill="auto"/>
          </w:tcPr>
          <w:p w14:paraId="5A82197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355.10</w:t>
            </w:r>
          </w:p>
        </w:tc>
        <w:tc>
          <w:tcPr>
            <w:tcW w:w="1667" w:type="dxa"/>
            <w:shd w:val="clear" w:color="auto" w:fill="auto"/>
          </w:tcPr>
          <w:p w14:paraId="4C17573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1.03</w:t>
            </w:r>
          </w:p>
        </w:tc>
      </w:tr>
      <w:tr w:rsidR="00D821EF" w14:paraId="506F377C"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5E05C5DF" w14:textId="77777777" w:rsidR="00D821EF" w:rsidRPr="007E2B4E" w:rsidRDefault="00D821EF" w:rsidP="00D821EF">
            <w:pPr>
              <w:spacing w:before="0" w:after="0"/>
              <w:rPr>
                <w:sz w:val="18"/>
                <w:szCs w:val="18"/>
              </w:rPr>
            </w:pPr>
            <w:r w:rsidRPr="007E2B4E">
              <w:rPr>
                <w:sz w:val="18"/>
                <w:szCs w:val="18"/>
              </w:rPr>
              <w:t>10</w:t>
            </w:r>
          </w:p>
        </w:tc>
        <w:tc>
          <w:tcPr>
            <w:tcW w:w="1764" w:type="dxa"/>
            <w:shd w:val="clear" w:color="auto" w:fill="auto"/>
          </w:tcPr>
          <w:p w14:paraId="1E84E95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-0.03</w:t>
            </w:r>
          </w:p>
        </w:tc>
        <w:tc>
          <w:tcPr>
            <w:tcW w:w="1593" w:type="dxa"/>
            <w:shd w:val="clear" w:color="auto" w:fill="auto"/>
          </w:tcPr>
          <w:p w14:paraId="6BF83C3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0.28</w:t>
            </w:r>
          </w:p>
        </w:tc>
        <w:tc>
          <w:tcPr>
            <w:tcW w:w="1678" w:type="dxa"/>
            <w:shd w:val="clear" w:color="auto" w:fill="auto"/>
          </w:tcPr>
          <w:p w14:paraId="2D2BF29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351.73</w:t>
            </w:r>
          </w:p>
        </w:tc>
        <w:tc>
          <w:tcPr>
            <w:tcW w:w="1667" w:type="dxa"/>
            <w:shd w:val="clear" w:color="auto" w:fill="auto"/>
          </w:tcPr>
          <w:p w14:paraId="0A072DA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1.01</w:t>
            </w:r>
          </w:p>
        </w:tc>
      </w:tr>
      <w:tr w:rsidR="00D821EF" w14:paraId="510C4B9B"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55B06564"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6B2E82E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0.59</w:t>
            </w:r>
          </w:p>
        </w:tc>
        <w:tc>
          <w:tcPr>
            <w:tcW w:w="1593" w:type="dxa"/>
            <w:shd w:val="clear" w:color="auto" w:fill="auto"/>
          </w:tcPr>
          <w:p w14:paraId="726075A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0.31</w:t>
            </w:r>
          </w:p>
        </w:tc>
        <w:tc>
          <w:tcPr>
            <w:tcW w:w="1678" w:type="dxa"/>
            <w:shd w:val="clear" w:color="auto" w:fill="auto"/>
          </w:tcPr>
          <w:p w14:paraId="798ED8F1"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358.09</w:t>
            </w:r>
          </w:p>
        </w:tc>
        <w:tc>
          <w:tcPr>
            <w:tcW w:w="1667" w:type="dxa"/>
            <w:shd w:val="clear" w:color="auto" w:fill="auto"/>
          </w:tcPr>
          <w:p w14:paraId="78257BD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1.03</w:t>
            </w:r>
          </w:p>
        </w:tc>
      </w:tr>
      <w:tr w:rsidR="00D821EF" w14:paraId="564DD1CC"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5FBD602F" w14:textId="77777777" w:rsidR="00D821EF" w:rsidRPr="007E2B4E" w:rsidRDefault="00D821EF" w:rsidP="00D821EF">
            <w:pPr>
              <w:spacing w:before="0" w:after="0"/>
              <w:rPr>
                <w:sz w:val="18"/>
                <w:szCs w:val="18"/>
              </w:rPr>
            </w:pPr>
            <w:r w:rsidRPr="007E2B4E">
              <w:rPr>
                <w:sz w:val="18"/>
                <w:szCs w:val="18"/>
              </w:rPr>
              <w:t>50</w:t>
            </w:r>
          </w:p>
        </w:tc>
        <w:tc>
          <w:tcPr>
            <w:tcW w:w="1764" w:type="dxa"/>
            <w:shd w:val="clear" w:color="auto" w:fill="auto"/>
          </w:tcPr>
          <w:p w14:paraId="7F1FD3F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-0.23</w:t>
            </w:r>
          </w:p>
        </w:tc>
        <w:tc>
          <w:tcPr>
            <w:tcW w:w="1593" w:type="dxa"/>
            <w:shd w:val="clear" w:color="auto" w:fill="auto"/>
          </w:tcPr>
          <w:p w14:paraId="0313DCB0"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0.22</w:t>
            </w:r>
          </w:p>
        </w:tc>
        <w:tc>
          <w:tcPr>
            <w:tcW w:w="1678" w:type="dxa"/>
            <w:shd w:val="clear" w:color="auto" w:fill="auto"/>
          </w:tcPr>
          <w:p w14:paraId="2C060EB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355.85</w:t>
            </w:r>
          </w:p>
        </w:tc>
        <w:tc>
          <w:tcPr>
            <w:tcW w:w="1667" w:type="dxa"/>
            <w:shd w:val="clear" w:color="auto" w:fill="auto"/>
          </w:tcPr>
          <w:p w14:paraId="7F6EBCCC"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1.03</w:t>
            </w:r>
          </w:p>
        </w:tc>
      </w:tr>
      <w:tr w:rsidR="00D821EF" w14:paraId="118660B3"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02766A56" w14:textId="77777777" w:rsidR="00D821EF" w:rsidRPr="007E2B4E" w:rsidRDefault="00D821EF" w:rsidP="00D821EF">
            <w:pPr>
              <w:spacing w:before="0" w:after="0"/>
              <w:rPr>
                <w:sz w:val="18"/>
                <w:szCs w:val="18"/>
              </w:rPr>
            </w:pPr>
            <w:r w:rsidRPr="007E2B4E">
              <w:rPr>
                <w:sz w:val="18"/>
                <w:szCs w:val="18"/>
              </w:rPr>
              <w:t>75</w:t>
            </w:r>
          </w:p>
        </w:tc>
        <w:tc>
          <w:tcPr>
            <w:tcW w:w="1764" w:type="dxa"/>
            <w:shd w:val="clear" w:color="auto" w:fill="auto"/>
          </w:tcPr>
          <w:p w14:paraId="13DA15F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-0.63</w:t>
            </w:r>
          </w:p>
        </w:tc>
        <w:tc>
          <w:tcPr>
            <w:tcW w:w="1593" w:type="dxa"/>
            <w:shd w:val="clear" w:color="auto" w:fill="auto"/>
          </w:tcPr>
          <w:p w14:paraId="3088C14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0.56</w:t>
            </w:r>
          </w:p>
        </w:tc>
        <w:tc>
          <w:tcPr>
            <w:tcW w:w="1678" w:type="dxa"/>
            <w:shd w:val="clear" w:color="auto" w:fill="auto"/>
          </w:tcPr>
          <w:p w14:paraId="096C966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353.73</w:t>
            </w:r>
          </w:p>
        </w:tc>
        <w:tc>
          <w:tcPr>
            <w:tcW w:w="1667" w:type="dxa"/>
            <w:shd w:val="clear" w:color="auto" w:fill="auto"/>
          </w:tcPr>
          <w:p w14:paraId="25D257F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1.02</w:t>
            </w:r>
          </w:p>
        </w:tc>
      </w:tr>
      <w:tr w:rsidR="00D821EF" w14:paraId="3A5C871B"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B387A0F" w14:textId="77777777" w:rsidR="00D821EF" w:rsidRPr="007E2B4E" w:rsidRDefault="00D821EF" w:rsidP="00D821EF">
            <w:pPr>
              <w:spacing w:before="0" w:after="0"/>
              <w:rPr>
                <w:sz w:val="18"/>
                <w:szCs w:val="18"/>
              </w:rPr>
            </w:pPr>
            <w:r w:rsidRPr="007E2B4E">
              <w:rPr>
                <w:sz w:val="18"/>
                <w:szCs w:val="18"/>
              </w:rPr>
              <w:t>100</w:t>
            </w:r>
          </w:p>
        </w:tc>
        <w:tc>
          <w:tcPr>
            <w:tcW w:w="1764" w:type="dxa"/>
            <w:shd w:val="clear" w:color="auto" w:fill="auto"/>
          </w:tcPr>
          <w:p w14:paraId="70AF72C7"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-0.94</w:t>
            </w:r>
          </w:p>
        </w:tc>
        <w:tc>
          <w:tcPr>
            <w:tcW w:w="1593" w:type="dxa"/>
            <w:shd w:val="clear" w:color="auto" w:fill="auto"/>
          </w:tcPr>
          <w:p w14:paraId="15D33AB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0.16</w:t>
            </w:r>
          </w:p>
        </w:tc>
        <w:tc>
          <w:tcPr>
            <w:tcW w:w="1678" w:type="dxa"/>
            <w:shd w:val="clear" w:color="auto" w:fill="auto"/>
          </w:tcPr>
          <w:p w14:paraId="637FA8FC"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361.19</w:t>
            </w:r>
          </w:p>
        </w:tc>
        <w:tc>
          <w:tcPr>
            <w:tcW w:w="1667" w:type="dxa"/>
            <w:shd w:val="clear" w:color="auto" w:fill="auto"/>
          </w:tcPr>
          <w:p w14:paraId="3382C21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1.04</w:t>
            </w:r>
          </w:p>
        </w:tc>
      </w:tr>
      <w:tr w:rsidR="00D821EF" w14:paraId="3DA50113"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0AB7EABB" w14:textId="77777777" w:rsidR="00D821EF" w:rsidRPr="007E2B4E" w:rsidRDefault="00D821EF" w:rsidP="00D821EF">
            <w:pPr>
              <w:spacing w:before="0" w:after="0"/>
              <w:rPr>
                <w:sz w:val="18"/>
                <w:szCs w:val="18"/>
              </w:rPr>
            </w:pPr>
            <w:r w:rsidRPr="007E2B4E">
              <w:rPr>
                <w:sz w:val="18"/>
                <w:szCs w:val="18"/>
              </w:rPr>
              <w:t>250</w:t>
            </w:r>
          </w:p>
        </w:tc>
        <w:tc>
          <w:tcPr>
            <w:tcW w:w="1764" w:type="dxa"/>
            <w:shd w:val="clear" w:color="auto" w:fill="auto"/>
          </w:tcPr>
          <w:p w14:paraId="4CB4CC31"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-2.30</w:t>
            </w:r>
          </w:p>
        </w:tc>
        <w:tc>
          <w:tcPr>
            <w:tcW w:w="1593" w:type="dxa"/>
            <w:shd w:val="clear" w:color="auto" w:fill="auto"/>
          </w:tcPr>
          <w:p w14:paraId="4F0A5FD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0.24</w:t>
            </w:r>
          </w:p>
        </w:tc>
        <w:tc>
          <w:tcPr>
            <w:tcW w:w="1678" w:type="dxa"/>
            <w:shd w:val="clear" w:color="auto" w:fill="auto"/>
          </w:tcPr>
          <w:p w14:paraId="5C0BDED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315.07</w:t>
            </w:r>
          </w:p>
        </w:tc>
        <w:tc>
          <w:tcPr>
            <w:tcW w:w="1667" w:type="dxa"/>
            <w:shd w:val="clear" w:color="auto" w:fill="auto"/>
          </w:tcPr>
          <w:p w14:paraId="4E701A1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0.91</w:t>
            </w:r>
          </w:p>
        </w:tc>
      </w:tr>
      <w:tr w:rsidR="00D821EF" w14:paraId="063B057C"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7E271C40" w14:textId="77777777" w:rsidR="00D821EF" w:rsidRPr="007E2B4E" w:rsidRDefault="00D821EF" w:rsidP="00D821EF">
            <w:pPr>
              <w:spacing w:before="0" w:after="0"/>
              <w:rPr>
                <w:sz w:val="18"/>
                <w:szCs w:val="18"/>
              </w:rPr>
            </w:pPr>
            <w:r w:rsidRPr="007E2B4E">
              <w:rPr>
                <w:sz w:val="18"/>
                <w:szCs w:val="18"/>
              </w:rPr>
              <w:t>500</w:t>
            </w:r>
          </w:p>
        </w:tc>
        <w:tc>
          <w:tcPr>
            <w:tcW w:w="1764" w:type="dxa"/>
            <w:shd w:val="clear" w:color="auto" w:fill="auto"/>
          </w:tcPr>
          <w:p w14:paraId="3D73C81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-4.63</w:t>
            </w:r>
          </w:p>
        </w:tc>
        <w:tc>
          <w:tcPr>
            <w:tcW w:w="1593" w:type="dxa"/>
            <w:shd w:val="clear" w:color="auto" w:fill="auto"/>
          </w:tcPr>
          <w:p w14:paraId="1DD042DF"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0.33</w:t>
            </w:r>
          </w:p>
        </w:tc>
        <w:tc>
          <w:tcPr>
            <w:tcW w:w="1678" w:type="dxa"/>
            <w:shd w:val="clear" w:color="auto" w:fill="auto"/>
          </w:tcPr>
          <w:p w14:paraId="59A22C0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319.71</w:t>
            </w:r>
          </w:p>
        </w:tc>
        <w:tc>
          <w:tcPr>
            <w:tcW w:w="1667" w:type="dxa"/>
            <w:shd w:val="clear" w:color="auto" w:fill="auto"/>
          </w:tcPr>
          <w:p w14:paraId="3D80835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0.94</w:t>
            </w:r>
          </w:p>
        </w:tc>
      </w:tr>
      <w:tr w:rsidR="00D821EF" w14:paraId="0ED0EC59"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214E22F7" w14:textId="77777777" w:rsidR="00D821EF" w:rsidRPr="007E2B4E" w:rsidRDefault="00D821EF" w:rsidP="00D821EF">
            <w:pPr>
              <w:spacing w:before="0" w:after="0"/>
              <w:rPr>
                <w:sz w:val="18"/>
                <w:szCs w:val="18"/>
              </w:rPr>
            </w:pPr>
            <w:r w:rsidRPr="007E2B4E">
              <w:rPr>
                <w:sz w:val="18"/>
                <w:szCs w:val="18"/>
              </w:rPr>
              <w:t>750</w:t>
            </w:r>
          </w:p>
        </w:tc>
        <w:tc>
          <w:tcPr>
            <w:tcW w:w="1764" w:type="dxa"/>
            <w:shd w:val="clear" w:color="auto" w:fill="auto"/>
          </w:tcPr>
          <w:p w14:paraId="4DA02B0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-6.29</w:t>
            </w:r>
          </w:p>
        </w:tc>
        <w:tc>
          <w:tcPr>
            <w:tcW w:w="1593" w:type="dxa"/>
            <w:shd w:val="clear" w:color="auto" w:fill="auto"/>
          </w:tcPr>
          <w:p w14:paraId="14A0A35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0.43</w:t>
            </w:r>
          </w:p>
        </w:tc>
        <w:tc>
          <w:tcPr>
            <w:tcW w:w="1678" w:type="dxa"/>
            <w:shd w:val="clear" w:color="auto" w:fill="auto"/>
          </w:tcPr>
          <w:p w14:paraId="71A5E4C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325.04</w:t>
            </w:r>
          </w:p>
        </w:tc>
        <w:tc>
          <w:tcPr>
            <w:tcW w:w="1667" w:type="dxa"/>
            <w:shd w:val="clear" w:color="auto" w:fill="auto"/>
          </w:tcPr>
          <w:p w14:paraId="04460F9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0.95</w:t>
            </w:r>
          </w:p>
        </w:tc>
      </w:tr>
      <w:tr w:rsidR="00D821EF" w14:paraId="736EA3F2"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0007D9AB" w14:textId="77777777" w:rsidR="00D821EF" w:rsidRPr="007E2B4E" w:rsidRDefault="00D821EF" w:rsidP="00D821EF">
            <w:pPr>
              <w:spacing w:before="0" w:after="0"/>
              <w:rPr>
                <w:sz w:val="18"/>
                <w:szCs w:val="18"/>
              </w:rPr>
            </w:pPr>
            <w:r w:rsidRPr="007E2B4E">
              <w:rPr>
                <w:sz w:val="18"/>
                <w:szCs w:val="18"/>
              </w:rPr>
              <w:t>1000</w:t>
            </w:r>
          </w:p>
        </w:tc>
        <w:tc>
          <w:tcPr>
            <w:tcW w:w="1764" w:type="dxa"/>
            <w:shd w:val="clear" w:color="auto" w:fill="auto"/>
          </w:tcPr>
          <w:p w14:paraId="4836259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-8.30</w:t>
            </w:r>
          </w:p>
        </w:tc>
        <w:tc>
          <w:tcPr>
            <w:tcW w:w="1593" w:type="dxa"/>
            <w:shd w:val="clear" w:color="auto" w:fill="auto"/>
          </w:tcPr>
          <w:p w14:paraId="604D4C6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0.41</w:t>
            </w:r>
          </w:p>
        </w:tc>
        <w:tc>
          <w:tcPr>
            <w:tcW w:w="1678" w:type="dxa"/>
            <w:shd w:val="clear" w:color="auto" w:fill="auto"/>
          </w:tcPr>
          <w:p w14:paraId="1079E40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302.20</w:t>
            </w:r>
          </w:p>
        </w:tc>
        <w:tc>
          <w:tcPr>
            <w:tcW w:w="1667" w:type="dxa"/>
            <w:shd w:val="clear" w:color="auto" w:fill="auto"/>
          </w:tcPr>
          <w:p w14:paraId="2F2D2EF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0.89</w:t>
            </w:r>
          </w:p>
        </w:tc>
      </w:tr>
    </w:tbl>
    <w:p w14:paraId="7694774B" w14:textId="77777777" w:rsidR="00D821EF" w:rsidRDefault="00D821EF" w:rsidP="008C2B83"/>
    <w:p w14:paraId="38B1662B"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6</w:t>
        </w:r>
      </w:fldSimple>
      <w:r>
        <w:t>. Data values of 0.5 g/L myoglobin pH 8 in presence of various concentrations of GdnHCl</w:t>
      </w:r>
    </w:p>
    <w:tbl>
      <w:tblPr>
        <w:tblStyle w:val="LightShading"/>
        <w:tblW w:w="5000" w:type="pct"/>
        <w:tblLook w:val="04A0" w:firstRow="1" w:lastRow="0" w:firstColumn="1" w:lastColumn="0" w:noHBand="0" w:noVBand="1"/>
      </w:tblPr>
      <w:tblGrid>
        <w:gridCol w:w="2469"/>
        <w:gridCol w:w="2159"/>
        <w:gridCol w:w="2053"/>
        <w:gridCol w:w="2039"/>
      </w:tblGrid>
      <w:tr w:rsidR="00D821EF" w14:paraId="446FFDAB"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08A94515" w14:textId="77777777" w:rsidR="00D821EF" w:rsidRPr="007E2B4E" w:rsidRDefault="00D821EF" w:rsidP="00D821EF">
            <w:pPr>
              <w:spacing w:before="0" w:after="0"/>
              <w:rPr>
                <w:sz w:val="18"/>
                <w:szCs w:val="18"/>
              </w:rPr>
            </w:pPr>
            <w:r w:rsidRPr="007E2B4E">
              <w:rPr>
                <w:sz w:val="18"/>
                <w:szCs w:val="18"/>
              </w:rPr>
              <w:t>Concentration (mM)</w:t>
            </w:r>
          </w:p>
        </w:tc>
        <w:tc>
          <w:tcPr>
            <w:tcW w:w="1238" w:type="pct"/>
            <w:shd w:val="clear" w:color="auto" w:fill="auto"/>
          </w:tcPr>
          <w:p w14:paraId="60CBF8B7"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(°C)</w:t>
            </w:r>
          </w:p>
        </w:tc>
        <w:tc>
          <w:tcPr>
            <w:tcW w:w="1177" w:type="pct"/>
            <w:shd w:val="clear" w:color="auto" w:fill="auto"/>
          </w:tcPr>
          <w:p w14:paraId="0C116644"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ΔH (kJ mol</w:t>
            </w:r>
            <w:r w:rsidRPr="007E2B4E">
              <w:rPr>
                <w:sz w:val="18"/>
                <w:szCs w:val="18"/>
                <w:vertAlign w:val="superscript"/>
              </w:rPr>
              <w:t>-1</w:t>
            </w:r>
            <w:r w:rsidRPr="007E2B4E">
              <w:rPr>
                <w:sz w:val="18"/>
                <w:szCs w:val="18"/>
              </w:rPr>
              <w:t xml:space="preserve">) </w:t>
            </w:r>
          </w:p>
        </w:tc>
        <w:tc>
          <w:tcPr>
            <w:tcW w:w="1169" w:type="pct"/>
            <w:shd w:val="clear" w:color="auto" w:fill="auto"/>
          </w:tcPr>
          <w:p w14:paraId="128CF3C1"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ΔS (kJ mol</w:t>
            </w:r>
            <w:r w:rsidRPr="007E2B4E">
              <w:rPr>
                <w:sz w:val="18"/>
                <w:szCs w:val="18"/>
                <w:vertAlign w:val="superscript"/>
              </w:rPr>
              <w:t>-1</w:t>
            </w:r>
            <w:r w:rsidRPr="007E2B4E">
              <w:rPr>
                <w:sz w:val="18"/>
                <w:szCs w:val="18"/>
              </w:rPr>
              <w:t xml:space="preserve"> K</w:t>
            </w:r>
            <w:r w:rsidRPr="007E2B4E">
              <w:rPr>
                <w:sz w:val="18"/>
                <w:szCs w:val="18"/>
                <w:vertAlign w:val="superscript"/>
              </w:rPr>
              <w:t>-1</w:t>
            </w:r>
            <w:r w:rsidRPr="007E2B4E">
              <w:rPr>
                <w:sz w:val="18"/>
                <w:szCs w:val="18"/>
              </w:rPr>
              <w:t xml:space="preserve">) </w:t>
            </w:r>
          </w:p>
        </w:tc>
      </w:tr>
      <w:tr w:rsidR="00D821EF" w14:paraId="12F5D1FC"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176358B3" w14:textId="77777777" w:rsidR="00D821EF" w:rsidRPr="007E2B4E" w:rsidRDefault="00D821EF" w:rsidP="00D821EF">
            <w:pPr>
              <w:spacing w:before="0" w:after="0"/>
              <w:rPr>
                <w:sz w:val="18"/>
                <w:szCs w:val="18"/>
              </w:rPr>
            </w:pPr>
            <w:r w:rsidRPr="007E2B4E">
              <w:rPr>
                <w:sz w:val="18"/>
                <w:szCs w:val="18"/>
              </w:rPr>
              <w:t>0.5</w:t>
            </w:r>
          </w:p>
        </w:tc>
        <w:tc>
          <w:tcPr>
            <w:tcW w:w="1238" w:type="pct"/>
            <w:shd w:val="clear" w:color="auto" w:fill="auto"/>
          </w:tcPr>
          <w:p w14:paraId="594E7AC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-0.21</w:t>
            </w:r>
          </w:p>
        </w:tc>
        <w:tc>
          <w:tcPr>
            <w:tcW w:w="1177" w:type="pct"/>
            <w:shd w:val="clear" w:color="auto" w:fill="auto"/>
          </w:tcPr>
          <w:p w14:paraId="32C8330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1235.81</w:t>
            </w:r>
          </w:p>
        </w:tc>
        <w:tc>
          <w:tcPr>
            <w:tcW w:w="1169" w:type="pct"/>
            <w:shd w:val="clear" w:color="auto" w:fill="auto"/>
          </w:tcPr>
          <w:p w14:paraId="45596EA0"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3.50</w:t>
            </w:r>
          </w:p>
        </w:tc>
      </w:tr>
      <w:tr w:rsidR="00D821EF" w14:paraId="2AD949AA"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7B856C90" w14:textId="77777777" w:rsidR="00D821EF" w:rsidRPr="007E2B4E" w:rsidRDefault="00D821EF" w:rsidP="00D821EF">
            <w:pPr>
              <w:spacing w:before="0" w:after="0"/>
              <w:rPr>
                <w:sz w:val="18"/>
                <w:szCs w:val="18"/>
              </w:rPr>
            </w:pPr>
            <w:r w:rsidRPr="007E2B4E">
              <w:rPr>
                <w:sz w:val="18"/>
                <w:szCs w:val="18"/>
              </w:rPr>
              <w:t>1</w:t>
            </w:r>
          </w:p>
        </w:tc>
        <w:tc>
          <w:tcPr>
            <w:tcW w:w="1238" w:type="pct"/>
            <w:shd w:val="clear" w:color="auto" w:fill="auto"/>
          </w:tcPr>
          <w:p w14:paraId="48A2BD1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0.84</w:t>
            </w:r>
          </w:p>
        </w:tc>
        <w:tc>
          <w:tcPr>
            <w:tcW w:w="1177" w:type="pct"/>
            <w:shd w:val="clear" w:color="auto" w:fill="auto"/>
          </w:tcPr>
          <w:p w14:paraId="263DAB1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1312.13</w:t>
            </w:r>
          </w:p>
        </w:tc>
        <w:tc>
          <w:tcPr>
            <w:tcW w:w="1169" w:type="pct"/>
            <w:shd w:val="clear" w:color="auto" w:fill="auto"/>
          </w:tcPr>
          <w:p w14:paraId="26DA96D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3.71</w:t>
            </w:r>
          </w:p>
        </w:tc>
      </w:tr>
      <w:tr w:rsidR="00D821EF" w14:paraId="3E8D33B2"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6CEBC1E4" w14:textId="77777777" w:rsidR="00D821EF" w:rsidRPr="007E2B4E" w:rsidRDefault="00D821EF" w:rsidP="00D821EF">
            <w:pPr>
              <w:spacing w:before="0" w:after="0"/>
              <w:rPr>
                <w:sz w:val="18"/>
                <w:szCs w:val="18"/>
              </w:rPr>
            </w:pPr>
            <w:r w:rsidRPr="007E2B4E">
              <w:rPr>
                <w:sz w:val="18"/>
                <w:szCs w:val="18"/>
              </w:rPr>
              <w:t>2.5</w:t>
            </w:r>
          </w:p>
        </w:tc>
        <w:tc>
          <w:tcPr>
            <w:tcW w:w="1238" w:type="pct"/>
            <w:shd w:val="clear" w:color="auto" w:fill="auto"/>
          </w:tcPr>
          <w:p w14:paraId="2B7A3E7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-0.59</w:t>
            </w:r>
          </w:p>
        </w:tc>
        <w:tc>
          <w:tcPr>
            <w:tcW w:w="1177" w:type="pct"/>
            <w:shd w:val="clear" w:color="auto" w:fill="auto"/>
          </w:tcPr>
          <w:p w14:paraId="0BBA3D3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1193.19</w:t>
            </w:r>
          </w:p>
        </w:tc>
        <w:tc>
          <w:tcPr>
            <w:tcW w:w="1169" w:type="pct"/>
            <w:shd w:val="clear" w:color="auto" w:fill="auto"/>
          </w:tcPr>
          <w:p w14:paraId="02CAF10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3.38</w:t>
            </w:r>
          </w:p>
        </w:tc>
      </w:tr>
      <w:tr w:rsidR="00D821EF" w14:paraId="06A1C682"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4A04F634" w14:textId="77777777" w:rsidR="00D821EF" w:rsidRPr="007E2B4E" w:rsidRDefault="00D821EF" w:rsidP="00D821EF">
            <w:pPr>
              <w:spacing w:before="0" w:after="0"/>
              <w:rPr>
                <w:sz w:val="18"/>
                <w:szCs w:val="18"/>
              </w:rPr>
            </w:pPr>
            <w:r w:rsidRPr="007E2B4E">
              <w:rPr>
                <w:sz w:val="18"/>
                <w:szCs w:val="18"/>
              </w:rPr>
              <w:t>5</w:t>
            </w:r>
          </w:p>
        </w:tc>
        <w:tc>
          <w:tcPr>
            <w:tcW w:w="1238" w:type="pct"/>
            <w:shd w:val="clear" w:color="auto" w:fill="auto"/>
          </w:tcPr>
          <w:p w14:paraId="3B65FEC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-0.08</w:t>
            </w:r>
          </w:p>
        </w:tc>
        <w:tc>
          <w:tcPr>
            <w:tcW w:w="1177" w:type="pct"/>
            <w:shd w:val="clear" w:color="auto" w:fill="auto"/>
          </w:tcPr>
          <w:p w14:paraId="52EB387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1117.53</w:t>
            </w:r>
          </w:p>
        </w:tc>
        <w:tc>
          <w:tcPr>
            <w:tcW w:w="1169" w:type="pct"/>
            <w:shd w:val="clear" w:color="auto" w:fill="auto"/>
          </w:tcPr>
          <w:p w14:paraId="24E1D47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3.16</w:t>
            </w:r>
          </w:p>
        </w:tc>
      </w:tr>
      <w:tr w:rsidR="00D821EF" w14:paraId="6847B0BE"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07492FD0" w14:textId="77777777" w:rsidR="00D821EF" w:rsidRPr="007E2B4E" w:rsidRDefault="00D821EF" w:rsidP="00D821EF">
            <w:pPr>
              <w:spacing w:before="0" w:after="0"/>
              <w:rPr>
                <w:sz w:val="18"/>
                <w:szCs w:val="18"/>
              </w:rPr>
            </w:pPr>
            <w:r w:rsidRPr="007E2B4E">
              <w:rPr>
                <w:sz w:val="18"/>
                <w:szCs w:val="18"/>
              </w:rPr>
              <w:t>10</w:t>
            </w:r>
          </w:p>
        </w:tc>
        <w:tc>
          <w:tcPr>
            <w:tcW w:w="1238" w:type="pct"/>
            <w:shd w:val="clear" w:color="auto" w:fill="auto"/>
          </w:tcPr>
          <w:p w14:paraId="1DBBF61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-0.33</w:t>
            </w:r>
          </w:p>
        </w:tc>
        <w:tc>
          <w:tcPr>
            <w:tcW w:w="1177" w:type="pct"/>
            <w:shd w:val="clear" w:color="auto" w:fill="auto"/>
          </w:tcPr>
          <w:p w14:paraId="4EDC745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1439.82</w:t>
            </w:r>
          </w:p>
        </w:tc>
        <w:tc>
          <w:tcPr>
            <w:tcW w:w="1169" w:type="pct"/>
            <w:shd w:val="clear" w:color="auto" w:fill="auto"/>
          </w:tcPr>
          <w:p w14:paraId="7A674ED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4.08</w:t>
            </w:r>
          </w:p>
        </w:tc>
      </w:tr>
      <w:tr w:rsidR="00D821EF" w14:paraId="41CA9489"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21545CF1" w14:textId="77777777" w:rsidR="00D821EF" w:rsidRPr="007E2B4E" w:rsidRDefault="00D821EF" w:rsidP="00D821EF">
            <w:pPr>
              <w:spacing w:before="0" w:after="0"/>
              <w:rPr>
                <w:sz w:val="18"/>
                <w:szCs w:val="18"/>
              </w:rPr>
            </w:pPr>
            <w:r w:rsidRPr="007E2B4E">
              <w:rPr>
                <w:sz w:val="18"/>
                <w:szCs w:val="18"/>
              </w:rPr>
              <w:t>25</w:t>
            </w:r>
          </w:p>
        </w:tc>
        <w:tc>
          <w:tcPr>
            <w:tcW w:w="1238" w:type="pct"/>
            <w:shd w:val="clear" w:color="auto" w:fill="auto"/>
          </w:tcPr>
          <w:p w14:paraId="3C7E3CF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-0.44</w:t>
            </w:r>
          </w:p>
        </w:tc>
        <w:tc>
          <w:tcPr>
            <w:tcW w:w="1177" w:type="pct"/>
            <w:shd w:val="clear" w:color="auto" w:fill="auto"/>
          </w:tcPr>
          <w:p w14:paraId="51F5275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1190.93</w:t>
            </w:r>
          </w:p>
        </w:tc>
        <w:tc>
          <w:tcPr>
            <w:tcW w:w="1169" w:type="pct"/>
            <w:shd w:val="clear" w:color="auto" w:fill="auto"/>
          </w:tcPr>
          <w:p w14:paraId="44F3387B"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3.37</w:t>
            </w:r>
          </w:p>
        </w:tc>
      </w:tr>
      <w:tr w:rsidR="00D821EF" w14:paraId="74FF281A"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13B11B0C" w14:textId="77777777" w:rsidR="00D821EF" w:rsidRPr="007E2B4E" w:rsidRDefault="00D821EF" w:rsidP="00D821EF">
            <w:pPr>
              <w:spacing w:before="0" w:after="0"/>
              <w:rPr>
                <w:sz w:val="18"/>
                <w:szCs w:val="18"/>
              </w:rPr>
            </w:pPr>
            <w:r w:rsidRPr="007E2B4E">
              <w:rPr>
                <w:sz w:val="18"/>
                <w:szCs w:val="18"/>
              </w:rPr>
              <w:t>50</w:t>
            </w:r>
          </w:p>
        </w:tc>
        <w:tc>
          <w:tcPr>
            <w:tcW w:w="1238" w:type="pct"/>
            <w:shd w:val="clear" w:color="auto" w:fill="auto"/>
          </w:tcPr>
          <w:p w14:paraId="0C675595"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-1.05</w:t>
            </w:r>
          </w:p>
        </w:tc>
        <w:tc>
          <w:tcPr>
            <w:tcW w:w="1177" w:type="pct"/>
            <w:shd w:val="clear" w:color="auto" w:fill="auto"/>
          </w:tcPr>
          <w:p w14:paraId="734AEDC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1183.57</w:t>
            </w:r>
          </w:p>
        </w:tc>
        <w:tc>
          <w:tcPr>
            <w:tcW w:w="1169" w:type="pct"/>
            <w:shd w:val="clear" w:color="auto" w:fill="auto"/>
          </w:tcPr>
          <w:p w14:paraId="1C90AB0F"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3.36</w:t>
            </w:r>
          </w:p>
        </w:tc>
      </w:tr>
      <w:tr w:rsidR="00D821EF" w14:paraId="05DC0005"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7BB25C7C" w14:textId="77777777" w:rsidR="00D821EF" w:rsidRPr="007E2B4E" w:rsidRDefault="00D821EF" w:rsidP="00D821EF">
            <w:pPr>
              <w:spacing w:before="0" w:after="0"/>
              <w:rPr>
                <w:sz w:val="18"/>
                <w:szCs w:val="18"/>
              </w:rPr>
            </w:pPr>
            <w:r w:rsidRPr="007E2B4E">
              <w:rPr>
                <w:sz w:val="18"/>
                <w:szCs w:val="18"/>
              </w:rPr>
              <w:t>75</w:t>
            </w:r>
          </w:p>
        </w:tc>
        <w:tc>
          <w:tcPr>
            <w:tcW w:w="1238" w:type="pct"/>
            <w:shd w:val="clear" w:color="auto" w:fill="auto"/>
          </w:tcPr>
          <w:p w14:paraId="049308B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w:t>
            </w:r>
          </w:p>
        </w:tc>
        <w:tc>
          <w:tcPr>
            <w:tcW w:w="1177" w:type="pct"/>
            <w:shd w:val="clear" w:color="auto" w:fill="auto"/>
          </w:tcPr>
          <w:p w14:paraId="17C33911"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1247.37</w:t>
            </w:r>
          </w:p>
        </w:tc>
        <w:tc>
          <w:tcPr>
            <w:tcW w:w="1169" w:type="pct"/>
            <w:shd w:val="clear" w:color="auto" w:fill="auto"/>
          </w:tcPr>
          <w:p w14:paraId="3771051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3.54</w:t>
            </w:r>
          </w:p>
        </w:tc>
      </w:tr>
      <w:tr w:rsidR="00D821EF" w14:paraId="562BBE1F"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63F9850C" w14:textId="77777777" w:rsidR="00D821EF" w:rsidRPr="007E2B4E" w:rsidRDefault="00D821EF" w:rsidP="00D821EF">
            <w:pPr>
              <w:spacing w:before="0" w:after="0"/>
              <w:rPr>
                <w:sz w:val="18"/>
                <w:szCs w:val="18"/>
              </w:rPr>
            </w:pPr>
            <w:r w:rsidRPr="007E2B4E">
              <w:rPr>
                <w:sz w:val="18"/>
                <w:szCs w:val="18"/>
              </w:rPr>
              <w:t>100</w:t>
            </w:r>
          </w:p>
        </w:tc>
        <w:tc>
          <w:tcPr>
            <w:tcW w:w="1238" w:type="pct"/>
            <w:shd w:val="clear" w:color="auto" w:fill="auto"/>
          </w:tcPr>
          <w:p w14:paraId="7672174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-2.52</w:t>
            </w:r>
          </w:p>
        </w:tc>
        <w:tc>
          <w:tcPr>
            <w:tcW w:w="1177" w:type="pct"/>
            <w:shd w:val="clear" w:color="auto" w:fill="auto"/>
          </w:tcPr>
          <w:p w14:paraId="11F379D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1167.19</w:t>
            </w:r>
          </w:p>
        </w:tc>
        <w:tc>
          <w:tcPr>
            <w:tcW w:w="1169" w:type="pct"/>
            <w:shd w:val="clear" w:color="auto" w:fill="auto"/>
          </w:tcPr>
          <w:p w14:paraId="44965445"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3.33</w:t>
            </w:r>
          </w:p>
        </w:tc>
      </w:tr>
      <w:tr w:rsidR="00D821EF" w14:paraId="637EF547"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67298A0B" w14:textId="77777777" w:rsidR="00D821EF" w:rsidRPr="007E2B4E" w:rsidRDefault="00D821EF" w:rsidP="00D821EF">
            <w:pPr>
              <w:spacing w:before="0" w:after="0"/>
              <w:rPr>
                <w:sz w:val="18"/>
                <w:szCs w:val="18"/>
              </w:rPr>
            </w:pPr>
            <w:r w:rsidRPr="007E2B4E">
              <w:rPr>
                <w:sz w:val="18"/>
                <w:szCs w:val="18"/>
              </w:rPr>
              <w:t>250</w:t>
            </w:r>
          </w:p>
        </w:tc>
        <w:tc>
          <w:tcPr>
            <w:tcW w:w="1238" w:type="pct"/>
            <w:shd w:val="clear" w:color="auto" w:fill="auto"/>
          </w:tcPr>
          <w:p w14:paraId="3FA1BF9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-7.40</w:t>
            </w:r>
          </w:p>
        </w:tc>
        <w:tc>
          <w:tcPr>
            <w:tcW w:w="1177" w:type="pct"/>
            <w:shd w:val="clear" w:color="auto" w:fill="auto"/>
          </w:tcPr>
          <w:p w14:paraId="3B3F8D1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1140.69</w:t>
            </w:r>
          </w:p>
        </w:tc>
        <w:tc>
          <w:tcPr>
            <w:tcW w:w="1169" w:type="pct"/>
            <w:shd w:val="clear" w:color="auto" w:fill="auto"/>
          </w:tcPr>
          <w:p w14:paraId="1013D27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3.30</w:t>
            </w:r>
          </w:p>
        </w:tc>
      </w:tr>
      <w:tr w:rsidR="00D821EF" w14:paraId="48B479BF"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189485E7" w14:textId="77777777" w:rsidR="00D821EF" w:rsidRPr="007E2B4E" w:rsidRDefault="00D821EF" w:rsidP="00D821EF">
            <w:pPr>
              <w:spacing w:before="0" w:after="0"/>
              <w:rPr>
                <w:sz w:val="18"/>
                <w:szCs w:val="18"/>
              </w:rPr>
            </w:pPr>
            <w:r w:rsidRPr="007E2B4E">
              <w:rPr>
                <w:sz w:val="18"/>
                <w:szCs w:val="18"/>
              </w:rPr>
              <w:t>500</w:t>
            </w:r>
          </w:p>
        </w:tc>
        <w:tc>
          <w:tcPr>
            <w:tcW w:w="1238" w:type="pct"/>
            <w:shd w:val="clear" w:color="auto" w:fill="auto"/>
          </w:tcPr>
          <w:p w14:paraId="14E1B1F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-13.70</w:t>
            </w:r>
          </w:p>
        </w:tc>
        <w:tc>
          <w:tcPr>
            <w:tcW w:w="1177" w:type="pct"/>
            <w:shd w:val="clear" w:color="auto" w:fill="auto"/>
          </w:tcPr>
          <w:p w14:paraId="3175B377"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985.99</w:t>
            </w:r>
          </w:p>
        </w:tc>
        <w:tc>
          <w:tcPr>
            <w:tcW w:w="1169" w:type="pct"/>
            <w:shd w:val="clear" w:color="auto" w:fill="auto"/>
          </w:tcPr>
          <w:p w14:paraId="0B72A870"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2.90</w:t>
            </w:r>
          </w:p>
        </w:tc>
      </w:tr>
      <w:tr w:rsidR="00D821EF" w14:paraId="6C8ED3E4"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4EAF82E8" w14:textId="77777777" w:rsidR="00D821EF" w:rsidRPr="007E2B4E" w:rsidRDefault="00D821EF" w:rsidP="00D821EF">
            <w:pPr>
              <w:spacing w:before="0" w:after="0"/>
              <w:rPr>
                <w:sz w:val="18"/>
                <w:szCs w:val="18"/>
              </w:rPr>
            </w:pPr>
            <w:r w:rsidRPr="007E2B4E">
              <w:rPr>
                <w:sz w:val="18"/>
                <w:szCs w:val="18"/>
              </w:rPr>
              <w:t>750</w:t>
            </w:r>
          </w:p>
        </w:tc>
        <w:tc>
          <w:tcPr>
            <w:tcW w:w="1238" w:type="pct"/>
            <w:shd w:val="clear" w:color="auto" w:fill="auto"/>
          </w:tcPr>
          <w:p w14:paraId="3E3DD50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-14.83</w:t>
            </w:r>
          </w:p>
        </w:tc>
        <w:tc>
          <w:tcPr>
            <w:tcW w:w="1177" w:type="pct"/>
            <w:shd w:val="clear" w:color="auto" w:fill="auto"/>
          </w:tcPr>
          <w:p w14:paraId="6523143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966.44</w:t>
            </w:r>
          </w:p>
        </w:tc>
        <w:tc>
          <w:tcPr>
            <w:tcW w:w="1169" w:type="pct"/>
            <w:shd w:val="clear" w:color="auto" w:fill="auto"/>
          </w:tcPr>
          <w:p w14:paraId="0DCC2AB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2.86</w:t>
            </w:r>
          </w:p>
        </w:tc>
      </w:tr>
      <w:tr w:rsidR="00D821EF" w14:paraId="44C8AA9D"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3E63BAE1" w14:textId="77777777" w:rsidR="00D821EF" w:rsidRPr="007E2B4E" w:rsidRDefault="00D821EF" w:rsidP="00D821EF">
            <w:pPr>
              <w:spacing w:before="0" w:after="0"/>
              <w:rPr>
                <w:sz w:val="18"/>
                <w:szCs w:val="18"/>
              </w:rPr>
            </w:pPr>
            <w:r w:rsidRPr="007E2B4E">
              <w:rPr>
                <w:sz w:val="18"/>
                <w:szCs w:val="18"/>
              </w:rPr>
              <w:t>1000</w:t>
            </w:r>
          </w:p>
        </w:tc>
        <w:tc>
          <w:tcPr>
            <w:tcW w:w="1238" w:type="pct"/>
            <w:shd w:val="clear" w:color="auto" w:fill="auto"/>
          </w:tcPr>
          <w:p w14:paraId="130516B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-17.15</w:t>
            </w:r>
          </w:p>
        </w:tc>
        <w:tc>
          <w:tcPr>
            <w:tcW w:w="1177" w:type="pct"/>
            <w:shd w:val="clear" w:color="auto" w:fill="auto"/>
          </w:tcPr>
          <w:p w14:paraId="45444CA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847.50</w:t>
            </w:r>
          </w:p>
        </w:tc>
        <w:tc>
          <w:tcPr>
            <w:tcW w:w="1169" w:type="pct"/>
            <w:shd w:val="clear" w:color="auto" w:fill="auto"/>
          </w:tcPr>
          <w:p w14:paraId="683E9AE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2.52</w:t>
            </w:r>
          </w:p>
        </w:tc>
      </w:tr>
    </w:tbl>
    <w:p w14:paraId="6146330F" w14:textId="77777777" w:rsidR="00D821EF" w:rsidRDefault="00D821EF" w:rsidP="008C2B83"/>
    <w:p w14:paraId="5D21A11C"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7</w:t>
        </w:r>
      </w:fldSimple>
      <w:r>
        <w:t>. Data values of 1 g/L BSA 10 mM sodium octanoate pH 7 in presence of various concentrations of arginine n=3</w:t>
      </w:r>
    </w:p>
    <w:tbl>
      <w:tblPr>
        <w:tblStyle w:val="LightShading"/>
        <w:tblW w:w="0" w:type="auto"/>
        <w:tblLook w:val="04A0" w:firstRow="1" w:lastRow="0" w:firstColumn="1" w:lastColumn="0" w:noHBand="0" w:noVBand="1"/>
      </w:tblPr>
      <w:tblGrid>
        <w:gridCol w:w="2018"/>
        <w:gridCol w:w="1764"/>
        <w:gridCol w:w="1593"/>
        <w:gridCol w:w="1678"/>
        <w:gridCol w:w="1667"/>
      </w:tblGrid>
      <w:tr w:rsidR="00D821EF" w14:paraId="1EAE112C"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E2EA721" w14:textId="77777777" w:rsidR="00D821EF" w:rsidRPr="007E2B4E" w:rsidRDefault="00D821EF" w:rsidP="00D821EF">
            <w:pPr>
              <w:spacing w:before="0" w:after="0"/>
              <w:rPr>
                <w:sz w:val="18"/>
                <w:szCs w:val="18"/>
              </w:rPr>
            </w:pPr>
            <w:r w:rsidRPr="007E2B4E">
              <w:rPr>
                <w:sz w:val="18"/>
                <w:szCs w:val="18"/>
              </w:rPr>
              <w:t>Concentration (mM)</w:t>
            </w:r>
          </w:p>
        </w:tc>
        <w:tc>
          <w:tcPr>
            <w:tcW w:w="1764" w:type="dxa"/>
            <w:shd w:val="clear" w:color="auto" w:fill="auto"/>
          </w:tcPr>
          <w:p w14:paraId="0ECE95C7"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mean (°C)</w:t>
            </w:r>
          </w:p>
        </w:tc>
        <w:tc>
          <w:tcPr>
            <w:tcW w:w="1593" w:type="dxa"/>
            <w:shd w:val="clear" w:color="auto" w:fill="auto"/>
          </w:tcPr>
          <w:p w14:paraId="26549F47"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SE</w:t>
            </w:r>
          </w:p>
        </w:tc>
        <w:tc>
          <w:tcPr>
            <w:tcW w:w="1678" w:type="dxa"/>
            <w:shd w:val="clear" w:color="auto" w:fill="auto"/>
          </w:tcPr>
          <w:p w14:paraId="176F322C"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ΔH (kJ mol</w:t>
            </w:r>
            <w:r w:rsidRPr="007E2B4E">
              <w:rPr>
                <w:sz w:val="18"/>
                <w:szCs w:val="18"/>
                <w:vertAlign w:val="superscript"/>
              </w:rPr>
              <w:t>-1</w:t>
            </w:r>
            <w:r w:rsidRPr="007E2B4E">
              <w:rPr>
                <w:sz w:val="18"/>
                <w:szCs w:val="18"/>
              </w:rPr>
              <w:t>) mean</w:t>
            </w:r>
          </w:p>
        </w:tc>
        <w:tc>
          <w:tcPr>
            <w:tcW w:w="1667" w:type="dxa"/>
            <w:shd w:val="clear" w:color="auto" w:fill="auto"/>
          </w:tcPr>
          <w:p w14:paraId="1FE4917C"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ΔS (kJ mol</w:t>
            </w:r>
            <w:r w:rsidRPr="007E2B4E">
              <w:rPr>
                <w:sz w:val="18"/>
                <w:szCs w:val="18"/>
                <w:vertAlign w:val="superscript"/>
              </w:rPr>
              <w:t>-1</w:t>
            </w:r>
            <w:r w:rsidRPr="007E2B4E">
              <w:rPr>
                <w:sz w:val="18"/>
                <w:szCs w:val="18"/>
              </w:rPr>
              <w:t xml:space="preserve"> K</w:t>
            </w:r>
            <w:r w:rsidRPr="007E2B4E">
              <w:rPr>
                <w:sz w:val="18"/>
                <w:szCs w:val="18"/>
                <w:vertAlign w:val="superscript"/>
              </w:rPr>
              <w:t>-1</w:t>
            </w:r>
            <w:r w:rsidRPr="007E2B4E">
              <w:rPr>
                <w:sz w:val="18"/>
                <w:szCs w:val="18"/>
              </w:rPr>
              <w:t>) mean</w:t>
            </w:r>
          </w:p>
        </w:tc>
      </w:tr>
      <w:tr w:rsidR="00D821EF" w14:paraId="41D3DB54"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16D597A2" w14:textId="77777777" w:rsidR="00D821EF" w:rsidRPr="007E2B4E" w:rsidRDefault="00D821EF" w:rsidP="00D821EF">
            <w:pPr>
              <w:spacing w:before="0" w:after="0"/>
              <w:rPr>
                <w:sz w:val="18"/>
                <w:szCs w:val="18"/>
              </w:rPr>
            </w:pPr>
            <w:r w:rsidRPr="007E2B4E">
              <w:rPr>
                <w:sz w:val="18"/>
                <w:szCs w:val="18"/>
              </w:rPr>
              <w:t>0.5</w:t>
            </w:r>
          </w:p>
        </w:tc>
        <w:tc>
          <w:tcPr>
            <w:tcW w:w="1764" w:type="dxa"/>
            <w:shd w:val="clear" w:color="auto" w:fill="auto"/>
          </w:tcPr>
          <w:p w14:paraId="1B26E2B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0.10</w:t>
            </w:r>
          </w:p>
        </w:tc>
        <w:tc>
          <w:tcPr>
            <w:tcW w:w="1593" w:type="dxa"/>
            <w:shd w:val="clear" w:color="auto" w:fill="auto"/>
          </w:tcPr>
          <w:p w14:paraId="3DD5520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0.12</w:t>
            </w:r>
          </w:p>
        </w:tc>
        <w:tc>
          <w:tcPr>
            <w:tcW w:w="1678" w:type="dxa"/>
            <w:shd w:val="clear" w:color="auto" w:fill="auto"/>
          </w:tcPr>
          <w:p w14:paraId="3BB91A4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1217.55</w:t>
            </w:r>
          </w:p>
        </w:tc>
        <w:tc>
          <w:tcPr>
            <w:tcW w:w="1667" w:type="dxa"/>
            <w:shd w:val="clear" w:color="auto" w:fill="auto"/>
          </w:tcPr>
          <w:p w14:paraId="47311A8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3.41</w:t>
            </w:r>
          </w:p>
        </w:tc>
      </w:tr>
      <w:tr w:rsidR="00D821EF" w14:paraId="7AD6C263"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7791EC05" w14:textId="77777777" w:rsidR="00D821EF" w:rsidRPr="007E2B4E" w:rsidRDefault="00D821EF" w:rsidP="00D821EF">
            <w:pPr>
              <w:spacing w:before="0" w:after="0"/>
              <w:rPr>
                <w:sz w:val="18"/>
                <w:szCs w:val="18"/>
              </w:rPr>
            </w:pPr>
            <w:r w:rsidRPr="007E2B4E">
              <w:rPr>
                <w:sz w:val="18"/>
                <w:szCs w:val="18"/>
              </w:rPr>
              <w:t>1</w:t>
            </w:r>
          </w:p>
        </w:tc>
        <w:tc>
          <w:tcPr>
            <w:tcW w:w="1764" w:type="dxa"/>
            <w:shd w:val="clear" w:color="auto" w:fill="auto"/>
          </w:tcPr>
          <w:p w14:paraId="3418791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-0.01</w:t>
            </w:r>
          </w:p>
        </w:tc>
        <w:tc>
          <w:tcPr>
            <w:tcW w:w="1593" w:type="dxa"/>
            <w:shd w:val="clear" w:color="auto" w:fill="auto"/>
          </w:tcPr>
          <w:p w14:paraId="29EA828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0.22</w:t>
            </w:r>
          </w:p>
        </w:tc>
        <w:tc>
          <w:tcPr>
            <w:tcW w:w="1678" w:type="dxa"/>
            <w:shd w:val="clear" w:color="auto" w:fill="auto"/>
          </w:tcPr>
          <w:p w14:paraId="249E7C11"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1149.40</w:t>
            </w:r>
          </w:p>
        </w:tc>
        <w:tc>
          <w:tcPr>
            <w:tcW w:w="1667" w:type="dxa"/>
            <w:shd w:val="clear" w:color="auto" w:fill="auto"/>
          </w:tcPr>
          <w:p w14:paraId="6F0A57C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3.22</w:t>
            </w:r>
          </w:p>
        </w:tc>
      </w:tr>
      <w:tr w:rsidR="00D821EF" w14:paraId="3C2D3004"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1BEC4049"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516AEEC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0.32</w:t>
            </w:r>
          </w:p>
        </w:tc>
        <w:tc>
          <w:tcPr>
            <w:tcW w:w="1593" w:type="dxa"/>
            <w:shd w:val="clear" w:color="auto" w:fill="auto"/>
          </w:tcPr>
          <w:p w14:paraId="0E576CB0"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0.16</w:t>
            </w:r>
          </w:p>
        </w:tc>
        <w:tc>
          <w:tcPr>
            <w:tcW w:w="1678" w:type="dxa"/>
            <w:shd w:val="clear" w:color="auto" w:fill="auto"/>
          </w:tcPr>
          <w:p w14:paraId="4AF1635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1174.98</w:t>
            </w:r>
          </w:p>
        </w:tc>
        <w:tc>
          <w:tcPr>
            <w:tcW w:w="1667" w:type="dxa"/>
            <w:shd w:val="clear" w:color="auto" w:fill="auto"/>
          </w:tcPr>
          <w:p w14:paraId="297D04C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3.29</w:t>
            </w:r>
          </w:p>
        </w:tc>
      </w:tr>
      <w:tr w:rsidR="00D821EF" w14:paraId="6D2FEC4F"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2C97EE9C" w14:textId="77777777" w:rsidR="00D821EF" w:rsidRPr="007E2B4E" w:rsidRDefault="00D821EF" w:rsidP="00D821EF">
            <w:pPr>
              <w:spacing w:before="0" w:after="0"/>
              <w:rPr>
                <w:sz w:val="18"/>
                <w:szCs w:val="18"/>
              </w:rPr>
            </w:pPr>
            <w:r w:rsidRPr="007E2B4E">
              <w:rPr>
                <w:sz w:val="18"/>
                <w:szCs w:val="18"/>
              </w:rPr>
              <w:t>5</w:t>
            </w:r>
          </w:p>
        </w:tc>
        <w:tc>
          <w:tcPr>
            <w:tcW w:w="1764" w:type="dxa"/>
            <w:shd w:val="clear" w:color="auto" w:fill="auto"/>
          </w:tcPr>
          <w:p w14:paraId="5BA9926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1.11</w:t>
            </w:r>
          </w:p>
        </w:tc>
        <w:tc>
          <w:tcPr>
            <w:tcW w:w="1593" w:type="dxa"/>
            <w:shd w:val="clear" w:color="auto" w:fill="auto"/>
          </w:tcPr>
          <w:p w14:paraId="1361D741"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0.14</w:t>
            </w:r>
          </w:p>
        </w:tc>
        <w:tc>
          <w:tcPr>
            <w:tcW w:w="1678" w:type="dxa"/>
            <w:shd w:val="clear" w:color="auto" w:fill="auto"/>
          </w:tcPr>
          <w:p w14:paraId="2B8B92A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1129.63</w:t>
            </w:r>
          </w:p>
        </w:tc>
        <w:tc>
          <w:tcPr>
            <w:tcW w:w="1667" w:type="dxa"/>
            <w:shd w:val="clear" w:color="auto" w:fill="auto"/>
          </w:tcPr>
          <w:p w14:paraId="248714A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3.16</w:t>
            </w:r>
          </w:p>
        </w:tc>
      </w:tr>
      <w:tr w:rsidR="00D821EF" w14:paraId="6BEF4518"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28981E4" w14:textId="77777777" w:rsidR="00D821EF" w:rsidRPr="007E2B4E" w:rsidRDefault="00D821EF" w:rsidP="00D821EF">
            <w:pPr>
              <w:spacing w:before="0" w:after="0"/>
              <w:rPr>
                <w:sz w:val="18"/>
                <w:szCs w:val="18"/>
              </w:rPr>
            </w:pPr>
            <w:r w:rsidRPr="007E2B4E">
              <w:rPr>
                <w:sz w:val="18"/>
                <w:szCs w:val="18"/>
              </w:rPr>
              <w:t>10</w:t>
            </w:r>
          </w:p>
        </w:tc>
        <w:tc>
          <w:tcPr>
            <w:tcW w:w="1764" w:type="dxa"/>
            <w:shd w:val="clear" w:color="auto" w:fill="auto"/>
          </w:tcPr>
          <w:p w14:paraId="5048F6F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1.37</w:t>
            </w:r>
          </w:p>
        </w:tc>
        <w:tc>
          <w:tcPr>
            <w:tcW w:w="1593" w:type="dxa"/>
            <w:shd w:val="clear" w:color="auto" w:fill="auto"/>
          </w:tcPr>
          <w:p w14:paraId="1A368A1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0.12</w:t>
            </w:r>
          </w:p>
        </w:tc>
        <w:tc>
          <w:tcPr>
            <w:tcW w:w="1678" w:type="dxa"/>
            <w:shd w:val="clear" w:color="auto" w:fill="auto"/>
          </w:tcPr>
          <w:p w14:paraId="395B741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1124.82</w:t>
            </w:r>
          </w:p>
        </w:tc>
        <w:tc>
          <w:tcPr>
            <w:tcW w:w="1667" w:type="dxa"/>
            <w:shd w:val="clear" w:color="auto" w:fill="auto"/>
          </w:tcPr>
          <w:p w14:paraId="0481358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3.14</w:t>
            </w:r>
          </w:p>
        </w:tc>
      </w:tr>
      <w:tr w:rsidR="00D821EF" w14:paraId="3D807767"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553AADBE"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47282DF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1.94</w:t>
            </w:r>
          </w:p>
        </w:tc>
        <w:tc>
          <w:tcPr>
            <w:tcW w:w="1593" w:type="dxa"/>
            <w:shd w:val="clear" w:color="auto" w:fill="auto"/>
          </w:tcPr>
          <w:p w14:paraId="6B780B5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0.10</w:t>
            </w:r>
          </w:p>
        </w:tc>
        <w:tc>
          <w:tcPr>
            <w:tcW w:w="1678" w:type="dxa"/>
            <w:shd w:val="clear" w:color="auto" w:fill="auto"/>
          </w:tcPr>
          <w:p w14:paraId="7757BB5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1070.47</w:t>
            </w:r>
          </w:p>
        </w:tc>
        <w:tc>
          <w:tcPr>
            <w:tcW w:w="1667" w:type="dxa"/>
            <w:shd w:val="clear" w:color="auto" w:fill="auto"/>
          </w:tcPr>
          <w:p w14:paraId="7BBA84A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2.99</w:t>
            </w:r>
          </w:p>
        </w:tc>
      </w:tr>
      <w:tr w:rsidR="00D821EF" w14:paraId="0C207BA4"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047177D3" w14:textId="77777777" w:rsidR="00D821EF" w:rsidRPr="007E2B4E" w:rsidRDefault="00D821EF" w:rsidP="00D821EF">
            <w:pPr>
              <w:spacing w:before="0" w:after="0"/>
              <w:rPr>
                <w:sz w:val="18"/>
                <w:szCs w:val="18"/>
              </w:rPr>
            </w:pPr>
            <w:r w:rsidRPr="007E2B4E">
              <w:rPr>
                <w:sz w:val="18"/>
                <w:szCs w:val="18"/>
              </w:rPr>
              <w:t>50</w:t>
            </w:r>
          </w:p>
        </w:tc>
        <w:tc>
          <w:tcPr>
            <w:tcW w:w="1764" w:type="dxa"/>
            <w:shd w:val="clear" w:color="auto" w:fill="auto"/>
          </w:tcPr>
          <w:p w14:paraId="100E7F1F"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2.39</w:t>
            </w:r>
          </w:p>
        </w:tc>
        <w:tc>
          <w:tcPr>
            <w:tcW w:w="1593" w:type="dxa"/>
            <w:shd w:val="clear" w:color="auto" w:fill="auto"/>
          </w:tcPr>
          <w:p w14:paraId="172F74D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0.09</w:t>
            </w:r>
          </w:p>
        </w:tc>
        <w:tc>
          <w:tcPr>
            <w:tcW w:w="1678" w:type="dxa"/>
            <w:shd w:val="clear" w:color="auto" w:fill="auto"/>
          </w:tcPr>
          <w:p w14:paraId="12A25F3C"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1141.64</w:t>
            </w:r>
          </w:p>
        </w:tc>
        <w:tc>
          <w:tcPr>
            <w:tcW w:w="1667" w:type="dxa"/>
            <w:shd w:val="clear" w:color="auto" w:fill="auto"/>
          </w:tcPr>
          <w:p w14:paraId="7A2C2F5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3.18</w:t>
            </w:r>
          </w:p>
        </w:tc>
      </w:tr>
      <w:tr w:rsidR="00D821EF" w14:paraId="02A77C3A"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5533F90D" w14:textId="77777777" w:rsidR="00D821EF" w:rsidRPr="007E2B4E" w:rsidRDefault="00D821EF" w:rsidP="00D821EF">
            <w:pPr>
              <w:spacing w:before="0" w:after="0"/>
              <w:rPr>
                <w:sz w:val="18"/>
                <w:szCs w:val="18"/>
              </w:rPr>
            </w:pPr>
            <w:r w:rsidRPr="007E2B4E">
              <w:rPr>
                <w:sz w:val="18"/>
                <w:szCs w:val="18"/>
              </w:rPr>
              <w:t>75</w:t>
            </w:r>
          </w:p>
        </w:tc>
        <w:tc>
          <w:tcPr>
            <w:tcW w:w="1764" w:type="dxa"/>
            <w:shd w:val="clear" w:color="auto" w:fill="auto"/>
          </w:tcPr>
          <w:p w14:paraId="45E6439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2.33</w:t>
            </w:r>
          </w:p>
        </w:tc>
        <w:tc>
          <w:tcPr>
            <w:tcW w:w="1593" w:type="dxa"/>
            <w:shd w:val="clear" w:color="auto" w:fill="auto"/>
          </w:tcPr>
          <w:p w14:paraId="2DBB9F7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0.07</w:t>
            </w:r>
          </w:p>
        </w:tc>
        <w:tc>
          <w:tcPr>
            <w:tcW w:w="1678" w:type="dxa"/>
            <w:shd w:val="clear" w:color="auto" w:fill="auto"/>
          </w:tcPr>
          <w:p w14:paraId="11E281F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1103.52</w:t>
            </w:r>
          </w:p>
        </w:tc>
        <w:tc>
          <w:tcPr>
            <w:tcW w:w="1667" w:type="dxa"/>
            <w:shd w:val="clear" w:color="auto" w:fill="auto"/>
          </w:tcPr>
          <w:p w14:paraId="39A178E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3.08</w:t>
            </w:r>
          </w:p>
        </w:tc>
      </w:tr>
      <w:tr w:rsidR="00D821EF" w14:paraId="100AC098"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E5575CA" w14:textId="77777777" w:rsidR="00D821EF" w:rsidRPr="007E2B4E" w:rsidRDefault="00D821EF" w:rsidP="00D821EF">
            <w:pPr>
              <w:spacing w:before="0" w:after="0"/>
              <w:rPr>
                <w:sz w:val="18"/>
                <w:szCs w:val="18"/>
              </w:rPr>
            </w:pPr>
            <w:r w:rsidRPr="007E2B4E">
              <w:rPr>
                <w:sz w:val="18"/>
                <w:szCs w:val="18"/>
              </w:rPr>
              <w:t>100</w:t>
            </w:r>
          </w:p>
        </w:tc>
        <w:tc>
          <w:tcPr>
            <w:tcW w:w="1764" w:type="dxa"/>
            <w:shd w:val="clear" w:color="auto" w:fill="auto"/>
          </w:tcPr>
          <w:p w14:paraId="5F94B37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2.05</w:t>
            </w:r>
          </w:p>
        </w:tc>
        <w:tc>
          <w:tcPr>
            <w:tcW w:w="1593" w:type="dxa"/>
            <w:shd w:val="clear" w:color="auto" w:fill="auto"/>
          </w:tcPr>
          <w:p w14:paraId="66B6523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0.20</w:t>
            </w:r>
          </w:p>
        </w:tc>
        <w:tc>
          <w:tcPr>
            <w:tcW w:w="1678" w:type="dxa"/>
            <w:shd w:val="clear" w:color="auto" w:fill="auto"/>
          </w:tcPr>
          <w:p w14:paraId="7B7D14B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1205.86</w:t>
            </w:r>
          </w:p>
        </w:tc>
        <w:tc>
          <w:tcPr>
            <w:tcW w:w="1667" w:type="dxa"/>
            <w:shd w:val="clear" w:color="auto" w:fill="auto"/>
          </w:tcPr>
          <w:p w14:paraId="088FCF27"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3.36</w:t>
            </w:r>
          </w:p>
        </w:tc>
      </w:tr>
      <w:tr w:rsidR="00D821EF" w14:paraId="7F9A3A5F"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078B4E41" w14:textId="77777777" w:rsidR="00D821EF" w:rsidRPr="007E2B4E" w:rsidRDefault="00D821EF" w:rsidP="00D821EF">
            <w:pPr>
              <w:spacing w:before="0" w:after="0"/>
              <w:rPr>
                <w:sz w:val="18"/>
                <w:szCs w:val="18"/>
              </w:rPr>
            </w:pPr>
            <w:r w:rsidRPr="007E2B4E">
              <w:rPr>
                <w:sz w:val="18"/>
                <w:szCs w:val="18"/>
              </w:rPr>
              <w:t>250</w:t>
            </w:r>
          </w:p>
        </w:tc>
        <w:tc>
          <w:tcPr>
            <w:tcW w:w="1764" w:type="dxa"/>
            <w:shd w:val="clear" w:color="auto" w:fill="auto"/>
          </w:tcPr>
          <w:p w14:paraId="0645CE9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0.72</w:t>
            </w:r>
          </w:p>
        </w:tc>
        <w:tc>
          <w:tcPr>
            <w:tcW w:w="1593" w:type="dxa"/>
            <w:shd w:val="clear" w:color="auto" w:fill="auto"/>
          </w:tcPr>
          <w:p w14:paraId="3F13021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0.14</w:t>
            </w:r>
          </w:p>
        </w:tc>
        <w:tc>
          <w:tcPr>
            <w:tcW w:w="1678" w:type="dxa"/>
            <w:shd w:val="clear" w:color="auto" w:fill="auto"/>
          </w:tcPr>
          <w:p w14:paraId="574435F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1153.92</w:t>
            </w:r>
          </w:p>
        </w:tc>
        <w:tc>
          <w:tcPr>
            <w:tcW w:w="1667" w:type="dxa"/>
            <w:shd w:val="clear" w:color="auto" w:fill="auto"/>
          </w:tcPr>
          <w:p w14:paraId="6ED86B5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3.23</w:t>
            </w:r>
          </w:p>
        </w:tc>
      </w:tr>
      <w:tr w:rsidR="00D821EF" w14:paraId="70FAA728"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5ABE4C04" w14:textId="77777777" w:rsidR="00D821EF" w:rsidRPr="007E2B4E" w:rsidRDefault="00D821EF" w:rsidP="00D821EF">
            <w:pPr>
              <w:spacing w:before="0" w:after="0"/>
              <w:rPr>
                <w:sz w:val="18"/>
                <w:szCs w:val="18"/>
              </w:rPr>
            </w:pPr>
            <w:r w:rsidRPr="007E2B4E">
              <w:rPr>
                <w:sz w:val="18"/>
                <w:szCs w:val="18"/>
              </w:rPr>
              <w:t>500</w:t>
            </w:r>
          </w:p>
        </w:tc>
        <w:tc>
          <w:tcPr>
            <w:tcW w:w="1764" w:type="dxa"/>
            <w:shd w:val="clear" w:color="auto" w:fill="auto"/>
          </w:tcPr>
          <w:p w14:paraId="517718E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-1.34</w:t>
            </w:r>
          </w:p>
        </w:tc>
        <w:tc>
          <w:tcPr>
            <w:tcW w:w="1593" w:type="dxa"/>
            <w:shd w:val="clear" w:color="auto" w:fill="auto"/>
          </w:tcPr>
          <w:p w14:paraId="6102715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0.31</w:t>
            </w:r>
          </w:p>
        </w:tc>
        <w:tc>
          <w:tcPr>
            <w:tcW w:w="1678" w:type="dxa"/>
            <w:shd w:val="clear" w:color="auto" w:fill="auto"/>
          </w:tcPr>
          <w:p w14:paraId="35C3DFC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1154.81</w:t>
            </w:r>
          </w:p>
        </w:tc>
        <w:tc>
          <w:tcPr>
            <w:tcW w:w="1667" w:type="dxa"/>
            <w:shd w:val="clear" w:color="auto" w:fill="auto"/>
          </w:tcPr>
          <w:p w14:paraId="366C3A05"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3.25</w:t>
            </w:r>
          </w:p>
        </w:tc>
      </w:tr>
    </w:tbl>
    <w:p w14:paraId="5AEBA576" w14:textId="77777777" w:rsidR="00D821EF" w:rsidRDefault="00D821EF" w:rsidP="008C2B83"/>
    <w:p w14:paraId="1D378A7E"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8</w:t>
        </w:r>
      </w:fldSimple>
      <w:r>
        <w:t>. Data values of 1 g/L lysozyme pH 7 in presence of various concentrations of arginine n=3</w:t>
      </w:r>
    </w:p>
    <w:tbl>
      <w:tblPr>
        <w:tblStyle w:val="LightShading"/>
        <w:tblW w:w="0" w:type="auto"/>
        <w:tblLook w:val="04A0" w:firstRow="1" w:lastRow="0" w:firstColumn="1" w:lastColumn="0" w:noHBand="0" w:noVBand="1"/>
      </w:tblPr>
      <w:tblGrid>
        <w:gridCol w:w="2018"/>
        <w:gridCol w:w="1764"/>
        <w:gridCol w:w="1593"/>
        <w:gridCol w:w="1678"/>
        <w:gridCol w:w="1667"/>
      </w:tblGrid>
      <w:tr w:rsidR="00D821EF" w14:paraId="459E6DB9"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76C8C974" w14:textId="77777777" w:rsidR="00D821EF" w:rsidRPr="007E2B4E" w:rsidRDefault="00D821EF" w:rsidP="00D821EF">
            <w:pPr>
              <w:spacing w:before="0" w:after="0"/>
              <w:rPr>
                <w:sz w:val="18"/>
                <w:szCs w:val="18"/>
              </w:rPr>
            </w:pPr>
            <w:r w:rsidRPr="007E2B4E">
              <w:rPr>
                <w:sz w:val="18"/>
                <w:szCs w:val="18"/>
              </w:rPr>
              <w:t>Concentration (mM)</w:t>
            </w:r>
          </w:p>
        </w:tc>
        <w:tc>
          <w:tcPr>
            <w:tcW w:w="1764" w:type="dxa"/>
            <w:shd w:val="clear" w:color="auto" w:fill="auto"/>
          </w:tcPr>
          <w:p w14:paraId="0FE56480"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mean (°C)</w:t>
            </w:r>
          </w:p>
        </w:tc>
        <w:tc>
          <w:tcPr>
            <w:tcW w:w="1593" w:type="dxa"/>
            <w:shd w:val="clear" w:color="auto" w:fill="auto"/>
          </w:tcPr>
          <w:p w14:paraId="6E4D31A1"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SE</w:t>
            </w:r>
          </w:p>
        </w:tc>
        <w:tc>
          <w:tcPr>
            <w:tcW w:w="1678" w:type="dxa"/>
            <w:shd w:val="clear" w:color="auto" w:fill="auto"/>
          </w:tcPr>
          <w:p w14:paraId="2275D0FF"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ΔH (kJ mol</w:t>
            </w:r>
            <w:r w:rsidRPr="007E2B4E">
              <w:rPr>
                <w:sz w:val="18"/>
                <w:szCs w:val="18"/>
                <w:vertAlign w:val="superscript"/>
              </w:rPr>
              <w:t>-1</w:t>
            </w:r>
            <w:r w:rsidRPr="007E2B4E">
              <w:rPr>
                <w:sz w:val="18"/>
                <w:szCs w:val="18"/>
              </w:rPr>
              <w:t>) mean</w:t>
            </w:r>
          </w:p>
        </w:tc>
        <w:tc>
          <w:tcPr>
            <w:tcW w:w="1667" w:type="dxa"/>
            <w:shd w:val="clear" w:color="auto" w:fill="auto"/>
          </w:tcPr>
          <w:p w14:paraId="1CDF8282"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ΔS (kJ mol</w:t>
            </w:r>
            <w:r w:rsidRPr="007E2B4E">
              <w:rPr>
                <w:sz w:val="18"/>
                <w:szCs w:val="18"/>
                <w:vertAlign w:val="superscript"/>
              </w:rPr>
              <w:t>-1</w:t>
            </w:r>
            <w:r w:rsidRPr="007E2B4E">
              <w:rPr>
                <w:sz w:val="18"/>
                <w:szCs w:val="18"/>
              </w:rPr>
              <w:t xml:space="preserve"> K</w:t>
            </w:r>
            <w:r w:rsidRPr="007E2B4E">
              <w:rPr>
                <w:sz w:val="18"/>
                <w:szCs w:val="18"/>
                <w:vertAlign w:val="superscript"/>
              </w:rPr>
              <w:t>-1</w:t>
            </w:r>
            <w:r w:rsidRPr="007E2B4E">
              <w:rPr>
                <w:sz w:val="18"/>
                <w:szCs w:val="18"/>
              </w:rPr>
              <w:t>) mean</w:t>
            </w:r>
          </w:p>
        </w:tc>
      </w:tr>
      <w:tr w:rsidR="00D821EF" w14:paraId="27963611"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9E42A65" w14:textId="77777777" w:rsidR="00D821EF" w:rsidRPr="007E2B4E" w:rsidRDefault="00D821EF" w:rsidP="00D821EF">
            <w:pPr>
              <w:spacing w:before="0" w:after="0"/>
              <w:rPr>
                <w:sz w:val="18"/>
                <w:szCs w:val="18"/>
              </w:rPr>
            </w:pPr>
            <w:r w:rsidRPr="007E2B4E">
              <w:rPr>
                <w:sz w:val="18"/>
                <w:szCs w:val="18"/>
              </w:rPr>
              <w:t>0.5</w:t>
            </w:r>
          </w:p>
        </w:tc>
        <w:tc>
          <w:tcPr>
            <w:tcW w:w="1764" w:type="dxa"/>
            <w:shd w:val="clear" w:color="auto" w:fill="auto"/>
          </w:tcPr>
          <w:p w14:paraId="713B5CE0"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0.06</w:t>
            </w:r>
          </w:p>
        </w:tc>
        <w:tc>
          <w:tcPr>
            <w:tcW w:w="1593" w:type="dxa"/>
            <w:shd w:val="clear" w:color="auto" w:fill="auto"/>
          </w:tcPr>
          <w:p w14:paraId="0D66E4B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0.30</w:t>
            </w:r>
          </w:p>
        </w:tc>
        <w:tc>
          <w:tcPr>
            <w:tcW w:w="1678" w:type="dxa"/>
            <w:shd w:val="clear" w:color="auto" w:fill="auto"/>
          </w:tcPr>
          <w:p w14:paraId="3F60937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406.77</w:t>
            </w:r>
          </w:p>
        </w:tc>
        <w:tc>
          <w:tcPr>
            <w:tcW w:w="1667" w:type="dxa"/>
            <w:shd w:val="clear" w:color="auto" w:fill="auto"/>
          </w:tcPr>
          <w:p w14:paraId="7705763F"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1.20</w:t>
            </w:r>
          </w:p>
        </w:tc>
      </w:tr>
      <w:tr w:rsidR="00D821EF" w14:paraId="36534A92"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48A4E24C" w14:textId="77777777" w:rsidR="00D821EF" w:rsidRPr="007E2B4E" w:rsidRDefault="00D821EF" w:rsidP="00D821EF">
            <w:pPr>
              <w:spacing w:before="0" w:after="0"/>
              <w:rPr>
                <w:sz w:val="18"/>
                <w:szCs w:val="18"/>
              </w:rPr>
            </w:pPr>
            <w:r w:rsidRPr="007E2B4E">
              <w:rPr>
                <w:sz w:val="18"/>
                <w:szCs w:val="18"/>
              </w:rPr>
              <w:t>1</w:t>
            </w:r>
          </w:p>
        </w:tc>
        <w:tc>
          <w:tcPr>
            <w:tcW w:w="1764" w:type="dxa"/>
            <w:shd w:val="clear" w:color="auto" w:fill="auto"/>
          </w:tcPr>
          <w:p w14:paraId="788A595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-0.13</w:t>
            </w:r>
          </w:p>
        </w:tc>
        <w:tc>
          <w:tcPr>
            <w:tcW w:w="1593" w:type="dxa"/>
            <w:shd w:val="clear" w:color="auto" w:fill="auto"/>
          </w:tcPr>
          <w:p w14:paraId="6E918537"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0.26</w:t>
            </w:r>
          </w:p>
        </w:tc>
        <w:tc>
          <w:tcPr>
            <w:tcW w:w="1678" w:type="dxa"/>
            <w:shd w:val="clear" w:color="auto" w:fill="auto"/>
          </w:tcPr>
          <w:p w14:paraId="5FB0748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403.83</w:t>
            </w:r>
          </w:p>
        </w:tc>
        <w:tc>
          <w:tcPr>
            <w:tcW w:w="1667" w:type="dxa"/>
            <w:shd w:val="clear" w:color="auto" w:fill="auto"/>
          </w:tcPr>
          <w:p w14:paraId="0F727DD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1.16</w:t>
            </w:r>
          </w:p>
        </w:tc>
      </w:tr>
      <w:tr w:rsidR="00D821EF" w14:paraId="6561FFEB"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3460A13A"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7A15EDE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0.09</w:t>
            </w:r>
          </w:p>
        </w:tc>
        <w:tc>
          <w:tcPr>
            <w:tcW w:w="1593" w:type="dxa"/>
            <w:shd w:val="clear" w:color="auto" w:fill="auto"/>
          </w:tcPr>
          <w:p w14:paraId="3654D43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0.08</w:t>
            </w:r>
          </w:p>
        </w:tc>
        <w:tc>
          <w:tcPr>
            <w:tcW w:w="1678" w:type="dxa"/>
            <w:shd w:val="clear" w:color="auto" w:fill="auto"/>
          </w:tcPr>
          <w:p w14:paraId="6F5D3FD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406.54</w:t>
            </w:r>
          </w:p>
        </w:tc>
        <w:tc>
          <w:tcPr>
            <w:tcW w:w="1667" w:type="dxa"/>
            <w:shd w:val="clear" w:color="auto" w:fill="auto"/>
          </w:tcPr>
          <w:p w14:paraId="676694A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1.17</w:t>
            </w:r>
          </w:p>
        </w:tc>
      </w:tr>
      <w:tr w:rsidR="00D821EF" w14:paraId="09BFD10D"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7BA3C31E" w14:textId="77777777" w:rsidR="00D821EF" w:rsidRPr="007E2B4E" w:rsidRDefault="00D821EF" w:rsidP="00D821EF">
            <w:pPr>
              <w:spacing w:before="0" w:after="0"/>
              <w:rPr>
                <w:sz w:val="18"/>
                <w:szCs w:val="18"/>
              </w:rPr>
            </w:pPr>
            <w:r w:rsidRPr="007E2B4E">
              <w:rPr>
                <w:sz w:val="18"/>
                <w:szCs w:val="18"/>
              </w:rPr>
              <w:t>5</w:t>
            </w:r>
          </w:p>
        </w:tc>
        <w:tc>
          <w:tcPr>
            <w:tcW w:w="1764" w:type="dxa"/>
            <w:shd w:val="clear" w:color="auto" w:fill="auto"/>
          </w:tcPr>
          <w:p w14:paraId="5481538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0.06</w:t>
            </w:r>
          </w:p>
        </w:tc>
        <w:tc>
          <w:tcPr>
            <w:tcW w:w="1593" w:type="dxa"/>
            <w:shd w:val="clear" w:color="auto" w:fill="auto"/>
          </w:tcPr>
          <w:p w14:paraId="006F399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0.10</w:t>
            </w:r>
          </w:p>
        </w:tc>
        <w:tc>
          <w:tcPr>
            <w:tcW w:w="1678" w:type="dxa"/>
            <w:shd w:val="clear" w:color="auto" w:fill="auto"/>
          </w:tcPr>
          <w:p w14:paraId="460128E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409.94</w:t>
            </w:r>
          </w:p>
        </w:tc>
        <w:tc>
          <w:tcPr>
            <w:tcW w:w="1667" w:type="dxa"/>
            <w:shd w:val="clear" w:color="auto" w:fill="auto"/>
          </w:tcPr>
          <w:p w14:paraId="3589FD1B"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1.18</w:t>
            </w:r>
          </w:p>
        </w:tc>
      </w:tr>
      <w:tr w:rsidR="00D821EF" w14:paraId="7E4B1B65"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1EC383D7" w14:textId="77777777" w:rsidR="00D821EF" w:rsidRPr="007E2B4E" w:rsidRDefault="00D821EF" w:rsidP="00D821EF">
            <w:pPr>
              <w:spacing w:before="0" w:after="0"/>
              <w:rPr>
                <w:sz w:val="18"/>
                <w:szCs w:val="18"/>
              </w:rPr>
            </w:pPr>
            <w:r w:rsidRPr="007E2B4E">
              <w:rPr>
                <w:sz w:val="18"/>
                <w:szCs w:val="18"/>
              </w:rPr>
              <w:t>10</w:t>
            </w:r>
          </w:p>
        </w:tc>
        <w:tc>
          <w:tcPr>
            <w:tcW w:w="1764" w:type="dxa"/>
            <w:shd w:val="clear" w:color="auto" w:fill="auto"/>
          </w:tcPr>
          <w:p w14:paraId="4DA597B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0.16</w:t>
            </w:r>
          </w:p>
        </w:tc>
        <w:tc>
          <w:tcPr>
            <w:tcW w:w="1593" w:type="dxa"/>
            <w:shd w:val="clear" w:color="auto" w:fill="auto"/>
          </w:tcPr>
          <w:p w14:paraId="64B9FB5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0.11</w:t>
            </w:r>
          </w:p>
        </w:tc>
        <w:tc>
          <w:tcPr>
            <w:tcW w:w="1678" w:type="dxa"/>
            <w:shd w:val="clear" w:color="auto" w:fill="auto"/>
          </w:tcPr>
          <w:p w14:paraId="4DEBBA07"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387.09</w:t>
            </w:r>
          </w:p>
        </w:tc>
        <w:tc>
          <w:tcPr>
            <w:tcW w:w="1667" w:type="dxa"/>
            <w:shd w:val="clear" w:color="auto" w:fill="auto"/>
          </w:tcPr>
          <w:p w14:paraId="674C89B0"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1.11</w:t>
            </w:r>
          </w:p>
        </w:tc>
      </w:tr>
      <w:tr w:rsidR="00D821EF" w14:paraId="0A8154AF"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2266F891"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635A845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0.18</w:t>
            </w:r>
          </w:p>
        </w:tc>
        <w:tc>
          <w:tcPr>
            <w:tcW w:w="1593" w:type="dxa"/>
            <w:shd w:val="clear" w:color="auto" w:fill="auto"/>
          </w:tcPr>
          <w:p w14:paraId="22945AF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0.15</w:t>
            </w:r>
          </w:p>
        </w:tc>
        <w:tc>
          <w:tcPr>
            <w:tcW w:w="1678" w:type="dxa"/>
            <w:shd w:val="clear" w:color="auto" w:fill="auto"/>
          </w:tcPr>
          <w:p w14:paraId="3071BF1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397.94</w:t>
            </w:r>
          </w:p>
        </w:tc>
        <w:tc>
          <w:tcPr>
            <w:tcW w:w="1667" w:type="dxa"/>
            <w:shd w:val="clear" w:color="auto" w:fill="auto"/>
          </w:tcPr>
          <w:p w14:paraId="16BDCD8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1.15</w:t>
            </w:r>
          </w:p>
        </w:tc>
      </w:tr>
      <w:tr w:rsidR="00D821EF" w14:paraId="6572FDAF"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1E9A855C" w14:textId="77777777" w:rsidR="00D821EF" w:rsidRPr="007E2B4E" w:rsidRDefault="00D821EF" w:rsidP="00D821EF">
            <w:pPr>
              <w:spacing w:before="0" w:after="0"/>
              <w:rPr>
                <w:sz w:val="18"/>
                <w:szCs w:val="18"/>
              </w:rPr>
            </w:pPr>
            <w:r w:rsidRPr="007E2B4E">
              <w:rPr>
                <w:sz w:val="18"/>
                <w:szCs w:val="18"/>
              </w:rPr>
              <w:t>50</w:t>
            </w:r>
          </w:p>
        </w:tc>
        <w:tc>
          <w:tcPr>
            <w:tcW w:w="1764" w:type="dxa"/>
            <w:shd w:val="clear" w:color="auto" w:fill="auto"/>
          </w:tcPr>
          <w:p w14:paraId="28FACE5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0.10</w:t>
            </w:r>
          </w:p>
        </w:tc>
        <w:tc>
          <w:tcPr>
            <w:tcW w:w="1593" w:type="dxa"/>
            <w:shd w:val="clear" w:color="auto" w:fill="auto"/>
          </w:tcPr>
          <w:p w14:paraId="38CB017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0.16</w:t>
            </w:r>
          </w:p>
        </w:tc>
        <w:tc>
          <w:tcPr>
            <w:tcW w:w="1678" w:type="dxa"/>
            <w:shd w:val="clear" w:color="auto" w:fill="auto"/>
          </w:tcPr>
          <w:p w14:paraId="5F037FC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376.79</w:t>
            </w:r>
          </w:p>
        </w:tc>
        <w:tc>
          <w:tcPr>
            <w:tcW w:w="1667" w:type="dxa"/>
            <w:shd w:val="clear" w:color="auto" w:fill="auto"/>
          </w:tcPr>
          <w:p w14:paraId="244AD250"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1.09</w:t>
            </w:r>
          </w:p>
        </w:tc>
      </w:tr>
      <w:tr w:rsidR="00D821EF" w14:paraId="52B72635"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077B0C60" w14:textId="77777777" w:rsidR="00D821EF" w:rsidRPr="007E2B4E" w:rsidRDefault="00D821EF" w:rsidP="00D821EF">
            <w:pPr>
              <w:spacing w:before="0" w:after="0"/>
              <w:rPr>
                <w:sz w:val="18"/>
                <w:szCs w:val="18"/>
              </w:rPr>
            </w:pPr>
            <w:r w:rsidRPr="007E2B4E">
              <w:rPr>
                <w:sz w:val="18"/>
                <w:szCs w:val="18"/>
              </w:rPr>
              <w:t>75</w:t>
            </w:r>
          </w:p>
        </w:tc>
        <w:tc>
          <w:tcPr>
            <w:tcW w:w="1764" w:type="dxa"/>
            <w:shd w:val="clear" w:color="auto" w:fill="auto"/>
          </w:tcPr>
          <w:p w14:paraId="169684A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-0.06</w:t>
            </w:r>
          </w:p>
        </w:tc>
        <w:tc>
          <w:tcPr>
            <w:tcW w:w="1593" w:type="dxa"/>
            <w:shd w:val="clear" w:color="auto" w:fill="auto"/>
          </w:tcPr>
          <w:p w14:paraId="276B18D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0.29</w:t>
            </w:r>
          </w:p>
        </w:tc>
        <w:tc>
          <w:tcPr>
            <w:tcW w:w="1678" w:type="dxa"/>
            <w:shd w:val="clear" w:color="auto" w:fill="auto"/>
          </w:tcPr>
          <w:p w14:paraId="52A3B4D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387.56</w:t>
            </w:r>
          </w:p>
        </w:tc>
        <w:tc>
          <w:tcPr>
            <w:tcW w:w="1667" w:type="dxa"/>
            <w:shd w:val="clear" w:color="auto" w:fill="auto"/>
          </w:tcPr>
          <w:p w14:paraId="6D5E38D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1.12</w:t>
            </w:r>
          </w:p>
        </w:tc>
      </w:tr>
      <w:tr w:rsidR="00D821EF" w14:paraId="4FAAB83B"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5741AF92" w14:textId="77777777" w:rsidR="00D821EF" w:rsidRPr="007E2B4E" w:rsidRDefault="00D821EF" w:rsidP="00D821EF">
            <w:pPr>
              <w:spacing w:before="0" w:after="0"/>
              <w:rPr>
                <w:sz w:val="18"/>
                <w:szCs w:val="18"/>
              </w:rPr>
            </w:pPr>
            <w:r w:rsidRPr="007E2B4E">
              <w:rPr>
                <w:sz w:val="18"/>
                <w:szCs w:val="18"/>
              </w:rPr>
              <w:t>100</w:t>
            </w:r>
          </w:p>
        </w:tc>
        <w:tc>
          <w:tcPr>
            <w:tcW w:w="1764" w:type="dxa"/>
            <w:shd w:val="clear" w:color="auto" w:fill="auto"/>
          </w:tcPr>
          <w:p w14:paraId="0DF9589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-0.19</w:t>
            </w:r>
          </w:p>
        </w:tc>
        <w:tc>
          <w:tcPr>
            <w:tcW w:w="1593" w:type="dxa"/>
            <w:shd w:val="clear" w:color="auto" w:fill="auto"/>
          </w:tcPr>
          <w:p w14:paraId="31C88FE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0.21</w:t>
            </w:r>
          </w:p>
        </w:tc>
        <w:tc>
          <w:tcPr>
            <w:tcW w:w="1678" w:type="dxa"/>
            <w:shd w:val="clear" w:color="auto" w:fill="auto"/>
          </w:tcPr>
          <w:p w14:paraId="7645F5E5"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385.27</w:t>
            </w:r>
          </w:p>
        </w:tc>
        <w:tc>
          <w:tcPr>
            <w:tcW w:w="1667" w:type="dxa"/>
            <w:shd w:val="clear" w:color="auto" w:fill="auto"/>
          </w:tcPr>
          <w:p w14:paraId="74F755F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1.11</w:t>
            </w:r>
          </w:p>
        </w:tc>
      </w:tr>
      <w:tr w:rsidR="00D821EF" w14:paraId="7A928A0F"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36A89DF" w14:textId="77777777" w:rsidR="00D821EF" w:rsidRPr="007E2B4E" w:rsidRDefault="00D821EF" w:rsidP="00D821EF">
            <w:pPr>
              <w:spacing w:before="0" w:after="0"/>
              <w:rPr>
                <w:sz w:val="18"/>
                <w:szCs w:val="18"/>
              </w:rPr>
            </w:pPr>
            <w:r w:rsidRPr="007E2B4E">
              <w:rPr>
                <w:sz w:val="18"/>
                <w:szCs w:val="18"/>
              </w:rPr>
              <w:t>250</w:t>
            </w:r>
          </w:p>
        </w:tc>
        <w:tc>
          <w:tcPr>
            <w:tcW w:w="1764" w:type="dxa"/>
            <w:shd w:val="clear" w:color="auto" w:fill="auto"/>
          </w:tcPr>
          <w:p w14:paraId="0938131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-0.86</w:t>
            </w:r>
          </w:p>
        </w:tc>
        <w:tc>
          <w:tcPr>
            <w:tcW w:w="1593" w:type="dxa"/>
            <w:shd w:val="clear" w:color="auto" w:fill="auto"/>
          </w:tcPr>
          <w:p w14:paraId="474051F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0.20</w:t>
            </w:r>
          </w:p>
        </w:tc>
        <w:tc>
          <w:tcPr>
            <w:tcW w:w="1678" w:type="dxa"/>
            <w:shd w:val="clear" w:color="auto" w:fill="auto"/>
          </w:tcPr>
          <w:p w14:paraId="09951B9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376.03</w:t>
            </w:r>
          </w:p>
        </w:tc>
        <w:tc>
          <w:tcPr>
            <w:tcW w:w="1667" w:type="dxa"/>
            <w:shd w:val="clear" w:color="auto" w:fill="auto"/>
          </w:tcPr>
          <w:p w14:paraId="385045C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1.09</w:t>
            </w:r>
          </w:p>
        </w:tc>
      </w:tr>
      <w:tr w:rsidR="00D821EF" w14:paraId="61B5DE86"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2C75151" w14:textId="77777777" w:rsidR="00D821EF" w:rsidRPr="007E2B4E" w:rsidRDefault="00D821EF" w:rsidP="00D821EF">
            <w:pPr>
              <w:spacing w:before="0" w:after="0"/>
              <w:rPr>
                <w:sz w:val="18"/>
                <w:szCs w:val="18"/>
              </w:rPr>
            </w:pPr>
            <w:r w:rsidRPr="007E2B4E">
              <w:rPr>
                <w:sz w:val="18"/>
                <w:szCs w:val="18"/>
              </w:rPr>
              <w:t>500</w:t>
            </w:r>
          </w:p>
        </w:tc>
        <w:tc>
          <w:tcPr>
            <w:tcW w:w="1764" w:type="dxa"/>
            <w:shd w:val="clear" w:color="auto" w:fill="auto"/>
          </w:tcPr>
          <w:p w14:paraId="1387719C"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-1.48</w:t>
            </w:r>
          </w:p>
        </w:tc>
        <w:tc>
          <w:tcPr>
            <w:tcW w:w="1593" w:type="dxa"/>
            <w:shd w:val="clear" w:color="auto" w:fill="auto"/>
          </w:tcPr>
          <w:p w14:paraId="4E1E37B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0.23</w:t>
            </w:r>
          </w:p>
        </w:tc>
        <w:tc>
          <w:tcPr>
            <w:tcW w:w="1678" w:type="dxa"/>
            <w:shd w:val="clear" w:color="auto" w:fill="auto"/>
          </w:tcPr>
          <w:p w14:paraId="784BB98C"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369.81</w:t>
            </w:r>
          </w:p>
        </w:tc>
        <w:tc>
          <w:tcPr>
            <w:tcW w:w="1667" w:type="dxa"/>
            <w:shd w:val="clear" w:color="auto" w:fill="auto"/>
          </w:tcPr>
          <w:p w14:paraId="0C1A22C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1.07</w:t>
            </w:r>
          </w:p>
        </w:tc>
      </w:tr>
    </w:tbl>
    <w:p w14:paraId="1926A288" w14:textId="77777777" w:rsidR="00D821EF" w:rsidRDefault="00D821EF" w:rsidP="008C2B83"/>
    <w:p w14:paraId="7A360BCD"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9</w:t>
        </w:r>
      </w:fldSimple>
      <w:r>
        <w:t>. Data values of 0.5 g/L myoglobin pH 8 in presence of various concentrations of arginine</w:t>
      </w:r>
    </w:p>
    <w:tbl>
      <w:tblPr>
        <w:tblStyle w:val="LightShading"/>
        <w:tblW w:w="5000" w:type="pct"/>
        <w:tblLook w:val="04A0" w:firstRow="1" w:lastRow="0" w:firstColumn="1" w:lastColumn="0" w:noHBand="0" w:noVBand="1"/>
      </w:tblPr>
      <w:tblGrid>
        <w:gridCol w:w="2469"/>
        <w:gridCol w:w="2159"/>
        <w:gridCol w:w="2053"/>
        <w:gridCol w:w="2039"/>
      </w:tblGrid>
      <w:tr w:rsidR="00D821EF" w14:paraId="0684F61F"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066FB3DC" w14:textId="77777777" w:rsidR="00D821EF" w:rsidRPr="007E2B4E" w:rsidRDefault="00D821EF" w:rsidP="00D821EF">
            <w:pPr>
              <w:spacing w:before="0" w:after="0"/>
              <w:rPr>
                <w:sz w:val="18"/>
                <w:szCs w:val="18"/>
              </w:rPr>
            </w:pPr>
            <w:r w:rsidRPr="007E2B4E">
              <w:rPr>
                <w:sz w:val="18"/>
                <w:szCs w:val="18"/>
              </w:rPr>
              <w:t>Concentration (mM)</w:t>
            </w:r>
          </w:p>
        </w:tc>
        <w:tc>
          <w:tcPr>
            <w:tcW w:w="1238" w:type="pct"/>
            <w:shd w:val="clear" w:color="auto" w:fill="auto"/>
          </w:tcPr>
          <w:p w14:paraId="0653A01E"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(°C)</w:t>
            </w:r>
          </w:p>
        </w:tc>
        <w:tc>
          <w:tcPr>
            <w:tcW w:w="1177" w:type="pct"/>
            <w:shd w:val="clear" w:color="auto" w:fill="auto"/>
          </w:tcPr>
          <w:p w14:paraId="51326448"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ΔH (kJ mol</w:t>
            </w:r>
            <w:r w:rsidRPr="007E2B4E">
              <w:rPr>
                <w:sz w:val="18"/>
                <w:szCs w:val="18"/>
                <w:vertAlign w:val="superscript"/>
              </w:rPr>
              <w:t>-1</w:t>
            </w:r>
            <w:r w:rsidRPr="007E2B4E">
              <w:rPr>
                <w:sz w:val="18"/>
                <w:szCs w:val="18"/>
              </w:rPr>
              <w:t xml:space="preserve">) </w:t>
            </w:r>
          </w:p>
        </w:tc>
        <w:tc>
          <w:tcPr>
            <w:tcW w:w="1169" w:type="pct"/>
            <w:shd w:val="clear" w:color="auto" w:fill="auto"/>
          </w:tcPr>
          <w:p w14:paraId="153DFFA4"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ΔS (kJ mol</w:t>
            </w:r>
            <w:r w:rsidRPr="007E2B4E">
              <w:rPr>
                <w:sz w:val="18"/>
                <w:szCs w:val="18"/>
                <w:vertAlign w:val="superscript"/>
              </w:rPr>
              <w:t>-1</w:t>
            </w:r>
            <w:r w:rsidRPr="007E2B4E">
              <w:rPr>
                <w:sz w:val="18"/>
                <w:szCs w:val="18"/>
              </w:rPr>
              <w:t xml:space="preserve"> K</w:t>
            </w:r>
            <w:r w:rsidRPr="007E2B4E">
              <w:rPr>
                <w:sz w:val="18"/>
                <w:szCs w:val="18"/>
                <w:vertAlign w:val="superscript"/>
              </w:rPr>
              <w:t>-1</w:t>
            </w:r>
            <w:r w:rsidRPr="007E2B4E">
              <w:rPr>
                <w:sz w:val="18"/>
                <w:szCs w:val="18"/>
              </w:rPr>
              <w:t xml:space="preserve">) </w:t>
            </w:r>
          </w:p>
        </w:tc>
      </w:tr>
      <w:tr w:rsidR="00D821EF" w14:paraId="2E1EFFE7"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35E2B7F0" w14:textId="77777777" w:rsidR="00D821EF" w:rsidRPr="007E2B4E" w:rsidRDefault="00D821EF" w:rsidP="00D821EF">
            <w:pPr>
              <w:spacing w:before="0" w:after="0"/>
              <w:rPr>
                <w:sz w:val="18"/>
                <w:szCs w:val="18"/>
              </w:rPr>
            </w:pPr>
            <w:r w:rsidRPr="007E2B4E">
              <w:rPr>
                <w:sz w:val="18"/>
                <w:szCs w:val="18"/>
              </w:rPr>
              <w:t>0.5</w:t>
            </w:r>
          </w:p>
        </w:tc>
        <w:tc>
          <w:tcPr>
            <w:tcW w:w="1238" w:type="pct"/>
            <w:shd w:val="clear" w:color="auto" w:fill="auto"/>
          </w:tcPr>
          <w:p w14:paraId="55B7404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-0.82</w:t>
            </w:r>
          </w:p>
        </w:tc>
        <w:tc>
          <w:tcPr>
            <w:tcW w:w="1177" w:type="pct"/>
            <w:shd w:val="clear" w:color="auto" w:fill="auto"/>
          </w:tcPr>
          <w:p w14:paraId="72292E8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1105.04</w:t>
            </w:r>
          </w:p>
        </w:tc>
        <w:tc>
          <w:tcPr>
            <w:tcW w:w="1169" w:type="pct"/>
            <w:shd w:val="clear" w:color="auto" w:fill="auto"/>
          </w:tcPr>
          <w:p w14:paraId="30EA788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3.13</w:t>
            </w:r>
          </w:p>
        </w:tc>
      </w:tr>
      <w:tr w:rsidR="00D821EF" w14:paraId="4333F875"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764C1C7A" w14:textId="77777777" w:rsidR="00D821EF" w:rsidRPr="007E2B4E" w:rsidRDefault="00D821EF" w:rsidP="00D821EF">
            <w:pPr>
              <w:spacing w:before="0" w:after="0"/>
              <w:rPr>
                <w:sz w:val="18"/>
                <w:szCs w:val="18"/>
              </w:rPr>
            </w:pPr>
            <w:r w:rsidRPr="007E2B4E">
              <w:rPr>
                <w:sz w:val="18"/>
                <w:szCs w:val="18"/>
              </w:rPr>
              <w:t>1</w:t>
            </w:r>
          </w:p>
        </w:tc>
        <w:tc>
          <w:tcPr>
            <w:tcW w:w="1238" w:type="pct"/>
            <w:shd w:val="clear" w:color="auto" w:fill="auto"/>
          </w:tcPr>
          <w:p w14:paraId="60ED732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-1.07</w:t>
            </w:r>
          </w:p>
        </w:tc>
        <w:tc>
          <w:tcPr>
            <w:tcW w:w="1177" w:type="pct"/>
            <w:shd w:val="clear" w:color="auto" w:fill="auto"/>
          </w:tcPr>
          <w:p w14:paraId="10684CC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1136.84</w:t>
            </w:r>
          </w:p>
        </w:tc>
        <w:tc>
          <w:tcPr>
            <w:tcW w:w="1169" w:type="pct"/>
            <w:shd w:val="clear" w:color="auto" w:fill="auto"/>
          </w:tcPr>
          <w:p w14:paraId="0C5565E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3.22</w:t>
            </w:r>
          </w:p>
        </w:tc>
      </w:tr>
      <w:tr w:rsidR="00D821EF" w14:paraId="0ECFA143"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3BCF85A8" w14:textId="77777777" w:rsidR="00D821EF" w:rsidRPr="007E2B4E" w:rsidRDefault="00D821EF" w:rsidP="00D821EF">
            <w:pPr>
              <w:spacing w:before="0" w:after="0"/>
              <w:rPr>
                <w:sz w:val="18"/>
                <w:szCs w:val="18"/>
              </w:rPr>
            </w:pPr>
            <w:r w:rsidRPr="007E2B4E">
              <w:rPr>
                <w:sz w:val="18"/>
                <w:szCs w:val="18"/>
              </w:rPr>
              <w:t>2.5</w:t>
            </w:r>
          </w:p>
        </w:tc>
        <w:tc>
          <w:tcPr>
            <w:tcW w:w="1238" w:type="pct"/>
            <w:shd w:val="clear" w:color="auto" w:fill="auto"/>
          </w:tcPr>
          <w:p w14:paraId="2347601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-1.08</w:t>
            </w:r>
          </w:p>
        </w:tc>
        <w:tc>
          <w:tcPr>
            <w:tcW w:w="1177" w:type="pct"/>
            <w:shd w:val="clear" w:color="auto" w:fill="auto"/>
          </w:tcPr>
          <w:p w14:paraId="043F097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1056.52</w:t>
            </w:r>
          </w:p>
        </w:tc>
        <w:tc>
          <w:tcPr>
            <w:tcW w:w="1169" w:type="pct"/>
            <w:shd w:val="clear" w:color="auto" w:fill="auto"/>
          </w:tcPr>
          <w:p w14:paraId="015AADF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3.00</w:t>
            </w:r>
          </w:p>
        </w:tc>
      </w:tr>
      <w:tr w:rsidR="00D821EF" w14:paraId="589DCF9C"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4E6A4F59" w14:textId="77777777" w:rsidR="00D821EF" w:rsidRPr="007E2B4E" w:rsidRDefault="00D821EF" w:rsidP="00D821EF">
            <w:pPr>
              <w:spacing w:before="0" w:after="0"/>
              <w:rPr>
                <w:sz w:val="18"/>
                <w:szCs w:val="18"/>
              </w:rPr>
            </w:pPr>
            <w:r w:rsidRPr="007E2B4E">
              <w:rPr>
                <w:sz w:val="18"/>
                <w:szCs w:val="18"/>
              </w:rPr>
              <w:t>5</w:t>
            </w:r>
          </w:p>
        </w:tc>
        <w:tc>
          <w:tcPr>
            <w:tcW w:w="1238" w:type="pct"/>
            <w:shd w:val="clear" w:color="auto" w:fill="auto"/>
          </w:tcPr>
          <w:p w14:paraId="5F72DDA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-0.93</w:t>
            </w:r>
          </w:p>
        </w:tc>
        <w:tc>
          <w:tcPr>
            <w:tcW w:w="1177" w:type="pct"/>
            <w:shd w:val="clear" w:color="auto" w:fill="auto"/>
          </w:tcPr>
          <w:p w14:paraId="54AE9A2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1110.25</w:t>
            </w:r>
          </w:p>
        </w:tc>
        <w:tc>
          <w:tcPr>
            <w:tcW w:w="1169" w:type="pct"/>
            <w:shd w:val="clear" w:color="auto" w:fill="auto"/>
          </w:tcPr>
          <w:p w14:paraId="495B8F8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3.15</w:t>
            </w:r>
          </w:p>
        </w:tc>
      </w:tr>
      <w:tr w:rsidR="00D821EF" w14:paraId="4F10F27E"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39327BE6" w14:textId="77777777" w:rsidR="00D821EF" w:rsidRPr="007E2B4E" w:rsidRDefault="00D821EF" w:rsidP="00D821EF">
            <w:pPr>
              <w:spacing w:before="0" w:after="0"/>
              <w:rPr>
                <w:sz w:val="18"/>
                <w:szCs w:val="18"/>
              </w:rPr>
            </w:pPr>
            <w:r w:rsidRPr="007E2B4E">
              <w:rPr>
                <w:sz w:val="18"/>
                <w:szCs w:val="18"/>
              </w:rPr>
              <w:t>10</w:t>
            </w:r>
          </w:p>
        </w:tc>
        <w:tc>
          <w:tcPr>
            <w:tcW w:w="1238" w:type="pct"/>
            <w:shd w:val="clear" w:color="auto" w:fill="auto"/>
          </w:tcPr>
          <w:p w14:paraId="60C7F36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-0.91</w:t>
            </w:r>
          </w:p>
        </w:tc>
        <w:tc>
          <w:tcPr>
            <w:tcW w:w="1177" w:type="pct"/>
            <w:shd w:val="clear" w:color="auto" w:fill="auto"/>
          </w:tcPr>
          <w:p w14:paraId="71D2AABC"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1205.81</w:t>
            </w:r>
          </w:p>
        </w:tc>
        <w:tc>
          <w:tcPr>
            <w:tcW w:w="1169" w:type="pct"/>
            <w:shd w:val="clear" w:color="auto" w:fill="auto"/>
          </w:tcPr>
          <w:p w14:paraId="39ECDE17"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3.42</w:t>
            </w:r>
          </w:p>
        </w:tc>
      </w:tr>
      <w:tr w:rsidR="00D821EF" w14:paraId="737DF0EB"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5833B951" w14:textId="77777777" w:rsidR="00D821EF" w:rsidRPr="007E2B4E" w:rsidRDefault="00D821EF" w:rsidP="00D821EF">
            <w:pPr>
              <w:spacing w:before="0" w:after="0"/>
              <w:rPr>
                <w:sz w:val="18"/>
                <w:szCs w:val="18"/>
              </w:rPr>
            </w:pPr>
            <w:r w:rsidRPr="007E2B4E">
              <w:rPr>
                <w:sz w:val="18"/>
                <w:szCs w:val="18"/>
              </w:rPr>
              <w:t>25</w:t>
            </w:r>
          </w:p>
        </w:tc>
        <w:tc>
          <w:tcPr>
            <w:tcW w:w="1238" w:type="pct"/>
            <w:shd w:val="clear" w:color="auto" w:fill="auto"/>
          </w:tcPr>
          <w:p w14:paraId="535947B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-1.21</w:t>
            </w:r>
          </w:p>
        </w:tc>
        <w:tc>
          <w:tcPr>
            <w:tcW w:w="1177" w:type="pct"/>
            <w:shd w:val="clear" w:color="auto" w:fill="auto"/>
          </w:tcPr>
          <w:p w14:paraId="2320476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1158.48</w:t>
            </w:r>
          </w:p>
        </w:tc>
        <w:tc>
          <w:tcPr>
            <w:tcW w:w="1169" w:type="pct"/>
            <w:shd w:val="clear" w:color="auto" w:fill="auto"/>
          </w:tcPr>
          <w:p w14:paraId="285F84F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3.29</w:t>
            </w:r>
          </w:p>
        </w:tc>
      </w:tr>
      <w:tr w:rsidR="00D821EF" w14:paraId="0C45CB93"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41904FBF" w14:textId="77777777" w:rsidR="00D821EF" w:rsidRPr="007E2B4E" w:rsidRDefault="00D821EF" w:rsidP="00D821EF">
            <w:pPr>
              <w:spacing w:before="0" w:after="0"/>
              <w:rPr>
                <w:sz w:val="18"/>
                <w:szCs w:val="18"/>
              </w:rPr>
            </w:pPr>
            <w:r w:rsidRPr="007E2B4E">
              <w:rPr>
                <w:sz w:val="18"/>
                <w:szCs w:val="18"/>
              </w:rPr>
              <w:t>50</w:t>
            </w:r>
          </w:p>
        </w:tc>
        <w:tc>
          <w:tcPr>
            <w:tcW w:w="1238" w:type="pct"/>
            <w:shd w:val="clear" w:color="auto" w:fill="auto"/>
          </w:tcPr>
          <w:p w14:paraId="58502D4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-1.89</w:t>
            </w:r>
          </w:p>
        </w:tc>
        <w:tc>
          <w:tcPr>
            <w:tcW w:w="1177" w:type="pct"/>
            <w:shd w:val="clear" w:color="auto" w:fill="auto"/>
          </w:tcPr>
          <w:p w14:paraId="16E5BCEF"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1162.64</w:t>
            </w:r>
          </w:p>
        </w:tc>
        <w:tc>
          <w:tcPr>
            <w:tcW w:w="1169" w:type="pct"/>
            <w:shd w:val="clear" w:color="auto" w:fill="auto"/>
          </w:tcPr>
          <w:p w14:paraId="068DE2E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3.30</w:t>
            </w:r>
          </w:p>
        </w:tc>
      </w:tr>
      <w:tr w:rsidR="00D821EF" w14:paraId="59061612"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6C9F8737" w14:textId="77777777" w:rsidR="00D821EF" w:rsidRPr="007E2B4E" w:rsidRDefault="00D821EF" w:rsidP="00D821EF">
            <w:pPr>
              <w:spacing w:before="0" w:after="0"/>
              <w:rPr>
                <w:sz w:val="18"/>
                <w:szCs w:val="18"/>
              </w:rPr>
            </w:pPr>
            <w:r w:rsidRPr="007E2B4E">
              <w:rPr>
                <w:sz w:val="18"/>
                <w:szCs w:val="18"/>
              </w:rPr>
              <w:t>75</w:t>
            </w:r>
          </w:p>
        </w:tc>
        <w:tc>
          <w:tcPr>
            <w:tcW w:w="1238" w:type="pct"/>
            <w:shd w:val="clear" w:color="auto" w:fill="auto"/>
          </w:tcPr>
          <w:p w14:paraId="3F13276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-2.27</w:t>
            </w:r>
          </w:p>
        </w:tc>
        <w:tc>
          <w:tcPr>
            <w:tcW w:w="1177" w:type="pct"/>
            <w:shd w:val="clear" w:color="auto" w:fill="auto"/>
          </w:tcPr>
          <w:p w14:paraId="5CDAFC1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1191.81</w:t>
            </w:r>
          </w:p>
        </w:tc>
        <w:tc>
          <w:tcPr>
            <w:tcW w:w="1169" w:type="pct"/>
            <w:shd w:val="clear" w:color="auto" w:fill="auto"/>
          </w:tcPr>
          <w:p w14:paraId="5805291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3.39</w:t>
            </w:r>
          </w:p>
        </w:tc>
      </w:tr>
      <w:tr w:rsidR="00D821EF" w14:paraId="15999C2A"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59898BA7" w14:textId="77777777" w:rsidR="00D821EF" w:rsidRPr="007E2B4E" w:rsidRDefault="00D821EF" w:rsidP="00D821EF">
            <w:pPr>
              <w:spacing w:before="0" w:after="0"/>
              <w:rPr>
                <w:sz w:val="18"/>
                <w:szCs w:val="18"/>
              </w:rPr>
            </w:pPr>
            <w:r w:rsidRPr="007E2B4E">
              <w:rPr>
                <w:sz w:val="18"/>
                <w:szCs w:val="18"/>
              </w:rPr>
              <w:t>100</w:t>
            </w:r>
          </w:p>
        </w:tc>
        <w:tc>
          <w:tcPr>
            <w:tcW w:w="1238" w:type="pct"/>
            <w:shd w:val="clear" w:color="auto" w:fill="auto"/>
          </w:tcPr>
          <w:p w14:paraId="0CBF5AB7"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-3.14</w:t>
            </w:r>
          </w:p>
        </w:tc>
        <w:tc>
          <w:tcPr>
            <w:tcW w:w="1177" w:type="pct"/>
            <w:shd w:val="clear" w:color="auto" w:fill="auto"/>
          </w:tcPr>
          <w:p w14:paraId="2407D82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1247.00</w:t>
            </w:r>
          </w:p>
        </w:tc>
        <w:tc>
          <w:tcPr>
            <w:tcW w:w="1169" w:type="pct"/>
            <w:shd w:val="clear" w:color="auto" w:fill="auto"/>
          </w:tcPr>
          <w:p w14:paraId="5BFD0AF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3.56</w:t>
            </w:r>
          </w:p>
        </w:tc>
      </w:tr>
      <w:tr w:rsidR="00D821EF" w14:paraId="45F4121F"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4108BE37" w14:textId="77777777" w:rsidR="00D821EF" w:rsidRPr="007E2B4E" w:rsidRDefault="00D821EF" w:rsidP="00D821EF">
            <w:pPr>
              <w:spacing w:before="0" w:after="0"/>
              <w:rPr>
                <w:sz w:val="18"/>
                <w:szCs w:val="18"/>
              </w:rPr>
            </w:pPr>
            <w:r w:rsidRPr="007E2B4E">
              <w:rPr>
                <w:sz w:val="18"/>
                <w:szCs w:val="18"/>
              </w:rPr>
              <w:t>250</w:t>
            </w:r>
          </w:p>
        </w:tc>
        <w:tc>
          <w:tcPr>
            <w:tcW w:w="1238" w:type="pct"/>
            <w:shd w:val="clear" w:color="auto" w:fill="auto"/>
          </w:tcPr>
          <w:p w14:paraId="07761E5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-4.34</w:t>
            </w:r>
          </w:p>
        </w:tc>
        <w:tc>
          <w:tcPr>
            <w:tcW w:w="1177" w:type="pct"/>
            <w:shd w:val="clear" w:color="auto" w:fill="auto"/>
          </w:tcPr>
          <w:p w14:paraId="5976F20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1129.72</w:t>
            </w:r>
          </w:p>
        </w:tc>
        <w:tc>
          <w:tcPr>
            <w:tcW w:w="1169" w:type="pct"/>
            <w:shd w:val="clear" w:color="auto" w:fill="auto"/>
          </w:tcPr>
          <w:p w14:paraId="4330E5F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3.23</w:t>
            </w:r>
          </w:p>
        </w:tc>
      </w:tr>
      <w:tr w:rsidR="00D821EF" w14:paraId="3F08FE14"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3F6808BA" w14:textId="77777777" w:rsidR="00D821EF" w:rsidRPr="007E2B4E" w:rsidRDefault="00D821EF" w:rsidP="00D821EF">
            <w:pPr>
              <w:spacing w:before="0" w:after="0"/>
              <w:rPr>
                <w:sz w:val="18"/>
                <w:szCs w:val="18"/>
              </w:rPr>
            </w:pPr>
            <w:r w:rsidRPr="007E2B4E">
              <w:rPr>
                <w:sz w:val="18"/>
                <w:szCs w:val="18"/>
              </w:rPr>
              <w:t>500</w:t>
            </w:r>
          </w:p>
        </w:tc>
        <w:tc>
          <w:tcPr>
            <w:tcW w:w="1238" w:type="pct"/>
            <w:shd w:val="clear" w:color="auto" w:fill="auto"/>
          </w:tcPr>
          <w:p w14:paraId="15239CC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-7.78</w:t>
            </w:r>
          </w:p>
        </w:tc>
        <w:tc>
          <w:tcPr>
            <w:tcW w:w="1177" w:type="pct"/>
            <w:shd w:val="clear" w:color="auto" w:fill="auto"/>
          </w:tcPr>
          <w:p w14:paraId="1241D2D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1115.21</w:t>
            </w:r>
          </w:p>
        </w:tc>
        <w:tc>
          <w:tcPr>
            <w:tcW w:w="1169" w:type="pct"/>
            <w:shd w:val="clear" w:color="auto" w:fill="auto"/>
          </w:tcPr>
          <w:p w14:paraId="0242281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3.22</w:t>
            </w:r>
          </w:p>
        </w:tc>
      </w:tr>
    </w:tbl>
    <w:p w14:paraId="57082B8B" w14:textId="77777777" w:rsidR="008C2B83" w:rsidRDefault="008C2B83" w:rsidP="008C2B83"/>
    <w:p w14:paraId="6F7B6203" w14:textId="77777777" w:rsidR="00D821EF" w:rsidRPr="00B02C1F" w:rsidRDefault="008C2B83" w:rsidP="008C2B83">
      <w:pPr>
        <w:spacing w:before="0" w:after="200" w:line="276" w:lineRule="auto"/>
      </w:pPr>
      <w:r>
        <w:br w:type="page"/>
      </w:r>
    </w:p>
    <w:p w14:paraId="6B6C0A38" w14:textId="77777777" w:rsidR="00D821EF" w:rsidRDefault="00184734" w:rsidP="00184734">
      <w:pPr>
        <w:pStyle w:val="Heading2"/>
        <w:numPr>
          <w:ilvl w:val="0"/>
          <w:numId w:val="0"/>
        </w:numPr>
        <w:ind w:left="576" w:hanging="576"/>
      </w:pPr>
      <w:bookmarkStart w:id="297" w:name="_Toc485712837"/>
      <w:r>
        <w:t xml:space="preserve">Appendix B: </w:t>
      </w:r>
      <w:r w:rsidR="007B2306">
        <w:t>Raw data &amp; data tables for</w:t>
      </w:r>
      <w:r w:rsidR="00D821EF">
        <w:t xml:space="preserve"> Chapter 4</w:t>
      </w:r>
      <w:bookmarkEnd w:id="297"/>
    </w:p>
    <w:p w14:paraId="2AD0ED5F"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10</w:t>
        </w:r>
      </w:fldSimple>
      <w:r>
        <w:t>. Data values for 1 g/L BSA 10 mM sodium octanoate pH 7 in glycine-guanidine hydrochloride mixtures</w:t>
      </w:r>
    </w:p>
    <w:tbl>
      <w:tblPr>
        <w:tblStyle w:val="LightShading"/>
        <w:tblW w:w="0" w:type="auto"/>
        <w:tblLook w:val="04A0" w:firstRow="1" w:lastRow="0" w:firstColumn="1" w:lastColumn="0" w:noHBand="0" w:noVBand="1"/>
      </w:tblPr>
      <w:tblGrid>
        <w:gridCol w:w="1453"/>
        <w:gridCol w:w="1453"/>
        <w:gridCol w:w="1453"/>
        <w:gridCol w:w="1453"/>
        <w:gridCol w:w="1454"/>
        <w:gridCol w:w="1454"/>
      </w:tblGrid>
      <w:tr w:rsidR="00D821EF" w14:paraId="069CB4E3"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2C2F2610" w14:textId="77777777" w:rsidR="00D821EF" w:rsidRPr="00BA4824" w:rsidRDefault="00D821EF" w:rsidP="00D821EF">
            <w:pPr>
              <w:spacing w:before="0" w:after="0"/>
              <w:rPr>
                <w:sz w:val="18"/>
                <w:szCs w:val="18"/>
              </w:rPr>
            </w:pPr>
            <w:r w:rsidRPr="00BA4824">
              <w:rPr>
                <w:sz w:val="18"/>
                <w:szCs w:val="18"/>
              </w:rPr>
              <w:t>Glycine concentration (mM)</w:t>
            </w:r>
          </w:p>
        </w:tc>
        <w:tc>
          <w:tcPr>
            <w:tcW w:w="1453" w:type="dxa"/>
            <w:shd w:val="clear" w:color="auto" w:fill="auto"/>
          </w:tcPr>
          <w:p w14:paraId="27D3F168" w14:textId="77777777" w:rsidR="00D821EF" w:rsidRPr="00BA4824"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BA4824">
              <w:rPr>
                <w:sz w:val="18"/>
                <w:szCs w:val="18"/>
              </w:rPr>
              <w:t>GdnHCl concentration (mM)</w:t>
            </w:r>
          </w:p>
        </w:tc>
        <w:tc>
          <w:tcPr>
            <w:tcW w:w="1453" w:type="dxa"/>
            <w:shd w:val="clear" w:color="auto" w:fill="auto"/>
          </w:tcPr>
          <w:p w14:paraId="08E0E219" w14:textId="77777777" w:rsidR="00D821EF" w:rsidRDefault="00D821EF" w:rsidP="00D821EF">
            <w:pPr>
              <w:spacing w:before="0" w:after="0"/>
              <w:cnfStyle w:val="100000000000" w:firstRow="1" w:lastRow="0" w:firstColumn="0" w:lastColumn="0" w:oddVBand="0" w:evenVBand="0" w:oddHBand="0" w:evenHBand="0" w:firstRowFirstColumn="0" w:firstRowLastColumn="0" w:lastRowFirstColumn="0" w:lastRowLastColumn="0"/>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(°C)</w:t>
            </w:r>
            <w:r>
              <w:rPr>
                <w:sz w:val="18"/>
                <w:szCs w:val="18"/>
              </w:rPr>
              <w:t xml:space="preserve"> mean</w:t>
            </w:r>
          </w:p>
        </w:tc>
        <w:tc>
          <w:tcPr>
            <w:tcW w:w="1453" w:type="dxa"/>
            <w:shd w:val="clear" w:color="auto" w:fill="auto"/>
          </w:tcPr>
          <w:p w14:paraId="364E9F37" w14:textId="77777777" w:rsidR="00D821EF" w:rsidRDefault="00D821EF" w:rsidP="00D821EF">
            <w:pPr>
              <w:spacing w:before="0" w:after="0"/>
              <w:cnfStyle w:val="100000000000" w:firstRow="1" w:lastRow="0" w:firstColumn="0" w:lastColumn="0" w:oddVBand="0" w:evenVBand="0" w:oddHBand="0" w:evenHBand="0" w:firstRowFirstColumn="0" w:firstRowLastColumn="0" w:lastRowFirstColumn="0" w:lastRowLastColumn="0"/>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(°C)</w:t>
            </w:r>
            <w:r>
              <w:rPr>
                <w:sz w:val="18"/>
                <w:szCs w:val="18"/>
              </w:rPr>
              <w:t xml:space="preserve"> SE</w:t>
            </w:r>
          </w:p>
        </w:tc>
        <w:tc>
          <w:tcPr>
            <w:tcW w:w="1454" w:type="dxa"/>
            <w:shd w:val="clear" w:color="auto" w:fill="auto"/>
          </w:tcPr>
          <w:p w14:paraId="013EDB6C" w14:textId="77777777" w:rsidR="00D821EF" w:rsidRDefault="00D821EF" w:rsidP="00D821EF">
            <w:pPr>
              <w:spacing w:before="0" w:after="0"/>
              <w:cnfStyle w:val="100000000000" w:firstRow="1" w:lastRow="0" w:firstColumn="0" w:lastColumn="0" w:oddVBand="0" w:evenVBand="0" w:oddHBand="0" w:evenHBand="0" w:firstRowFirstColumn="0" w:firstRowLastColumn="0" w:lastRowFirstColumn="0" w:lastRowLastColumn="0"/>
            </w:pPr>
            <w:r w:rsidRPr="007E2B4E">
              <w:rPr>
                <w:sz w:val="18"/>
                <w:szCs w:val="18"/>
              </w:rPr>
              <w:t>ΔH (kJ mol</w:t>
            </w:r>
            <w:r w:rsidRPr="007E2B4E">
              <w:rPr>
                <w:sz w:val="18"/>
                <w:szCs w:val="18"/>
                <w:vertAlign w:val="superscript"/>
              </w:rPr>
              <w:t>-1</w:t>
            </w:r>
            <w:r w:rsidRPr="007E2B4E">
              <w:rPr>
                <w:sz w:val="18"/>
                <w:szCs w:val="18"/>
              </w:rPr>
              <w:t>) mean</w:t>
            </w:r>
          </w:p>
        </w:tc>
        <w:tc>
          <w:tcPr>
            <w:tcW w:w="1454" w:type="dxa"/>
            <w:shd w:val="clear" w:color="auto" w:fill="auto"/>
          </w:tcPr>
          <w:p w14:paraId="63747AED" w14:textId="77777777" w:rsidR="00D821EF" w:rsidRDefault="00D821EF" w:rsidP="00D821EF">
            <w:pPr>
              <w:spacing w:before="0" w:after="0"/>
              <w:cnfStyle w:val="100000000000" w:firstRow="1" w:lastRow="0" w:firstColumn="0" w:lastColumn="0" w:oddVBand="0" w:evenVBand="0" w:oddHBand="0" w:evenHBand="0" w:firstRowFirstColumn="0" w:firstRowLastColumn="0" w:lastRowFirstColumn="0" w:lastRowLastColumn="0"/>
            </w:pPr>
            <w:r w:rsidRPr="007E2B4E">
              <w:rPr>
                <w:sz w:val="18"/>
                <w:szCs w:val="18"/>
              </w:rPr>
              <w:t>ΔS (kJ mol</w:t>
            </w:r>
            <w:r w:rsidRPr="007E2B4E">
              <w:rPr>
                <w:sz w:val="18"/>
                <w:szCs w:val="18"/>
                <w:vertAlign w:val="superscript"/>
              </w:rPr>
              <w:t>-1</w:t>
            </w:r>
            <w:r w:rsidRPr="007E2B4E">
              <w:rPr>
                <w:sz w:val="18"/>
                <w:szCs w:val="18"/>
              </w:rPr>
              <w:t xml:space="preserve"> K</w:t>
            </w:r>
            <w:r w:rsidRPr="007E2B4E">
              <w:rPr>
                <w:sz w:val="18"/>
                <w:szCs w:val="18"/>
                <w:vertAlign w:val="superscript"/>
              </w:rPr>
              <w:t>-1</w:t>
            </w:r>
            <w:r w:rsidRPr="007E2B4E">
              <w:rPr>
                <w:sz w:val="18"/>
                <w:szCs w:val="18"/>
              </w:rPr>
              <w:t>) mean</w:t>
            </w:r>
          </w:p>
        </w:tc>
      </w:tr>
      <w:tr w:rsidR="00D821EF" w14:paraId="108718A7"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44D41ECA" w14:textId="77777777" w:rsidR="00D821EF" w:rsidRPr="0059104A" w:rsidRDefault="00D821EF" w:rsidP="00D821EF">
            <w:pPr>
              <w:spacing w:before="0" w:after="0"/>
              <w:rPr>
                <w:sz w:val="18"/>
                <w:szCs w:val="18"/>
              </w:rPr>
            </w:pPr>
            <w:r w:rsidRPr="0059104A">
              <w:rPr>
                <w:sz w:val="18"/>
                <w:szCs w:val="18"/>
              </w:rPr>
              <w:t>5</w:t>
            </w:r>
          </w:p>
        </w:tc>
        <w:tc>
          <w:tcPr>
            <w:tcW w:w="1453" w:type="dxa"/>
            <w:shd w:val="clear" w:color="auto" w:fill="auto"/>
          </w:tcPr>
          <w:p w14:paraId="18ADF950"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5</w:t>
            </w:r>
          </w:p>
        </w:tc>
        <w:tc>
          <w:tcPr>
            <w:tcW w:w="1453" w:type="dxa"/>
            <w:shd w:val="clear" w:color="auto" w:fill="auto"/>
          </w:tcPr>
          <w:p w14:paraId="654221F1"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1.12</w:t>
            </w:r>
          </w:p>
        </w:tc>
        <w:tc>
          <w:tcPr>
            <w:tcW w:w="1453" w:type="dxa"/>
            <w:shd w:val="clear" w:color="auto" w:fill="auto"/>
          </w:tcPr>
          <w:p w14:paraId="351CF703"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0.39</w:t>
            </w:r>
          </w:p>
        </w:tc>
        <w:tc>
          <w:tcPr>
            <w:tcW w:w="1454" w:type="dxa"/>
            <w:shd w:val="clear" w:color="auto" w:fill="auto"/>
          </w:tcPr>
          <w:p w14:paraId="333D0D7A"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1233.53</w:t>
            </w:r>
          </w:p>
        </w:tc>
        <w:tc>
          <w:tcPr>
            <w:tcW w:w="1454" w:type="dxa"/>
            <w:shd w:val="clear" w:color="auto" w:fill="auto"/>
          </w:tcPr>
          <w:p w14:paraId="483ABD90"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3.45</w:t>
            </w:r>
          </w:p>
        </w:tc>
      </w:tr>
      <w:tr w:rsidR="00D821EF" w14:paraId="14E39F12"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29C98241" w14:textId="77777777" w:rsidR="00D821EF" w:rsidRPr="0059104A" w:rsidRDefault="00D821EF" w:rsidP="00D821EF">
            <w:pPr>
              <w:spacing w:before="0" w:after="0"/>
              <w:rPr>
                <w:sz w:val="18"/>
                <w:szCs w:val="18"/>
              </w:rPr>
            </w:pPr>
            <w:r w:rsidRPr="0059104A">
              <w:rPr>
                <w:sz w:val="18"/>
                <w:szCs w:val="18"/>
              </w:rPr>
              <w:t>5</w:t>
            </w:r>
          </w:p>
        </w:tc>
        <w:tc>
          <w:tcPr>
            <w:tcW w:w="1453" w:type="dxa"/>
            <w:shd w:val="clear" w:color="auto" w:fill="auto"/>
          </w:tcPr>
          <w:p w14:paraId="3296CB4F"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25</w:t>
            </w:r>
          </w:p>
        </w:tc>
        <w:tc>
          <w:tcPr>
            <w:tcW w:w="1453" w:type="dxa"/>
            <w:shd w:val="clear" w:color="auto" w:fill="auto"/>
          </w:tcPr>
          <w:p w14:paraId="5E026B6A"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1.03</w:t>
            </w:r>
          </w:p>
        </w:tc>
        <w:tc>
          <w:tcPr>
            <w:tcW w:w="1453" w:type="dxa"/>
            <w:shd w:val="clear" w:color="auto" w:fill="auto"/>
          </w:tcPr>
          <w:p w14:paraId="1DDFB9EC"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0.34</w:t>
            </w:r>
          </w:p>
        </w:tc>
        <w:tc>
          <w:tcPr>
            <w:tcW w:w="1454" w:type="dxa"/>
            <w:shd w:val="clear" w:color="auto" w:fill="auto"/>
          </w:tcPr>
          <w:p w14:paraId="2AEC423E"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1241.37</w:t>
            </w:r>
          </w:p>
        </w:tc>
        <w:tc>
          <w:tcPr>
            <w:tcW w:w="1454" w:type="dxa"/>
            <w:shd w:val="clear" w:color="auto" w:fill="auto"/>
          </w:tcPr>
          <w:p w14:paraId="44B5FE25"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3.48</w:t>
            </w:r>
          </w:p>
        </w:tc>
      </w:tr>
      <w:tr w:rsidR="00D821EF" w14:paraId="40BF0696"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7B5A2FE8" w14:textId="77777777" w:rsidR="00D821EF" w:rsidRPr="0059104A" w:rsidRDefault="00D821EF" w:rsidP="00D821EF">
            <w:pPr>
              <w:spacing w:before="0" w:after="0"/>
              <w:rPr>
                <w:sz w:val="18"/>
                <w:szCs w:val="18"/>
              </w:rPr>
            </w:pPr>
            <w:r w:rsidRPr="0059104A">
              <w:rPr>
                <w:sz w:val="18"/>
                <w:szCs w:val="18"/>
              </w:rPr>
              <w:t>5</w:t>
            </w:r>
          </w:p>
        </w:tc>
        <w:tc>
          <w:tcPr>
            <w:tcW w:w="1453" w:type="dxa"/>
            <w:shd w:val="clear" w:color="auto" w:fill="auto"/>
          </w:tcPr>
          <w:p w14:paraId="4DECC43A"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50</w:t>
            </w:r>
          </w:p>
        </w:tc>
        <w:tc>
          <w:tcPr>
            <w:tcW w:w="1453" w:type="dxa"/>
            <w:shd w:val="clear" w:color="auto" w:fill="auto"/>
          </w:tcPr>
          <w:p w14:paraId="0F30C31C"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0.84</w:t>
            </w:r>
          </w:p>
        </w:tc>
        <w:tc>
          <w:tcPr>
            <w:tcW w:w="1453" w:type="dxa"/>
            <w:shd w:val="clear" w:color="auto" w:fill="auto"/>
          </w:tcPr>
          <w:p w14:paraId="5CB9BB13"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0.45</w:t>
            </w:r>
          </w:p>
        </w:tc>
        <w:tc>
          <w:tcPr>
            <w:tcW w:w="1454" w:type="dxa"/>
            <w:shd w:val="clear" w:color="auto" w:fill="auto"/>
          </w:tcPr>
          <w:p w14:paraId="5C4AA0B1"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1239.19</w:t>
            </w:r>
          </w:p>
        </w:tc>
        <w:tc>
          <w:tcPr>
            <w:tcW w:w="1454" w:type="dxa"/>
            <w:shd w:val="clear" w:color="auto" w:fill="auto"/>
          </w:tcPr>
          <w:p w14:paraId="36038982"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3.48</w:t>
            </w:r>
          </w:p>
        </w:tc>
      </w:tr>
      <w:tr w:rsidR="00D821EF" w14:paraId="2EDDC72A"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7B6C7178" w14:textId="77777777" w:rsidR="00D821EF" w:rsidRPr="0059104A" w:rsidRDefault="00D821EF" w:rsidP="00D821EF">
            <w:pPr>
              <w:spacing w:before="0" w:after="0"/>
              <w:rPr>
                <w:sz w:val="18"/>
                <w:szCs w:val="18"/>
              </w:rPr>
            </w:pPr>
            <w:r w:rsidRPr="0059104A">
              <w:rPr>
                <w:sz w:val="18"/>
                <w:szCs w:val="18"/>
              </w:rPr>
              <w:t>5</w:t>
            </w:r>
          </w:p>
        </w:tc>
        <w:tc>
          <w:tcPr>
            <w:tcW w:w="1453" w:type="dxa"/>
            <w:shd w:val="clear" w:color="auto" w:fill="auto"/>
          </w:tcPr>
          <w:p w14:paraId="0A4A05A7"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100</w:t>
            </w:r>
          </w:p>
        </w:tc>
        <w:tc>
          <w:tcPr>
            <w:tcW w:w="1453" w:type="dxa"/>
            <w:shd w:val="clear" w:color="auto" w:fill="auto"/>
          </w:tcPr>
          <w:p w14:paraId="54C79149"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0.28</w:t>
            </w:r>
          </w:p>
        </w:tc>
        <w:tc>
          <w:tcPr>
            <w:tcW w:w="1453" w:type="dxa"/>
            <w:shd w:val="clear" w:color="auto" w:fill="auto"/>
          </w:tcPr>
          <w:p w14:paraId="071D9183"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0.42</w:t>
            </w:r>
          </w:p>
        </w:tc>
        <w:tc>
          <w:tcPr>
            <w:tcW w:w="1454" w:type="dxa"/>
            <w:shd w:val="clear" w:color="auto" w:fill="auto"/>
          </w:tcPr>
          <w:p w14:paraId="146408F6"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1233.87</w:t>
            </w:r>
          </w:p>
        </w:tc>
        <w:tc>
          <w:tcPr>
            <w:tcW w:w="1454" w:type="dxa"/>
            <w:shd w:val="clear" w:color="auto" w:fill="auto"/>
          </w:tcPr>
          <w:p w14:paraId="5CB88BF3"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3.47</w:t>
            </w:r>
          </w:p>
        </w:tc>
      </w:tr>
      <w:tr w:rsidR="00D821EF" w14:paraId="41EC549B"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0D2E6097" w14:textId="77777777" w:rsidR="00D821EF" w:rsidRPr="0059104A" w:rsidRDefault="00D821EF" w:rsidP="00D821EF">
            <w:pPr>
              <w:spacing w:before="0" w:after="0"/>
              <w:rPr>
                <w:sz w:val="18"/>
                <w:szCs w:val="18"/>
              </w:rPr>
            </w:pPr>
            <w:r w:rsidRPr="0059104A">
              <w:rPr>
                <w:sz w:val="18"/>
                <w:szCs w:val="18"/>
              </w:rPr>
              <w:t>5</w:t>
            </w:r>
          </w:p>
        </w:tc>
        <w:tc>
          <w:tcPr>
            <w:tcW w:w="1453" w:type="dxa"/>
            <w:shd w:val="clear" w:color="auto" w:fill="auto"/>
          </w:tcPr>
          <w:p w14:paraId="473C3B86"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500</w:t>
            </w:r>
          </w:p>
        </w:tc>
        <w:tc>
          <w:tcPr>
            <w:tcW w:w="1453" w:type="dxa"/>
            <w:shd w:val="clear" w:color="auto" w:fill="auto"/>
          </w:tcPr>
          <w:p w14:paraId="6CC46622"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-5.86</w:t>
            </w:r>
          </w:p>
        </w:tc>
        <w:tc>
          <w:tcPr>
            <w:tcW w:w="1453" w:type="dxa"/>
            <w:shd w:val="clear" w:color="auto" w:fill="auto"/>
          </w:tcPr>
          <w:p w14:paraId="458F1A1E"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0.13</w:t>
            </w:r>
          </w:p>
        </w:tc>
        <w:tc>
          <w:tcPr>
            <w:tcW w:w="1454" w:type="dxa"/>
            <w:shd w:val="clear" w:color="auto" w:fill="auto"/>
          </w:tcPr>
          <w:p w14:paraId="1DE9BCCE"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1236.74</w:t>
            </w:r>
          </w:p>
        </w:tc>
        <w:tc>
          <w:tcPr>
            <w:tcW w:w="1454" w:type="dxa"/>
            <w:shd w:val="clear" w:color="auto" w:fill="auto"/>
          </w:tcPr>
          <w:p w14:paraId="2AFCDE63"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3.54</w:t>
            </w:r>
          </w:p>
        </w:tc>
      </w:tr>
      <w:tr w:rsidR="00D821EF" w14:paraId="5319646D"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22769394" w14:textId="77777777" w:rsidR="00D821EF" w:rsidRPr="0059104A" w:rsidRDefault="00D821EF" w:rsidP="00D821EF">
            <w:pPr>
              <w:spacing w:before="0" w:after="0"/>
              <w:rPr>
                <w:sz w:val="18"/>
                <w:szCs w:val="18"/>
              </w:rPr>
            </w:pPr>
            <w:r w:rsidRPr="0059104A">
              <w:rPr>
                <w:sz w:val="18"/>
                <w:szCs w:val="18"/>
              </w:rPr>
              <w:t>25</w:t>
            </w:r>
          </w:p>
        </w:tc>
        <w:tc>
          <w:tcPr>
            <w:tcW w:w="1453" w:type="dxa"/>
            <w:shd w:val="clear" w:color="auto" w:fill="auto"/>
          </w:tcPr>
          <w:p w14:paraId="3A08635E"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5</w:t>
            </w:r>
          </w:p>
        </w:tc>
        <w:tc>
          <w:tcPr>
            <w:tcW w:w="1453" w:type="dxa"/>
            <w:shd w:val="clear" w:color="auto" w:fill="auto"/>
          </w:tcPr>
          <w:p w14:paraId="6ED8D560"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1.98</w:t>
            </w:r>
          </w:p>
        </w:tc>
        <w:tc>
          <w:tcPr>
            <w:tcW w:w="1453" w:type="dxa"/>
            <w:shd w:val="clear" w:color="auto" w:fill="auto"/>
          </w:tcPr>
          <w:p w14:paraId="0F7EC7FA"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0.39</w:t>
            </w:r>
          </w:p>
        </w:tc>
        <w:tc>
          <w:tcPr>
            <w:tcW w:w="1454" w:type="dxa"/>
            <w:shd w:val="clear" w:color="auto" w:fill="auto"/>
          </w:tcPr>
          <w:p w14:paraId="0DCA7E4A"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1158.29</w:t>
            </w:r>
          </w:p>
        </w:tc>
        <w:tc>
          <w:tcPr>
            <w:tcW w:w="1454" w:type="dxa"/>
            <w:shd w:val="clear" w:color="auto" w:fill="auto"/>
          </w:tcPr>
          <w:p w14:paraId="2C5BA6C3"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3.24</w:t>
            </w:r>
          </w:p>
        </w:tc>
      </w:tr>
      <w:tr w:rsidR="00D821EF" w14:paraId="5DEA93E8"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102E7E6B" w14:textId="77777777" w:rsidR="00D821EF" w:rsidRPr="0059104A" w:rsidRDefault="00D821EF" w:rsidP="00D821EF">
            <w:pPr>
              <w:spacing w:before="0" w:after="0"/>
              <w:rPr>
                <w:sz w:val="18"/>
                <w:szCs w:val="18"/>
              </w:rPr>
            </w:pPr>
            <w:r w:rsidRPr="0059104A">
              <w:rPr>
                <w:sz w:val="18"/>
                <w:szCs w:val="18"/>
              </w:rPr>
              <w:t>25</w:t>
            </w:r>
          </w:p>
        </w:tc>
        <w:tc>
          <w:tcPr>
            <w:tcW w:w="1453" w:type="dxa"/>
            <w:shd w:val="clear" w:color="auto" w:fill="auto"/>
          </w:tcPr>
          <w:p w14:paraId="62B49A06"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25</w:t>
            </w:r>
          </w:p>
        </w:tc>
        <w:tc>
          <w:tcPr>
            <w:tcW w:w="1453" w:type="dxa"/>
            <w:shd w:val="clear" w:color="auto" w:fill="auto"/>
          </w:tcPr>
          <w:p w14:paraId="4585B923"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1.92</w:t>
            </w:r>
          </w:p>
        </w:tc>
        <w:tc>
          <w:tcPr>
            <w:tcW w:w="1453" w:type="dxa"/>
            <w:shd w:val="clear" w:color="auto" w:fill="auto"/>
          </w:tcPr>
          <w:p w14:paraId="361C4F34"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0.43</w:t>
            </w:r>
          </w:p>
        </w:tc>
        <w:tc>
          <w:tcPr>
            <w:tcW w:w="1454" w:type="dxa"/>
            <w:shd w:val="clear" w:color="auto" w:fill="auto"/>
          </w:tcPr>
          <w:p w14:paraId="77174F69"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1197.37</w:t>
            </w:r>
          </w:p>
        </w:tc>
        <w:tc>
          <w:tcPr>
            <w:tcW w:w="1454" w:type="dxa"/>
            <w:shd w:val="clear" w:color="auto" w:fill="auto"/>
          </w:tcPr>
          <w:p w14:paraId="544E60F6"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3.35</w:t>
            </w:r>
          </w:p>
        </w:tc>
      </w:tr>
      <w:tr w:rsidR="00D821EF" w14:paraId="11ECA108"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0B39239F" w14:textId="77777777" w:rsidR="00D821EF" w:rsidRPr="0059104A" w:rsidRDefault="00D821EF" w:rsidP="00D821EF">
            <w:pPr>
              <w:spacing w:before="0" w:after="0"/>
              <w:rPr>
                <w:sz w:val="18"/>
                <w:szCs w:val="18"/>
              </w:rPr>
            </w:pPr>
            <w:r w:rsidRPr="0059104A">
              <w:rPr>
                <w:sz w:val="18"/>
                <w:szCs w:val="18"/>
              </w:rPr>
              <w:t>25</w:t>
            </w:r>
          </w:p>
        </w:tc>
        <w:tc>
          <w:tcPr>
            <w:tcW w:w="1453" w:type="dxa"/>
            <w:shd w:val="clear" w:color="auto" w:fill="auto"/>
          </w:tcPr>
          <w:p w14:paraId="2A18334D"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50</w:t>
            </w:r>
          </w:p>
        </w:tc>
        <w:tc>
          <w:tcPr>
            <w:tcW w:w="1453" w:type="dxa"/>
            <w:shd w:val="clear" w:color="auto" w:fill="auto"/>
          </w:tcPr>
          <w:p w14:paraId="7D74CEB6"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1.68</w:t>
            </w:r>
          </w:p>
        </w:tc>
        <w:tc>
          <w:tcPr>
            <w:tcW w:w="1453" w:type="dxa"/>
            <w:shd w:val="clear" w:color="auto" w:fill="auto"/>
          </w:tcPr>
          <w:p w14:paraId="052B0FBC"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0.43</w:t>
            </w:r>
          </w:p>
        </w:tc>
        <w:tc>
          <w:tcPr>
            <w:tcW w:w="1454" w:type="dxa"/>
            <w:shd w:val="clear" w:color="auto" w:fill="auto"/>
          </w:tcPr>
          <w:p w14:paraId="60075D43"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1236.05</w:t>
            </w:r>
          </w:p>
        </w:tc>
        <w:tc>
          <w:tcPr>
            <w:tcW w:w="1454" w:type="dxa"/>
            <w:shd w:val="clear" w:color="auto" w:fill="auto"/>
          </w:tcPr>
          <w:p w14:paraId="1591B580"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3.47</w:t>
            </w:r>
          </w:p>
        </w:tc>
      </w:tr>
      <w:tr w:rsidR="00D821EF" w14:paraId="400D21EA"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3DEA65DB" w14:textId="77777777" w:rsidR="00D821EF" w:rsidRPr="0059104A" w:rsidRDefault="00D821EF" w:rsidP="00D821EF">
            <w:pPr>
              <w:spacing w:before="0" w:after="0"/>
              <w:rPr>
                <w:sz w:val="18"/>
                <w:szCs w:val="18"/>
              </w:rPr>
            </w:pPr>
            <w:r w:rsidRPr="0059104A">
              <w:rPr>
                <w:sz w:val="18"/>
                <w:szCs w:val="18"/>
              </w:rPr>
              <w:t>25</w:t>
            </w:r>
          </w:p>
        </w:tc>
        <w:tc>
          <w:tcPr>
            <w:tcW w:w="1453" w:type="dxa"/>
            <w:shd w:val="clear" w:color="auto" w:fill="auto"/>
          </w:tcPr>
          <w:p w14:paraId="64525401"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100</w:t>
            </w:r>
          </w:p>
        </w:tc>
        <w:tc>
          <w:tcPr>
            <w:tcW w:w="1453" w:type="dxa"/>
            <w:shd w:val="clear" w:color="auto" w:fill="auto"/>
          </w:tcPr>
          <w:p w14:paraId="456D9536"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0.83</w:t>
            </w:r>
          </w:p>
        </w:tc>
        <w:tc>
          <w:tcPr>
            <w:tcW w:w="1453" w:type="dxa"/>
            <w:shd w:val="clear" w:color="auto" w:fill="auto"/>
          </w:tcPr>
          <w:p w14:paraId="18021335"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0.46</w:t>
            </w:r>
          </w:p>
        </w:tc>
        <w:tc>
          <w:tcPr>
            <w:tcW w:w="1454" w:type="dxa"/>
            <w:shd w:val="clear" w:color="auto" w:fill="auto"/>
          </w:tcPr>
          <w:p w14:paraId="22A7A2E2"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1218.08</w:t>
            </w:r>
          </w:p>
        </w:tc>
        <w:tc>
          <w:tcPr>
            <w:tcW w:w="1454" w:type="dxa"/>
            <w:shd w:val="clear" w:color="auto" w:fill="auto"/>
          </w:tcPr>
          <w:p w14:paraId="14208EA6"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3.42</w:t>
            </w:r>
          </w:p>
        </w:tc>
      </w:tr>
      <w:tr w:rsidR="00D821EF" w14:paraId="4D7B65E3"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52DADCE8" w14:textId="77777777" w:rsidR="00D821EF" w:rsidRPr="0059104A" w:rsidRDefault="00D821EF" w:rsidP="00D821EF">
            <w:pPr>
              <w:spacing w:before="0" w:after="0"/>
              <w:rPr>
                <w:sz w:val="18"/>
                <w:szCs w:val="18"/>
              </w:rPr>
            </w:pPr>
            <w:r w:rsidRPr="0059104A">
              <w:rPr>
                <w:sz w:val="18"/>
                <w:szCs w:val="18"/>
              </w:rPr>
              <w:t>25</w:t>
            </w:r>
          </w:p>
        </w:tc>
        <w:tc>
          <w:tcPr>
            <w:tcW w:w="1453" w:type="dxa"/>
            <w:shd w:val="clear" w:color="auto" w:fill="auto"/>
          </w:tcPr>
          <w:p w14:paraId="31599463"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500</w:t>
            </w:r>
          </w:p>
        </w:tc>
        <w:tc>
          <w:tcPr>
            <w:tcW w:w="1453" w:type="dxa"/>
            <w:shd w:val="clear" w:color="auto" w:fill="auto"/>
          </w:tcPr>
          <w:p w14:paraId="549E6737"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-5.48</w:t>
            </w:r>
          </w:p>
        </w:tc>
        <w:tc>
          <w:tcPr>
            <w:tcW w:w="1453" w:type="dxa"/>
            <w:shd w:val="clear" w:color="auto" w:fill="auto"/>
          </w:tcPr>
          <w:p w14:paraId="5BEA8D3C"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0.48</w:t>
            </w:r>
          </w:p>
        </w:tc>
        <w:tc>
          <w:tcPr>
            <w:tcW w:w="1454" w:type="dxa"/>
            <w:shd w:val="clear" w:color="auto" w:fill="auto"/>
          </w:tcPr>
          <w:p w14:paraId="503911FC"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1140.79</w:t>
            </w:r>
          </w:p>
        </w:tc>
        <w:tc>
          <w:tcPr>
            <w:tcW w:w="1454" w:type="dxa"/>
            <w:shd w:val="clear" w:color="auto" w:fill="auto"/>
          </w:tcPr>
          <w:p w14:paraId="3873CC8F"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3.26</w:t>
            </w:r>
          </w:p>
        </w:tc>
      </w:tr>
      <w:tr w:rsidR="00D821EF" w14:paraId="3D919CD3"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12008A70" w14:textId="77777777" w:rsidR="00D821EF" w:rsidRPr="0059104A" w:rsidRDefault="00D821EF" w:rsidP="00D821EF">
            <w:pPr>
              <w:spacing w:before="0" w:after="0"/>
              <w:rPr>
                <w:sz w:val="18"/>
                <w:szCs w:val="18"/>
              </w:rPr>
            </w:pPr>
            <w:r w:rsidRPr="0059104A">
              <w:rPr>
                <w:sz w:val="18"/>
                <w:szCs w:val="18"/>
              </w:rPr>
              <w:t>50</w:t>
            </w:r>
          </w:p>
        </w:tc>
        <w:tc>
          <w:tcPr>
            <w:tcW w:w="1453" w:type="dxa"/>
            <w:shd w:val="clear" w:color="auto" w:fill="auto"/>
          </w:tcPr>
          <w:p w14:paraId="39CB9D6A"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5</w:t>
            </w:r>
          </w:p>
        </w:tc>
        <w:tc>
          <w:tcPr>
            <w:tcW w:w="1453" w:type="dxa"/>
            <w:shd w:val="clear" w:color="auto" w:fill="auto"/>
          </w:tcPr>
          <w:p w14:paraId="5362C439"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2.46</w:t>
            </w:r>
          </w:p>
        </w:tc>
        <w:tc>
          <w:tcPr>
            <w:tcW w:w="1453" w:type="dxa"/>
            <w:shd w:val="clear" w:color="auto" w:fill="auto"/>
          </w:tcPr>
          <w:p w14:paraId="0F0E9AF2"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0.55</w:t>
            </w:r>
          </w:p>
        </w:tc>
        <w:tc>
          <w:tcPr>
            <w:tcW w:w="1454" w:type="dxa"/>
            <w:shd w:val="clear" w:color="auto" w:fill="auto"/>
          </w:tcPr>
          <w:p w14:paraId="3E5B0065"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1163.08</w:t>
            </w:r>
          </w:p>
        </w:tc>
        <w:tc>
          <w:tcPr>
            <w:tcW w:w="1454" w:type="dxa"/>
            <w:shd w:val="clear" w:color="auto" w:fill="auto"/>
          </w:tcPr>
          <w:p w14:paraId="442AEB4C"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3.25</w:t>
            </w:r>
          </w:p>
        </w:tc>
      </w:tr>
      <w:tr w:rsidR="00D821EF" w14:paraId="71F7E074"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163A18CE" w14:textId="77777777" w:rsidR="00D821EF" w:rsidRPr="0059104A" w:rsidRDefault="00D821EF" w:rsidP="00D821EF">
            <w:pPr>
              <w:spacing w:before="0" w:after="0"/>
              <w:rPr>
                <w:sz w:val="18"/>
                <w:szCs w:val="18"/>
              </w:rPr>
            </w:pPr>
            <w:r w:rsidRPr="0059104A">
              <w:rPr>
                <w:sz w:val="18"/>
                <w:szCs w:val="18"/>
              </w:rPr>
              <w:t>50</w:t>
            </w:r>
          </w:p>
        </w:tc>
        <w:tc>
          <w:tcPr>
            <w:tcW w:w="1453" w:type="dxa"/>
            <w:shd w:val="clear" w:color="auto" w:fill="auto"/>
          </w:tcPr>
          <w:p w14:paraId="4DD65B9F"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25</w:t>
            </w:r>
          </w:p>
        </w:tc>
        <w:tc>
          <w:tcPr>
            <w:tcW w:w="1453" w:type="dxa"/>
            <w:shd w:val="clear" w:color="auto" w:fill="auto"/>
          </w:tcPr>
          <w:p w14:paraId="3385B2DC"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2.49</w:t>
            </w:r>
          </w:p>
        </w:tc>
        <w:tc>
          <w:tcPr>
            <w:tcW w:w="1453" w:type="dxa"/>
            <w:shd w:val="clear" w:color="auto" w:fill="auto"/>
          </w:tcPr>
          <w:p w14:paraId="2B2B826E"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0.63</w:t>
            </w:r>
          </w:p>
        </w:tc>
        <w:tc>
          <w:tcPr>
            <w:tcW w:w="1454" w:type="dxa"/>
            <w:shd w:val="clear" w:color="auto" w:fill="auto"/>
          </w:tcPr>
          <w:p w14:paraId="3F378E01"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1023.85</w:t>
            </w:r>
          </w:p>
        </w:tc>
        <w:tc>
          <w:tcPr>
            <w:tcW w:w="1454" w:type="dxa"/>
            <w:shd w:val="clear" w:color="auto" w:fill="auto"/>
          </w:tcPr>
          <w:p w14:paraId="514F803F"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2.86</w:t>
            </w:r>
          </w:p>
        </w:tc>
      </w:tr>
      <w:tr w:rsidR="00D821EF" w14:paraId="5995185D"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4D6AADBD" w14:textId="77777777" w:rsidR="00D821EF" w:rsidRPr="0059104A" w:rsidRDefault="00D821EF" w:rsidP="00D821EF">
            <w:pPr>
              <w:spacing w:before="0" w:after="0"/>
              <w:rPr>
                <w:sz w:val="18"/>
                <w:szCs w:val="18"/>
              </w:rPr>
            </w:pPr>
            <w:r w:rsidRPr="0059104A">
              <w:rPr>
                <w:sz w:val="18"/>
                <w:szCs w:val="18"/>
              </w:rPr>
              <w:t>50</w:t>
            </w:r>
          </w:p>
        </w:tc>
        <w:tc>
          <w:tcPr>
            <w:tcW w:w="1453" w:type="dxa"/>
            <w:shd w:val="clear" w:color="auto" w:fill="auto"/>
          </w:tcPr>
          <w:p w14:paraId="1097FF35"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50</w:t>
            </w:r>
          </w:p>
        </w:tc>
        <w:tc>
          <w:tcPr>
            <w:tcW w:w="1453" w:type="dxa"/>
            <w:shd w:val="clear" w:color="auto" w:fill="auto"/>
          </w:tcPr>
          <w:p w14:paraId="32265C09"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2.10</w:t>
            </w:r>
          </w:p>
        </w:tc>
        <w:tc>
          <w:tcPr>
            <w:tcW w:w="1453" w:type="dxa"/>
            <w:shd w:val="clear" w:color="auto" w:fill="auto"/>
          </w:tcPr>
          <w:p w14:paraId="04A59F90"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0.62</w:t>
            </w:r>
          </w:p>
        </w:tc>
        <w:tc>
          <w:tcPr>
            <w:tcW w:w="1454" w:type="dxa"/>
            <w:shd w:val="clear" w:color="auto" w:fill="auto"/>
          </w:tcPr>
          <w:p w14:paraId="60E70611"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1220.85</w:t>
            </w:r>
          </w:p>
        </w:tc>
        <w:tc>
          <w:tcPr>
            <w:tcW w:w="1454" w:type="dxa"/>
            <w:shd w:val="clear" w:color="auto" w:fill="auto"/>
          </w:tcPr>
          <w:p w14:paraId="19E0A134"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3.41</w:t>
            </w:r>
          </w:p>
        </w:tc>
      </w:tr>
      <w:tr w:rsidR="00D821EF" w14:paraId="626D375B"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47D484C5" w14:textId="77777777" w:rsidR="00D821EF" w:rsidRPr="0059104A" w:rsidRDefault="00D821EF" w:rsidP="00D821EF">
            <w:pPr>
              <w:spacing w:before="0" w:after="0"/>
              <w:rPr>
                <w:sz w:val="18"/>
                <w:szCs w:val="18"/>
              </w:rPr>
            </w:pPr>
            <w:r w:rsidRPr="0059104A">
              <w:rPr>
                <w:sz w:val="18"/>
                <w:szCs w:val="18"/>
              </w:rPr>
              <w:t>50</w:t>
            </w:r>
          </w:p>
        </w:tc>
        <w:tc>
          <w:tcPr>
            <w:tcW w:w="1453" w:type="dxa"/>
            <w:shd w:val="clear" w:color="auto" w:fill="auto"/>
          </w:tcPr>
          <w:p w14:paraId="3EF6635E"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100</w:t>
            </w:r>
          </w:p>
        </w:tc>
        <w:tc>
          <w:tcPr>
            <w:tcW w:w="1453" w:type="dxa"/>
            <w:shd w:val="clear" w:color="auto" w:fill="auto"/>
          </w:tcPr>
          <w:p w14:paraId="0D4ED2E9"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1.19</w:t>
            </w:r>
          </w:p>
        </w:tc>
        <w:tc>
          <w:tcPr>
            <w:tcW w:w="1453" w:type="dxa"/>
            <w:shd w:val="clear" w:color="auto" w:fill="auto"/>
          </w:tcPr>
          <w:p w14:paraId="23FDEC3E"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0.72</w:t>
            </w:r>
          </w:p>
        </w:tc>
        <w:tc>
          <w:tcPr>
            <w:tcW w:w="1454" w:type="dxa"/>
            <w:shd w:val="clear" w:color="auto" w:fill="auto"/>
          </w:tcPr>
          <w:p w14:paraId="5F5CD7D2"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1301.06</w:t>
            </w:r>
          </w:p>
        </w:tc>
        <w:tc>
          <w:tcPr>
            <w:tcW w:w="1454" w:type="dxa"/>
            <w:shd w:val="clear" w:color="auto" w:fill="auto"/>
          </w:tcPr>
          <w:p w14:paraId="07D07034"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3.65</w:t>
            </w:r>
          </w:p>
        </w:tc>
      </w:tr>
      <w:tr w:rsidR="00D821EF" w14:paraId="0A8D0BF8"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12F18E4E" w14:textId="77777777" w:rsidR="00D821EF" w:rsidRPr="0059104A" w:rsidRDefault="00D821EF" w:rsidP="00D821EF">
            <w:pPr>
              <w:spacing w:before="0" w:after="0"/>
              <w:rPr>
                <w:sz w:val="18"/>
                <w:szCs w:val="18"/>
              </w:rPr>
            </w:pPr>
            <w:r w:rsidRPr="0059104A">
              <w:rPr>
                <w:sz w:val="18"/>
                <w:szCs w:val="18"/>
              </w:rPr>
              <w:t>50</w:t>
            </w:r>
          </w:p>
        </w:tc>
        <w:tc>
          <w:tcPr>
            <w:tcW w:w="1453" w:type="dxa"/>
            <w:shd w:val="clear" w:color="auto" w:fill="auto"/>
          </w:tcPr>
          <w:p w14:paraId="57ECFD8F"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500</w:t>
            </w:r>
          </w:p>
        </w:tc>
        <w:tc>
          <w:tcPr>
            <w:tcW w:w="1453" w:type="dxa"/>
            <w:shd w:val="clear" w:color="auto" w:fill="auto"/>
          </w:tcPr>
          <w:p w14:paraId="39C82BC5"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-5.03</w:t>
            </w:r>
          </w:p>
        </w:tc>
        <w:tc>
          <w:tcPr>
            <w:tcW w:w="1453" w:type="dxa"/>
            <w:shd w:val="clear" w:color="auto" w:fill="auto"/>
          </w:tcPr>
          <w:p w14:paraId="4F43EFB8"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0.43</w:t>
            </w:r>
          </w:p>
        </w:tc>
        <w:tc>
          <w:tcPr>
            <w:tcW w:w="1454" w:type="dxa"/>
            <w:shd w:val="clear" w:color="auto" w:fill="auto"/>
          </w:tcPr>
          <w:p w14:paraId="7C5046CC"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1087.84</w:t>
            </w:r>
          </w:p>
        </w:tc>
        <w:tc>
          <w:tcPr>
            <w:tcW w:w="1454" w:type="dxa"/>
            <w:shd w:val="clear" w:color="auto" w:fill="auto"/>
          </w:tcPr>
          <w:p w14:paraId="2EB901F6"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3.10</w:t>
            </w:r>
          </w:p>
        </w:tc>
      </w:tr>
      <w:tr w:rsidR="00D821EF" w14:paraId="5C250043"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6010D526" w14:textId="77777777" w:rsidR="00D821EF" w:rsidRPr="0059104A" w:rsidRDefault="00D821EF" w:rsidP="00D821EF">
            <w:pPr>
              <w:spacing w:before="0" w:after="0"/>
              <w:rPr>
                <w:sz w:val="18"/>
                <w:szCs w:val="18"/>
              </w:rPr>
            </w:pPr>
            <w:r w:rsidRPr="0059104A">
              <w:rPr>
                <w:sz w:val="18"/>
                <w:szCs w:val="18"/>
              </w:rPr>
              <w:t>100</w:t>
            </w:r>
          </w:p>
        </w:tc>
        <w:tc>
          <w:tcPr>
            <w:tcW w:w="1453" w:type="dxa"/>
            <w:shd w:val="clear" w:color="auto" w:fill="auto"/>
          </w:tcPr>
          <w:p w14:paraId="00CE0B85"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5</w:t>
            </w:r>
          </w:p>
        </w:tc>
        <w:tc>
          <w:tcPr>
            <w:tcW w:w="1453" w:type="dxa"/>
            <w:shd w:val="clear" w:color="auto" w:fill="auto"/>
          </w:tcPr>
          <w:p w14:paraId="7B9C9254"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3.12</w:t>
            </w:r>
          </w:p>
        </w:tc>
        <w:tc>
          <w:tcPr>
            <w:tcW w:w="1453" w:type="dxa"/>
            <w:shd w:val="clear" w:color="auto" w:fill="auto"/>
          </w:tcPr>
          <w:p w14:paraId="40A69661"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0.71</w:t>
            </w:r>
          </w:p>
        </w:tc>
        <w:tc>
          <w:tcPr>
            <w:tcW w:w="1454" w:type="dxa"/>
            <w:shd w:val="clear" w:color="auto" w:fill="auto"/>
          </w:tcPr>
          <w:p w14:paraId="51E3E1FA"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1149.18</w:t>
            </w:r>
          </w:p>
        </w:tc>
        <w:tc>
          <w:tcPr>
            <w:tcW w:w="1454" w:type="dxa"/>
            <w:shd w:val="clear" w:color="auto" w:fill="auto"/>
          </w:tcPr>
          <w:p w14:paraId="2E610C63"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3.20</w:t>
            </w:r>
          </w:p>
        </w:tc>
      </w:tr>
      <w:tr w:rsidR="00D821EF" w14:paraId="0379FAE9"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1288036D" w14:textId="77777777" w:rsidR="00D821EF" w:rsidRPr="0059104A" w:rsidRDefault="00D821EF" w:rsidP="00D821EF">
            <w:pPr>
              <w:spacing w:before="0" w:after="0"/>
              <w:rPr>
                <w:sz w:val="18"/>
                <w:szCs w:val="18"/>
              </w:rPr>
            </w:pPr>
            <w:r w:rsidRPr="0059104A">
              <w:rPr>
                <w:sz w:val="18"/>
                <w:szCs w:val="18"/>
              </w:rPr>
              <w:t>100</w:t>
            </w:r>
          </w:p>
        </w:tc>
        <w:tc>
          <w:tcPr>
            <w:tcW w:w="1453" w:type="dxa"/>
            <w:shd w:val="clear" w:color="auto" w:fill="auto"/>
          </w:tcPr>
          <w:p w14:paraId="06F83475"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25</w:t>
            </w:r>
          </w:p>
        </w:tc>
        <w:tc>
          <w:tcPr>
            <w:tcW w:w="1453" w:type="dxa"/>
            <w:shd w:val="clear" w:color="auto" w:fill="auto"/>
          </w:tcPr>
          <w:p w14:paraId="7B012765"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2.94</w:t>
            </w:r>
          </w:p>
        </w:tc>
        <w:tc>
          <w:tcPr>
            <w:tcW w:w="1453" w:type="dxa"/>
            <w:shd w:val="clear" w:color="auto" w:fill="auto"/>
          </w:tcPr>
          <w:p w14:paraId="7651450D"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0.59</w:t>
            </w:r>
          </w:p>
        </w:tc>
        <w:tc>
          <w:tcPr>
            <w:tcW w:w="1454" w:type="dxa"/>
            <w:shd w:val="clear" w:color="auto" w:fill="auto"/>
          </w:tcPr>
          <w:p w14:paraId="26D2EB33"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1167.08</w:t>
            </w:r>
          </w:p>
        </w:tc>
        <w:tc>
          <w:tcPr>
            <w:tcW w:w="1454" w:type="dxa"/>
            <w:shd w:val="clear" w:color="auto" w:fill="auto"/>
          </w:tcPr>
          <w:p w14:paraId="0495D787"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3.26</w:t>
            </w:r>
          </w:p>
        </w:tc>
      </w:tr>
      <w:tr w:rsidR="00D821EF" w14:paraId="3BB6D6EC"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799B7E34" w14:textId="77777777" w:rsidR="00D821EF" w:rsidRPr="0059104A" w:rsidRDefault="00D821EF" w:rsidP="00D821EF">
            <w:pPr>
              <w:spacing w:before="0" w:after="0"/>
              <w:rPr>
                <w:sz w:val="18"/>
                <w:szCs w:val="18"/>
              </w:rPr>
            </w:pPr>
            <w:r w:rsidRPr="0059104A">
              <w:rPr>
                <w:sz w:val="18"/>
                <w:szCs w:val="18"/>
              </w:rPr>
              <w:t>100</w:t>
            </w:r>
          </w:p>
        </w:tc>
        <w:tc>
          <w:tcPr>
            <w:tcW w:w="1453" w:type="dxa"/>
            <w:shd w:val="clear" w:color="auto" w:fill="auto"/>
          </w:tcPr>
          <w:p w14:paraId="5D458E9E"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50</w:t>
            </w:r>
          </w:p>
        </w:tc>
        <w:tc>
          <w:tcPr>
            <w:tcW w:w="1453" w:type="dxa"/>
            <w:shd w:val="clear" w:color="auto" w:fill="auto"/>
          </w:tcPr>
          <w:p w14:paraId="507D3BCF"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2.68</w:t>
            </w:r>
          </w:p>
        </w:tc>
        <w:tc>
          <w:tcPr>
            <w:tcW w:w="1453" w:type="dxa"/>
            <w:shd w:val="clear" w:color="auto" w:fill="auto"/>
          </w:tcPr>
          <w:p w14:paraId="6F6C4A11"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0.65</w:t>
            </w:r>
          </w:p>
        </w:tc>
        <w:tc>
          <w:tcPr>
            <w:tcW w:w="1454" w:type="dxa"/>
            <w:shd w:val="clear" w:color="auto" w:fill="auto"/>
          </w:tcPr>
          <w:p w14:paraId="28624E29"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1193.52</w:t>
            </w:r>
          </w:p>
        </w:tc>
        <w:tc>
          <w:tcPr>
            <w:tcW w:w="1454" w:type="dxa"/>
            <w:shd w:val="clear" w:color="auto" w:fill="auto"/>
          </w:tcPr>
          <w:p w14:paraId="5E5D4898"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3.33</w:t>
            </w:r>
          </w:p>
        </w:tc>
      </w:tr>
      <w:tr w:rsidR="00D821EF" w14:paraId="620FF226"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705FDE31" w14:textId="77777777" w:rsidR="00D821EF" w:rsidRPr="0059104A" w:rsidRDefault="00D821EF" w:rsidP="00D821EF">
            <w:pPr>
              <w:spacing w:before="0" w:after="0"/>
              <w:rPr>
                <w:sz w:val="18"/>
                <w:szCs w:val="18"/>
              </w:rPr>
            </w:pPr>
            <w:r w:rsidRPr="0059104A">
              <w:rPr>
                <w:sz w:val="18"/>
                <w:szCs w:val="18"/>
              </w:rPr>
              <w:t>100</w:t>
            </w:r>
          </w:p>
        </w:tc>
        <w:tc>
          <w:tcPr>
            <w:tcW w:w="1453" w:type="dxa"/>
            <w:shd w:val="clear" w:color="auto" w:fill="auto"/>
          </w:tcPr>
          <w:p w14:paraId="28DC026D"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100</w:t>
            </w:r>
          </w:p>
        </w:tc>
        <w:tc>
          <w:tcPr>
            <w:tcW w:w="1453" w:type="dxa"/>
            <w:shd w:val="clear" w:color="auto" w:fill="auto"/>
          </w:tcPr>
          <w:p w14:paraId="1B55D68F"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1.60</w:t>
            </w:r>
          </w:p>
        </w:tc>
        <w:tc>
          <w:tcPr>
            <w:tcW w:w="1453" w:type="dxa"/>
            <w:shd w:val="clear" w:color="auto" w:fill="auto"/>
          </w:tcPr>
          <w:p w14:paraId="4714DFF3"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0.69</w:t>
            </w:r>
          </w:p>
        </w:tc>
        <w:tc>
          <w:tcPr>
            <w:tcW w:w="1454" w:type="dxa"/>
            <w:shd w:val="clear" w:color="auto" w:fill="auto"/>
          </w:tcPr>
          <w:p w14:paraId="06E0495E"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1148.04</w:t>
            </w:r>
          </w:p>
        </w:tc>
        <w:tc>
          <w:tcPr>
            <w:tcW w:w="1454" w:type="dxa"/>
            <w:shd w:val="clear" w:color="auto" w:fill="auto"/>
          </w:tcPr>
          <w:p w14:paraId="656B57B0"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3.22</w:t>
            </w:r>
          </w:p>
        </w:tc>
      </w:tr>
      <w:tr w:rsidR="00D821EF" w14:paraId="7A66D495"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18C97546" w14:textId="77777777" w:rsidR="00D821EF" w:rsidRPr="0059104A" w:rsidRDefault="00D821EF" w:rsidP="00D821EF">
            <w:pPr>
              <w:spacing w:before="0" w:after="0"/>
              <w:rPr>
                <w:sz w:val="18"/>
                <w:szCs w:val="18"/>
              </w:rPr>
            </w:pPr>
            <w:r w:rsidRPr="0059104A">
              <w:rPr>
                <w:sz w:val="18"/>
                <w:szCs w:val="18"/>
              </w:rPr>
              <w:t>100</w:t>
            </w:r>
          </w:p>
        </w:tc>
        <w:tc>
          <w:tcPr>
            <w:tcW w:w="1453" w:type="dxa"/>
            <w:shd w:val="clear" w:color="auto" w:fill="auto"/>
          </w:tcPr>
          <w:p w14:paraId="03A4AD44"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500</w:t>
            </w:r>
          </w:p>
        </w:tc>
        <w:tc>
          <w:tcPr>
            <w:tcW w:w="1453" w:type="dxa"/>
            <w:shd w:val="clear" w:color="auto" w:fill="auto"/>
          </w:tcPr>
          <w:p w14:paraId="5F97AAF8"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-4.55</w:t>
            </w:r>
          </w:p>
        </w:tc>
        <w:tc>
          <w:tcPr>
            <w:tcW w:w="1453" w:type="dxa"/>
            <w:shd w:val="clear" w:color="auto" w:fill="auto"/>
          </w:tcPr>
          <w:p w14:paraId="5886DECF"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0.60</w:t>
            </w:r>
          </w:p>
        </w:tc>
        <w:tc>
          <w:tcPr>
            <w:tcW w:w="1454" w:type="dxa"/>
            <w:shd w:val="clear" w:color="auto" w:fill="auto"/>
          </w:tcPr>
          <w:p w14:paraId="491E888F"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1124.54</w:t>
            </w:r>
          </w:p>
        </w:tc>
        <w:tc>
          <w:tcPr>
            <w:tcW w:w="1454" w:type="dxa"/>
            <w:shd w:val="clear" w:color="auto" w:fill="auto"/>
          </w:tcPr>
          <w:p w14:paraId="3369BC3A"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3.20</w:t>
            </w:r>
          </w:p>
        </w:tc>
      </w:tr>
      <w:tr w:rsidR="00D821EF" w14:paraId="17B207D0"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55F65E53" w14:textId="77777777" w:rsidR="00D821EF" w:rsidRPr="0059104A" w:rsidRDefault="00D821EF" w:rsidP="00D821EF">
            <w:pPr>
              <w:spacing w:before="0" w:after="0"/>
              <w:rPr>
                <w:sz w:val="18"/>
                <w:szCs w:val="18"/>
              </w:rPr>
            </w:pPr>
            <w:r w:rsidRPr="0059104A">
              <w:rPr>
                <w:sz w:val="18"/>
                <w:szCs w:val="18"/>
              </w:rPr>
              <w:t>250</w:t>
            </w:r>
          </w:p>
        </w:tc>
        <w:tc>
          <w:tcPr>
            <w:tcW w:w="1453" w:type="dxa"/>
            <w:shd w:val="clear" w:color="auto" w:fill="auto"/>
          </w:tcPr>
          <w:p w14:paraId="678D7C47"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5</w:t>
            </w:r>
          </w:p>
        </w:tc>
        <w:tc>
          <w:tcPr>
            <w:tcW w:w="1453" w:type="dxa"/>
            <w:shd w:val="clear" w:color="auto" w:fill="auto"/>
          </w:tcPr>
          <w:p w14:paraId="39E59FBD"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4.12</w:t>
            </w:r>
          </w:p>
        </w:tc>
        <w:tc>
          <w:tcPr>
            <w:tcW w:w="1453" w:type="dxa"/>
            <w:shd w:val="clear" w:color="auto" w:fill="auto"/>
          </w:tcPr>
          <w:p w14:paraId="392DD75F"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0.55</w:t>
            </w:r>
          </w:p>
        </w:tc>
        <w:tc>
          <w:tcPr>
            <w:tcW w:w="1454" w:type="dxa"/>
            <w:shd w:val="clear" w:color="auto" w:fill="auto"/>
          </w:tcPr>
          <w:p w14:paraId="2EAC3CD1"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1084.03</w:t>
            </w:r>
          </w:p>
        </w:tc>
        <w:tc>
          <w:tcPr>
            <w:tcW w:w="1454" w:type="dxa"/>
            <w:shd w:val="clear" w:color="auto" w:fill="auto"/>
          </w:tcPr>
          <w:p w14:paraId="20A5E795"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3.01</w:t>
            </w:r>
          </w:p>
        </w:tc>
      </w:tr>
      <w:tr w:rsidR="00D821EF" w14:paraId="503B125C"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23E27162" w14:textId="77777777" w:rsidR="00D821EF" w:rsidRPr="0059104A" w:rsidRDefault="00D821EF" w:rsidP="00D821EF">
            <w:pPr>
              <w:spacing w:before="0" w:after="0"/>
              <w:rPr>
                <w:sz w:val="18"/>
                <w:szCs w:val="18"/>
              </w:rPr>
            </w:pPr>
            <w:r w:rsidRPr="0059104A">
              <w:rPr>
                <w:sz w:val="18"/>
                <w:szCs w:val="18"/>
              </w:rPr>
              <w:t>250</w:t>
            </w:r>
          </w:p>
        </w:tc>
        <w:tc>
          <w:tcPr>
            <w:tcW w:w="1453" w:type="dxa"/>
            <w:shd w:val="clear" w:color="auto" w:fill="auto"/>
          </w:tcPr>
          <w:p w14:paraId="412486A2"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25</w:t>
            </w:r>
          </w:p>
        </w:tc>
        <w:tc>
          <w:tcPr>
            <w:tcW w:w="1453" w:type="dxa"/>
            <w:shd w:val="clear" w:color="auto" w:fill="auto"/>
          </w:tcPr>
          <w:p w14:paraId="314DBA03"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3.94</w:t>
            </w:r>
          </w:p>
        </w:tc>
        <w:tc>
          <w:tcPr>
            <w:tcW w:w="1453" w:type="dxa"/>
            <w:shd w:val="clear" w:color="auto" w:fill="auto"/>
          </w:tcPr>
          <w:p w14:paraId="0DE5D1AC"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0.56</w:t>
            </w:r>
          </w:p>
        </w:tc>
        <w:tc>
          <w:tcPr>
            <w:tcW w:w="1454" w:type="dxa"/>
            <w:shd w:val="clear" w:color="auto" w:fill="auto"/>
          </w:tcPr>
          <w:p w14:paraId="44A95906"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1122.50</w:t>
            </w:r>
          </w:p>
        </w:tc>
        <w:tc>
          <w:tcPr>
            <w:tcW w:w="1454" w:type="dxa"/>
            <w:shd w:val="clear" w:color="auto" w:fill="auto"/>
          </w:tcPr>
          <w:p w14:paraId="2FC91518"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3.12</w:t>
            </w:r>
          </w:p>
        </w:tc>
      </w:tr>
      <w:tr w:rsidR="00D821EF" w14:paraId="27571A5E"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053C28B2" w14:textId="77777777" w:rsidR="00D821EF" w:rsidRPr="0059104A" w:rsidRDefault="00D821EF" w:rsidP="00D821EF">
            <w:pPr>
              <w:spacing w:before="0" w:after="0"/>
              <w:rPr>
                <w:sz w:val="18"/>
                <w:szCs w:val="18"/>
              </w:rPr>
            </w:pPr>
            <w:r w:rsidRPr="0059104A">
              <w:rPr>
                <w:sz w:val="18"/>
                <w:szCs w:val="18"/>
              </w:rPr>
              <w:t>250</w:t>
            </w:r>
          </w:p>
        </w:tc>
        <w:tc>
          <w:tcPr>
            <w:tcW w:w="1453" w:type="dxa"/>
            <w:shd w:val="clear" w:color="auto" w:fill="auto"/>
          </w:tcPr>
          <w:p w14:paraId="6FF1DCE6"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50</w:t>
            </w:r>
          </w:p>
        </w:tc>
        <w:tc>
          <w:tcPr>
            <w:tcW w:w="1453" w:type="dxa"/>
            <w:shd w:val="clear" w:color="auto" w:fill="auto"/>
          </w:tcPr>
          <w:p w14:paraId="2CB45226"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3.37</w:t>
            </w:r>
          </w:p>
        </w:tc>
        <w:tc>
          <w:tcPr>
            <w:tcW w:w="1453" w:type="dxa"/>
            <w:shd w:val="clear" w:color="auto" w:fill="auto"/>
          </w:tcPr>
          <w:p w14:paraId="1CC0598B"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0.94</w:t>
            </w:r>
          </w:p>
        </w:tc>
        <w:tc>
          <w:tcPr>
            <w:tcW w:w="1454" w:type="dxa"/>
            <w:shd w:val="clear" w:color="auto" w:fill="auto"/>
          </w:tcPr>
          <w:p w14:paraId="1A37E5E4"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1201.51</w:t>
            </w:r>
          </w:p>
        </w:tc>
        <w:tc>
          <w:tcPr>
            <w:tcW w:w="1454" w:type="dxa"/>
            <w:shd w:val="clear" w:color="auto" w:fill="auto"/>
          </w:tcPr>
          <w:p w14:paraId="6D7B1EBD"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3.35</w:t>
            </w:r>
          </w:p>
        </w:tc>
      </w:tr>
      <w:tr w:rsidR="00D821EF" w14:paraId="7C381EFA"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539B5C97" w14:textId="77777777" w:rsidR="00D821EF" w:rsidRPr="0059104A" w:rsidRDefault="00D821EF" w:rsidP="00D821EF">
            <w:pPr>
              <w:spacing w:before="0" w:after="0"/>
              <w:rPr>
                <w:sz w:val="18"/>
                <w:szCs w:val="18"/>
              </w:rPr>
            </w:pPr>
            <w:r w:rsidRPr="0059104A">
              <w:rPr>
                <w:sz w:val="18"/>
                <w:szCs w:val="18"/>
              </w:rPr>
              <w:t>250</w:t>
            </w:r>
          </w:p>
        </w:tc>
        <w:tc>
          <w:tcPr>
            <w:tcW w:w="1453" w:type="dxa"/>
            <w:shd w:val="clear" w:color="auto" w:fill="auto"/>
          </w:tcPr>
          <w:p w14:paraId="0A3C01E6"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100</w:t>
            </w:r>
          </w:p>
        </w:tc>
        <w:tc>
          <w:tcPr>
            <w:tcW w:w="1453" w:type="dxa"/>
            <w:shd w:val="clear" w:color="auto" w:fill="auto"/>
          </w:tcPr>
          <w:p w14:paraId="3B217D64"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2.79</w:t>
            </w:r>
          </w:p>
        </w:tc>
        <w:tc>
          <w:tcPr>
            <w:tcW w:w="1453" w:type="dxa"/>
            <w:shd w:val="clear" w:color="auto" w:fill="auto"/>
          </w:tcPr>
          <w:p w14:paraId="0ED43EF2"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0.50</w:t>
            </w:r>
          </w:p>
        </w:tc>
        <w:tc>
          <w:tcPr>
            <w:tcW w:w="1454" w:type="dxa"/>
            <w:shd w:val="clear" w:color="auto" w:fill="auto"/>
          </w:tcPr>
          <w:p w14:paraId="7F7F86AD"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1218.36</w:t>
            </w:r>
          </w:p>
        </w:tc>
        <w:tc>
          <w:tcPr>
            <w:tcW w:w="1454" w:type="dxa"/>
            <w:shd w:val="clear" w:color="auto" w:fill="auto"/>
          </w:tcPr>
          <w:p w14:paraId="5A5EA6F6"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3.40</w:t>
            </w:r>
          </w:p>
        </w:tc>
      </w:tr>
      <w:tr w:rsidR="00D821EF" w14:paraId="5980D91D"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10096771" w14:textId="77777777" w:rsidR="00D821EF" w:rsidRPr="0059104A" w:rsidRDefault="00D821EF" w:rsidP="00D821EF">
            <w:pPr>
              <w:spacing w:before="0" w:after="0"/>
              <w:rPr>
                <w:sz w:val="18"/>
                <w:szCs w:val="18"/>
              </w:rPr>
            </w:pPr>
            <w:r w:rsidRPr="0059104A">
              <w:rPr>
                <w:sz w:val="18"/>
                <w:szCs w:val="18"/>
              </w:rPr>
              <w:t>250</w:t>
            </w:r>
          </w:p>
        </w:tc>
        <w:tc>
          <w:tcPr>
            <w:tcW w:w="1453" w:type="dxa"/>
            <w:shd w:val="clear" w:color="auto" w:fill="auto"/>
          </w:tcPr>
          <w:p w14:paraId="53D20F06"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500</w:t>
            </w:r>
          </w:p>
        </w:tc>
        <w:tc>
          <w:tcPr>
            <w:tcW w:w="1453" w:type="dxa"/>
            <w:shd w:val="clear" w:color="auto" w:fill="auto"/>
          </w:tcPr>
          <w:p w14:paraId="3C974321"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-3.56</w:t>
            </w:r>
          </w:p>
        </w:tc>
        <w:tc>
          <w:tcPr>
            <w:tcW w:w="1453" w:type="dxa"/>
            <w:shd w:val="clear" w:color="auto" w:fill="auto"/>
          </w:tcPr>
          <w:p w14:paraId="11F71CB0"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0.61</w:t>
            </w:r>
          </w:p>
        </w:tc>
        <w:tc>
          <w:tcPr>
            <w:tcW w:w="1454" w:type="dxa"/>
            <w:shd w:val="clear" w:color="auto" w:fill="auto"/>
          </w:tcPr>
          <w:p w14:paraId="50143B4B"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1079.69</w:t>
            </w:r>
          </w:p>
        </w:tc>
        <w:tc>
          <w:tcPr>
            <w:tcW w:w="1454" w:type="dxa"/>
            <w:shd w:val="clear" w:color="auto" w:fill="auto"/>
          </w:tcPr>
          <w:p w14:paraId="33337E4B"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3.07</w:t>
            </w:r>
          </w:p>
        </w:tc>
      </w:tr>
      <w:tr w:rsidR="00D821EF" w14:paraId="7C7D4D48"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3F160D85" w14:textId="77777777" w:rsidR="00D821EF" w:rsidRPr="0059104A" w:rsidRDefault="00D821EF" w:rsidP="00D821EF">
            <w:pPr>
              <w:spacing w:before="0" w:after="0"/>
              <w:rPr>
                <w:sz w:val="18"/>
                <w:szCs w:val="18"/>
              </w:rPr>
            </w:pPr>
            <w:r w:rsidRPr="0059104A">
              <w:rPr>
                <w:sz w:val="18"/>
                <w:szCs w:val="18"/>
              </w:rPr>
              <w:t>500</w:t>
            </w:r>
          </w:p>
        </w:tc>
        <w:tc>
          <w:tcPr>
            <w:tcW w:w="1453" w:type="dxa"/>
            <w:shd w:val="clear" w:color="auto" w:fill="auto"/>
          </w:tcPr>
          <w:p w14:paraId="4C1174F1"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5</w:t>
            </w:r>
          </w:p>
        </w:tc>
        <w:tc>
          <w:tcPr>
            <w:tcW w:w="1453" w:type="dxa"/>
            <w:shd w:val="clear" w:color="auto" w:fill="auto"/>
          </w:tcPr>
          <w:p w14:paraId="54C02248"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5.07</w:t>
            </w:r>
          </w:p>
        </w:tc>
        <w:tc>
          <w:tcPr>
            <w:tcW w:w="1453" w:type="dxa"/>
            <w:shd w:val="clear" w:color="auto" w:fill="auto"/>
          </w:tcPr>
          <w:p w14:paraId="69F0111A"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0.49</w:t>
            </w:r>
          </w:p>
        </w:tc>
        <w:tc>
          <w:tcPr>
            <w:tcW w:w="1454" w:type="dxa"/>
            <w:shd w:val="clear" w:color="auto" w:fill="auto"/>
          </w:tcPr>
          <w:p w14:paraId="39CCF055"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1079.14</w:t>
            </w:r>
          </w:p>
        </w:tc>
        <w:tc>
          <w:tcPr>
            <w:tcW w:w="1454" w:type="dxa"/>
            <w:shd w:val="clear" w:color="auto" w:fill="auto"/>
          </w:tcPr>
          <w:p w14:paraId="062CB736"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2.99</w:t>
            </w:r>
          </w:p>
        </w:tc>
      </w:tr>
      <w:tr w:rsidR="00D821EF" w14:paraId="5A268B2C"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6E0ACBF9" w14:textId="77777777" w:rsidR="00D821EF" w:rsidRPr="0059104A" w:rsidRDefault="00D821EF" w:rsidP="00D821EF">
            <w:pPr>
              <w:spacing w:before="0" w:after="0"/>
              <w:rPr>
                <w:sz w:val="18"/>
                <w:szCs w:val="18"/>
              </w:rPr>
            </w:pPr>
            <w:r w:rsidRPr="0059104A">
              <w:rPr>
                <w:sz w:val="18"/>
                <w:szCs w:val="18"/>
              </w:rPr>
              <w:t>500</w:t>
            </w:r>
          </w:p>
        </w:tc>
        <w:tc>
          <w:tcPr>
            <w:tcW w:w="1453" w:type="dxa"/>
            <w:shd w:val="clear" w:color="auto" w:fill="auto"/>
          </w:tcPr>
          <w:p w14:paraId="2F40035F"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25</w:t>
            </w:r>
          </w:p>
        </w:tc>
        <w:tc>
          <w:tcPr>
            <w:tcW w:w="1453" w:type="dxa"/>
            <w:shd w:val="clear" w:color="auto" w:fill="auto"/>
          </w:tcPr>
          <w:p w14:paraId="45CE2D5A"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4.92</w:t>
            </w:r>
          </w:p>
        </w:tc>
        <w:tc>
          <w:tcPr>
            <w:tcW w:w="1453" w:type="dxa"/>
            <w:shd w:val="clear" w:color="auto" w:fill="auto"/>
          </w:tcPr>
          <w:p w14:paraId="11AEA75F"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0.54</w:t>
            </w:r>
          </w:p>
        </w:tc>
        <w:tc>
          <w:tcPr>
            <w:tcW w:w="1454" w:type="dxa"/>
            <w:shd w:val="clear" w:color="auto" w:fill="auto"/>
          </w:tcPr>
          <w:p w14:paraId="74579A89"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1165.01</w:t>
            </w:r>
          </w:p>
        </w:tc>
        <w:tc>
          <w:tcPr>
            <w:tcW w:w="1454" w:type="dxa"/>
            <w:shd w:val="clear" w:color="auto" w:fill="auto"/>
          </w:tcPr>
          <w:p w14:paraId="5FD06E5B"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3.23</w:t>
            </w:r>
          </w:p>
        </w:tc>
      </w:tr>
      <w:tr w:rsidR="00D821EF" w14:paraId="65692F19"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13B60954" w14:textId="77777777" w:rsidR="00D821EF" w:rsidRPr="0059104A" w:rsidRDefault="00D821EF" w:rsidP="00D821EF">
            <w:pPr>
              <w:spacing w:before="0" w:after="0"/>
              <w:rPr>
                <w:sz w:val="18"/>
                <w:szCs w:val="18"/>
              </w:rPr>
            </w:pPr>
            <w:r w:rsidRPr="0059104A">
              <w:rPr>
                <w:sz w:val="18"/>
                <w:szCs w:val="18"/>
              </w:rPr>
              <w:t>500</w:t>
            </w:r>
          </w:p>
        </w:tc>
        <w:tc>
          <w:tcPr>
            <w:tcW w:w="1453" w:type="dxa"/>
            <w:shd w:val="clear" w:color="auto" w:fill="auto"/>
          </w:tcPr>
          <w:p w14:paraId="49909609"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50</w:t>
            </w:r>
          </w:p>
        </w:tc>
        <w:tc>
          <w:tcPr>
            <w:tcW w:w="1453" w:type="dxa"/>
            <w:shd w:val="clear" w:color="auto" w:fill="auto"/>
          </w:tcPr>
          <w:p w14:paraId="4AD8ABCA"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4.60</w:t>
            </w:r>
          </w:p>
        </w:tc>
        <w:tc>
          <w:tcPr>
            <w:tcW w:w="1453" w:type="dxa"/>
            <w:shd w:val="clear" w:color="auto" w:fill="auto"/>
          </w:tcPr>
          <w:p w14:paraId="75433A06"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0.44</w:t>
            </w:r>
          </w:p>
        </w:tc>
        <w:tc>
          <w:tcPr>
            <w:tcW w:w="1454" w:type="dxa"/>
            <w:shd w:val="clear" w:color="auto" w:fill="auto"/>
          </w:tcPr>
          <w:p w14:paraId="2F15E99F"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1147.18</w:t>
            </w:r>
          </w:p>
        </w:tc>
        <w:tc>
          <w:tcPr>
            <w:tcW w:w="1454" w:type="dxa"/>
            <w:shd w:val="clear" w:color="auto" w:fill="auto"/>
          </w:tcPr>
          <w:p w14:paraId="76B052E6"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3.19</w:t>
            </w:r>
          </w:p>
        </w:tc>
      </w:tr>
      <w:tr w:rsidR="00D821EF" w14:paraId="0DC7BEC8"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0F40C181" w14:textId="77777777" w:rsidR="00D821EF" w:rsidRPr="0059104A" w:rsidRDefault="00D821EF" w:rsidP="00D821EF">
            <w:pPr>
              <w:spacing w:before="0" w:after="0"/>
              <w:rPr>
                <w:sz w:val="18"/>
                <w:szCs w:val="18"/>
              </w:rPr>
            </w:pPr>
            <w:r w:rsidRPr="0059104A">
              <w:rPr>
                <w:sz w:val="18"/>
                <w:szCs w:val="18"/>
              </w:rPr>
              <w:t>500</w:t>
            </w:r>
          </w:p>
        </w:tc>
        <w:tc>
          <w:tcPr>
            <w:tcW w:w="1453" w:type="dxa"/>
            <w:shd w:val="clear" w:color="auto" w:fill="auto"/>
          </w:tcPr>
          <w:p w14:paraId="424C2929"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100</w:t>
            </w:r>
          </w:p>
        </w:tc>
        <w:tc>
          <w:tcPr>
            <w:tcW w:w="1453" w:type="dxa"/>
            <w:shd w:val="clear" w:color="auto" w:fill="auto"/>
          </w:tcPr>
          <w:p w14:paraId="7ED3E5AE"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3.70</w:t>
            </w:r>
          </w:p>
        </w:tc>
        <w:tc>
          <w:tcPr>
            <w:tcW w:w="1453" w:type="dxa"/>
            <w:shd w:val="clear" w:color="auto" w:fill="auto"/>
          </w:tcPr>
          <w:p w14:paraId="221F319C"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0.64</w:t>
            </w:r>
          </w:p>
        </w:tc>
        <w:tc>
          <w:tcPr>
            <w:tcW w:w="1454" w:type="dxa"/>
            <w:shd w:val="clear" w:color="auto" w:fill="auto"/>
          </w:tcPr>
          <w:p w14:paraId="21BEE8A5"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1198.37</w:t>
            </w:r>
          </w:p>
        </w:tc>
        <w:tc>
          <w:tcPr>
            <w:tcW w:w="1454" w:type="dxa"/>
            <w:shd w:val="clear" w:color="auto" w:fill="auto"/>
          </w:tcPr>
          <w:p w14:paraId="33EFB38C"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3.34</w:t>
            </w:r>
          </w:p>
        </w:tc>
      </w:tr>
      <w:tr w:rsidR="00D821EF" w14:paraId="7EFEB3C5"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42EEA59E" w14:textId="77777777" w:rsidR="00D821EF" w:rsidRPr="0059104A" w:rsidRDefault="00D821EF" w:rsidP="00D821EF">
            <w:pPr>
              <w:spacing w:before="0" w:after="0"/>
              <w:rPr>
                <w:sz w:val="18"/>
                <w:szCs w:val="18"/>
              </w:rPr>
            </w:pPr>
            <w:r w:rsidRPr="0059104A">
              <w:rPr>
                <w:sz w:val="18"/>
                <w:szCs w:val="18"/>
              </w:rPr>
              <w:t>500</w:t>
            </w:r>
          </w:p>
        </w:tc>
        <w:tc>
          <w:tcPr>
            <w:tcW w:w="1453" w:type="dxa"/>
            <w:shd w:val="clear" w:color="auto" w:fill="auto"/>
          </w:tcPr>
          <w:p w14:paraId="5854899F"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500</w:t>
            </w:r>
          </w:p>
        </w:tc>
        <w:tc>
          <w:tcPr>
            <w:tcW w:w="1453" w:type="dxa"/>
            <w:shd w:val="clear" w:color="auto" w:fill="auto"/>
          </w:tcPr>
          <w:p w14:paraId="3E306FD4"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-2.13</w:t>
            </w:r>
          </w:p>
        </w:tc>
        <w:tc>
          <w:tcPr>
            <w:tcW w:w="1453" w:type="dxa"/>
            <w:shd w:val="clear" w:color="auto" w:fill="auto"/>
          </w:tcPr>
          <w:p w14:paraId="633EF466"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0.44</w:t>
            </w:r>
          </w:p>
        </w:tc>
        <w:tc>
          <w:tcPr>
            <w:tcW w:w="1454" w:type="dxa"/>
            <w:shd w:val="clear" w:color="auto" w:fill="auto"/>
          </w:tcPr>
          <w:p w14:paraId="0132EBD6"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1087.94</w:t>
            </w:r>
          </w:p>
        </w:tc>
        <w:tc>
          <w:tcPr>
            <w:tcW w:w="1454" w:type="dxa"/>
            <w:shd w:val="clear" w:color="auto" w:fill="auto"/>
          </w:tcPr>
          <w:p w14:paraId="198E311C"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3.08</w:t>
            </w:r>
          </w:p>
        </w:tc>
      </w:tr>
    </w:tbl>
    <w:p w14:paraId="0C43858B" w14:textId="77777777" w:rsidR="00D821EF" w:rsidRDefault="00D821EF" w:rsidP="008C2B83"/>
    <w:p w14:paraId="1566CFD5"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11</w:t>
        </w:r>
      </w:fldSimple>
      <w:r>
        <w:t>. Data values for 1 g/L Lysozyme</w:t>
      </w:r>
      <w:r w:rsidRPr="001B07C0">
        <w:t xml:space="preserve"> pH 7 in glycine-guanidine hydrochloride mixtures</w:t>
      </w:r>
    </w:p>
    <w:tbl>
      <w:tblPr>
        <w:tblStyle w:val="LightShading"/>
        <w:tblW w:w="0" w:type="auto"/>
        <w:tblLook w:val="04A0" w:firstRow="1" w:lastRow="0" w:firstColumn="1" w:lastColumn="0" w:noHBand="0" w:noVBand="1"/>
      </w:tblPr>
      <w:tblGrid>
        <w:gridCol w:w="1453"/>
        <w:gridCol w:w="1453"/>
        <w:gridCol w:w="1453"/>
        <w:gridCol w:w="1453"/>
        <w:gridCol w:w="1454"/>
        <w:gridCol w:w="1454"/>
      </w:tblGrid>
      <w:tr w:rsidR="00D821EF" w14:paraId="705C6836"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243FE9E9" w14:textId="77777777" w:rsidR="00D821EF" w:rsidRPr="00BA4824" w:rsidRDefault="00D821EF" w:rsidP="00D821EF">
            <w:pPr>
              <w:spacing w:before="0" w:after="0"/>
              <w:rPr>
                <w:sz w:val="18"/>
                <w:szCs w:val="18"/>
              </w:rPr>
            </w:pPr>
            <w:r w:rsidRPr="00BA4824">
              <w:rPr>
                <w:sz w:val="18"/>
                <w:szCs w:val="18"/>
              </w:rPr>
              <w:t>Glycine concentration (mM)</w:t>
            </w:r>
          </w:p>
        </w:tc>
        <w:tc>
          <w:tcPr>
            <w:tcW w:w="1453" w:type="dxa"/>
            <w:shd w:val="clear" w:color="auto" w:fill="auto"/>
          </w:tcPr>
          <w:p w14:paraId="42FD46B8" w14:textId="77777777" w:rsidR="00D821EF" w:rsidRPr="00BA4824"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BA4824">
              <w:rPr>
                <w:sz w:val="18"/>
                <w:szCs w:val="18"/>
              </w:rPr>
              <w:t>GdnHCl concentration (mM)</w:t>
            </w:r>
          </w:p>
        </w:tc>
        <w:tc>
          <w:tcPr>
            <w:tcW w:w="1453" w:type="dxa"/>
            <w:shd w:val="clear" w:color="auto" w:fill="auto"/>
          </w:tcPr>
          <w:p w14:paraId="098EC7BB" w14:textId="77777777" w:rsidR="00D821EF" w:rsidRDefault="00D821EF" w:rsidP="00D821EF">
            <w:pPr>
              <w:spacing w:before="0" w:after="0"/>
              <w:cnfStyle w:val="100000000000" w:firstRow="1" w:lastRow="0" w:firstColumn="0" w:lastColumn="0" w:oddVBand="0" w:evenVBand="0" w:oddHBand="0" w:evenHBand="0" w:firstRowFirstColumn="0" w:firstRowLastColumn="0" w:lastRowFirstColumn="0" w:lastRowLastColumn="0"/>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(°C)</w:t>
            </w:r>
            <w:r>
              <w:rPr>
                <w:sz w:val="18"/>
                <w:szCs w:val="18"/>
              </w:rPr>
              <w:t xml:space="preserve"> mean</w:t>
            </w:r>
          </w:p>
        </w:tc>
        <w:tc>
          <w:tcPr>
            <w:tcW w:w="1453" w:type="dxa"/>
            <w:shd w:val="clear" w:color="auto" w:fill="auto"/>
          </w:tcPr>
          <w:p w14:paraId="4590FDF7" w14:textId="77777777" w:rsidR="00D821EF" w:rsidRDefault="00D821EF" w:rsidP="00D821EF">
            <w:pPr>
              <w:spacing w:before="0" w:after="0"/>
              <w:cnfStyle w:val="100000000000" w:firstRow="1" w:lastRow="0" w:firstColumn="0" w:lastColumn="0" w:oddVBand="0" w:evenVBand="0" w:oddHBand="0" w:evenHBand="0" w:firstRowFirstColumn="0" w:firstRowLastColumn="0" w:lastRowFirstColumn="0" w:lastRowLastColumn="0"/>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(°C)</w:t>
            </w:r>
            <w:r>
              <w:rPr>
                <w:sz w:val="18"/>
                <w:szCs w:val="18"/>
              </w:rPr>
              <w:t xml:space="preserve"> SE</w:t>
            </w:r>
          </w:p>
        </w:tc>
        <w:tc>
          <w:tcPr>
            <w:tcW w:w="1454" w:type="dxa"/>
            <w:shd w:val="clear" w:color="auto" w:fill="auto"/>
          </w:tcPr>
          <w:p w14:paraId="666BCCF0" w14:textId="77777777" w:rsidR="00D821EF" w:rsidRDefault="00D821EF" w:rsidP="00D821EF">
            <w:pPr>
              <w:spacing w:before="0" w:after="0"/>
              <w:cnfStyle w:val="100000000000" w:firstRow="1" w:lastRow="0" w:firstColumn="0" w:lastColumn="0" w:oddVBand="0" w:evenVBand="0" w:oddHBand="0" w:evenHBand="0" w:firstRowFirstColumn="0" w:firstRowLastColumn="0" w:lastRowFirstColumn="0" w:lastRowLastColumn="0"/>
            </w:pPr>
            <w:r w:rsidRPr="007E2B4E">
              <w:rPr>
                <w:sz w:val="18"/>
                <w:szCs w:val="18"/>
              </w:rPr>
              <w:t>ΔH (kJ mol</w:t>
            </w:r>
            <w:r w:rsidRPr="007E2B4E">
              <w:rPr>
                <w:sz w:val="18"/>
                <w:szCs w:val="18"/>
                <w:vertAlign w:val="superscript"/>
              </w:rPr>
              <w:t>-1</w:t>
            </w:r>
            <w:r w:rsidRPr="007E2B4E">
              <w:rPr>
                <w:sz w:val="18"/>
                <w:szCs w:val="18"/>
              </w:rPr>
              <w:t>) mean</w:t>
            </w:r>
          </w:p>
        </w:tc>
        <w:tc>
          <w:tcPr>
            <w:tcW w:w="1454" w:type="dxa"/>
            <w:shd w:val="clear" w:color="auto" w:fill="auto"/>
          </w:tcPr>
          <w:p w14:paraId="50A1F5B8" w14:textId="77777777" w:rsidR="00D821EF" w:rsidRDefault="00D821EF" w:rsidP="00D821EF">
            <w:pPr>
              <w:spacing w:before="0" w:after="0"/>
              <w:cnfStyle w:val="100000000000" w:firstRow="1" w:lastRow="0" w:firstColumn="0" w:lastColumn="0" w:oddVBand="0" w:evenVBand="0" w:oddHBand="0" w:evenHBand="0" w:firstRowFirstColumn="0" w:firstRowLastColumn="0" w:lastRowFirstColumn="0" w:lastRowLastColumn="0"/>
            </w:pPr>
            <w:r w:rsidRPr="007E2B4E">
              <w:rPr>
                <w:sz w:val="18"/>
                <w:szCs w:val="18"/>
              </w:rPr>
              <w:t>ΔS (kJ mol</w:t>
            </w:r>
            <w:r w:rsidRPr="007E2B4E">
              <w:rPr>
                <w:sz w:val="18"/>
                <w:szCs w:val="18"/>
                <w:vertAlign w:val="superscript"/>
              </w:rPr>
              <w:t>-1</w:t>
            </w:r>
            <w:r w:rsidRPr="007E2B4E">
              <w:rPr>
                <w:sz w:val="18"/>
                <w:szCs w:val="18"/>
              </w:rPr>
              <w:t xml:space="preserve"> K</w:t>
            </w:r>
            <w:r w:rsidRPr="007E2B4E">
              <w:rPr>
                <w:sz w:val="18"/>
                <w:szCs w:val="18"/>
                <w:vertAlign w:val="superscript"/>
              </w:rPr>
              <w:t>-1</w:t>
            </w:r>
            <w:r w:rsidRPr="007E2B4E">
              <w:rPr>
                <w:sz w:val="18"/>
                <w:szCs w:val="18"/>
              </w:rPr>
              <w:t>) mean</w:t>
            </w:r>
          </w:p>
        </w:tc>
      </w:tr>
      <w:tr w:rsidR="00D821EF" w14:paraId="56CC2148"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2416CDB0" w14:textId="77777777" w:rsidR="00D821EF" w:rsidRPr="0059104A" w:rsidRDefault="00D821EF" w:rsidP="00D821EF">
            <w:pPr>
              <w:spacing w:before="0" w:after="0"/>
              <w:rPr>
                <w:sz w:val="18"/>
                <w:szCs w:val="18"/>
              </w:rPr>
            </w:pPr>
            <w:r w:rsidRPr="0059104A">
              <w:rPr>
                <w:sz w:val="18"/>
                <w:szCs w:val="18"/>
              </w:rPr>
              <w:t>5</w:t>
            </w:r>
          </w:p>
        </w:tc>
        <w:tc>
          <w:tcPr>
            <w:tcW w:w="1453" w:type="dxa"/>
            <w:shd w:val="clear" w:color="auto" w:fill="auto"/>
          </w:tcPr>
          <w:p w14:paraId="19DDAC56"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5</w:t>
            </w:r>
          </w:p>
        </w:tc>
        <w:tc>
          <w:tcPr>
            <w:tcW w:w="1453" w:type="dxa"/>
            <w:shd w:val="clear" w:color="auto" w:fill="auto"/>
          </w:tcPr>
          <w:p w14:paraId="68291916"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0.30</w:t>
            </w:r>
          </w:p>
        </w:tc>
        <w:tc>
          <w:tcPr>
            <w:tcW w:w="1453" w:type="dxa"/>
            <w:shd w:val="clear" w:color="auto" w:fill="auto"/>
          </w:tcPr>
          <w:p w14:paraId="0BB44387"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0.23</w:t>
            </w:r>
          </w:p>
        </w:tc>
        <w:tc>
          <w:tcPr>
            <w:tcW w:w="1454" w:type="dxa"/>
            <w:shd w:val="clear" w:color="auto" w:fill="auto"/>
          </w:tcPr>
          <w:p w14:paraId="1D8F400D"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482.85</w:t>
            </w:r>
          </w:p>
        </w:tc>
        <w:tc>
          <w:tcPr>
            <w:tcW w:w="1454" w:type="dxa"/>
            <w:shd w:val="clear" w:color="auto" w:fill="auto"/>
          </w:tcPr>
          <w:p w14:paraId="1B98FA6E"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1.39</w:t>
            </w:r>
          </w:p>
        </w:tc>
      </w:tr>
      <w:tr w:rsidR="00D821EF" w14:paraId="42B7AE99"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7025A065" w14:textId="77777777" w:rsidR="00D821EF" w:rsidRPr="0059104A" w:rsidRDefault="00D821EF" w:rsidP="00D821EF">
            <w:pPr>
              <w:spacing w:before="0" w:after="0"/>
              <w:rPr>
                <w:sz w:val="18"/>
                <w:szCs w:val="18"/>
              </w:rPr>
            </w:pPr>
            <w:r w:rsidRPr="0059104A">
              <w:rPr>
                <w:sz w:val="18"/>
                <w:szCs w:val="18"/>
              </w:rPr>
              <w:t>5</w:t>
            </w:r>
          </w:p>
        </w:tc>
        <w:tc>
          <w:tcPr>
            <w:tcW w:w="1453" w:type="dxa"/>
            <w:shd w:val="clear" w:color="auto" w:fill="auto"/>
          </w:tcPr>
          <w:p w14:paraId="6E872957"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25</w:t>
            </w:r>
          </w:p>
        </w:tc>
        <w:tc>
          <w:tcPr>
            <w:tcW w:w="1453" w:type="dxa"/>
            <w:shd w:val="clear" w:color="auto" w:fill="auto"/>
          </w:tcPr>
          <w:p w14:paraId="5249E91D"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0.43</w:t>
            </w:r>
          </w:p>
        </w:tc>
        <w:tc>
          <w:tcPr>
            <w:tcW w:w="1453" w:type="dxa"/>
            <w:shd w:val="clear" w:color="auto" w:fill="auto"/>
          </w:tcPr>
          <w:p w14:paraId="7880D6C6"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0.24</w:t>
            </w:r>
          </w:p>
        </w:tc>
        <w:tc>
          <w:tcPr>
            <w:tcW w:w="1454" w:type="dxa"/>
            <w:shd w:val="clear" w:color="auto" w:fill="auto"/>
          </w:tcPr>
          <w:p w14:paraId="01BC5096"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474.39</w:t>
            </w:r>
          </w:p>
        </w:tc>
        <w:tc>
          <w:tcPr>
            <w:tcW w:w="1454" w:type="dxa"/>
            <w:shd w:val="clear" w:color="auto" w:fill="auto"/>
          </w:tcPr>
          <w:p w14:paraId="306C3846"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1.37</w:t>
            </w:r>
          </w:p>
        </w:tc>
      </w:tr>
      <w:tr w:rsidR="00D821EF" w14:paraId="16339E12"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1BB1F3E8" w14:textId="77777777" w:rsidR="00D821EF" w:rsidRPr="0059104A" w:rsidRDefault="00D821EF" w:rsidP="00D821EF">
            <w:pPr>
              <w:spacing w:before="0" w:after="0"/>
              <w:rPr>
                <w:sz w:val="18"/>
                <w:szCs w:val="18"/>
              </w:rPr>
            </w:pPr>
            <w:r w:rsidRPr="0059104A">
              <w:rPr>
                <w:sz w:val="18"/>
                <w:szCs w:val="18"/>
              </w:rPr>
              <w:t>5</w:t>
            </w:r>
          </w:p>
        </w:tc>
        <w:tc>
          <w:tcPr>
            <w:tcW w:w="1453" w:type="dxa"/>
            <w:shd w:val="clear" w:color="auto" w:fill="auto"/>
          </w:tcPr>
          <w:p w14:paraId="14E6DA55"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50</w:t>
            </w:r>
          </w:p>
        </w:tc>
        <w:tc>
          <w:tcPr>
            <w:tcW w:w="1453" w:type="dxa"/>
            <w:shd w:val="clear" w:color="auto" w:fill="auto"/>
          </w:tcPr>
          <w:p w14:paraId="7752BA8E"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0.01</w:t>
            </w:r>
          </w:p>
        </w:tc>
        <w:tc>
          <w:tcPr>
            <w:tcW w:w="1453" w:type="dxa"/>
            <w:shd w:val="clear" w:color="auto" w:fill="auto"/>
          </w:tcPr>
          <w:p w14:paraId="3BCBC4F5"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0.17</w:t>
            </w:r>
          </w:p>
        </w:tc>
        <w:tc>
          <w:tcPr>
            <w:tcW w:w="1454" w:type="dxa"/>
            <w:shd w:val="clear" w:color="auto" w:fill="auto"/>
          </w:tcPr>
          <w:p w14:paraId="134FD016"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465.54</w:t>
            </w:r>
          </w:p>
        </w:tc>
        <w:tc>
          <w:tcPr>
            <w:tcW w:w="1454" w:type="dxa"/>
            <w:shd w:val="clear" w:color="auto" w:fill="auto"/>
          </w:tcPr>
          <w:p w14:paraId="77EE90BD"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1.34</w:t>
            </w:r>
          </w:p>
        </w:tc>
      </w:tr>
      <w:tr w:rsidR="00D821EF" w14:paraId="2618419D"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5543D24F" w14:textId="77777777" w:rsidR="00D821EF" w:rsidRPr="0059104A" w:rsidRDefault="00D821EF" w:rsidP="00D821EF">
            <w:pPr>
              <w:spacing w:before="0" w:after="0"/>
              <w:rPr>
                <w:sz w:val="18"/>
                <w:szCs w:val="18"/>
              </w:rPr>
            </w:pPr>
            <w:r w:rsidRPr="0059104A">
              <w:rPr>
                <w:sz w:val="18"/>
                <w:szCs w:val="18"/>
              </w:rPr>
              <w:t>5</w:t>
            </w:r>
          </w:p>
        </w:tc>
        <w:tc>
          <w:tcPr>
            <w:tcW w:w="1453" w:type="dxa"/>
            <w:shd w:val="clear" w:color="auto" w:fill="auto"/>
          </w:tcPr>
          <w:p w14:paraId="25E7FC43"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100</w:t>
            </w:r>
          </w:p>
        </w:tc>
        <w:tc>
          <w:tcPr>
            <w:tcW w:w="1453" w:type="dxa"/>
            <w:shd w:val="clear" w:color="auto" w:fill="auto"/>
          </w:tcPr>
          <w:p w14:paraId="4FC56ED4"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-0.50</w:t>
            </w:r>
          </w:p>
        </w:tc>
        <w:tc>
          <w:tcPr>
            <w:tcW w:w="1453" w:type="dxa"/>
            <w:shd w:val="clear" w:color="auto" w:fill="auto"/>
          </w:tcPr>
          <w:p w14:paraId="6439A8B5"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0.20</w:t>
            </w:r>
          </w:p>
        </w:tc>
        <w:tc>
          <w:tcPr>
            <w:tcW w:w="1454" w:type="dxa"/>
            <w:shd w:val="clear" w:color="auto" w:fill="auto"/>
          </w:tcPr>
          <w:p w14:paraId="130A24F6"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463.07</w:t>
            </w:r>
          </w:p>
        </w:tc>
        <w:tc>
          <w:tcPr>
            <w:tcW w:w="1454" w:type="dxa"/>
            <w:shd w:val="clear" w:color="auto" w:fill="auto"/>
          </w:tcPr>
          <w:p w14:paraId="0738B8DA"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1.34</w:t>
            </w:r>
          </w:p>
        </w:tc>
      </w:tr>
      <w:tr w:rsidR="00D821EF" w14:paraId="25759870"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0B99E347" w14:textId="77777777" w:rsidR="00D821EF" w:rsidRPr="0059104A" w:rsidRDefault="00D821EF" w:rsidP="00D821EF">
            <w:pPr>
              <w:spacing w:before="0" w:after="0"/>
              <w:rPr>
                <w:sz w:val="18"/>
                <w:szCs w:val="18"/>
              </w:rPr>
            </w:pPr>
            <w:r w:rsidRPr="0059104A">
              <w:rPr>
                <w:sz w:val="18"/>
                <w:szCs w:val="18"/>
              </w:rPr>
              <w:t>5</w:t>
            </w:r>
          </w:p>
        </w:tc>
        <w:tc>
          <w:tcPr>
            <w:tcW w:w="1453" w:type="dxa"/>
            <w:shd w:val="clear" w:color="auto" w:fill="auto"/>
          </w:tcPr>
          <w:p w14:paraId="29B0D9F6"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500</w:t>
            </w:r>
          </w:p>
        </w:tc>
        <w:tc>
          <w:tcPr>
            <w:tcW w:w="1453" w:type="dxa"/>
            <w:shd w:val="clear" w:color="auto" w:fill="auto"/>
          </w:tcPr>
          <w:p w14:paraId="00A66A91"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-4.04</w:t>
            </w:r>
          </w:p>
        </w:tc>
        <w:tc>
          <w:tcPr>
            <w:tcW w:w="1453" w:type="dxa"/>
            <w:shd w:val="clear" w:color="auto" w:fill="auto"/>
          </w:tcPr>
          <w:p w14:paraId="0B52F8FF"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0.18</w:t>
            </w:r>
          </w:p>
        </w:tc>
        <w:tc>
          <w:tcPr>
            <w:tcW w:w="1454" w:type="dxa"/>
            <w:shd w:val="clear" w:color="auto" w:fill="auto"/>
          </w:tcPr>
          <w:p w14:paraId="09270A96"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424.38</w:t>
            </w:r>
          </w:p>
        </w:tc>
        <w:tc>
          <w:tcPr>
            <w:tcW w:w="1454" w:type="dxa"/>
            <w:shd w:val="clear" w:color="auto" w:fill="auto"/>
          </w:tcPr>
          <w:p w14:paraId="39CDC118"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1.24</w:t>
            </w:r>
          </w:p>
        </w:tc>
      </w:tr>
      <w:tr w:rsidR="00D821EF" w14:paraId="25C1279E"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2B65D343" w14:textId="77777777" w:rsidR="00D821EF" w:rsidRPr="0059104A" w:rsidRDefault="00D821EF" w:rsidP="00D821EF">
            <w:pPr>
              <w:spacing w:before="0" w:after="0"/>
              <w:rPr>
                <w:sz w:val="18"/>
                <w:szCs w:val="18"/>
              </w:rPr>
            </w:pPr>
            <w:r w:rsidRPr="0059104A">
              <w:rPr>
                <w:sz w:val="18"/>
                <w:szCs w:val="18"/>
              </w:rPr>
              <w:t>25</w:t>
            </w:r>
          </w:p>
        </w:tc>
        <w:tc>
          <w:tcPr>
            <w:tcW w:w="1453" w:type="dxa"/>
            <w:shd w:val="clear" w:color="auto" w:fill="auto"/>
          </w:tcPr>
          <w:p w14:paraId="7C666B42"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5</w:t>
            </w:r>
          </w:p>
        </w:tc>
        <w:tc>
          <w:tcPr>
            <w:tcW w:w="1453" w:type="dxa"/>
            <w:shd w:val="clear" w:color="auto" w:fill="auto"/>
          </w:tcPr>
          <w:p w14:paraId="002DAC7B"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0.67</w:t>
            </w:r>
          </w:p>
        </w:tc>
        <w:tc>
          <w:tcPr>
            <w:tcW w:w="1453" w:type="dxa"/>
            <w:shd w:val="clear" w:color="auto" w:fill="auto"/>
          </w:tcPr>
          <w:p w14:paraId="733E9491"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0.26</w:t>
            </w:r>
          </w:p>
        </w:tc>
        <w:tc>
          <w:tcPr>
            <w:tcW w:w="1454" w:type="dxa"/>
            <w:shd w:val="clear" w:color="auto" w:fill="auto"/>
          </w:tcPr>
          <w:p w14:paraId="42D66D1F"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463.27</w:t>
            </w:r>
          </w:p>
        </w:tc>
        <w:tc>
          <w:tcPr>
            <w:tcW w:w="1454" w:type="dxa"/>
            <w:shd w:val="clear" w:color="auto" w:fill="auto"/>
          </w:tcPr>
          <w:p w14:paraId="37251C73"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1.33</w:t>
            </w:r>
          </w:p>
        </w:tc>
      </w:tr>
      <w:tr w:rsidR="00D821EF" w14:paraId="020C9BCB"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7E19A8F1" w14:textId="77777777" w:rsidR="00D821EF" w:rsidRPr="0059104A" w:rsidRDefault="00D821EF" w:rsidP="00D821EF">
            <w:pPr>
              <w:spacing w:before="0" w:after="0"/>
              <w:rPr>
                <w:sz w:val="18"/>
                <w:szCs w:val="18"/>
              </w:rPr>
            </w:pPr>
            <w:r w:rsidRPr="0059104A">
              <w:rPr>
                <w:sz w:val="18"/>
                <w:szCs w:val="18"/>
              </w:rPr>
              <w:t>25</w:t>
            </w:r>
          </w:p>
        </w:tc>
        <w:tc>
          <w:tcPr>
            <w:tcW w:w="1453" w:type="dxa"/>
            <w:shd w:val="clear" w:color="auto" w:fill="auto"/>
          </w:tcPr>
          <w:p w14:paraId="39732FDF"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25</w:t>
            </w:r>
          </w:p>
        </w:tc>
        <w:tc>
          <w:tcPr>
            <w:tcW w:w="1453" w:type="dxa"/>
            <w:shd w:val="clear" w:color="auto" w:fill="auto"/>
          </w:tcPr>
          <w:p w14:paraId="13003D7B"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0.85</w:t>
            </w:r>
          </w:p>
        </w:tc>
        <w:tc>
          <w:tcPr>
            <w:tcW w:w="1453" w:type="dxa"/>
            <w:shd w:val="clear" w:color="auto" w:fill="auto"/>
          </w:tcPr>
          <w:p w14:paraId="0B434565"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0.14</w:t>
            </w:r>
          </w:p>
        </w:tc>
        <w:tc>
          <w:tcPr>
            <w:tcW w:w="1454" w:type="dxa"/>
            <w:shd w:val="clear" w:color="auto" w:fill="auto"/>
          </w:tcPr>
          <w:p w14:paraId="2EC9DF87"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474.64</w:t>
            </w:r>
          </w:p>
        </w:tc>
        <w:tc>
          <w:tcPr>
            <w:tcW w:w="1454" w:type="dxa"/>
            <w:shd w:val="clear" w:color="auto" w:fill="auto"/>
          </w:tcPr>
          <w:p w14:paraId="1190FB7D"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1.37</w:t>
            </w:r>
          </w:p>
        </w:tc>
      </w:tr>
      <w:tr w:rsidR="00D821EF" w14:paraId="76A9DAA9"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38C162C2" w14:textId="77777777" w:rsidR="00D821EF" w:rsidRPr="0059104A" w:rsidRDefault="00D821EF" w:rsidP="00D821EF">
            <w:pPr>
              <w:spacing w:before="0" w:after="0"/>
              <w:rPr>
                <w:sz w:val="18"/>
                <w:szCs w:val="18"/>
              </w:rPr>
            </w:pPr>
            <w:r w:rsidRPr="0059104A">
              <w:rPr>
                <w:sz w:val="18"/>
                <w:szCs w:val="18"/>
              </w:rPr>
              <w:t>25</w:t>
            </w:r>
          </w:p>
        </w:tc>
        <w:tc>
          <w:tcPr>
            <w:tcW w:w="1453" w:type="dxa"/>
            <w:shd w:val="clear" w:color="auto" w:fill="auto"/>
          </w:tcPr>
          <w:p w14:paraId="6DF6862A"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50</w:t>
            </w:r>
          </w:p>
        </w:tc>
        <w:tc>
          <w:tcPr>
            <w:tcW w:w="1453" w:type="dxa"/>
            <w:shd w:val="clear" w:color="auto" w:fill="auto"/>
          </w:tcPr>
          <w:p w14:paraId="2585FA5C"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0.40</w:t>
            </w:r>
          </w:p>
        </w:tc>
        <w:tc>
          <w:tcPr>
            <w:tcW w:w="1453" w:type="dxa"/>
            <w:shd w:val="clear" w:color="auto" w:fill="auto"/>
          </w:tcPr>
          <w:p w14:paraId="1FE27410"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0.30</w:t>
            </w:r>
          </w:p>
        </w:tc>
        <w:tc>
          <w:tcPr>
            <w:tcW w:w="1454" w:type="dxa"/>
            <w:shd w:val="clear" w:color="auto" w:fill="auto"/>
          </w:tcPr>
          <w:p w14:paraId="4D8B5F15"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469.50</w:t>
            </w:r>
          </w:p>
        </w:tc>
        <w:tc>
          <w:tcPr>
            <w:tcW w:w="1454" w:type="dxa"/>
            <w:shd w:val="clear" w:color="auto" w:fill="auto"/>
          </w:tcPr>
          <w:p w14:paraId="76CB773A"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1.35</w:t>
            </w:r>
          </w:p>
        </w:tc>
      </w:tr>
      <w:tr w:rsidR="00D821EF" w14:paraId="4670665D"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6D36897E" w14:textId="77777777" w:rsidR="00D821EF" w:rsidRPr="0059104A" w:rsidRDefault="00D821EF" w:rsidP="00D821EF">
            <w:pPr>
              <w:spacing w:before="0" w:after="0"/>
              <w:rPr>
                <w:sz w:val="18"/>
                <w:szCs w:val="18"/>
              </w:rPr>
            </w:pPr>
            <w:r w:rsidRPr="0059104A">
              <w:rPr>
                <w:sz w:val="18"/>
                <w:szCs w:val="18"/>
              </w:rPr>
              <w:t>25</w:t>
            </w:r>
          </w:p>
        </w:tc>
        <w:tc>
          <w:tcPr>
            <w:tcW w:w="1453" w:type="dxa"/>
            <w:shd w:val="clear" w:color="auto" w:fill="auto"/>
          </w:tcPr>
          <w:p w14:paraId="6045899A"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100</w:t>
            </w:r>
          </w:p>
        </w:tc>
        <w:tc>
          <w:tcPr>
            <w:tcW w:w="1453" w:type="dxa"/>
            <w:shd w:val="clear" w:color="auto" w:fill="auto"/>
          </w:tcPr>
          <w:p w14:paraId="66BCC943"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-0.07</w:t>
            </w:r>
          </w:p>
        </w:tc>
        <w:tc>
          <w:tcPr>
            <w:tcW w:w="1453" w:type="dxa"/>
            <w:shd w:val="clear" w:color="auto" w:fill="auto"/>
          </w:tcPr>
          <w:p w14:paraId="7381F3E4"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0.31</w:t>
            </w:r>
          </w:p>
        </w:tc>
        <w:tc>
          <w:tcPr>
            <w:tcW w:w="1454" w:type="dxa"/>
            <w:shd w:val="clear" w:color="auto" w:fill="auto"/>
          </w:tcPr>
          <w:p w14:paraId="5B7668E3"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466.85</w:t>
            </w:r>
          </w:p>
        </w:tc>
        <w:tc>
          <w:tcPr>
            <w:tcW w:w="1454" w:type="dxa"/>
            <w:shd w:val="clear" w:color="auto" w:fill="auto"/>
          </w:tcPr>
          <w:p w14:paraId="68A2BE6E"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1.35</w:t>
            </w:r>
          </w:p>
        </w:tc>
      </w:tr>
      <w:tr w:rsidR="00D821EF" w14:paraId="609E3661"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6113E6E8" w14:textId="77777777" w:rsidR="00D821EF" w:rsidRPr="0059104A" w:rsidRDefault="00D821EF" w:rsidP="00D821EF">
            <w:pPr>
              <w:spacing w:before="0" w:after="0"/>
              <w:rPr>
                <w:sz w:val="18"/>
                <w:szCs w:val="18"/>
              </w:rPr>
            </w:pPr>
            <w:r w:rsidRPr="0059104A">
              <w:rPr>
                <w:sz w:val="18"/>
                <w:szCs w:val="18"/>
              </w:rPr>
              <w:t>25</w:t>
            </w:r>
          </w:p>
        </w:tc>
        <w:tc>
          <w:tcPr>
            <w:tcW w:w="1453" w:type="dxa"/>
            <w:shd w:val="clear" w:color="auto" w:fill="auto"/>
          </w:tcPr>
          <w:p w14:paraId="538E4C6A"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500</w:t>
            </w:r>
          </w:p>
        </w:tc>
        <w:tc>
          <w:tcPr>
            <w:tcW w:w="1453" w:type="dxa"/>
            <w:shd w:val="clear" w:color="auto" w:fill="auto"/>
          </w:tcPr>
          <w:p w14:paraId="15165B32"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-3.95</w:t>
            </w:r>
          </w:p>
        </w:tc>
        <w:tc>
          <w:tcPr>
            <w:tcW w:w="1453" w:type="dxa"/>
            <w:shd w:val="clear" w:color="auto" w:fill="auto"/>
          </w:tcPr>
          <w:p w14:paraId="15B55B18"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0.14</w:t>
            </w:r>
          </w:p>
        </w:tc>
        <w:tc>
          <w:tcPr>
            <w:tcW w:w="1454" w:type="dxa"/>
            <w:shd w:val="clear" w:color="auto" w:fill="auto"/>
          </w:tcPr>
          <w:p w14:paraId="69745799"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432.13</w:t>
            </w:r>
          </w:p>
        </w:tc>
        <w:tc>
          <w:tcPr>
            <w:tcW w:w="1454" w:type="dxa"/>
            <w:shd w:val="clear" w:color="auto" w:fill="auto"/>
          </w:tcPr>
          <w:p w14:paraId="2F51650B"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1.26</w:t>
            </w:r>
          </w:p>
        </w:tc>
      </w:tr>
      <w:tr w:rsidR="00D821EF" w14:paraId="021CD5C1"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309909D8" w14:textId="77777777" w:rsidR="00D821EF" w:rsidRPr="0059104A" w:rsidRDefault="00D821EF" w:rsidP="00D821EF">
            <w:pPr>
              <w:spacing w:before="0" w:after="0"/>
              <w:rPr>
                <w:sz w:val="18"/>
                <w:szCs w:val="18"/>
              </w:rPr>
            </w:pPr>
            <w:r w:rsidRPr="0059104A">
              <w:rPr>
                <w:sz w:val="18"/>
                <w:szCs w:val="18"/>
              </w:rPr>
              <w:t>50</w:t>
            </w:r>
          </w:p>
        </w:tc>
        <w:tc>
          <w:tcPr>
            <w:tcW w:w="1453" w:type="dxa"/>
            <w:shd w:val="clear" w:color="auto" w:fill="auto"/>
          </w:tcPr>
          <w:p w14:paraId="7A1B7ECE"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5</w:t>
            </w:r>
          </w:p>
        </w:tc>
        <w:tc>
          <w:tcPr>
            <w:tcW w:w="1453" w:type="dxa"/>
            <w:shd w:val="clear" w:color="auto" w:fill="auto"/>
          </w:tcPr>
          <w:p w14:paraId="0BDC8ECA"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1.03</w:t>
            </w:r>
          </w:p>
        </w:tc>
        <w:tc>
          <w:tcPr>
            <w:tcW w:w="1453" w:type="dxa"/>
            <w:shd w:val="clear" w:color="auto" w:fill="auto"/>
          </w:tcPr>
          <w:p w14:paraId="275E88DE"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0.19</w:t>
            </w:r>
          </w:p>
        </w:tc>
        <w:tc>
          <w:tcPr>
            <w:tcW w:w="1454" w:type="dxa"/>
            <w:shd w:val="clear" w:color="auto" w:fill="auto"/>
          </w:tcPr>
          <w:p w14:paraId="70B569F0"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462.63</w:t>
            </w:r>
          </w:p>
        </w:tc>
        <w:tc>
          <w:tcPr>
            <w:tcW w:w="1454" w:type="dxa"/>
            <w:shd w:val="clear" w:color="auto" w:fill="auto"/>
          </w:tcPr>
          <w:p w14:paraId="7AAE0C5A"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1.33</w:t>
            </w:r>
          </w:p>
        </w:tc>
      </w:tr>
      <w:tr w:rsidR="00D821EF" w14:paraId="53A199F0"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274106BC" w14:textId="77777777" w:rsidR="00D821EF" w:rsidRPr="0059104A" w:rsidRDefault="00D821EF" w:rsidP="00D821EF">
            <w:pPr>
              <w:spacing w:before="0" w:after="0"/>
              <w:rPr>
                <w:sz w:val="18"/>
                <w:szCs w:val="18"/>
              </w:rPr>
            </w:pPr>
            <w:r w:rsidRPr="0059104A">
              <w:rPr>
                <w:sz w:val="18"/>
                <w:szCs w:val="18"/>
              </w:rPr>
              <w:t>50</w:t>
            </w:r>
          </w:p>
        </w:tc>
        <w:tc>
          <w:tcPr>
            <w:tcW w:w="1453" w:type="dxa"/>
            <w:shd w:val="clear" w:color="auto" w:fill="auto"/>
          </w:tcPr>
          <w:p w14:paraId="04AC27EE"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25</w:t>
            </w:r>
          </w:p>
        </w:tc>
        <w:tc>
          <w:tcPr>
            <w:tcW w:w="1453" w:type="dxa"/>
            <w:shd w:val="clear" w:color="auto" w:fill="auto"/>
          </w:tcPr>
          <w:p w14:paraId="5B848078"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0.99</w:t>
            </w:r>
          </w:p>
        </w:tc>
        <w:tc>
          <w:tcPr>
            <w:tcW w:w="1453" w:type="dxa"/>
            <w:shd w:val="clear" w:color="auto" w:fill="auto"/>
          </w:tcPr>
          <w:p w14:paraId="05415F7A"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0.29</w:t>
            </w:r>
          </w:p>
        </w:tc>
        <w:tc>
          <w:tcPr>
            <w:tcW w:w="1454" w:type="dxa"/>
            <w:shd w:val="clear" w:color="auto" w:fill="auto"/>
          </w:tcPr>
          <w:p w14:paraId="37F883AB"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458.77</w:t>
            </w:r>
          </w:p>
        </w:tc>
        <w:tc>
          <w:tcPr>
            <w:tcW w:w="1454" w:type="dxa"/>
            <w:shd w:val="clear" w:color="auto" w:fill="auto"/>
          </w:tcPr>
          <w:p w14:paraId="53E00160"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1.32</w:t>
            </w:r>
          </w:p>
        </w:tc>
      </w:tr>
      <w:tr w:rsidR="00D821EF" w14:paraId="20504930"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799B72C3" w14:textId="77777777" w:rsidR="00D821EF" w:rsidRPr="0059104A" w:rsidRDefault="00D821EF" w:rsidP="00D821EF">
            <w:pPr>
              <w:spacing w:before="0" w:after="0"/>
              <w:rPr>
                <w:sz w:val="18"/>
                <w:szCs w:val="18"/>
              </w:rPr>
            </w:pPr>
            <w:r w:rsidRPr="0059104A">
              <w:rPr>
                <w:sz w:val="18"/>
                <w:szCs w:val="18"/>
              </w:rPr>
              <w:t>50</w:t>
            </w:r>
          </w:p>
        </w:tc>
        <w:tc>
          <w:tcPr>
            <w:tcW w:w="1453" w:type="dxa"/>
            <w:shd w:val="clear" w:color="auto" w:fill="auto"/>
          </w:tcPr>
          <w:p w14:paraId="5B8E963A"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50</w:t>
            </w:r>
          </w:p>
        </w:tc>
        <w:tc>
          <w:tcPr>
            <w:tcW w:w="1453" w:type="dxa"/>
            <w:shd w:val="clear" w:color="auto" w:fill="auto"/>
          </w:tcPr>
          <w:p w14:paraId="082624C9"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0.69</w:t>
            </w:r>
          </w:p>
        </w:tc>
        <w:tc>
          <w:tcPr>
            <w:tcW w:w="1453" w:type="dxa"/>
            <w:shd w:val="clear" w:color="auto" w:fill="auto"/>
          </w:tcPr>
          <w:p w14:paraId="3A5DF435"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0.25</w:t>
            </w:r>
          </w:p>
        </w:tc>
        <w:tc>
          <w:tcPr>
            <w:tcW w:w="1454" w:type="dxa"/>
            <w:shd w:val="clear" w:color="auto" w:fill="auto"/>
          </w:tcPr>
          <w:p w14:paraId="416E7024"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457.26</w:t>
            </w:r>
          </w:p>
        </w:tc>
        <w:tc>
          <w:tcPr>
            <w:tcW w:w="1454" w:type="dxa"/>
            <w:shd w:val="clear" w:color="auto" w:fill="auto"/>
          </w:tcPr>
          <w:p w14:paraId="44D0FB94"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1.32</w:t>
            </w:r>
          </w:p>
        </w:tc>
      </w:tr>
      <w:tr w:rsidR="00D821EF" w14:paraId="190E020E"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431489E8" w14:textId="77777777" w:rsidR="00D821EF" w:rsidRPr="0059104A" w:rsidRDefault="00D821EF" w:rsidP="00D821EF">
            <w:pPr>
              <w:spacing w:before="0" w:after="0"/>
              <w:rPr>
                <w:sz w:val="18"/>
                <w:szCs w:val="18"/>
              </w:rPr>
            </w:pPr>
            <w:r w:rsidRPr="0059104A">
              <w:rPr>
                <w:sz w:val="18"/>
                <w:szCs w:val="18"/>
              </w:rPr>
              <w:t>50</w:t>
            </w:r>
          </w:p>
        </w:tc>
        <w:tc>
          <w:tcPr>
            <w:tcW w:w="1453" w:type="dxa"/>
            <w:shd w:val="clear" w:color="auto" w:fill="auto"/>
          </w:tcPr>
          <w:p w14:paraId="05FB7076"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100</w:t>
            </w:r>
          </w:p>
        </w:tc>
        <w:tc>
          <w:tcPr>
            <w:tcW w:w="1453" w:type="dxa"/>
            <w:shd w:val="clear" w:color="auto" w:fill="auto"/>
          </w:tcPr>
          <w:p w14:paraId="1A1616EB"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0.21</w:t>
            </w:r>
          </w:p>
        </w:tc>
        <w:tc>
          <w:tcPr>
            <w:tcW w:w="1453" w:type="dxa"/>
            <w:shd w:val="clear" w:color="auto" w:fill="auto"/>
          </w:tcPr>
          <w:p w14:paraId="5C79E3C0"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0.32</w:t>
            </w:r>
          </w:p>
        </w:tc>
        <w:tc>
          <w:tcPr>
            <w:tcW w:w="1454" w:type="dxa"/>
            <w:shd w:val="clear" w:color="auto" w:fill="auto"/>
          </w:tcPr>
          <w:p w14:paraId="4B23274C"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471.76</w:t>
            </w:r>
          </w:p>
        </w:tc>
        <w:tc>
          <w:tcPr>
            <w:tcW w:w="1454" w:type="dxa"/>
            <w:shd w:val="clear" w:color="auto" w:fill="auto"/>
          </w:tcPr>
          <w:p w14:paraId="1EA773B1"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1.36</w:t>
            </w:r>
          </w:p>
        </w:tc>
      </w:tr>
      <w:tr w:rsidR="00D821EF" w14:paraId="78DE226B"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497181C4" w14:textId="77777777" w:rsidR="00D821EF" w:rsidRPr="0059104A" w:rsidRDefault="00D821EF" w:rsidP="00D821EF">
            <w:pPr>
              <w:spacing w:before="0" w:after="0"/>
              <w:rPr>
                <w:sz w:val="18"/>
                <w:szCs w:val="18"/>
              </w:rPr>
            </w:pPr>
            <w:r w:rsidRPr="0059104A">
              <w:rPr>
                <w:sz w:val="18"/>
                <w:szCs w:val="18"/>
              </w:rPr>
              <w:t>50</w:t>
            </w:r>
          </w:p>
        </w:tc>
        <w:tc>
          <w:tcPr>
            <w:tcW w:w="1453" w:type="dxa"/>
            <w:shd w:val="clear" w:color="auto" w:fill="auto"/>
          </w:tcPr>
          <w:p w14:paraId="228C1C43"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500</w:t>
            </w:r>
          </w:p>
        </w:tc>
        <w:tc>
          <w:tcPr>
            <w:tcW w:w="1453" w:type="dxa"/>
            <w:shd w:val="clear" w:color="auto" w:fill="auto"/>
          </w:tcPr>
          <w:p w14:paraId="74250AEE"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-3.70</w:t>
            </w:r>
          </w:p>
        </w:tc>
        <w:tc>
          <w:tcPr>
            <w:tcW w:w="1453" w:type="dxa"/>
            <w:shd w:val="clear" w:color="auto" w:fill="auto"/>
          </w:tcPr>
          <w:p w14:paraId="4C214F6F"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0.20</w:t>
            </w:r>
          </w:p>
        </w:tc>
        <w:tc>
          <w:tcPr>
            <w:tcW w:w="1454" w:type="dxa"/>
            <w:shd w:val="clear" w:color="auto" w:fill="auto"/>
          </w:tcPr>
          <w:p w14:paraId="34F142A5"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419.83</w:t>
            </w:r>
          </w:p>
        </w:tc>
        <w:tc>
          <w:tcPr>
            <w:tcW w:w="1454" w:type="dxa"/>
            <w:shd w:val="clear" w:color="auto" w:fill="auto"/>
          </w:tcPr>
          <w:p w14:paraId="26968E4F"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1.22</w:t>
            </w:r>
          </w:p>
        </w:tc>
      </w:tr>
      <w:tr w:rsidR="00D821EF" w14:paraId="6E0DCF28"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7CDB6C23" w14:textId="77777777" w:rsidR="00D821EF" w:rsidRPr="0059104A" w:rsidRDefault="00D821EF" w:rsidP="00D821EF">
            <w:pPr>
              <w:spacing w:before="0" w:after="0"/>
              <w:rPr>
                <w:sz w:val="18"/>
                <w:szCs w:val="18"/>
              </w:rPr>
            </w:pPr>
            <w:r w:rsidRPr="0059104A">
              <w:rPr>
                <w:sz w:val="18"/>
                <w:szCs w:val="18"/>
              </w:rPr>
              <w:t>100</w:t>
            </w:r>
          </w:p>
        </w:tc>
        <w:tc>
          <w:tcPr>
            <w:tcW w:w="1453" w:type="dxa"/>
            <w:shd w:val="clear" w:color="auto" w:fill="auto"/>
          </w:tcPr>
          <w:p w14:paraId="08D071EE"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5</w:t>
            </w:r>
          </w:p>
        </w:tc>
        <w:tc>
          <w:tcPr>
            <w:tcW w:w="1453" w:type="dxa"/>
            <w:shd w:val="clear" w:color="auto" w:fill="auto"/>
          </w:tcPr>
          <w:p w14:paraId="3FAF6AA3"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1.20</w:t>
            </w:r>
          </w:p>
        </w:tc>
        <w:tc>
          <w:tcPr>
            <w:tcW w:w="1453" w:type="dxa"/>
            <w:shd w:val="clear" w:color="auto" w:fill="auto"/>
          </w:tcPr>
          <w:p w14:paraId="479ACB60"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0.24</w:t>
            </w:r>
          </w:p>
        </w:tc>
        <w:tc>
          <w:tcPr>
            <w:tcW w:w="1454" w:type="dxa"/>
            <w:shd w:val="clear" w:color="auto" w:fill="auto"/>
          </w:tcPr>
          <w:p w14:paraId="18790BC0"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468.20</w:t>
            </w:r>
          </w:p>
        </w:tc>
        <w:tc>
          <w:tcPr>
            <w:tcW w:w="1454" w:type="dxa"/>
            <w:shd w:val="clear" w:color="auto" w:fill="auto"/>
          </w:tcPr>
          <w:p w14:paraId="76C49179"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1.35</w:t>
            </w:r>
          </w:p>
        </w:tc>
      </w:tr>
      <w:tr w:rsidR="00D821EF" w14:paraId="0CFAD5D5"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22D129A5" w14:textId="77777777" w:rsidR="00D821EF" w:rsidRPr="0059104A" w:rsidRDefault="00D821EF" w:rsidP="00D821EF">
            <w:pPr>
              <w:spacing w:before="0" w:after="0"/>
              <w:rPr>
                <w:sz w:val="18"/>
                <w:szCs w:val="18"/>
              </w:rPr>
            </w:pPr>
            <w:r w:rsidRPr="0059104A">
              <w:rPr>
                <w:sz w:val="18"/>
                <w:szCs w:val="18"/>
              </w:rPr>
              <w:t>100</w:t>
            </w:r>
          </w:p>
        </w:tc>
        <w:tc>
          <w:tcPr>
            <w:tcW w:w="1453" w:type="dxa"/>
            <w:shd w:val="clear" w:color="auto" w:fill="auto"/>
          </w:tcPr>
          <w:p w14:paraId="4D375903"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25</w:t>
            </w:r>
          </w:p>
        </w:tc>
        <w:tc>
          <w:tcPr>
            <w:tcW w:w="1453" w:type="dxa"/>
            <w:shd w:val="clear" w:color="auto" w:fill="auto"/>
          </w:tcPr>
          <w:p w14:paraId="5F5E9929"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1.23</w:t>
            </w:r>
          </w:p>
        </w:tc>
        <w:tc>
          <w:tcPr>
            <w:tcW w:w="1453" w:type="dxa"/>
            <w:shd w:val="clear" w:color="auto" w:fill="auto"/>
          </w:tcPr>
          <w:p w14:paraId="4B26A843"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0.24</w:t>
            </w:r>
          </w:p>
        </w:tc>
        <w:tc>
          <w:tcPr>
            <w:tcW w:w="1454" w:type="dxa"/>
            <w:shd w:val="clear" w:color="auto" w:fill="auto"/>
          </w:tcPr>
          <w:p w14:paraId="25120189"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445.41</w:t>
            </w:r>
          </w:p>
        </w:tc>
        <w:tc>
          <w:tcPr>
            <w:tcW w:w="1454" w:type="dxa"/>
            <w:shd w:val="clear" w:color="auto" w:fill="auto"/>
          </w:tcPr>
          <w:p w14:paraId="3ED1AD86"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1.28</w:t>
            </w:r>
          </w:p>
        </w:tc>
      </w:tr>
      <w:tr w:rsidR="00D821EF" w14:paraId="5E469AA1"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0DEA124A" w14:textId="77777777" w:rsidR="00D821EF" w:rsidRPr="0059104A" w:rsidRDefault="00D821EF" w:rsidP="00D821EF">
            <w:pPr>
              <w:spacing w:before="0" w:after="0"/>
              <w:rPr>
                <w:sz w:val="18"/>
                <w:szCs w:val="18"/>
              </w:rPr>
            </w:pPr>
            <w:r w:rsidRPr="0059104A">
              <w:rPr>
                <w:sz w:val="18"/>
                <w:szCs w:val="18"/>
              </w:rPr>
              <w:t>100</w:t>
            </w:r>
          </w:p>
        </w:tc>
        <w:tc>
          <w:tcPr>
            <w:tcW w:w="1453" w:type="dxa"/>
            <w:shd w:val="clear" w:color="auto" w:fill="auto"/>
          </w:tcPr>
          <w:p w14:paraId="67CC666A"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50</w:t>
            </w:r>
          </w:p>
        </w:tc>
        <w:tc>
          <w:tcPr>
            <w:tcW w:w="1453" w:type="dxa"/>
            <w:shd w:val="clear" w:color="auto" w:fill="auto"/>
          </w:tcPr>
          <w:p w14:paraId="2781DFEE"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1.07</w:t>
            </w:r>
          </w:p>
        </w:tc>
        <w:tc>
          <w:tcPr>
            <w:tcW w:w="1453" w:type="dxa"/>
            <w:shd w:val="clear" w:color="auto" w:fill="auto"/>
          </w:tcPr>
          <w:p w14:paraId="3C7864C2"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0.26</w:t>
            </w:r>
          </w:p>
        </w:tc>
        <w:tc>
          <w:tcPr>
            <w:tcW w:w="1454" w:type="dxa"/>
            <w:shd w:val="clear" w:color="auto" w:fill="auto"/>
          </w:tcPr>
          <w:p w14:paraId="71BE4243"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454.94</w:t>
            </w:r>
          </w:p>
        </w:tc>
        <w:tc>
          <w:tcPr>
            <w:tcW w:w="1454" w:type="dxa"/>
            <w:shd w:val="clear" w:color="auto" w:fill="auto"/>
          </w:tcPr>
          <w:p w14:paraId="2B00F1BD"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1.31</w:t>
            </w:r>
          </w:p>
        </w:tc>
      </w:tr>
      <w:tr w:rsidR="00D821EF" w14:paraId="5BC19896"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55A6EA74" w14:textId="77777777" w:rsidR="00D821EF" w:rsidRPr="0059104A" w:rsidRDefault="00D821EF" w:rsidP="00D821EF">
            <w:pPr>
              <w:spacing w:before="0" w:after="0"/>
              <w:rPr>
                <w:sz w:val="18"/>
                <w:szCs w:val="18"/>
              </w:rPr>
            </w:pPr>
            <w:r w:rsidRPr="0059104A">
              <w:rPr>
                <w:sz w:val="18"/>
                <w:szCs w:val="18"/>
              </w:rPr>
              <w:t>100</w:t>
            </w:r>
          </w:p>
        </w:tc>
        <w:tc>
          <w:tcPr>
            <w:tcW w:w="1453" w:type="dxa"/>
            <w:shd w:val="clear" w:color="auto" w:fill="auto"/>
          </w:tcPr>
          <w:p w14:paraId="7F7D476B"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100</w:t>
            </w:r>
          </w:p>
        </w:tc>
        <w:tc>
          <w:tcPr>
            <w:tcW w:w="1453" w:type="dxa"/>
            <w:shd w:val="clear" w:color="auto" w:fill="auto"/>
          </w:tcPr>
          <w:p w14:paraId="0429C790"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0.53</w:t>
            </w:r>
          </w:p>
        </w:tc>
        <w:tc>
          <w:tcPr>
            <w:tcW w:w="1453" w:type="dxa"/>
            <w:shd w:val="clear" w:color="auto" w:fill="auto"/>
          </w:tcPr>
          <w:p w14:paraId="51D9A42C"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0.28</w:t>
            </w:r>
          </w:p>
        </w:tc>
        <w:tc>
          <w:tcPr>
            <w:tcW w:w="1454" w:type="dxa"/>
            <w:shd w:val="clear" w:color="auto" w:fill="auto"/>
          </w:tcPr>
          <w:p w14:paraId="257C030E"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442.05</w:t>
            </w:r>
          </w:p>
        </w:tc>
        <w:tc>
          <w:tcPr>
            <w:tcW w:w="1454" w:type="dxa"/>
            <w:shd w:val="clear" w:color="auto" w:fill="auto"/>
          </w:tcPr>
          <w:p w14:paraId="218DE61D"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1.27</w:t>
            </w:r>
          </w:p>
        </w:tc>
      </w:tr>
      <w:tr w:rsidR="00D821EF" w14:paraId="09B1C6FD"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2D079938" w14:textId="77777777" w:rsidR="00D821EF" w:rsidRPr="0059104A" w:rsidRDefault="00D821EF" w:rsidP="00D821EF">
            <w:pPr>
              <w:spacing w:before="0" w:after="0"/>
              <w:rPr>
                <w:sz w:val="18"/>
                <w:szCs w:val="18"/>
              </w:rPr>
            </w:pPr>
            <w:r w:rsidRPr="0059104A">
              <w:rPr>
                <w:sz w:val="18"/>
                <w:szCs w:val="18"/>
              </w:rPr>
              <w:t>100</w:t>
            </w:r>
          </w:p>
        </w:tc>
        <w:tc>
          <w:tcPr>
            <w:tcW w:w="1453" w:type="dxa"/>
            <w:shd w:val="clear" w:color="auto" w:fill="auto"/>
          </w:tcPr>
          <w:p w14:paraId="178DD44F"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500</w:t>
            </w:r>
          </w:p>
        </w:tc>
        <w:tc>
          <w:tcPr>
            <w:tcW w:w="1453" w:type="dxa"/>
            <w:shd w:val="clear" w:color="auto" w:fill="auto"/>
          </w:tcPr>
          <w:p w14:paraId="3716A1CF"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-3.32</w:t>
            </w:r>
          </w:p>
        </w:tc>
        <w:tc>
          <w:tcPr>
            <w:tcW w:w="1453" w:type="dxa"/>
            <w:shd w:val="clear" w:color="auto" w:fill="auto"/>
          </w:tcPr>
          <w:p w14:paraId="7A4A4422"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0.24</w:t>
            </w:r>
          </w:p>
        </w:tc>
        <w:tc>
          <w:tcPr>
            <w:tcW w:w="1454" w:type="dxa"/>
            <w:shd w:val="clear" w:color="auto" w:fill="auto"/>
          </w:tcPr>
          <w:p w14:paraId="0E24C690"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418.90</w:t>
            </w:r>
          </w:p>
        </w:tc>
        <w:tc>
          <w:tcPr>
            <w:tcW w:w="1454" w:type="dxa"/>
            <w:shd w:val="clear" w:color="auto" w:fill="auto"/>
          </w:tcPr>
          <w:p w14:paraId="33E23FAE"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1.22</w:t>
            </w:r>
          </w:p>
        </w:tc>
      </w:tr>
      <w:tr w:rsidR="00D821EF" w14:paraId="025E5990"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042B840C" w14:textId="77777777" w:rsidR="00D821EF" w:rsidRPr="0059104A" w:rsidRDefault="00D821EF" w:rsidP="00D821EF">
            <w:pPr>
              <w:spacing w:before="0" w:after="0"/>
              <w:rPr>
                <w:sz w:val="18"/>
                <w:szCs w:val="18"/>
              </w:rPr>
            </w:pPr>
            <w:r w:rsidRPr="0059104A">
              <w:rPr>
                <w:sz w:val="18"/>
                <w:szCs w:val="18"/>
              </w:rPr>
              <w:t>250</w:t>
            </w:r>
          </w:p>
        </w:tc>
        <w:tc>
          <w:tcPr>
            <w:tcW w:w="1453" w:type="dxa"/>
            <w:shd w:val="clear" w:color="auto" w:fill="auto"/>
          </w:tcPr>
          <w:p w14:paraId="14757350"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5</w:t>
            </w:r>
          </w:p>
        </w:tc>
        <w:tc>
          <w:tcPr>
            <w:tcW w:w="1453" w:type="dxa"/>
            <w:shd w:val="clear" w:color="auto" w:fill="auto"/>
          </w:tcPr>
          <w:p w14:paraId="78D58B51"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2.08</w:t>
            </w:r>
          </w:p>
        </w:tc>
        <w:tc>
          <w:tcPr>
            <w:tcW w:w="1453" w:type="dxa"/>
            <w:shd w:val="clear" w:color="auto" w:fill="auto"/>
          </w:tcPr>
          <w:p w14:paraId="334E98AA"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0.33</w:t>
            </w:r>
          </w:p>
        </w:tc>
        <w:tc>
          <w:tcPr>
            <w:tcW w:w="1454" w:type="dxa"/>
            <w:shd w:val="clear" w:color="auto" w:fill="auto"/>
          </w:tcPr>
          <w:p w14:paraId="69437D82"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404.01</w:t>
            </w:r>
          </w:p>
        </w:tc>
        <w:tc>
          <w:tcPr>
            <w:tcW w:w="1454" w:type="dxa"/>
            <w:shd w:val="clear" w:color="auto" w:fill="auto"/>
          </w:tcPr>
          <w:p w14:paraId="5D32D691"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1.16</w:t>
            </w:r>
          </w:p>
        </w:tc>
      </w:tr>
      <w:tr w:rsidR="00D821EF" w14:paraId="015A2D63"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789E9777" w14:textId="77777777" w:rsidR="00D821EF" w:rsidRPr="0059104A" w:rsidRDefault="00D821EF" w:rsidP="00D821EF">
            <w:pPr>
              <w:spacing w:before="0" w:after="0"/>
              <w:rPr>
                <w:sz w:val="18"/>
                <w:szCs w:val="18"/>
              </w:rPr>
            </w:pPr>
            <w:r w:rsidRPr="0059104A">
              <w:rPr>
                <w:sz w:val="18"/>
                <w:szCs w:val="18"/>
              </w:rPr>
              <w:t>250</w:t>
            </w:r>
          </w:p>
        </w:tc>
        <w:tc>
          <w:tcPr>
            <w:tcW w:w="1453" w:type="dxa"/>
            <w:shd w:val="clear" w:color="auto" w:fill="auto"/>
          </w:tcPr>
          <w:p w14:paraId="7725AC3C"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25</w:t>
            </w:r>
          </w:p>
        </w:tc>
        <w:tc>
          <w:tcPr>
            <w:tcW w:w="1453" w:type="dxa"/>
            <w:shd w:val="clear" w:color="auto" w:fill="auto"/>
          </w:tcPr>
          <w:p w14:paraId="7B4D823D"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2.12</w:t>
            </w:r>
          </w:p>
        </w:tc>
        <w:tc>
          <w:tcPr>
            <w:tcW w:w="1453" w:type="dxa"/>
            <w:shd w:val="clear" w:color="auto" w:fill="auto"/>
          </w:tcPr>
          <w:p w14:paraId="678A5585"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0.25</w:t>
            </w:r>
          </w:p>
        </w:tc>
        <w:tc>
          <w:tcPr>
            <w:tcW w:w="1454" w:type="dxa"/>
            <w:shd w:val="clear" w:color="auto" w:fill="auto"/>
          </w:tcPr>
          <w:p w14:paraId="40FFB6CB"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400.94</w:t>
            </w:r>
          </w:p>
        </w:tc>
        <w:tc>
          <w:tcPr>
            <w:tcW w:w="1454" w:type="dxa"/>
            <w:shd w:val="clear" w:color="auto" w:fill="auto"/>
          </w:tcPr>
          <w:p w14:paraId="2D145DAB"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1.15</w:t>
            </w:r>
          </w:p>
        </w:tc>
      </w:tr>
      <w:tr w:rsidR="00D821EF" w14:paraId="43C188EE"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7B8BCE48" w14:textId="77777777" w:rsidR="00D821EF" w:rsidRPr="0059104A" w:rsidRDefault="00D821EF" w:rsidP="00D821EF">
            <w:pPr>
              <w:spacing w:before="0" w:after="0"/>
              <w:rPr>
                <w:sz w:val="18"/>
                <w:szCs w:val="18"/>
              </w:rPr>
            </w:pPr>
            <w:r w:rsidRPr="0059104A">
              <w:rPr>
                <w:sz w:val="18"/>
                <w:szCs w:val="18"/>
              </w:rPr>
              <w:t>250</w:t>
            </w:r>
          </w:p>
        </w:tc>
        <w:tc>
          <w:tcPr>
            <w:tcW w:w="1453" w:type="dxa"/>
            <w:shd w:val="clear" w:color="auto" w:fill="auto"/>
          </w:tcPr>
          <w:p w14:paraId="3D759D83"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50</w:t>
            </w:r>
          </w:p>
        </w:tc>
        <w:tc>
          <w:tcPr>
            <w:tcW w:w="1453" w:type="dxa"/>
            <w:shd w:val="clear" w:color="auto" w:fill="auto"/>
          </w:tcPr>
          <w:p w14:paraId="64288B9F"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1.86</w:t>
            </w:r>
          </w:p>
        </w:tc>
        <w:tc>
          <w:tcPr>
            <w:tcW w:w="1453" w:type="dxa"/>
            <w:shd w:val="clear" w:color="auto" w:fill="auto"/>
          </w:tcPr>
          <w:p w14:paraId="02813539"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0.20</w:t>
            </w:r>
          </w:p>
        </w:tc>
        <w:tc>
          <w:tcPr>
            <w:tcW w:w="1454" w:type="dxa"/>
            <w:shd w:val="clear" w:color="auto" w:fill="auto"/>
          </w:tcPr>
          <w:p w14:paraId="31E372BF"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396.89</w:t>
            </w:r>
          </w:p>
        </w:tc>
        <w:tc>
          <w:tcPr>
            <w:tcW w:w="1454" w:type="dxa"/>
            <w:shd w:val="clear" w:color="auto" w:fill="auto"/>
          </w:tcPr>
          <w:p w14:paraId="7DB5D537"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1.14</w:t>
            </w:r>
          </w:p>
        </w:tc>
      </w:tr>
      <w:tr w:rsidR="00D821EF" w14:paraId="35AD4E26"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72AEE64E" w14:textId="77777777" w:rsidR="00D821EF" w:rsidRPr="0059104A" w:rsidRDefault="00D821EF" w:rsidP="00D821EF">
            <w:pPr>
              <w:spacing w:before="0" w:after="0"/>
              <w:rPr>
                <w:sz w:val="18"/>
                <w:szCs w:val="18"/>
              </w:rPr>
            </w:pPr>
            <w:r w:rsidRPr="0059104A">
              <w:rPr>
                <w:sz w:val="18"/>
                <w:szCs w:val="18"/>
              </w:rPr>
              <w:t>250</w:t>
            </w:r>
          </w:p>
        </w:tc>
        <w:tc>
          <w:tcPr>
            <w:tcW w:w="1453" w:type="dxa"/>
            <w:shd w:val="clear" w:color="auto" w:fill="auto"/>
          </w:tcPr>
          <w:p w14:paraId="3AC621FE"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100</w:t>
            </w:r>
          </w:p>
        </w:tc>
        <w:tc>
          <w:tcPr>
            <w:tcW w:w="1453" w:type="dxa"/>
            <w:shd w:val="clear" w:color="auto" w:fill="auto"/>
          </w:tcPr>
          <w:p w14:paraId="5E12D73A"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1.43</w:t>
            </w:r>
          </w:p>
        </w:tc>
        <w:tc>
          <w:tcPr>
            <w:tcW w:w="1453" w:type="dxa"/>
            <w:shd w:val="clear" w:color="auto" w:fill="auto"/>
          </w:tcPr>
          <w:p w14:paraId="13D7B0A1"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0.28</w:t>
            </w:r>
          </w:p>
        </w:tc>
        <w:tc>
          <w:tcPr>
            <w:tcW w:w="1454" w:type="dxa"/>
            <w:shd w:val="clear" w:color="auto" w:fill="auto"/>
          </w:tcPr>
          <w:p w14:paraId="549FBAD2"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394.58</w:t>
            </w:r>
          </w:p>
        </w:tc>
        <w:tc>
          <w:tcPr>
            <w:tcW w:w="1454" w:type="dxa"/>
            <w:shd w:val="clear" w:color="auto" w:fill="auto"/>
          </w:tcPr>
          <w:p w14:paraId="0ECEFC2F"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1.13</w:t>
            </w:r>
          </w:p>
        </w:tc>
      </w:tr>
      <w:tr w:rsidR="00D821EF" w14:paraId="17DFA42D"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549BCEB0" w14:textId="77777777" w:rsidR="00D821EF" w:rsidRPr="0059104A" w:rsidRDefault="00D821EF" w:rsidP="00D821EF">
            <w:pPr>
              <w:spacing w:before="0" w:after="0"/>
              <w:rPr>
                <w:sz w:val="18"/>
                <w:szCs w:val="18"/>
              </w:rPr>
            </w:pPr>
            <w:r w:rsidRPr="0059104A">
              <w:rPr>
                <w:sz w:val="18"/>
                <w:szCs w:val="18"/>
              </w:rPr>
              <w:t>250</w:t>
            </w:r>
          </w:p>
        </w:tc>
        <w:tc>
          <w:tcPr>
            <w:tcW w:w="1453" w:type="dxa"/>
            <w:shd w:val="clear" w:color="auto" w:fill="auto"/>
          </w:tcPr>
          <w:p w14:paraId="78550954"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500</w:t>
            </w:r>
          </w:p>
        </w:tc>
        <w:tc>
          <w:tcPr>
            <w:tcW w:w="1453" w:type="dxa"/>
            <w:shd w:val="clear" w:color="auto" w:fill="auto"/>
          </w:tcPr>
          <w:p w14:paraId="7153E216"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-2.48</w:t>
            </w:r>
          </w:p>
        </w:tc>
        <w:tc>
          <w:tcPr>
            <w:tcW w:w="1453" w:type="dxa"/>
            <w:shd w:val="clear" w:color="auto" w:fill="auto"/>
          </w:tcPr>
          <w:p w14:paraId="3A154886"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0.27</w:t>
            </w:r>
          </w:p>
        </w:tc>
        <w:tc>
          <w:tcPr>
            <w:tcW w:w="1454" w:type="dxa"/>
            <w:shd w:val="clear" w:color="auto" w:fill="auto"/>
          </w:tcPr>
          <w:p w14:paraId="5D8C111F"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370.54</w:t>
            </w:r>
          </w:p>
        </w:tc>
        <w:tc>
          <w:tcPr>
            <w:tcW w:w="1454" w:type="dxa"/>
            <w:shd w:val="clear" w:color="auto" w:fill="auto"/>
          </w:tcPr>
          <w:p w14:paraId="6179C74C"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1.08</w:t>
            </w:r>
          </w:p>
        </w:tc>
      </w:tr>
      <w:tr w:rsidR="00D821EF" w14:paraId="722AA0C1"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79AA0598" w14:textId="77777777" w:rsidR="00D821EF" w:rsidRPr="0059104A" w:rsidRDefault="00D821EF" w:rsidP="00D821EF">
            <w:pPr>
              <w:spacing w:before="0" w:after="0"/>
              <w:rPr>
                <w:sz w:val="18"/>
                <w:szCs w:val="18"/>
              </w:rPr>
            </w:pPr>
            <w:r w:rsidRPr="0059104A">
              <w:rPr>
                <w:sz w:val="18"/>
                <w:szCs w:val="18"/>
              </w:rPr>
              <w:t>500</w:t>
            </w:r>
          </w:p>
        </w:tc>
        <w:tc>
          <w:tcPr>
            <w:tcW w:w="1453" w:type="dxa"/>
            <w:shd w:val="clear" w:color="auto" w:fill="auto"/>
          </w:tcPr>
          <w:p w14:paraId="0AA5A1B7"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5</w:t>
            </w:r>
          </w:p>
        </w:tc>
        <w:tc>
          <w:tcPr>
            <w:tcW w:w="1453" w:type="dxa"/>
            <w:shd w:val="clear" w:color="auto" w:fill="auto"/>
          </w:tcPr>
          <w:p w14:paraId="0F39A8F3"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3.31</w:t>
            </w:r>
          </w:p>
        </w:tc>
        <w:tc>
          <w:tcPr>
            <w:tcW w:w="1453" w:type="dxa"/>
            <w:shd w:val="clear" w:color="auto" w:fill="auto"/>
          </w:tcPr>
          <w:p w14:paraId="32131FFC"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0.34</w:t>
            </w:r>
          </w:p>
        </w:tc>
        <w:tc>
          <w:tcPr>
            <w:tcW w:w="1454" w:type="dxa"/>
            <w:shd w:val="clear" w:color="auto" w:fill="auto"/>
          </w:tcPr>
          <w:p w14:paraId="22BED8BF"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456.47</w:t>
            </w:r>
          </w:p>
        </w:tc>
        <w:tc>
          <w:tcPr>
            <w:tcW w:w="1454" w:type="dxa"/>
            <w:shd w:val="clear" w:color="auto" w:fill="auto"/>
          </w:tcPr>
          <w:p w14:paraId="0E8DD4D5"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1.30</w:t>
            </w:r>
          </w:p>
        </w:tc>
      </w:tr>
      <w:tr w:rsidR="00D821EF" w14:paraId="3EBC1281"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686600D9" w14:textId="77777777" w:rsidR="00D821EF" w:rsidRPr="0059104A" w:rsidRDefault="00D821EF" w:rsidP="00D821EF">
            <w:pPr>
              <w:spacing w:before="0" w:after="0"/>
              <w:rPr>
                <w:sz w:val="18"/>
                <w:szCs w:val="18"/>
              </w:rPr>
            </w:pPr>
            <w:r w:rsidRPr="0059104A">
              <w:rPr>
                <w:sz w:val="18"/>
                <w:szCs w:val="18"/>
              </w:rPr>
              <w:t>500</w:t>
            </w:r>
          </w:p>
        </w:tc>
        <w:tc>
          <w:tcPr>
            <w:tcW w:w="1453" w:type="dxa"/>
            <w:shd w:val="clear" w:color="auto" w:fill="auto"/>
          </w:tcPr>
          <w:p w14:paraId="2C3B8509"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25</w:t>
            </w:r>
          </w:p>
        </w:tc>
        <w:tc>
          <w:tcPr>
            <w:tcW w:w="1453" w:type="dxa"/>
            <w:shd w:val="clear" w:color="auto" w:fill="auto"/>
          </w:tcPr>
          <w:p w14:paraId="026B7BF2"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3.21</w:t>
            </w:r>
          </w:p>
        </w:tc>
        <w:tc>
          <w:tcPr>
            <w:tcW w:w="1453" w:type="dxa"/>
            <w:shd w:val="clear" w:color="auto" w:fill="auto"/>
          </w:tcPr>
          <w:p w14:paraId="707EA5F0"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0.33</w:t>
            </w:r>
          </w:p>
        </w:tc>
        <w:tc>
          <w:tcPr>
            <w:tcW w:w="1454" w:type="dxa"/>
            <w:shd w:val="clear" w:color="auto" w:fill="auto"/>
          </w:tcPr>
          <w:p w14:paraId="45B0DCC7"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450.03</w:t>
            </w:r>
          </w:p>
        </w:tc>
        <w:tc>
          <w:tcPr>
            <w:tcW w:w="1454" w:type="dxa"/>
            <w:shd w:val="clear" w:color="auto" w:fill="auto"/>
          </w:tcPr>
          <w:p w14:paraId="2D12A120"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1.29</w:t>
            </w:r>
          </w:p>
        </w:tc>
      </w:tr>
      <w:tr w:rsidR="00D821EF" w14:paraId="6476D98C"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501EBC73" w14:textId="77777777" w:rsidR="00D821EF" w:rsidRPr="0059104A" w:rsidRDefault="00D821EF" w:rsidP="00D821EF">
            <w:pPr>
              <w:spacing w:before="0" w:after="0"/>
              <w:rPr>
                <w:sz w:val="18"/>
                <w:szCs w:val="18"/>
              </w:rPr>
            </w:pPr>
            <w:r w:rsidRPr="0059104A">
              <w:rPr>
                <w:sz w:val="18"/>
                <w:szCs w:val="18"/>
              </w:rPr>
              <w:t>500</w:t>
            </w:r>
          </w:p>
        </w:tc>
        <w:tc>
          <w:tcPr>
            <w:tcW w:w="1453" w:type="dxa"/>
            <w:shd w:val="clear" w:color="auto" w:fill="auto"/>
          </w:tcPr>
          <w:p w14:paraId="46305C99"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50</w:t>
            </w:r>
          </w:p>
        </w:tc>
        <w:tc>
          <w:tcPr>
            <w:tcW w:w="1453" w:type="dxa"/>
            <w:shd w:val="clear" w:color="auto" w:fill="auto"/>
          </w:tcPr>
          <w:p w14:paraId="485D24BC"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3.01</w:t>
            </w:r>
          </w:p>
        </w:tc>
        <w:tc>
          <w:tcPr>
            <w:tcW w:w="1453" w:type="dxa"/>
            <w:shd w:val="clear" w:color="auto" w:fill="auto"/>
          </w:tcPr>
          <w:p w14:paraId="38572141"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0.38</w:t>
            </w:r>
          </w:p>
        </w:tc>
        <w:tc>
          <w:tcPr>
            <w:tcW w:w="1454" w:type="dxa"/>
            <w:shd w:val="clear" w:color="auto" w:fill="auto"/>
          </w:tcPr>
          <w:p w14:paraId="01A3961B"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452.83</w:t>
            </w:r>
          </w:p>
        </w:tc>
        <w:tc>
          <w:tcPr>
            <w:tcW w:w="1454" w:type="dxa"/>
            <w:shd w:val="clear" w:color="auto" w:fill="auto"/>
          </w:tcPr>
          <w:p w14:paraId="7BC234F7"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1.30</w:t>
            </w:r>
          </w:p>
        </w:tc>
      </w:tr>
      <w:tr w:rsidR="00D821EF" w14:paraId="41929BB7"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3E84B1F1" w14:textId="77777777" w:rsidR="00D821EF" w:rsidRPr="0059104A" w:rsidRDefault="00D821EF" w:rsidP="00D821EF">
            <w:pPr>
              <w:spacing w:before="0" w:after="0"/>
              <w:rPr>
                <w:sz w:val="18"/>
                <w:szCs w:val="18"/>
              </w:rPr>
            </w:pPr>
            <w:r w:rsidRPr="0059104A">
              <w:rPr>
                <w:sz w:val="18"/>
                <w:szCs w:val="18"/>
              </w:rPr>
              <w:t>500</w:t>
            </w:r>
          </w:p>
        </w:tc>
        <w:tc>
          <w:tcPr>
            <w:tcW w:w="1453" w:type="dxa"/>
            <w:shd w:val="clear" w:color="auto" w:fill="auto"/>
          </w:tcPr>
          <w:p w14:paraId="03AB3B7A"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9104A">
              <w:rPr>
                <w:b/>
                <w:sz w:val="18"/>
                <w:szCs w:val="18"/>
              </w:rPr>
              <w:t>100</w:t>
            </w:r>
          </w:p>
        </w:tc>
        <w:tc>
          <w:tcPr>
            <w:tcW w:w="1453" w:type="dxa"/>
            <w:shd w:val="clear" w:color="auto" w:fill="auto"/>
          </w:tcPr>
          <w:p w14:paraId="5B157163"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2.55</w:t>
            </w:r>
          </w:p>
        </w:tc>
        <w:tc>
          <w:tcPr>
            <w:tcW w:w="1453" w:type="dxa"/>
            <w:shd w:val="clear" w:color="auto" w:fill="auto"/>
          </w:tcPr>
          <w:p w14:paraId="60ABDA66"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0.33</w:t>
            </w:r>
          </w:p>
        </w:tc>
        <w:tc>
          <w:tcPr>
            <w:tcW w:w="1454" w:type="dxa"/>
            <w:shd w:val="clear" w:color="auto" w:fill="auto"/>
          </w:tcPr>
          <w:p w14:paraId="3BE6696D"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456.87</w:t>
            </w:r>
          </w:p>
        </w:tc>
        <w:tc>
          <w:tcPr>
            <w:tcW w:w="1454" w:type="dxa"/>
            <w:shd w:val="clear" w:color="auto" w:fill="auto"/>
          </w:tcPr>
          <w:p w14:paraId="1167436E" w14:textId="77777777" w:rsidR="00D821EF" w:rsidRPr="0059104A"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9104A">
              <w:rPr>
                <w:sz w:val="18"/>
                <w:szCs w:val="18"/>
              </w:rPr>
              <w:t>1.31</w:t>
            </w:r>
          </w:p>
        </w:tc>
      </w:tr>
      <w:tr w:rsidR="00D821EF" w14:paraId="5FDB5A7F" w14:textId="77777777" w:rsidTr="00DB365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14:paraId="306CA3A2" w14:textId="77777777" w:rsidR="00D821EF" w:rsidRPr="0059104A" w:rsidRDefault="00D821EF" w:rsidP="00D821EF">
            <w:pPr>
              <w:spacing w:before="0" w:after="0"/>
              <w:rPr>
                <w:sz w:val="18"/>
                <w:szCs w:val="18"/>
              </w:rPr>
            </w:pPr>
            <w:r w:rsidRPr="0059104A">
              <w:rPr>
                <w:sz w:val="18"/>
                <w:szCs w:val="18"/>
              </w:rPr>
              <w:t>500</w:t>
            </w:r>
          </w:p>
        </w:tc>
        <w:tc>
          <w:tcPr>
            <w:tcW w:w="1453" w:type="dxa"/>
            <w:shd w:val="clear" w:color="auto" w:fill="auto"/>
          </w:tcPr>
          <w:p w14:paraId="52CE43C2"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9104A">
              <w:rPr>
                <w:b/>
                <w:sz w:val="18"/>
                <w:szCs w:val="18"/>
              </w:rPr>
              <w:t>500</w:t>
            </w:r>
          </w:p>
        </w:tc>
        <w:tc>
          <w:tcPr>
            <w:tcW w:w="1453" w:type="dxa"/>
            <w:shd w:val="clear" w:color="auto" w:fill="auto"/>
          </w:tcPr>
          <w:p w14:paraId="4E0A555F"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-1.26</w:t>
            </w:r>
          </w:p>
        </w:tc>
        <w:tc>
          <w:tcPr>
            <w:tcW w:w="1453" w:type="dxa"/>
            <w:shd w:val="clear" w:color="auto" w:fill="auto"/>
          </w:tcPr>
          <w:p w14:paraId="7D7A0CED"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0.27</w:t>
            </w:r>
          </w:p>
        </w:tc>
        <w:tc>
          <w:tcPr>
            <w:tcW w:w="1454" w:type="dxa"/>
            <w:shd w:val="clear" w:color="auto" w:fill="auto"/>
          </w:tcPr>
          <w:p w14:paraId="4E4EE41F"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424.06</w:t>
            </w:r>
          </w:p>
        </w:tc>
        <w:tc>
          <w:tcPr>
            <w:tcW w:w="1454" w:type="dxa"/>
            <w:shd w:val="clear" w:color="auto" w:fill="auto"/>
          </w:tcPr>
          <w:p w14:paraId="43925533" w14:textId="77777777" w:rsidR="00D821EF" w:rsidRPr="0059104A"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9104A">
              <w:rPr>
                <w:sz w:val="18"/>
                <w:szCs w:val="18"/>
              </w:rPr>
              <w:t>1.23</w:t>
            </w:r>
          </w:p>
        </w:tc>
      </w:tr>
    </w:tbl>
    <w:p w14:paraId="7D2B9339" w14:textId="77777777" w:rsidR="00D821EF" w:rsidRDefault="00D821EF" w:rsidP="008C2B83"/>
    <w:p w14:paraId="0BBBF0CA"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12</w:t>
        </w:r>
      </w:fldSimple>
      <w:r>
        <w:t>. Additivity calculations for 1 g/L BSA 10 mM sodium octanoate pH 7 in glycine-guanidine hydrochloride mixtures. Predicted additive change in melting temperature calculated from values of glycine and GdnHCl in Chapter 3</w:t>
      </w:r>
    </w:p>
    <w:tbl>
      <w:tblPr>
        <w:tblStyle w:val="LightShading"/>
        <w:tblW w:w="0" w:type="auto"/>
        <w:tblLook w:val="04A0" w:firstRow="1" w:lastRow="0" w:firstColumn="1" w:lastColumn="0" w:noHBand="0" w:noVBand="1"/>
      </w:tblPr>
      <w:tblGrid>
        <w:gridCol w:w="2180"/>
        <w:gridCol w:w="2180"/>
        <w:gridCol w:w="2180"/>
        <w:gridCol w:w="2180"/>
      </w:tblGrid>
      <w:tr w:rsidR="00D821EF" w14:paraId="17621A1E"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44112B42" w14:textId="77777777" w:rsidR="00D821EF" w:rsidRPr="003A4723" w:rsidRDefault="00D821EF" w:rsidP="00D821EF">
            <w:pPr>
              <w:spacing w:before="0" w:after="0"/>
              <w:rPr>
                <w:sz w:val="18"/>
                <w:szCs w:val="18"/>
              </w:rPr>
            </w:pPr>
            <w:r w:rsidRPr="003A4723">
              <w:rPr>
                <w:sz w:val="18"/>
                <w:szCs w:val="18"/>
              </w:rPr>
              <w:t>Glycine concentration (mM)</w:t>
            </w:r>
          </w:p>
        </w:tc>
        <w:tc>
          <w:tcPr>
            <w:tcW w:w="2180" w:type="dxa"/>
            <w:shd w:val="clear" w:color="auto" w:fill="auto"/>
          </w:tcPr>
          <w:p w14:paraId="61B54D74" w14:textId="77777777" w:rsidR="00D821EF" w:rsidRPr="003A4723"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3A4723">
              <w:rPr>
                <w:sz w:val="18"/>
                <w:szCs w:val="18"/>
              </w:rPr>
              <w:t>GdnHCl concentration (mM)</w:t>
            </w:r>
          </w:p>
        </w:tc>
        <w:tc>
          <w:tcPr>
            <w:tcW w:w="2180" w:type="dxa"/>
            <w:shd w:val="clear" w:color="auto" w:fill="auto"/>
          </w:tcPr>
          <w:p w14:paraId="03694A1D" w14:textId="77777777" w:rsidR="00D821EF" w:rsidRPr="003A4723"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3A4723">
              <w:rPr>
                <w:sz w:val="18"/>
                <w:szCs w:val="18"/>
              </w:rPr>
              <w:t>Predicted additive Δ</w:t>
            </w:r>
            <w:r w:rsidRPr="003A4723">
              <w:rPr>
                <w:i/>
                <w:sz w:val="18"/>
                <w:szCs w:val="18"/>
              </w:rPr>
              <w:t>T</w:t>
            </w:r>
            <w:r w:rsidRPr="003A4723">
              <w:rPr>
                <w:sz w:val="18"/>
                <w:szCs w:val="18"/>
                <w:vertAlign w:val="subscript"/>
              </w:rPr>
              <w:t>m</w:t>
            </w:r>
            <w:r w:rsidRPr="003A4723">
              <w:rPr>
                <w:sz w:val="18"/>
                <w:szCs w:val="18"/>
              </w:rPr>
              <w:t xml:space="preserve"> (°C)</w:t>
            </w:r>
          </w:p>
        </w:tc>
        <w:tc>
          <w:tcPr>
            <w:tcW w:w="2180" w:type="dxa"/>
            <w:shd w:val="clear" w:color="auto" w:fill="auto"/>
          </w:tcPr>
          <w:p w14:paraId="794CEE62" w14:textId="77777777" w:rsidR="00D821EF" w:rsidRPr="003A4723"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3A4723">
              <w:rPr>
                <w:sz w:val="18"/>
                <w:szCs w:val="18"/>
              </w:rPr>
              <w:t>Actual Δ</w:t>
            </w:r>
            <w:r w:rsidRPr="003A4723">
              <w:rPr>
                <w:i/>
                <w:sz w:val="18"/>
                <w:szCs w:val="18"/>
              </w:rPr>
              <w:t>T</w:t>
            </w:r>
            <w:r w:rsidRPr="003A4723">
              <w:rPr>
                <w:sz w:val="18"/>
                <w:szCs w:val="18"/>
                <w:vertAlign w:val="subscript"/>
              </w:rPr>
              <w:t>m</w:t>
            </w:r>
            <w:r w:rsidRPr="003A4723">
              <w:rPr>
                <w:sz w:val="18"/>
                <w:szCs w:val="18"/>
              </w:rPr>
              <w:t xml:space="preserve"> (°C) minus predicted additive Δ</w:t>
            </w:r>
            <w:r w:rsidRPr="003A4723">
              <w:rPr>
                <w:i/>
                <w:sz w:val="18"/>
                <w:szCs w:val="18"/>
              </w:rPr>
              <w:t>T</w:t>
            </w:r>
            <w:r w:rsidRPr="003A4723">
              <w:rPr>
                <w:sz w:val="18"/>
                <w:szCs w:val="18"/>
                <w:vertAlign w:val="subscript"/>
              </w:rPr>
              <w:t>m</w:t>
            </w:r>
            <w:r w:rsidRPr="003A4723">
              <w:rPr>
                <w:sz w:val="18"/>
                <w:szCs w:val="18"/>
              </w:rPr>
              <w:t xml:space="preserve"> (°C)</w:t>
            </w:r>
          </w:p>
        </w:tc>
      </w:tr>
      <w:tr w:rsidR="00D821EF" w14:paraId="7F504EAD"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2990B5C2" w14:textId="77777777" w:rsidR="00D821EF" w:rsidRPr="00326613" w:rsidRDefault="00D821EF" w:rsidP="00D821EF">
            <w:pPr>
              <w:spacing w:before="0" w:after="0"/>
              <w:rPr>
                <w:sz w:val="18"/>
                <w:szCs w:val="18"/>
              </w:rPr>
            </w:pPr>
            <w:r w:rsidRPr="00326613">
              <w:rPr>
                <w:sz w:val="18"/>
                <w:szCs w:val="18"/>
              </w:rPr>
              <w:t>5</w:t>
            </w:r>
          </w:p>
        </w:tc>
        <w:tc>
          <w:tcPr>
            <w:tcW w:w="2180" w:type="dxa"/>
            <w:shd w:val="clear" w:color="auto" w:fill="auto"/>
          </w:tcPr>
          <w:p w14:paraId="2F99AA8B"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5</w:t>
            </w:r>
          </w:p>
        </w:tc>
        <w:tc>
          <w:tcPr>
            <w:tcW w:w="2180" w:type="dxa"/>
            <w:shd w:val="clear" w:color="auto" w:fill="auto"/>
          </w:tcPr>
          <w:p w14:paraId="353072E2"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0.75</w:t>
            </w:r>
          </w:p>
        </w:tc>
        <w:tc>
          <w:tcPr>
            <w:tcW w:w="2180" w:type="dxa"/>
            <w:shd w:val="clear" w:color="auto" w:fill="auto"/>
          </w:tcPr>
          <w:p w14:paraId="1EB42085"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0.37</w:t>
            </w:r>
          </w:p>
        </w:tc>
      </w:tr>
      <w:tr w:rsidR="00D821EF" w14:paraId="19418654"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46E7442C" w14:textId="77777777" w:rsidR="00D821EF" w:rsidRPr="00326613" w:rsidRDefault="00D821EF" w:rsidP="00D821EF">
            <w:pPr>
              <w:spacing w:before="0" w:after="0"/>
              <w:rPr>
                <w:sz w:val="18"/>
                <w:szCs w:val="18"/>
              </w:rPr>
            </w:pPr>
            <w:r w:rsidRPr="00326613">
              <w:rPr>
                <w:sz w:val="18"/>
                <w:szCs w:val="18"/>
              </w:rPr>
              <w:t>5</w:t>
            </w:r>
          </w:p>
        </w:tc>
        <w:tc>
          <w:tcPr>
            <w:tcW w:w="2180" w:type="dxa"/>
            <w:shd w:val="clear" w:color="auto" w:fill="auto"/>
          </w:tcPr>
          <w:p w14:paraId="312F399B"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25</w:t>
            </w:r>
          </w:p>
        </w:tc>
        <w:tc>
          <w:tcPr>
            <w:tcW w:w="2180" w:type="dxa"/>
            <w:shd w:val="clear" w:color="auto" w:fill="auto"/>
          </w:tcPr>
          <w:p w14:paraId="7BC1BF2E"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0.52</w:t>
            </w:r>
          </w:p>
        </w:tc>
        <w:tc>
          <w:tcPr>
            <w:tcW w:w="2180" w:type="dxa"/>
            <w:shd w:val="clear" w:color="auto" w:fill="auto"/>
          </w:tcPr>
          <w:p w14:paraId="52D039AD"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0.50</w:t>
            </w:r>
          </w:p>
        </w:tc>
      </w:tr>
      <w:tr w:rsidR="00D821EF" w14:paraId="439C4BF4"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01CB0E40" w14:textId="77777777" w:rsidR="00D821EF" w:rsidRPr="00326613" w:rsidRDefault="00D821EF" w:rsidP="00D821EF">
            <w:pPr>
              <w:spacing w:before="0" w:after="0"/>
              <w:rPr>
                <w:sz w:val="18"/>
                <w:szCs w:val="18"/>
              </w:rPr>
            </w:pPr>
            <w:r w:rsidRPr="00326613">
              <w:rPr>
                <w:sz w:val="18"/>
                <w:szCs w:val="18"/>
              </w:rPr>
              <w:t>5</w:t>
            </w:r>
          </w:p>
        </w:tc>
        <w:tc>
          <w:tcPr>
            <w:tcW w:w="2180" w:type="dxa"/>
            <w:shd w:val="clear" w:color="auto" w:fill="auto"/>
          </w:tcPr>
          <w:p w14:paraId="65EE5689"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50</w:t>
            </w:r>
          </w:p>
        </w:tc>
        <w:tc>
          <w:tcPr>
            <w:tcW w:w="2180" w:type="dxa"/>
            <w:shd w:val="clear" w:color="auto" w:fill="auto"/>
          </w:tcPr>
          <w:p w14:paraId="037AA2D6"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0.85</w:t>
            </w:r>
          </w:p>
        </w:tc>
        <w:tc>
          <w:tcPr>
            <w:tcW w:w="2180" w:type="dxa"/>
            <w:shd w:val="clear" w:color="auto" w:fill="auto"/>
          </w:tcPr>
          <w:p w14:paraId="12C5A6CA"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-0.01</w:t>
            </w:r>
          </w:p>
        </w:tc>
      </w:tr>
      <w:tr w:rsidR="00D821EF" w14:paraId="79C4E450"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5E1AAECC" w14:textId="77777777" w:rsidR="00D821EF" w:rsidRPr="00326613" w:rsidRDefault="00D821EF" w:rsidP="00D821EF">
            <w:pPr>
              <w:spacing w:before="0" w:after="0"/>
              <w:rPr>
                <w:sz w:val="18"/>
                <w:szCs w:val="18"/>
              </w:rPr>
            </w:pPr>
            <w:r w:rsidRPr="00326613">
              <w:rPr>
                <w:sz w:val="18"/>
                <w:szCs w:val="18"/>
              </w:rPr>
              <w:t>5</w:t>
            </w:r>
          </w:p>
        </w:tc>
        <w:tc>
          <w:tcPr>
            <w:tcW w:w="2180" w:type="dxa"/>
            <w:shd w:val="clear" w:color="auto" w:fill="auto"/>
          </w:tcPr>
          <w:p w14:paraId="40B0BC2C"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100</w:t>
            </w:r>
          </w:p>
        </w:tc>
        <w:tc>
          <w:tcPr>
            <w:tcW w:w="2180" w:type="dxa"/>
            <w:shd w:val="clear" w:color="auto" w:fill="auto"/>
          </w:tcPr>
          <w:p w14:paraId="572FCBAF"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0.26</w:t>
            </w:r>
          </w:p>
        </w:tc>
        <w:tc>
          <w:tcPr>
            <w:tcW w:w="2180" w:type="dxa"/>
            <w:shd w:val="clear" w:color="auto" w:fill="auto"/>
          </w:tcPr>
          <w:p w14:paraId="5FA5E166"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0.02</w:t>
            </w:r>
          </w:p>
        </w:tc>
      </w:tr>
      <w:tr w:rsidR="00D821EF" w14:paraId="328F23B1"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1177BE3C" w14:textId="77777777" w:rsidR="00D821EF" w:rsidRPr="00326613" w:rsidRDefault="00D821EF" w:rsidP="00D821EF">
            <w:pPr>
              <w:spacing w:before="0" w:after="0"/>
              <w:rPr>
                <w:sz w:val="18"/>
                <w:szCs w:val="18"/>
              </w:rPr>
            </w:pPr>
            <w:r w:rsidRPr="00326613">
              <w:rPr>
                <w:sz w:val="18"/>
                <w:szCs w:val="18"/>
              </w:rPr>
              <w:t>5</w:t>
            </w:r>
          </w:p>
        </w:tc>
        <w:tc>
          <w:tcPr>
            <w:tcW w:w="2180" w:type="dxa"/>
            <w:shd w:val="clear" w:color="auto" w:fill="auto"/>
          </w:tcPr>
          <w:p w14:paraId="39C9D04D"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500</w:t>
            </w:r>
          </w:p>
        </w:tc>
        <w:tc>
          <w:tcPr>
            <w:tcW w:w="2180" w:type="dxa"/>
            <w:shd w:val="clear" w:color="auto" w:fill="auto"/>
          </w:tcPr>
          <w:p w14:paraId="0E48DEE9"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-6.08</w:t>
            </w:r>
          </w:p>
        </w:tc>
        <w:tc>
          <w:tcPr>
            <w:tcW w:w="2180" w:type="dxa"/>
            <w:shd w:val="clear" w:color="auto" w:fill="auto"/>
          </w:tcPr>
          <w:p w14:paraId="1C9C4852"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0.22</w:t>
            </w:r>
          </w:p>
        </w:tc>
      </w:tr>
      <w:tr w:rsidR="00D821EF" w14:paraId="7313E7EB"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38591617" w14:textId="77777777" w:rsidR="00D821EF" w:rsidRPr="00326613" w:rsidRDefault="00D821EF" w:rsidP="00D821EF">
            <w:pPr>
              <w:spacing w:before="0" w:after="0"/>
              <w:rPr>
                <w:sz w:val="18"/>
                <w:szCs w:val="18"/>
              </w:rPr>
            </w:pPr>
            <w:r w:rsidRPr="00326613">
              <w:rPr>
                <w:sz w:val="18"/>
                <w:szCs w:val="18"/>
              </w:rPr>
              <w:t>25</w:t>
            </w:r>
          </w:p>
        </w:tc>
        <w:tc>
          <w:tcPr>
            <w:tcW w:w="2180" w:type="dxa"/>
            <w:shd w:val="clear" w:color="auto" w:fill="auto"/>
          </w:tcPr>
          <w:p w14:paraId="4CB1538F"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5</w:t>
            </w:r>
          </w:p>
        </w:tc>
        <w:tc>
          <w:tcPr>
            <w:tcW w:w="2180" w:type="dxa"/>
            <w:shd w:val="clear" w:color="auto" w:fill="auto"/>
          </w:tcPr>
          <w:p w14:paraId="49DF81AB"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1.47</w:t>
            </w:r>
          </w:p>
        </w:tc>
        <w:tc>
          <w:tcPr>
            <w:tcW w:w="2180" w:type="dxa"/>
            <w:shd w:val="clear" w:color="auto" w:fill="auto"/>
          </w:tcPr>
          <w:p w14:paraId="1E7E6C78"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0.51</w:t>
            </w:r>
          </w:p>
        </w:tc>
      </w:tr>
      <w:tr w:rsidR="00D821EF" w14:paraId="7EE2D298"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5DB528A4" w14:textId="77777777" w:rsidR="00D821EF" w:rsidRPr="00326613" w:rsidRDefault="00D821EF" w:rsidP="00D821EF">
            <w:pPr>
              <w:spacing w:before="0" w:after="0"/>
              <w:rPr>
                <w:sz w:val="18"/>
                <w:szCs w:val="18"/>
              </w:rPr>
            </w:pPr>
            <w:r w:rsidRPr="00326613">
              <w:rPr>
                <w:sz w:val="18"/>
                <w:szCs w:val="18"/>
              </w:rPr>
              <w:t>25</w:t>
            </w:r>
          </w:p>
        </w:tc>
        <w:tc>
          <w:tcPr>
            <w:tcW w:w="2180" w:type="dxa"/>
            <w:shd w:val="clear" w:color="auto" w:fill="auto"/>
          </w:tcPr>
          <w:p w14:paraId="09E5089A"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25</w:t>
            </w:r>
          </w:p>
        </w:tc>
        <w:tc>
          <w:tcPr>
            <w:tcW w:w="2180" w:type="dxa"/>
            <w:shd w:val="clear" w:color="auto" w:fill="auto"/>
          </w:tcPr>
          <w:p w14:paraId="3287BA70"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1.24</w:t>
            </w:r>
          </w:p>
        </w:tc>
        <w:tc>
          <w:tcPr>
            <w:tcW w:w="2180" w:type="dxa"/>
            <w:shd w:val="clear" w:color="auto" w:fill="auto"/>
          </w:tcPr>
          <w:p w14:paraId="1C0820E6"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0.68</w:t>
            </w:r>
          </w:p>
        </w:tc>
      </w:tr>
      <w:tr w:rsidR="00D821EF" w14:paraId="7D808129"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5EB61684" w14:textId="77777777" w:rsidR="00D821EF" w:rsidRPr="00326613" w:rsidRDefault="00D821EF" w:rsidP="00D821EF">
            <w:pPr>
              <w:spacing w:before="0" w:after="0"/>
              <w:rPr>
                <w:sz w:val="18"/>
                <w:szCs w:val="18"/>
              </w:rPr>
            </w:pPr>
            <w:r w:rsidRPr="00326613">
              <w:rPr>
                <w:sz w:val="18"/>
                <w:szCs w:val="18"/>
              </w:rPr>
              <w:t>25</w:t>
            </w:r>
          </w:p>
        </w:tc>
        <w:tc>
          <w:tcPr>
            <w:tcW w:w="2180" w:type="dxa"/>
            <w:shd w:val="clear" w:color="auto" w:fill="auto"/>
          </w:tcPr>
          <w:p w14:paraId="0A8AA531"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50</w:t>
            </w:r>
          </w:p>
        </w:tc>
        <w:tc>
          <w:tcPr>
            <w:tcW w:w="2180" w:type="dxa"/>
            <w:shd w:val="clear" w:color="auto" w:fill="auto"/>
          </w:tcPr>
          <w:p w14:paraId="03EFF71C"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0.85</w:t>
            </w:r>
          </w:p>
        </w:tc>
        <w:tc>
          <w:tcPr>
            <w:tcW w:w="2180" w:type="dxa"/>
            <w:shd w:val="clear" w:color="auto" w:fill="auto"/>
          </w:tcPr>
          <w:p w14:paraId="27E7AA64"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0.83</w:t>
            </w:r>
          </w:p>
        </w:tc>
      </w:tr>
      <w:tr w:rsidR="00D821EF" w14:paraId="06123C7C"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45E802FF" w14:textId="77777777" w:rsidR="00D821EF" w:rsidRPr="00326613" w:rsidRDefault="00D821EF" w:rsidP="00D821EF">
            <w:pPr>
              <w:spacing w:before="0" w:after="0"/>
              <w:rPr>
                <w:sz w:val="18"/>
                <w:szCs w:val="18"/>
              </w:rPr>
            </w:pPr>
            <w:r w:rsidRPr="00326613">
              <w:rPr>
                <w:sz w:val="18"/>
                <w:szCs w:val="18"/>
              </w:rPr>
              <w:t>25</w:t>
            </w:r>
          </w:p>
        </w:tc>
        <w:tc>
          <w:tcPr>
            <w:tcW w:w="2180" w:type="dxa"/>
            <w:shd w:val="clear" w:color="auto" w:fill="auto"/>
          </w:tcPr>
          <w:p w14:paraId="70C7C946"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100</w:t>
            </w:r>
          </w:p>
        </w:tc>
        <w:tc>
          <w:tcPr>
            <w:tcW w:w="2180" w:type="dxa"/>
            <w:shd w:val="clear" w:color="auto" w:fill="auto"/>
          </w:tcPr>
          <w:p w14:paraId="3B817E10"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0.26</w:t>
            </w:r>
          </w:p>
        </w:tc>
        <w:tc>
          <w:tcPr>
            <w:tcW w:w="2180" w:type="dxa"/>
            <w:shd w:val="clear" w:color="auto" w:fill="auto"/>
          </w:tcPr>
          <w:p w14:paraId="71CDFA8F"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0.57</w:t>
            </w:r>
          </w:p>
        </w:tc>
      </w:tr>
      <w:tr w:rsidR="00D821EF" w14:paraId="168EDD6F"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04A71055" w14:textId="77777777" w:rsidR="00D821EF" w:rsidRPr="00326613" w:rsidRDefault="00D821EF" w:rsidP="00D821EF">
            <w:pPr>
              <w:spacing w:before="0" w:after="0"/>
              <w:rPr>
                <w:sz w:val="18"/>
                <w:szCs w:val="18"/>
              </w:rPr>
            </w:pPr>
            <w:r w:rsidRPr="00326613">
              <w:rPr>
                <w:sz w:val="18"/>
                <w:szCs w:val="18"/>
              </w:rPr>
              <w:t>25</w:t>
            </w:r>
          </w:p>
        </w:tc>
        <w:tc>
          <w:tcPr>
            <w:tcW w:w="2180" w:type="dxa"/>
            <w:shd w:val="clear" w:color="auto" w:fill="auto"/>
          </w:tcPr>
          <w:p w14:paraId="182A3199"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500</w:t>
            </w:r>
          </w:p>
        </w:tc>
        <w:tc>
          <w:tcPr>
            <w:tcW w:w="2180" w:type="dxa"/>
            <w:shd w:val="clear" w:color="auto" w:fill="auto"/>
          </w:tcPr>
          <w:p w14:paraId="25BD6E36"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-6.08</w:t>
            </w:r>
          </w:p>
        </w:tc>
        <w:tc>
          <w:tcPr>
            <w:tcW w:w="2180" w:type="dxa"/>
            <w:shd w:val="clear" w:color="auto" w:fill="auto"/>
          </w:tcPr>
          <w:p w14:paraId="6F39C6DC"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0.61</w:t>
            </w:r>
          </w:p>
        </w:tc>
      </w:tr>
      <w:tr w:rsidR="00D821EF" w14:paraId="76237F25"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01D1BA61" w14:textId="77777777" w:rsidR="00D821EF" w:rsidRPr="00326613" w:rsidRDefault="00D821EF" w:rsidP="00D821EF">
            <w:pPr>
              <w:spacing w:before="0" w:after="0"/>
              <w:rPr>
                <w:sz w:val="18"/>
                <w:szCs w:val="18"/>
              </w:rPr>
            </w:pPr>
            <w:r w:rsidRPr="00326613">
              <w:rPr>
                <w:sz w:val="18"/>
                <w:szCs w:val="18"/>
              </w:rPr>
              <w:t>50</w:t>
            </w:r>
          </w:p>
        </w:tc>
        <w:tc>
          <w:tcPr>
            <w:tcW w:w="2180" w:type="dxa"/>
            <w:shd w:val="clear" w:color="auto" w:fill="auto"/>
          </w:tcPr>
          <w:p w14:paraId="65E7C08D"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5</w:t>
            </w:r>
          </w:p>
        </w:tc>
        <w:tc>
          <w:tcPr>
            <w:tcW w:w="2180" w:type="dxa"/>
            <w:shd w:val="clear" w:color="auto" w:fill="auto"/>
          </w:tcPr>
          <w:p w14:paraId="06D2CC9A"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1.94</w:t>
            </w:r>
          </w:p>
        </w:tc>
        <w:tc>
          <w:tcPr>
            <w:tcW w:w="2180" w:type="dxa"/>
            <w:shd w:val="clear" w:color="auto" w:fill="auto"/>
          </w:tcPr>
          <w:p w14:paraId="5FFFDF39"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0.52</w:t>
            </w:r>
          </w:p>
        </w:tc>
      </w:tr>
      <w:tr w:rsidR="00D821EF" w14:paraId="42764559"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4AD1AECB" w14:textId="77777777" w:rsidR="00D821EF" w:rsidRPr="00326613" w:rsidRDefault="00D821EF" w:rsidP="00D821EF">
            <w:pPr>
              <w:spacing w:before="0" w:after="0"/>
              <w:rPr>
                <w:sz w:val="18"/>
                <w:szCs w:val="18"/>
              </w:rPr>
            </w:pPr>
            <w:r w:rsidRPr="00326613">
              <w:rPr>
                <w:sz w:val="18"/>
                <w:szCs w:val="18"/>
              </w:rPr>
              <w:t>50</w:t>
            </w:r>
          </w:p>
        </w:tc>
        <w:tc>
          <w:tcPr>
            <w:tcW w:w="2180" w:type="dxa"/>
            <w:shd w:val="clear" w:color="auto" w:fill="auto"/>
          </w:tcPr>
          <w:p w14:paraId="692B816D"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25</w:t>
            </w:r>
          </w:p>
        </w:tc>
        <w:tc>
          <w:tcPr>
            <w:tcW w:w="2180" w:type="dxa"/>
            <w:shd w:val="clear" w:color="auto" w:fill="auto"/>
          </w:tcPr>
          <w:p w14:paraId="45113114"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1.71</w:t>
            </w:r>
          </w:p>
        </w:tc>
        <w:tc>
          <w:tcPr>
            <w:tcW w:w="2180" w:type="dxa"/>
            <w:shd w:val="clear" w:color="auto" w:fill="auto"/>
          </w:tcPr>
          <w:p w14:paraId="3F94971F"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0.79</w:t>
            </w:r>
          </w:p>
        </w:tc>
      </w:tr>
      <w:tr w:rsidR="00D821EF" w14:paraId="501E11FE"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4E4F2CF1" w14:textId="77777777" w:rsidR="00D821EF" w:rsidRPr="00326613" w:rsidRDefault="00D821EF" w:rsidP="00D821EF">
            <w:pPr>
              <w:spacing w:before="0" w:after="0"/>
              <w:rPr>
                <w:sz w:val="18"/>
                <w:szCs w:val="18"/>
              </w:rPr>
            </w:pPr>
            <w:r w:rsidRPr="00326613">
              <w:rPr>
                <w:sz w:val="18"/>
                <w:szCs w:val="18"/>
              </w:rPr>
              <w:t>50</w:t>
            </w:r>
          </w:p>
        </w:tc>
        <w:tc>
          <w:tcPr>
            <w:tcW w:w="2180" w:type="dxa"/>
            <w:shd w:val="clear" w:color="auto" w:fill="auto"/>
          </w:tcPr>
          <w:p w14:paraId="4E7BE993"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50</w:t>
            </w:r>
          </w:p>
        </w:tc>
        <w:tc>
          <w:tcPr>
            <w:tcW w:w="2180" w:type="dxa"/>
            <w:shd w:val="clear" w:color="auto" w:fill="auto"/>
          </w:tcPr>
          <w:p w14:paraId="02BC85F2"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2.03</w:t>
            </w:r>
          </w:p>
        </w:tc>
        <w:tc>
          <w:tcPr>
            <w:tcW w:w="2180" w:type="dxa"/>
            <w:shd w:val="clear" w:color="auto" w:fill="auto"/>
          </w:tcPr>
          <w:p w14:paraId="156B4AB7"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0.07</w:t>
            </w:r>
          </w:p>
        </w:tc>
      </w:tr>
      <w:tr w:rsidR="00D821EF" w14:paraId="1477E516"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2CA52101" w14:textId="77777777" w:rsidR="00D821EF" w:rsidRPr="00326613" w:rsidRDefault="00D821EF" w:rsidP="00D821EF">
            <w:pPr>
              <w:spacing w:before="0" w:after="0"/>
              <w:rPr>
                <w:sz w:val="18"/>
                <w:szCs w:val="18"/>
              </w:rPr>
            </w:pPr>
            <w:r w:rsidRPr="00326613">
              <w:rPr>
                <w:sz w:val="18"/>
                <w:szCs w:val="18"/>
              </w:rPr>
              <w:t>50</w:t>
            </w:r>
          </w:p>
        </w:tc>
        <w:tc>
          <w:tcPr>
            <w:tcW w:w="2180" w:type="dxa"/>
            <w:shd w:val="clear" w:color="auto" w:fill="auto"/>
          </w:tcPr>
          <w:p w14:paraId="55EFF423"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100</w:t>
            </w:r>
          </w:p>
        </w:tc>
        <w:tc>
          <w:tcPr>
            <w:tcW w:w="2180" w:type="dxa"/>
            <w:shd w:val="clear" w:color="auto" w:fill="auto"/>
          </w:tcPr>
          <w:p w14:paraId="7175B535"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1.44</w:t>
            </w:r>
          </w:p>
        </w:tc>
        <w:tc>
          <w:tcPr>
            <w:tcW w:w="2180" w:type="dxa"/>
            <w:shd w:val="clear" w:color="auto" w:fill="auto"/>
          </w:tcPr>
          <w:p w14:paraId="4BB5B1EE"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-0.25</w:t>
            </w:r>
          </w:p>
        </w:tc>
      </w:tr>
      <w:tr w:rsidR="00D821EF" w14:paraId="46C84497"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569C2680" w14:textId="77777777" w:rsidR="00D821EF" w:rsidRPr="00326613" w:rsidRDefault="00D821EF" w:rsidP="00D821EF">
            <w:pPr>
              <w:spacing w:before="0" w:after="0"/>
              <w:rPr>
                <w:sz w:val="18"/>
                <w:szCs w:val="18"/>
              </w:rPr>
            </w:pPr>
            <w:r w:rsidRPr="00326613">
              <w:rPr>
                <w:sz w:val="18"/>
                <w:szCs w:val="18"/>
              </w:rPr>
              <w:t>50</w:t>
            </w:r>
          </w:p>
        </w:tc>
        <w:tc>
          <w:tcPr>
            <w:tcW w:w="2180" w:type="dxa"/>
            <w:shd w:val="clear" w:color="auto" w:fill="auto"/>
          </w:tcPr>
          <w:p w14:paraId="3F7DEE77"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500</w:t>
            </w:r>
          </w:p>
        </w:tc>
        <w:tc>
          <w:tcPr>
            <w:tcW w:w="2180" w:type="dxa"/>
            <w:shd w:val="clear" w:color="auto" w:fill="auto"/>
          </w:tcPr>
          <w:p w14:paraId="5D322FA2"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-4.90</w:t>
            </w:r>
          </w:p>
        </w:tc>
        <w:tc>
          <w:tcPr>
            <w:tcW w:w="2180" w:type="dxa"/>
            <w:shd w:val="clear" w:color="auto" w:fill="auto"/>
          </w:tcPr>
          <w:p w14:paraId="695A42F9"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-0.13</w:t>
            </w:r>
          </w:p>
        </w:tc>
      </w:tr>
      <w:tr w:rsidR="00D821EF" w14:paraId="3B20040A"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0BFC318C" w14:textId="77777777" w:rsidR="00D821EF" w:rsidRPr="00326613" w:rsidRDefault="00D821EF" w:rsidP="00D821EF">
            <w:pPr>
              <w:spacing w:before="0" w:after="0"/>
              <w:rPr>
                <w:sz w:val="18"/>
                <w:szCs w:val="18"/>
              </w:rPr>
            </w:pPr>
            <w:r w:rsidRPr="00326613">
              <w:rPr>
                <w:sz w:val="18"/>
                <w:szCs w:val="18"/>
              </w:rPr>
              <w:t>100</w:t>
            </w:r>
          </w:p>
        </w:tc>
        <w:tc>
          <w:tcPr>
            <w:tcW w:w="2180" w:type="dxa"/>
            <w:shd w:val="clear" w:color="auto" w:fill="auto"/>
          </w:tcPr>
          <w:p w14:paraId="65056F6B"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5</w:t>
            </w:r>
          </w:p>
        </w:tc>
        <w:tc>
          <w:tcPr>
            <w:tcW w:w="2180" w:type="dxa"/>
            <w:shd w:val="clear" w:color="auto" w:fill="auto"/>
          </w:tcPr>
          <w:p w14:paraId="1C90587B"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2.98</w:t>
            </w:r>
          </w:p>
        </w:tc>
        <w:tc>
          <w:tcPr>
            <w:tcW w:w="2180" w:type="dxa"/>
            <w:shd w:val="clear" w:color="auto" w:fill="auto"/>
          </w:tcPr>
          <w:p w14:paraId="689F1CC8"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0.14</w:t>
            </w:r>
          </w:p>
        </w:tc>
      </w:tr>
      <w:tr w:rsidR="00D821EF" w14:paraId="3FC12BA8"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5647D63D" w14:textId="77777777" w:rsidR="00D821EF" w:rsidRPr="00326613" w:rsidRDefault="00D821EF" w:rsidP="00D821EF">
            <w:pPr>
              <w:spacing w:before="0" w:after="0"/>
              <w:rPr>
                <w:sz w:val="18"/>
                <w:szCs w:val="18"/>
              </w:rPr>
            </w:pPr>
            <w:r w:rsidRPr="00326613">
              <w:rPr>
                <w:sz w:val="18"/>
                <w:szCs w:val="18"/>
              </w:rPr>
              <w:t>100</w:t>
            </w:r>
          </w:p>
        </w:tc>
        <w:tc>
          <w:tcPr>
            <w:tcW w:w="2180" w:type="dxa"/>
            <w:shd w:val="clear" w:color="auto" w:fill="auto"/>
          </w:tcPr>
          <w:p w14:paraId="1CF2BD80"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25</w:t>
            </w:r>
          </w:p>
        </w:tc>
        <w:tc>
          <w:tcPr>
            <w:tcW w:w="2180" w:type="dxa"/>
            <w:shd w:val="clear" w:color="auto" w:fill="auto"/>
          </w:tcPr>
          <w:p w14:paraId="275C9B16"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2.75</w:t>
            </w:r>
          </w:p>
        </w:tc>
        <w:tc>
          <w:tcPr>
            <w:tcW w:w="2180" w:type="dxa"/>
            <w:shd w:val="clear" w:color="auto" w:fill="auto"/>
          </w:tcPr>
          <w:p w14:paraId="26B66EB0"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0.19</w:t>
            </w:r>
          </w:p>
        </w:tc>
      </w:tr>
      <w:tr w:rsidR="00D821EF" w14:paraId="1121C82B"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70B49E13" w14:textId="77777777" w:rsidR="00D821EF" w:rsidRPr="00326613" w:rsidRDefault="00D821EF" w:rsidP="00D821EF">
            <w:pPr>
              <w:spacing w:before="0" w:after="0"/>
              <w:rPr>
                <w:sz w:val="18"/>
                <w:szCs w:val="18"/>
              </w:rPr>
            </w:pPr>
            <w:r w:rsidRPr="00326613">
              <w:rPr>
                <w:sz w:val="18"/>
                <w:szCs w:val="18"/>
              </w:rPr>
              <w:t>100</w:t>
            </w:r>
          </w:p>
        </w:tc>
        <w:tc>
          <w:tcPr>
            <w:tcW w:w="2180" w:type="dxa"/>
            <w:shd w:val="clear" w:color="auto" w:fill="auto"/>
          </w:tcPr>
          <w:p w14:paraId="5C213B22"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50</w:t>
            </w:r>
          </w:p>
        </w:tc>
        <w:tc>
          <w:tcPr>
            <w:tcW w:w="2180" w:type="dxa"/>
            <w:shd w:val="clear" w:color="auto" w:fill="auto"/>
          </w:tcPr>
          <w:p w14:paraId="01E6677D"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3.08</w:t>
            </w:r>
          </w:p>
        </w:tc>
        <w:tc>
          <w:tcPr>
            <w:tcW w:w="2180" w:type="dxa"/>
            <w:shd w:val="clear" w:color="auto" w:fill="auto"/>
          </w:tcPr>
          <w:p w14:paraId="7F1CDB9B"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-0.40</w:t>
            </w:r>
          </w:p>
        </w:tc>
      </w:tr>
      <w:tr w:rsidR="00D821EF" w14:paraId="1F5B4940"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5808D197" w14:textId="77777777" w:rsidR="00D821EF" w:rsidRPr="00326613" w:rsidRDefault="00D821EF" w:rsidP="00D821EF">
            <w:pPr>
              <w:spacing w:before="0" w:after="0"/>
              <w:rPr>
                <w:sz w:val="18"/>
                <w:szCs w:val="18"/>
              </w:rPr>
            </w:pPr>
            <w:r w:rsidRPr="00326613">
              <w:rPr>
                <w:sz w:val="18"/>
                <w:szCs w:val="18"/>
              </w:rPr>
              <w:t>100</w:t>
            </w:r>
          </w:p>
        </w:tc>
        <w:tc>
          <w:tcPr>
            <w:tcW w:w="2180" w:type="dxa"/>
            <w:shd w:val="clear" w:color="auto" w:fill="auto"/>
          </w:tcPr>
          <w:p w14:paraId="655D81FE"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100</w:t>
            </w:r>
          </w:p>
        </w:tc>
        <w:tc>
          <w:tcPr>
            <w:tcW w:w="2180" w:type="dxa"/>
            <w:shd w:val="clear" w:color="auto" w:fill="auto"/>
          </w:tcPr>
          <w:p w14:paraId="4F50DBF1"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2.49</w:t>
            </w:r>
          </w:p>
        </w:tc>
        <w:tc>
          <w:tcPr>
            <w:tcW w:w="2180" w:type="dxa"/>
            <w:shd w:val="clear" w:color="auto" w:fill="auto"/>
          </w:tcPr>
          <w:p w14:paraId="6C129141"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-0.88</w:t>
            </w:r>
          </w:p>
        </w:tc>
      </w:tr>
      <w:tr w:rsidR="00D821EF" w14:paraId="062915C8"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0C15DF9D" w14:textId="77777777" w:rsidR="00D821EF" w:rsidRPr="00326613" w:rsidRDefault="00D821EF" w:rsidP="00D821EF">
            <w:pPr>
              <w:spacing w:before="0" w:after="0"/>
              <w:rPr>
                <w:sz w:val="18"/>
                <w:szCs w:val="18"/>
              </w:rPr>
            </w:pPr>
            <w:r w:rsidRPr="00326613">
              <w:rPr>
                <w:sz w:val="18"/>
                <w:szCs w:val="18"/>
              </w:rPr>
              <w:t>100</w:t>
            </w:r>
          </w:p>
        </w:tc>
        <w:tc>
          <w:tcPr>
            <w:tcW w:w="2180" w:type="dxa"/>
            <w:shd w:val="clear" w:color="auto" w:fill="auto"/>
          </w:tcPr>
          <w:p w14:paraId="3E3048D3"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500</w:t>
            </w:r>
          </w:p>
        </w:tc>
        <w:tc>
          <w:tcPr>
            <w:tcW w:w="2180" w:type="dxa"/>
            <w:shd w:val="clear" w:color="auto" w:fill="auto"/>
          </w:tcPr>
          <w:p w14:paraId="5D66A8BB"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-3.86</w:t>
            </w:r>
          </w:p>
        </w:tc>
        <w:tc>
          <w:tcPr>
            <w:tcW w:w="2180" w:type="dxa"/>
            <w:shd w:val="clear" w:color="auto" w:fill="auto"/>
          </w:tcPr>
          <w:p w14:paraId="46640538"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-0.70</w:t>
            </w:r>
          </w:p>
        </w:tc>
      </w:tr>
      <w:tr w:rsidR="00D821EF" w14:paraId="4AE4F12C"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7135445D" w14:textId="77777777" w:rsidR="00D821EF" w:rsidRPr="00326613" w:rsidRDefault="00D821EF" w:rsidP="00D821EF">
            <w:pPr>
              <w:spacing w:before="0" w:after="0"/>
              <w:rPr>
                <w:sz w:val="18"/>
                <w:szCs w:val="18"/>
              </w:rPr>
            </w:pPr>
            <w:r w:rsidRPr="00326613">
              <w:rPr>
                <w:sz w:val="18"/>
                <w:szCs w:val="18"/>
              </w:rPr>
              <w:t>250</w:t>
            </w:r>
          </w:p>
        </w:tc>
        <w:tc>
          <w:tcPr>
            <w:tcW w:w="2180" w:type="dxa"/>
            <w:shd w:val="clear" w:color="auto" w:fill="auto"/>
          </w:tcPr>
          <w:p w14:paraId="238C9228"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5</w:t>
            </w:r>
          </w:p>
        </w:tc>
        <w:tc>
          <w:tcPr>
            <w:tcW w:w="2180" w:type="dxa"/>
            <w:shd w:val="clear" w:color="auto" w:fill="auto"/>
          </w:tcPr>
          <w:p w14:paraId="62CFD16F"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3.80</w:t>
            </w:r>
          </w:p>
        </w:tc>
        <w:tc>
          <w:tcPr>
            <w:tcW w:w="2180" w:type="dxa"/>
            <w:shd w:val="clear" w:color="auto" w:fill="auto"/>
          </w:tcPr>
          <w:p w14:paraId="59A28569"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0.33</w:t>
            </w:r>
          </w:p>
        </w:tc>
      </w:tr>
      <w:tr w:rsidR="00D821EF" w14:paraId="3E826794"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4C0511A1" w14:textId="77777777" w:rsidR="00D821EF" w:rsidRPr="00326613" w:rsidRDefault="00D821EF" w:rsidP="00D821EF">
            <w:pPr>
              <w:spacing w:before="0" w:after="0"/>
              <w:rPr>
                <w:sz w:val="18"/>
                <w:szCs w:val="18"/>
              </w:rPr>
            </w:pPr>
            <w:r w:rsidRPr="00326613">
              <w:rPr>
                <w:sz w:val="18"/>
                <w:szCs w:val="18"/>
              </w:rPr>
              <w:t>250</w:t>
            </w:r>
          </w:p>
        </w:tc>
        <w:tc>
          <w:tcPr>
            <w:tcW w:w="2180" w:type="dxa"/>
            <w:shd w:val="clear" w:color="auto" w:fill="auto"/>
          </w:tcPr>
          <w:p w14:paraId="798235DC"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25</w:t>
            </w:r>
          </w:p>
        </w:tc>
        <w:tc>
          <w:tcPr>
            <w:tcW w:w="2180" w:type="dxa"/>
            <w:shd w:val="clear" w:color="auto" w:fill="auto"/>
          </w:tcPr>
          <w:p w14:paraId="13593A1A"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3.57</w:t>
            </w:r>
          </w:p>
        </w:tc>
        <w:tc>
          <w:tcPr>
            <w:tcW w:w="2180" w:type="dxa"/>
            <w:shd w:val="clear" w:color="auto" w:fill="auto"/>
          </w:tcPr>
          <w:p w14:paraId="6116B09D"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0.38</w:t>
            </w:r>
          </w:p>
        </w:tc>
      </w:tr>
      <w:tr w:rsidR="00D821EF" w14:paraId="78AE852E"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2BCC6BDD" w14:textId="77777777" w:rsidR="00D821EF" w:rsidRPr="00326613" w:rsidRDefault="00D821EF" w:rsidP="00D821EF">
            <w:pPr>
              <w:spacing w:before="0" w:after="0"/>
              <w:rPr>
                <w:sz w:val="18"/>
                <w:szCs w:val="18"/>
              </w:rPr>
            </w:pPr>
            <w:r w:rsidRPr="00326613">
              <w:rPr>
                <w:sz w:val="18"/>
                <w:szCs w:val="18"/>
              </w:rPr>
              <w:t>250</w:t>
            </w:r>
          </w:p>
        </w:tc>
        <w:tc>
          <w:tcPr>
            <w:tcW w:w="2180" w:type="dxa"/>
            <w:shd w:val="clear" w:color="auto" w:fill="auto"/>
          </w:tcPr>
          <w:p w14:paraId="5C52C19E"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50</w:t>
            </w:r>
          </w:p>
        </w:tc>
        <w:tc>
          <w:tcPr>
            <w:tcW w:w="2180" w:type="dxa"/>
            <w:shd w:val="clear" w:color="auto" w:fill="auto"/>
          </w:tcPr>
          <w:p w14:paraId="6DDABD69"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3.89</w:t>
            </w:r>
          </w:p>
        </w:tc>
        <w:tc>
          <w:tcPr>
            <w:tcW w:w="2180" w:type="dxa"/>
            <w:shd w:val="clear" w:color="auto" w:fill="auto"/>
          </w:tcPr>
          <w:p w14:paraId="7BA15E60"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-0.52</w:t>
            </w:r>
          </w:p>
        </w:tc>
      </w:tr>
      <w:tr w:rsidR="00D821EF" w14:paraId="585B1CF5"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5A381CBC" w14:textId="77777777" w:rsidR="00D821EF" w:rsidRPr="00326613" w:rsidRDefault="00D821EF" w:rsidP="00D821EF">
            <w:pPr>
              <w:spacing w:before="0" w:after="0"/>
              <w:rPr>
                <w:sz w:val="18"/>
                <w:szCs w:val="18"/>
              </w:rPr>
            </w:pPr>
            <w:r w:rsidRPr="00326613">
              <w:rPr>
                <w:sz w:val="18"/>
                <w:szCs w:val="18"/>
              </w:rPr>
              <w:t>250</w:t>
            </w:r>
          </w:p>
        </w:tc>
        <w:tc>
          <w:tcPr>
            <w:tcW w:w="2180" w:type="dxa"/>
            <w:shd w:val="clear" w:color="auto" w:fill="auto"/>
          </w:tcPr>
          <w:p w14:paraId="35B34F36"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100</w:t>
            </w:r>
          </w:p>
        </w:tc>
        <w:tc>
          <w:tcPr>
            <w:tcW w:w="2180" w:type="dxa"/>
            <w:shd w:val="clear" w:color="auto" w:fill="auto"/>
          </w:tcPr>
          <w:p w14:paraId="3AF28835"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3.30</w:t>
            </w:r>
          </w:p>
        </w:tc>
        <w:tc>
          <w:tcPr>
            <w:tcW w:w="2180" w:type="dxa"/>
            <w:shd w:val="clear" w:color="auto" w:fill="auto"/>
          </w:tcPr>
          <w:p w14:paraId="05603EEF"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-0.51</w:t>
            </w:r>
          </w:p>
        </w:tc>
      </w:tr>
      <w:tr w:rsidR="00D821EF" w14:paraId="7E021DFD"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3A72BD71" w14:textId="77777777" w:rsidR="00D821EF" w:rsidRPr="00326613" w:rsidRDefault="00D821EF" w:rsidP="00D821EF">
            <w:pPr>
              <w:spacing w:before="0" w:after="0"/>
              <w:rPr>
                <w:sz w:val="18"/>
                <w:szCs w:val="18"/>
              </w:rPr>
            </w:pPr>
            <w:r w:rsidRPr="00326613">
              <w:rPr>
                <w:sz w:val="18"/>
                <w:szCs w:val="18"/>
              </w:rPr>
              <w:t>250</w:t>
            </w:r>
          </w:p>
        </w:tc>
        <w:tc>
          <w:tcPr>
            <w:tcW w:w="2180" w:type="dxa"/>
            <w:shd w:val="clear" w:color="auto" w:fill="auto"/>
          </w:tcPr>
          <w:p w14:paraId="5EDA7B1B"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500</w:t>
            </w:r>
          </w:p>
        </w:tc>
        <w:tc>
          <w:tcPr>
            <w:tcW w:w="2180" w:type="dxa"/>
            <w:shd w:val="clear" w:color="auto" w:fill="auto"/>
          </w:tcPr>
          <w:p w14:paraId="7EB19997"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-3.04</w:t>
            </w:r>
          </w:p>
        </w:tc>
        <w:tc>
          <w:tcPr>
            <w:tcW w:w="2180" w:type="dxa"/>
            <w:shd w:val="clear" w:color="auto" w:fill="auto"/>
          </w:tcPr>
          <w:p w14:paraId="7E5E2D70"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-0.51</w:t>
            </w:r>
          </w:p>
        </w:tc>
      </w:tr>
      <w:tr w:rsidR="00D821EF" w14:paraId="58585585"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3245804D" w14:textId="77777777" w:rsidR="00D821EF" w:rsidRPr="00326613" w:rsidRDefault="00D821EF" w:rsidP="00D821EF">
            <w:pPr>
              <w:spacing w:before="0" w:after="0"/>
              <w:rPr>
                <w:sz w:val="18"/>
                <w:szCs w:val="18"/>
              </w:rPr>
            </w:pPr>
            <w:r w:rsidRPr="00326613">
              <w:rPr>
                <w:sz w:val="18"/>
                <w:szCs w:val="18"/>
              </w:rPr>
              <w:t>500</w:t>
            </w:r>
          </w:p>
        </w:tc>
        <w:tc>
          <w:tcPr>
            <w:tcW w:w="2180" w:type="dxa"/>
            <w:shd w:val="clear" w:color="auto" w:fill="auto"/>
          </w:tcPr>
          <w:p w14:paraId="2F57DA86"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5</w:t>
            </w:r>
          </w:p>
        </w:tc>
        <w:tc>
          <w:tcPr>
            <w:tcW w:w="2180" w:type="dxa"/>
            <w:shd w:val="clear" w:color="auto" w:fill="auto"/>
          </w:tcPr>
          <w:p w14:paraId="58670445"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4.69</w:t>
            </w:r>
          </w:p>
        </w:tc>
        <w:tc>
          <w:tcPr>
            <w:tcW w:w="2180" w:type="dxa"/>
            <w:shd w:val="clear" w:color="auto" w:fill="auto"/>
          </w:tcPr>
          <w:p w14:paraId="031BB0C0"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0.38</w:t>
            </w:r>
          </w:p>
        </w:tc>
      </w:tr>
      <w:tr w:rsidR="00D821EF" w14:paraId="675D698E"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4FD5A9C2" w14:textId="77777777" w:rsidR="00D821EF" w:rsidRPr="00326613" w:rsidRDefault="00D821EF" w:rsidP="00D821EF">
            <w:pPr>
              <w:spacing w:before="0" w:after="0"/>
              <w:rPr>
                <w:sz w:val="18"/>
                <w:szCs w:val="18"/>
              </w:rPr>
            </w:pPr>
            <w:r w:rsidRPr="00326613">
              <w:rPr>
                <w:sz w:val="18"/>
                <w:szCs w:val="18"/>
              </w:rPr>
              <w:t>500</w:t>
            </w:r>
          </w:p>
        </w:tc>
        <w:tc>
          <w:tcPr>
            <w:tcW w:w="2180" w:type="dxa"/>
            <w:shd w:val="clear" w:color="auto" w:fill="auto"/>
          </w:tcPr>
          <w:p w14:paraId="52DE4B2C"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25</w:t>
            </w:r>
          </w:p>
        </w:tc>
        <w:tc>
          <w:tcPr>
            <w:tcW w:w="2180" w:type="dxa"/>
            <w:shd w:val="clear" w:color="auto" w:fill="auto"/>
          </w:tcPr>
          <w:p w14:paraId="34F6ACB4"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4.46</w:t>
            </w:r>
          </w:p>
        </w:tc>
        <w:tc>
          <w:tcPr>
            <w:tcW w:w="2180" w:type="dxa"/>
            <w:shd w:val="clear" w:color="auto" w:fill="auto"/>
          </w:tcPr>
          <w:p w14:paraId="764C476F"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0.46</w:t>
            </w:r>
          </w:p>
        </w:tc>
      </w:tr>
      <w:tr w:rsidR="00D821EF" w14:paraId="7424338D"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05A74CB9" w14:textId="77777777" w:rsidR="00D821EF" w:rsidRPr="00326613" w:rsidRDefault="00D821EF" w:rsidP="00D821EF">
            <w:pPr>
              <w:spacing w:before="0" w:after="0"/>
              <w:rPr>
                <w:sz w:val="18"/>
                <w:szCs w:val="18"/>
              </w:rPr>
            </w:pPr>
            <w:r w:rsidRPr="00326613">
              <w:rPr>
                <w:sz w:val="18"/>
                <w:szCs w:val="18"/>
              </w:rPr>
              <w:t>500</w:t>
            </w:r>
          </w:p>
        </w:tc>
        <w:tc>
          <w:tcPr>
            <w:tcW w:w="2180" w:type="dxa"/>
            <w:shd w:val="clear" w:color="auto" w:fill="auto"/>
          </w:tcPr>
          <w:p w14:paraId="7E370A67"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50</w:t>
            </w:r>
          </w:p>
        </w:tc>
        <w:tc>
          <w:tcPr>
            <w:tcW w:w="2180" w:type="dxa"/>
            <w:shd w:val="clear" w:color="auto" w:fill="auto"/>
          </w:tcPr>
          <w:p w14:paraId="20971046"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4.78</w:t>
            </w:r>
          </w:p>
        </w:tc>
        <w:tc>
          <w:tcPr>
            <w:tcW w:w="2180" w:type="dxa"/>
            <w:shd w:val="clear" w:color="auto" w:fill="auto"/>
          </w:tcPr>
          <w:p w14:paraId="5E5814D6"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-0.18</w:t>
            </w:r>
          </w:p>
        </w:tc>
      </w:tr>
      <w:tr w:rsidR="00D821EF" w14:paraId="229157EF"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2BDA91F3" w14:textId="77777777" w:rsidR="00D821EF" w:rsidRPr="00326613" w:rsidRDefault="00D821EF" w:rsidP="00D821EF">
            <w:pPr>
              <w:spacing w:before="0" w:after="0"/>
              <w:rPr>
                <w:sz w:val="18"/>
                <w:szCs w:val="18"/>
              </w:rPr>
            </w:pPr>
            <w:r w:rsidRPr="00326613">
              <w:rPr>
                <w:sz w:val="18"/>
                <w:szCs w:val="18"/>
              </w:rPr>
              <w:t>500</w:t>
            </w:r>
          </w:p>
        </w:tc>
        <w:tc>
          <w:tcPr>
            <w:tcW w:w="2180" w:type="dxa"/>
            <w:shd w:val="clear" w:color="auto" w:fill="auto"/>
          </w:tcPr>
          <w:p w14:paraId="7B1DD624"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100</w:t>
            </w:r>
          </w:p>
        </w:tc>
        <w:tc>
          <w:tcPr>
            <w:tcW w:w="2180" w:type="dxa"/>
            <w:shd w:val="clear" w:color="auto" w:fill="auto"/>
          </w:tcPr>
          <w:p w14:paraId="42AD0C21"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4.19</w:t>
            </w:r>
          </w:p>
        </w:tc>
        <w:tc>
          <w:tcPr>
            <w:tcW w:w="2180" w:type="dxa"/>
            <w:shd w:val="clear" w:color="auto" w:fill="auto"/>
          </w:tcPr>
          <w:p w14:paraId="03B71AF2"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26613">
              <w:rPr>
                <w:sz w:val="18"/>
                <w:szCs w:val="18"/>
              </w:rPr>
              <w:t>-0.49</w:t>
            </w:r>
          </w:p>
        </w:tc>
      </w:tr>
      <w:tr w:rsidR="00D821EF" w14:paraId="48451162"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3CE73122" w14:textId="77777777" w:rsidR="00D821EF" w:rsidRPr="00326613" w:rsidRDefault="00D821EF" w:rsidP="00D821EF">
            <w:pPr>
              <w:spacing w:before="0" w:after="0"/>
              <w:rPr>
                <w:sz w:val="18"/>
                <w:szCs w:val="18"/>
              </w:rPr>
            </w:pPr>
            <w:r w:rsidRPr="00326613">
              <w:rPr>
                <w:sz w:val="18"/>
                <w:szCs w:val="18"/>
              </w:rPr>
              <w:t>500</w:t>
            </w:r>
          </w:p>
        </w:tc>
        <w:tc>
          <w:tcPr>
            <w:tcW w:w="2180" w:type="dxa"/>
            <w:shd w:val="clear" w:color="auto" w:fill="auto"/>
          </w:tcPr>
          <w:p w14:paraId="0C54BFDE"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500</w:t>
            </w:r>
          </w:p>
        </w:tc>
        <w:tc>
          <w:tcPr>
            <w:tcW w:w="2180" w:type="dxa"/>
            <w:shd w:val="clear" w:color="auto" w:fill="auto"/>
          </w:tcPr>
          <w:p w14:paraId="2A516B4F"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-2.15</w:t>
            </w:r>
          </w:p>
        </w:tc>
        <w:tc>
          <w:tcPr>
            <w:tcW w:w="2180" w:type="dxa"/>
            <w:shd w:val="clear" w:color="auto" w:fill="auto"/>
          </w:tcPr>
          <w:p w14:paraId="108E905E"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326613">
              <w:rPr>
                <w:sz w:val="18"/>
                <w:szCs w:val="18"/>
              </w:rPr>
              <w:t>0.02</w:t>
            </w:r>
          </w:p>
        </w:tc>
      </w:tr>
    </w:tbl>
    <w:p w14:paraId="1CB8AF06" w14:textId="77777777" w:rsidR="00D821EF" w:rsidRPr="002552FA" w:rsidRDefault="00D821EF" w:rsidP="008C2B83"/>
    <w:p w14:paraId="741F4B86"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13</w:t>
        </w:r>
      </w:fldSimple>
      <w:r>
        <w:t xml:space="preserve">. </w:t>
      </w:r>
      <w:r w:rsidRPr="00C27633">
        <w:t xml:space="preserve">Additivity calculations for 1 g/L </w:t>
      </w:r>
      <w:r>
        <w:t>lysozyme</w:t>
      </w:r>
      <w:r w:rsidRPr="00C27633">
        <w:t xml:space="preserve"> pH 7 in glycine-guanidine hydrochloride mixtures</w:t>
      </w:r>
      <w:r>
        <w:t>. Predicted additive change in melting temperature calculated from values of glycine and GdnHCl in Chapter 3</w:t>
      </w:r>
    </w:p>
    <w:tbl>
      <w:tblPr>
        <w:tblStyle w:val="LightShading"/>
        <w:tblW w:w="0" w:type="auto"/>
        <w:tblLook w:val="04A0" w:firstRow="1" w:lastRow="0" w:firstColumn="1" w:lastColumn="0" w:noHBand="0" w:noVBand="1"/>
      </w:tblPr>
      <w:tblGrid>
        <w:gridCol w:w="2180"/>
        <w:gridCol w:w="2180"/>
        <w:gridCol w:w="2180"/>
        <w:gridCol w:w="2180"/>
      </w:tblGrid>
      <w:tr w:rsidR="00D821EF" w14:paraId="3EA66470"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6FA1456B" w14:textId="77777777" w:rsidR="00D821EF" w:rsidRPr="003A4723" w:rsidRDefault="00D821EF" w:rsidP="00D821EF">
            <w:pPr>
              <w:spacing w:before="0" w:after="0"/>
              <w:rPr>
                <w:sz w:val="18"/>
                <w:szCs w:val="18"/>
              </w:rPr>
            </w:pPr>
            <w:r w:rsidRPr="003A4723">
              <w:rPr>
                <w:sz w:val="18"/>
                <w:szCs w:val="18"/>
              </w:rPr>
              <w:t>Glycine concentration (mM)</w:t>
            </w:r>
          </w:p>
        </w:tc>
        <w:tc>
          <w:tcPr>
            <w:tcW w:w="2180" w:type="dxa"/>
            <w:shd w:val="clear" w:color="auto" w:fill="auto"/>
          </w:tcPr>
          <w:p w14:paraId="18F10FE3" w14:textId="77777777" w:rsidR="00D821EF" w:rsidRPr="003A4723"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3A4723">
              <w:rPr>
                <w:sz w:val="18"/>
                <w:szCs w:val="18"/>
              </w:rPr>
              <w:t>GdnHCl concentration (mM)</w:t>
            </w:r>
          </w:p>
        </w:tc>
        <w:tc>
          <w:tcPr>
            <w:tcW w:w="2180" w:type="dxa"/>
            <w:shd w:val="clear" w:color="auto" w:fill="auto"/>
          </w:tcPr>
          <w:p w14:paraId="72FB2E3C" w14:textId="77777777" w:rsidR="00D821EF" w:rsidRPr="003A4723"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3A4723">
              <w:rPr>
                <w:sz w:val="18"/>
                <w:szCs w:val="18"/>
              </w:rPr>
              <w:t>Predicted additive Δ</w:t>
            </w:r>
            <w:r w:rsidRPr="003A4723">
              <w:rPr>
                <w:i/>
                <w:sz w:val="18"/>
                <w:szCs w:val="18"/>
              </w:rPr>
              <w:t>T</w:t>
            </w:r>
            <w:r w:rsidRPr="003A4723">
              <w:rPr>
                <w:sz w:val="18"/>
                <w:szCs w:val="18"/>
                <w:vertAlign w:val="subscript"/>
              </w:rPr>
              <w:t>m</w:t>
            </w:r>
            <w:r w:rsidRPr="003A4723">
              <w:rPr>
                <w:sz w:val="18"/>
                <w:szCs w:val="18"/>
              </w:rPr>
              <w:t xml:space="preserve"> (°C)</w:t>
            </w:r>
          </w:p>
        </w:tc>
        <w:tc>
          <w:tcPr>
            <w:tcW w:w="2180" w:type="dxa"/>
            <w:shd w:val="clear" w:color="auto" w:fill="auto"/>
          </w:tcPr>
          <w:p w14:paraId="2929AB89" w14:textId="77777777" w:rsidR="00D821EF" w:rsidRPr="003A4723"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3A4723">
              <w:rPr>
                <w:sz w:val="18"/>
                <w:szCs w:val="18"/>
              </w:rPr>
              <w:t>Actual Δ</w:t>
            </w:r>
            <w:r w:rsidRPr="003A4723">
              <w:rPr>
                <w:i/>
                <w:sz w:val="18"/>
                <w:szCs w:val="18"/>
              </w:rPr>
              <w:t>T</w:t>
            </w:r>
            <w:r w:rsidRPr="003A4723">
              <w:rPr>
                <w:sz w:val="18"/>
                <w:szCs w:val="18"/>
                <w:vertAlign w:val="subscript"/>
              </w:rPr>
              <w:t>m</w:t>
            </w:r>
            <w:r w:rsidRPr="003A4723">
              <w:rPr>
                <w:sz w:val="18"/>
                <w:szCs w:val="18"/>
              </w:rPr>
              <w:t xml:space="preserve"> (°C) minus predicted additive Δ</w:t>
            </w:r>
            <w:r w:rsidRPr="003A4723">
              <w:rPr>
                <w:i/>
                <w:sz w:val="18"/>
                <w:szCs w:val="18"/>
              </w:rPr>
              <w:t>T</w:t>
            </w:r>
            <w:r w:rsidRPr="003A4723">
              <w:rPr>
                <w:sz w:val="18"/>
                <w:szCs w:val="18"/>
                <w:vertAlign w:val="subscript"/>
              </w:rPr>
              <w:t>m</w:t>
            </w:r>
            <w:r w:rsidRPr="003A4723">
              <w:rPr>
                <w:sz w:val="18"/>
                <w:szCs w:val="18"/>
              </w:rPr>
              <w:t xml:space="preserve"> (°C)</w:t>
            </w:r>
          </w:p>
        </w:tc>
      </w:tr>
      <w:tr w:rsidR="00D821EF" w14:paraId="53C9509B"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1067E2F9" w14:textId="77777777" w:rsidR="00D821EF" w:rsidRPr="00326613" w:rsidRDefault="00D821EF" w:rsidP="00D821EF">
            <w:pPr>
              <w:spacing w:before="0" w:after="0"/>
              <w:rPr>
                <w:sz w:val="18"/>
                <w:szCs w:val="18"/>
              </w:rPr>
            </w:pPr>
            <w:r w:rsidRPr="00326613">
              <w:rPr>
                <w:sz w:val="18"/>
                <w:szCs w:val="18"/>
              </w:rPr>
              <w:t>5</w:t>
            </w:r>
          </w:p>
        </w:tc>
        <w:tc>
          <w:tcPr>
            <w:tcW w:w="2180" w:type="dxa"/>
            <w:shd w:val="clear" w:color="auto" w:fill="auto"/>
          </w:tcPr>
          <w:p w14:paraId="7C7B2C77"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5</w:t>
            </w:r>
          </w:p>
        </w:tc>
        <w:tc>
          <w:tcPr>
            <w:tcW w:w="2180" w:type="dxa"/>
            <w:shd w:val="clear" w:color="auto" w:fill="auto"/>
          </w:tcPr>
          <w:p w14:paraId="1C65D269"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-0.64</w:t>
            </w:r>
          </w:p>
        </w:tc>
        <w:tc>
          <w:tcPr>
            <w:tcW w:w="2180" w:type="dxa"/>
            <w:shd w:val="clear" w:color="auto" w:fill="auto"/>
          </w:tcPr>
          <w:p w14:paraId="0945BF52"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0.94</w:t>
            </w:r>
          </w:p>
        </w:tc>
      </w:tr>
      <w:tr w:rsidR="00D821EF" w14:paraId="68376482"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6D261D67" w14:textId="77777777" w:rsidR="00D821EF" w:rsidRPr="00326613" w:rsidRDefault="00D821EF" w:rsidP="00D821EF">
            <w:pPr>
              <w:spacing w:before="0" w:after="0"/>
              <w:rPr>
                <w:sz w:val="18"/>
                <w:szCs w:val="18"/>
              </w:rPr>
            </w:pPr>
            <w:r w:rsidRPr="00326613">
              <w:rPr>
                <w:sz w:val="18"/>
                <w:szCs w:val="18"/>
              </w:rPr>
              <w:t>5</w:t>
            </w:r>
          </w:p>
        </w:tc>
        <w:tc>
          <w:tcPr>
            <w:tcW w:w="2180" w:type="dxa"/>
            <w:shd w:val="clear" w:color="auto" w:fill="auto"/>
          </w:tcPr>
          <w:p w14:paraId="6A42E31D"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25</w:t>
            </w:r>
          </w:p>
        </w:tc>
        <w:tc>
          <w:tcPr>
            <w:tcW w:w="2180" w:type="dxa"/>
            <w:shd w:val="clear" w:color="auto" w:fill="auto"/>
          </w:tcPr>
          <w:p w14:paraId="230FC28D"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-0.18</w:t>
            </w:r>
          </w:p>
        </w:tc>
        <w:tc>
          <w:tcPr>
            <w:tcW w:w="2180" w:type="dxa"/>
            <w:shd w:val="clear" w:color="auto" w:fill="auto"/>
          </w:tcPr>
          <w:p w14:paraId="2EA76E18"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0.61</w:t>
            </w:r>
          </w:p>
        </w:tc>
      </w:tr>
      <w:tr w:rsidR="00D821EF" w14:paraId="2410A872"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3017CE9B" w14:textId="77777777" w:rsidR="00D821EF" w:rsidRPr="00326613" w:rsidRDefault="00D821EF" w:rsidP="00D821EF">
            <w:pPr>
              <w:spacing w:before="0" w:after="0"/>
              <w:rPr>
                <w:sz w:val="18"/>
                <w:szCs w:val="18"/>
              </w:rPr>
            </w:pPr>
            <w:r w:rsidRPr="00326613">
              <w:rPr>
                <w:sz w:val="18"/>
                <w:szCs w:val="18"/>
              </w:rPr>
              <w:t>5</w:t>
            </w:r>
          </w:p>
        </w:tc>
        <w:tc>
          <w:tcPr>
            <w:tcW w:w="2180" w:type="dxa"/>
            <w:shd w:val="clear" w:color="auto" w:fill="auto"/>
          </w:tcPr>
          <w:p w14:paraId="1C5DE20F"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50</w:t>
            </w:r>
          </w:p>
        </w:tc>
        <w:tc>
          <w:tcPr>
            <w:tcW w:w="2180" w:type="dxa"/>
            <w:shd w:val="clear" w:color="auto" w:fill="auto"/>
          </w:tcPr>
          <w:p w14:paraId="58B61371"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-0.49</w:t>
            </w:r>
          </w:p>
        </w:tc>
        <w:tc>
          <w:tcPr>
            <w:tcW w:w="2180" w:type="dxa"/>
            <w:shd w:val="clear" w:color="auto" w:fill="auto"/>
          </w:tcPr>
          <w:p w14:paraId="5C14C684"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0.50</w:t>
            </w:r>
          </w:p>
        </w:tc>
      </w:tr>
      <w:tr w:rsidR="00D821EF" w14:paraId="3CB02428"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2E1AE5DF" w14:textId="77777777" w:rsidR="00D821EF" w:rsidRPr="00326613" w:rsidRDefault="00D821EF" w:rsidP="00D821EF">
            <w:pPr>
              <w:spacing w:before="0" w:after="0"/>
              <w:rPr>
                <w:sz w:val="18"/>
                <w:szCs w:val="18"/>
              </w:rPr>
            </w:pPr>
            <w:r w:rsidRPr="00326613">
              <w:rPr>
                <w:sz w:val="18"/>
                <w:szCs w:val="18"/>
              </w:rPr>
              <w:t>5</w:t>
            </w:r>
          </w:p>
        </w:tc>
        <w:tc>
          <w:tcPr>
            <w:tcW w:w="2180" w:type="dxa"/>
            <w:shd w:val="clear" w:color="auto" w:fill="auto"/>
          </w:tcPr>
          <w:p w14:paraId="58F1684A"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100</w:t>
            </w:r>
          </w:p>
        </w:tc>
        <w:tc>
          <w:tcPr>
            <w:tcW w:w="2180" w:type="dxa"/>
            <w:shd w:val="clear" w:color="auto" w:fill="auto"/>
          </w:tcPr>
          <w:p w14:paraId="403AB547"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-1.29</w:t>
            </w:r>
          </w:p>
        </w:tc>
        <w:tc>
          <w:tcPr>
            <w:tcW w:w="2180" w:type="dxa"/>
            <w:shd w:val="clear" w:color="auto" w:fill="auto"/>
          </w:tcPr>
          <w:p w14:paraId="274928D4"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0.78</w:t>
            </w:r>
          </w:p>
        </w:tc>
      </w:tr>
      <w:tr w:rsidR="00D821EF" w14:paraId="3E715932"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4C67F5E3" w14:textId="77777777" w:rsidR="00D821EF" w:rsidRPr="00326613" w:rsidRDefault="00D821EF" w:rsidP="00D821EF">
            <w:pPr>
              <w:spacing w:before="0" w:after="0"/>
              <w:rPr>
                <w:sz w:val="18"/>
                <w:szCs w:val="18"/>
              </w:rPr>
            </w:pPr>
            <w:r w:rsidRPr="00326613">
              <w:rPr>
                <w:sz w:val="18"/>
                <w:szCs w:val="18"/>
              </w:rPr>
              <w:t>5</w:t>
            </w:r>
          </w:p>
        </w:tc>
        <w:tc>
          <w:tcPr>
            <w:tcW w:w="2180" w:type="dxa"/>
            <w:shd w:val="clear" w:color="auto" w:fill="auto"/>
          </w:tcPr>
          <w:p w14:paraId="4B50D9C2"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500</w:t>
            </w:r>
          </w:p>
        </w:tc>
        <w:tc>
          <w:tcPr>
            <w:tcW w:w="2180" w:type="dxa"/>
            <w:shd w:val="clear" w:color="auto" w:fill="auto"/>
          </w:tcPr>
          <w:p w14:paraId="77BECE93"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-4.35</w:t>
            </w:r>
          </w:p>
        </w:tc>
        <w:tc>
          <w:tcPr>
            <w:tcW w:w="2180" w:type="dxa"/>
            <w:shd w:val="clear" w:color="auto" w:fill="auto"/>
          </w:tcPr>
          <w:p w14:paraId="6E07DB34"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0.31</w:t>
            </w:r>
          </w:p>
        </w:tc>
      </w:tr>
      <w:tr w:rsidR="00D821EF" w14:paraId="609BB1B7"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1D779E05" w14:textId="77777777" w:rsidR="00D821EF" w:rsidRPr="00326613" w:rsidRDefault="00D821EF" w:rsidP="00D821EF">
            <w:pPr>
              <w:spacing w:before="0" w:after="0"/>
              <w:rPr>
                <w:sz w:val="18"/>
                <w:szCs w:val="18"/>
              </w:rPr>
            </w:pPr>
            <w:r w:rsidRPr="00326613">
              <w:rPr>
                <w:sz w:val="18"/>
                <w:szCs w:val="18"/>
              </w:rPr>
              <w:t>25</w:t>
            </w:r>
          </w:p>
        </w:tc>
        <w:tc>
          <w:tcPr>
            <w:tcW w:w="2180" w:type="dxa"/>
            <w:shd w:val="clear" w:color="auto" w:fill="auto"/>
          </w:tcPr>
          <w:p w14:paraId="10F5EAE7"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5</w:t>
            </w:r>
          </w:p>
        </w:tc>
        <w:tc>
          <w:tcPr>
            <w:tcW w:w="2180" w:type="dxa"/>
            <w:shd w:val="clear" w:color="auto" w:fill="auto"/>
          </w:tcPr>
          <w:p w14:paraId="45416587"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-0.13</w:t>
            </w:r>
          </w:p>
        </w:tc>
        <w:tc>
          <w:tcPr>
            <w:tcW w:w="2180" w:type="dxa"/>
            <w:shd w:val="clear" w:color="auto" w:fill="auto"/>
          </w:tcPr>
          <w:p w14:paraId="78E0BC10"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0.80</w:t>
            </w:r>
          </w:p>
        </w:tc>
      </w:tr>
      <w:tr w:rsidR="00D821EF" w14:paraId="0BFA7E74"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4FFD95B7" w14:textId="77777777" w:rsidR="00D821EF" w:rsidRPr="00326613" w:rsidRDefault="00D821EF" w:rsidP="00D821EF">
            <w:pPr>
              <w:spacing w:before="0" w:after="0"/>
              <w:rPr>
                <w:sz w:val="18"/>
                <w:szCs w:val="18"/>
              </w:rPr>
            </w:pPr>
            <w:r w:rsidRPr="00326613">
              <w:rPr>
                <w:sz w:val="18"/>
                <w:szCs w:val="18"/>
              </w:rPr>
              <w:t>25</w:t>
            </w:r>
          </w:p>
        </w:tc>
        <w:tc>
          <w:tcPr>
            <w:tcW w:w="2180" w:type="dxa"/>
            <w:shd w:val="clear" w:color="auto" w:fill="auto"/>
          </w:tcPr>
          <w:p w14:paraId="4E657E52"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25</w:t>
            </w:r>
          </w:p>
        </w:tc>
        <w:tc>
          <w:tcPr>
            <w:tcW w:w="2180" w:type="dxa"/>
            <w:shd w:val="clear" w:color="auto" w:fill="auto"/>
          </w:tcPr>
          <w:p w14:paraId="26ABFEC2"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0.34</w:t>
            </w:r>
          </w:p>
        </w:tc>
        <w:tc>
          <w:tcPr>
            <w:tcW w:w="2180" w:type="dxa"/>
            <w:shd w:val="clear" w:color="auto" w:fill="auto"/>
          </w:tcPr>
          <w:p w14:paraId="2F5932B1"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0.51</w:t>
            </w:r>
          </w:p>
        </w:tc>
      </w:tr>
      <w:tr w:rsidR="00D821EF" w14:paraId="5BE782ED"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23D1ECED" w14:textId="77777777" w:rsidR="00D821EF" w:rsidRPr="00326613" w:rsidRDefault="00D821EF" w:rsidP="00D821EF">
            <w:pPr>
              <w:spacing w:before="0" w:after="0"/>
              <w:rPr>
                <w:sz w:val="18"/>
                <w:szCs w:val="18"/>
              </w:rPr>
            </w:pPr>
            <w:r w:rsidRPr="00326613">
              <w:rPr>
                <w:sz w:val="18"/>
                <w:szCs w:val="18"/>
              </w:rPr>
              <w:t>25</w:t>
            </w:r>
          </w:p>
        </w:tc>
        <w:tc>
          <w:tcPr>
            <w:tcW w:w="2180" w:type="dxa"/>
            <w:shd w:val="clear" w:color="auto" w:fill="auto"/>
          </w:tcPr>
          <w:p w14:paraId="477B1032"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50</w:t>
            </w:r>
          </w:p>
        </w:tc>
        <w:tc>
          <w:tcPr>
            <w:tcW w:w="2180" w:type="dxa"/>
            <w:shd w:val="clear" w:color="auto" w:fill="auto"/>
          </w:tcPr>
          <w:p w14:paraId="57292EAC"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0.03</w:t>
            </w:r>
          </w:p>
        </w:tc>
        <w:tc>
          <w:tcPr>
            <w:tcW w:w="2180" w:type="dxa"/>
            <w:shd w:val="clear" w:color="auto" w:fill="auto"/>
          </w:tcPr>
          <w:p w14:paraId="61F05486"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0.37</w:t>
            </w:r>
          </w:p>
        </w:tc>
      </w:tr>
      <w:tr w:rsidR="00D821EF" w14:paraId="759BE2A4"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5B96ADAA" w14:textId="77777777" w:rsidR="00D821EF" w:rsidRPr="00326613" w:rsidRDefault="00D821EF" w:rsidP="00D821EF">
            <w:pPr>
              <w:spacing w:before="0" w:after="0"/>
              <w:rPr>
                <w:sz w:val="18"/>
                <w:szCs w:val="18"/>
              </w:rPr>
            </w:pPr>
            <w:r w:rsidRPr="00326613">
              <w:rPr>
                <w:sz w:val="18"/>
                <w:szCs w:val="18"/>
              </w:rPr>
              <w:t>25</w:t>
            </w:r>
          </w:p>
        </w:tc>
        <w:tc>
          <w:tcPr>
            <w:tcW w:w="2180" w:type="dxa"/>
            <w:shd w:val="clear" w:color="auto" w:fill="auto"/>
          </w:tcPr>
          <w:p w14:paraId="3E913E5B"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100</w:t>
            </w:r>
          </w:p>
        </w:tc>
        <w:tc>
          <w:tcPr>
            <w:tcW w:w="2180" w:type="dxa"/>
            <w:shd w:val="clear" w:color="auto" w:fill="auto"/>
          </w:tcPr>
          <w:p w14:paraId="6511FC9A"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-0.77</w:t>
            </w:r>
          </w:p>
        </w:tc>
        <w:tc>
          <w:tcPr>
            <w:tcW w:w="2180" w:type="dxa"/>
            <w:shd w:val="clear" w:color="auto" w:fill="auto"/>
          </w:tcPr>
          <w:p w14:paraId="7E148E16"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0.70</w:t>
            </w:r>
          </w:p>
        </w:tc>
      </w:tr>
      <w:tr w:rsidR="00D821EF" w14:paraId="535E3832"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7852A922" w14:textId="77777777" w:rsidR="00D821EF" w:rsidRPr="00326613" w:rsidRDefault="00D821EF" w:rsidP="00D821EF">
            <w:pPr>
              <w:spacing w:before="0" w:after="0"/>
              <w:rPr>
                <w:sz w:val="18"/>
                <w:szCs w:val="18"/>
              </w:rPr>
            </w:pPr>
            <w:r w:rsidRPr="00326613">
              <w:rPr>
                <w:sz w:val="18"/>
                <w:szCs w:val="18"/>
              </w:rPr>
              <w:t>25</w:t>
            </w:r>
          </w:p>
        </w:tc>
        <w:tc>
          <w:tcPr>
            <w:tcW w:w="2180" w:type="dxa"/>
            <w:shd w:val="clear" w:color="auto" w:fill="auto"/>
          </w:tcPr>
          <w:p w14:paraId="162F6B6D"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500</w:t>
            </w:r>
          </w:p>
        </w:tc>
        <w:tc>
          <w:tcPr>
            <w:tcW w:w="2180" w:type="dxa"/>
            <w:shd w:val="clear" w:color="auto" w:fill="auto"/>
          </w:tcPr>
          <w:p w14:paraId="3438E1A1"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-3.83</w:t>
            </w:r>
          </w:p>
        </w:tc>
        <w:tc>
          <w:tcPr>
            <w:tcW w:w="2180" w:type="dxa"/>
            <w:shd w:val="clear" w:color="auto" w:fill="auto"/>
          </w:tcPr>
          <w:p w14:paraId="0534BDB3"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-0.12</w:t>
            </w:r>
          </w:p>
        </w:tc>
      </w:tr>
      <w:tr w:rsidR="00D821EF" w14:paraId="0F74FC95"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609EAA88" w14:textId="77777777" w:rsidR="00D821EF" w:rsidRPr="00326613" w:rsidRDefault="00D821EF" w:rsidP="00D821EF">
            <w:pPr>
              <w:spacing w:before="0" w:after="0"/>
              <w:rPr>
                <w:sz w:val="18"/>
                <w:szCs w:val="18"/>
              </w:rPr>
            </w:pPr>
            <w:r w:rsidRPr="00326613">
              <w:rPr>
                <w:sz w:val="18"/>
                <w:szCs w:val="18"/>
              </w:rPr>
              <w:t>50</w:t>
            </w:r>
          </w:p>
        </w:tc>
        <w:tc>
          <w:tcPr>
            <w:tcW w:w="2180" w:type="dxa"/>
            <w:shd w:val="clear" w:color="auto" w:fill="auto"/>
          </w:tcPr>
          <w:p w14:paraId="4201117A"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5</w:t>
            </w:r>
          </w:p>
        </w:tc>
        <w:tc>
          <w:tcPr>
            <w:tcW w:w="2180" w:type="dxa"/>
            <w:shd w:val="clear" w:color="auto" w:fill="auto"/>
          </w:tcPr>
          <w:p w14:paraId="3E0848A4"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w:t>
            </w:r>
          </w:p>
        </w:tc>
        <w:tc>
          <w:tcPr>
            <w:tcW w:w="2180" w:type="dxa"/>
            <w:shd w:val="clear" w:color="auto" w:fill="auto"/>
          </w:tcPr>
          <w:p w14:paraId="5ED794D1"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1.03</w:t>
            </w:r>
          </w:p>
        </w:tc>
      </w:tr>
      <w:tr w:rsidR="00D821EF" w14:paraId="24388E76"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160A8DC3" w14:textId="77777777" w:rsidR="00D821EF" w:rsidRPr="00326613" w:rsidRDefault="00D821EF" w:rsidP="00D821EF">
            <w:pPr>
              <w:spacing w:before="0" w:after="0"/>
              <w:rPr>
                <w:sz w:val="18"/>
                <w:szCs w:val="18"/>
              </w:rPr>
            </w:pPr>
            <w:r w:rsidRPr="00326613">
              <w:rPr>
                <w:sz w:val="18"/>
                <w:szCs w:val="18"/>
              </w:rPr>
              <w:t>50</w:t>
            </w:r>
          </w:p>
        </w:tc>
        <w:tc>
          <w:tcPr>
            <w:tcW w:w="2180" w:type="dxa"/>
            <w:shd w:val="clear" w:color="auto" w:fill="auto"/>
          </w:tcPr>
          <w:p w14:paraId="2DED3D12"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25</w:t>
            </w:r>
          </w:p>
        </w:tc>
        <w:tc>
          <w:tcPr>
            <w:tcW w:w="2180" w:type="dxa"/>
            <w:shd w:val="clear" w:color="auto" w:fill="auto"/>
          </w:tcPr>
          <w:p w14:paraId="014C9D1B"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0.47</w:t>
            </w:r>
          </w:p>
        </w:tc>
        <w:tc>
          <w:tcPr>
            <w:tcW w:w="2180" w:type="dxa"/>
            <w:shd w:val="clear" w:color="auto" w:fill="auto"/>
          </w:tcPr>
          <w:p w14:paraId="7333C5CF"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0.52</w:t>
            </w:r>
          </w:p>
        </w:tc>
      </w:tr>
      <w:tr w:rsidR="00D821EF" w14:paraId="5E3F8878"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28BE186A" w14:textId="77777777" w:rsidR="00D821EF" w:rsidRPr="00326613" w:rsidRDefault="00D821EF" w:rsidP="00D821EF">
            <w:pPr>
              <w:spacing w:before="0" w:after="0"/>
              <w:rPr>
                <w:sz w:val="18"/>
                <w:szCs w:val="18"/>
              </w:rPr>
            </w:pPr>
            <w:r w:rsidRPr="00326613">
              <w:rPr>
                <w:sz w:val="18"/>
                <w:szCs w:val="18"/>
              </w:rPr>
              <w:t>50</w:t>
            </w:r>
          </w:p>
        </w:tc>
        <w:tc>
          <w:tcPr>
            <w:tcW w:w="2180" w:type="dxa"/>
            <w:shd w:val="clear" w:color="auto" w:fill="auto"/>
          </w:tcPr>
          <w:p w14:paraId="1FBB624B"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50</w:t>
            </w:r>
          </w:p>
        </w:tc>
        <w:tc>
          <w:tcPr>
            <w:tcW w:w="2180" w:type="dxa"/>
            <w:shd w:val="clear" w:color="auto" w:fill="auto"/>
          </w:tcPr>
          <w:p w14:paraId="72B68B2B"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0.16</w:t>
            </w:r>
          </w:p>
        </w:tc>
        <w:tc>
          <w:tcPr>
            <w:tcW w:w="2180" w:type="dxa"/>
            <w:shd w:val="clear" w:color="auto" w:fill="auto"/>
          </w:tcPr>
          <w:p w14:paraId="6005EC1A"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0.54</w:t>
            </w:r>
          </w:p>
        </w:tc>
      </w:tr>
      <w:tr w:rsidR="00D821EF" w14:paraId="5796B31E"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46635A6E" w14:textId="77777777" w:rsidR="00D821EF" w:rsidRPr="00326613" w:rsidRDefault="00D821EF" w:rsidP="00D821EF">
            <w:pPr>
              <w:spacing w:before="0" w:after="0"/>
              <w:rPr>
                <w:sz w:val="18"/>
                <w:szCs w:val="18"/>
              </w:rPr>
            </w:pPr>
            <w:r w:rsidRPr="00326613">
              <w:rPr>
                <w:sz w:val="18"/>
                <w:szCs w:val="18"/>
              </w:rPr>
              <w:t>50</w:t>
            </w:r>
          </w:p>
        </w:tc>
        <w:tc>
          <w:tcPr>
            <w:tcW w:w="2180" w:type="dxa"/>
            <w:shd w:val="clear" w:color="auto" w:fill="auto"/>
          </w:tcPr>
          <w:p w14:paraId="6C910AF2"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100</w:t>
            </w:r>
          </w:p>
        </w:tc>
        <w:tc>
          <w:tcPr>
            <w:tcW w:w="2180" w:type="dxa"/>
            <w:shd w:val="clear" w:color="auto" w:fill="auto"/>
          </w:tcPr>
          <w:p w14:paraId="135DCFB7"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-0.64</w:t>
            </w:r>
          </w:p>
        </w:tc>
        <w:tc>
          <w:tcPr>
            <w:tcW w:w="2180" w:type="dxa"/>
            <w:shd w:val="clear" w:color="auto" w:fill="auto"/>
          </w:tcPr>
          <w:p w14:paraId="10F6653E"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0.85</w:t>
            </w:r>
          </w:p>
        </w:tc>
      </w:tr>
      <w:tr w:rsidR="00D821EF" w14:paraId="1C5857DD"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4B627D8F" w14:textId="77777777" w:rsidR="00D821EF" w:rsidRPr="00326613" w:rsidRDefault="00D821EF" w:rsidP="00D821EF">
            <w:pPr>
              <w:spacing w:before="0" w:after="0"/>
              <w:rPr>
                <w:sz w:val="18"/>
                <w:szCs w:val="18"/>
              </w:rPr>
            </w:pPr>
            <w:r w:rsidRPr="00326613">
              <w:rPr>
                <w:sz w:val="18"/>
                <w:szCs w:val="18"/>
              </w:rPr>
              <w:t>50</w:t>
            </w:r>
          </w:p>
        </w:tc>
        <w:tc>
          <w:tcPr>
            <w:tcW w:w="2180" w:type="dxa"/>
            <w:shd w:val="clear" w:color="auto" w:fill="auto"/>
          </w:tcPr>
          <w:p w14:paraId="1C77B3DD"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500</w:t>
            </w:r>
          </w:p>
        </w:tc>
        <w:tc>
          <w:tcPr>
            <w:tcW w:w="2180" w:type="dxa"/>
            <w:shd w:val="clear" w:color="auto" w:fill="auto"/>
          </w:tcPr>
          <w:p w14:paraId="373BE1C1"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-3.70</w:t>
            </w:r>
          </w:p>
        </w:tc>
        <w:tc>
          <w:tcPr>
            <w:tcW w:w="2180" w:type="dxa"/>
            <w:shd w:val="clear" w:color="auto" w:fill="auto"/>
          </w:tcPr>
          <w:p w14:paraId="0F5072FF"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w:t>
            </w:r>
          </w:p>
        </w:tc>
      </w:tr>
      <w:tr w:rsidR="00D821EF" w14:paraId="2596312D"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042F67BF" w14:textId="77777777" w:rsidR="00D821EF" w:rsidRPr="00326613" w:rsidRDefault="00D821EF" w:rsidP="00D821EF">
            <w:pPr>
              <w:spacing w:before="0" w:after="0"/>
              <w:rPr>
                <w:sz w:val="18"/>
                <w:szCs w:val="18"/>
              </w:rPr>
            </w:pPr>
            <w:r w:rsidRPr="00326613">
              <w:rPr>
                <w:sz w:val="18"/>
                <w:szCs w:val="18"/>
              </w:rPr>
              <w:t>100</w:t>
            </w:r>
          </w:p>
        </w:tc>
        <w:tc>
          <w:tcPr>
            <w:tcW w:w="2180" w:type="dxa"/>
            <w:shd w:val="clear" w:color="auto" w:fill="auto"/>
          </w:tcPr>
          <w:p w14:paraId="29ABAF2E"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5</w:t>
            </w:r>
          </w:p>
        </w:tc>
        <w:tc>
          <w:tcPr>
            <w:tcW w:w="2180" w:type="dxa"/>
            <w:shd w:val="clear" w:color="auto" w:fill="auto"/>
          </w:tcPr>
          <w:p w14:paraId="3A6C324E"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0.47</w:t>
            </w:r>
          </w:p>
        </w:tc>
        <w:tc>
          <w:tcPr>
            <w:tcW w:w="2180" w:type="dxa"/>
            <w:shd w:val="clear" w:color="auto" w:fill="auto"/>
          </w:tcPr>
          <w:p w14:paraId="63D2B5D2"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0.73</w:t>
            </w:r>
          </w:p>
        </w:tc>
      </w:tr>
      <w:tr w:rsidR="00D821EF" w14:paraId="28F4B40A"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0DE956CE" w14:textId="77777777" w:rsidR="00D821EF" w:rsidRPr="00326613" w:rsidRDefault="00D821EF" w:rsidP="00D821EF">
            <w:pPr>
              <w:spacing w:before="0" w:after="0"/>
              <w:rPr>
                <w:sz w:val="18"/>
                <w:szCs w:val="18"/>
              </w:rPr>
            </w:pPr>
            <w:r w:rsidRPr="00326613">
              <w:rPr>
                <w:sz w:val="18"/>
                <w:szCs w:val="18"/>
              </w:rPr>
              <w:t>100</w:t>
            </w:r>
          </w:p>
        </w:tc>
        <w:tc>
          <w:tcPr>
            <w:tcW w:w="2180" w:type="dxa"/>
            <w:shd w:val="clear" w:color="auto" w:fill="auto"/>
          </w:tcPr>
          <w:p w14:paraId="4BB3CCF1"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25</w:t>
            </w:r>
          </w:p>
        </w:tc>
        <w:tc>
          <w:tcPr>
            <w:tcW w:w="2180" w:type="dxa"/>
            <w:shd w:val="clear" w:color="auto" w:fill="auto"/>
          </w:tcPr>
          <w:p w14:paraId="4BCA048E"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0.93</w:t>
            </w:r>
          </w:p>
        </w:tc>
        <w:tc>
          <w:tcPr>
            <w:tcW w:w="2180" w:type="dxa"/>
            <w:shd w:val="clear" w:color="auto" w:fill="auto"/>
          </w:tcPr>
          <w:p w14:paraId="201D8E9C"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0.31</w:t>
            </w:r>
          </w:p>
        </w:tc>
      </w:tr>
      <w:tr w:rsidR="00D821EF" w14:paraId="155FE1D7"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4EABB468" w14:textId="77777777" w:rsidR="00D821EF" w:rsidRPr="00326613" w:rsidRDefault="00D821EF" w:rsidP="00D821EF">
            <w:pPr>
              <w:spacing w:before="0" w:after="0"/>
              <w:rPr>
                <w:sz w:val="18"/>
                <w:szCs w:val="18"/>
              </w:rPr>
            </w:pPr>
            <w:r w:rsidRPr="00326613">
              <w:rPr>
                <w:sz w:val="18"/>
                <w:szCs w:val="18"/>
              </w:rPr>
              <w:t>100</w:t>
            </w:r>
          </w:p>
        </w:tc>
        <w:tc>
          <w:tcPr>
            <w:tcW w:w="2180" w:type="dxa"/>
            <w:shd w:val="clear" w:color="auto" w:fill="auto"/>
          </w:tcPr>
          <w:p w14:paraId="2C34CC47"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50</w:t>
            </w:r>
          </w:p>
        </w:tc>
        <w:tc>
          <w:tcPr>
            <w:tcW w:w="2180" w:type="dxa"/>
            <w:shd w:val="clear" w:color="auto" w:fill="auto"/>
          </w:tcPr>
          <w:p w14:paraId="008D991D"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0.62</w:t>
            </w:r>
          </w:p>
        </w:tc>
        <w:tc>
          <w:tcPr>
            <w:tcW w:w="2180" w:type="dxa"/>
            <w:shd w:val="clear" w:color="auto" w:fill="auto"/>
          </w:tcPr>
          <w:p w14:paraId="53378E6E"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0.45</w:t>
            </w:r>
          </w:p>
        </w:tc>
      </w:tr>
      <w:tr w:rsidR="00D821EF" w14:paraId="43A9C2B1"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1A67A5D0" w14:textId="77777777" w:rsidR="00D821EF" w:rsidRPr="00326613" w:rsidRDefault="00D821EF" w:rsidP="00D821EF">
            <w:pPr>
              <w:spacing w:before="0" w:after="0"/>
              <w:rPr>
                <w:sz w:val="18"/>
                <w:szCs w:val="18"/>
              </w:rPr>
            </w:pPr>
            <w:r w:rsidRPr="00326613">
              <w:rPr>
                <w:sz w:val="18"/>
                <w:szCs w:val="18"/>
              </w:rPr>
              <w:t>100</w:t>
            </w:r>
          </w:p>
        </w:tc>
        <w:tc>
          <w:tcPr>
            <w:tcW w:w="2180" w:type="dxa"/>
            <w:shd w:val="clear" w:color="auto" w:fill="auto"/>
          </w:tcPr>
          <w:p w14:paraId="1550D297"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100</w:t>
            </w:r>
          </w:p>
        </w:tc>
        <w:tc>
          <w:tcPr>
            <w:tcW w:w="2180" w:type="dxa"/>
            <w:shd w:val="clear" w:color="auto" w:fill="auto"/>
          </w:tcPr>
          <w:p w14:paraId="58AB9CE8"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-.0.18</w:t>
            </w:r>
          </w:p>
        </w:tc>
        <w:tc>
          <w:tcPr>
            <w:tcW w:w="2180" w:type="dxa"/>
            <w:shd w:val="clear" w:color="auto" w:fill="auto"/>
          </w:tcPr>
          <w:p w14:paraId="4AAF5702"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0.71</w:t>
            </w:r>
          </w:p>
        </w:tc>
      </w:tr>
      <w:tr w:rsidR="00D821EF" w14:paraId="4B369E3A"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629EC768" w14:textId="77777777" w:rsidR="00D821EF" w:rsidRPr="00326613" w:rsidRDefault="00D821EF" w:rsidP="00D821EF">
            <w:pPr>
              <w:spacing w:before="0" w:after="0"/>
              <w:rPr>
                <w:sz w:val="18"/>
                <w:szCs w:val="18"/>
              </w:rPr>
            </w:pPr>
            <w:r w:rsidRPr="00326613">
              <w:rPr>
                <w:sz w:val="18"/>
                <w:szCs w:val="18"/>
              </w:rPr>
              <w:t>100</w:t>
            </w:r>
          </w:p>
        </w:tc>
        <w:tc>
          <w:tcPr>
            <w:tcW w:w="2180" w:type="dxa"/>
            <w:shd w:val="clear" w:color="auto" w:fill="auto"/>
          </w:tcPr>
          <w:p w14:paraId="0054C916"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500</w:t>
            </w:r>
          </w:p>
        </w:tc>
        <w:tc>
          <w:tcPr>
            <w:tcW w:w="2180" w:type="dxa"/>
            <w:shd w:val="clear" w:color="auto" w:fill="auto"/>
          </w:tcPr>
          <w:p w14:paraId="4FB2FE79"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-3.24</w:t>
            </w:r>
          </w:p>
        </w:tc>
        <w:tc>
          <w:tcPr>
            <w:tcW w:w="2180" w:type="dxa"/>
            <w:shd w:val="clear" w:color="auto" w:fill="auto"/>
          </w:tcPr>
          <w:p w14:paraId="20D94B9E"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-0.09</w:t>
            </w:r>
          </w:p>
        </w:tc>
      </w:tr>
      <w:tr w:rsidR="00D821EF" w14:paraId="6DCCB783"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0960E8E5" w14:textId="77777777" w:rsidR="00D821EF" w:rsidRPr="00326613" w:rsidRDefault="00D821EF" w:rsidP="00D821EF">
            <w:pPr>
              <w:spacing w:before="0" w:after="0"/>
              <w:rPr>
                <w:sz w:val="18"/>
                <w:szCs w:val="18"/>
              </w:rPr>
            </w:pPr>
            <w:r w:rsidRPr="00326613">
              <w:rPr>
                <w:sz w:val="18"/>
                <w:szCs w:val="18"/>
              </w:rPr>
              <w:t>250</w:t>
            </w:r>
          </w:p>
        </w:tc>
        <w:tc>
          <w:tcPr>
            <w:tcW w:w="2180" w:type="dxa"/>
            <w:shd w:val="clear" w:color="auto" w:fill="auto"/>
          </w:tcPr>
          <w:p w14:paraId="65D35A27"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5</w:t>
            </w:r>
          </w:p>
        </w:tc>
        <w:tc>
          <w:tcPr>
            <w:tcW w:w="2180" w:type="dxa"/>
            <w:shd w:val="clear" w:color="auto" w:fill="auto"/>
          </w:tcPr>
          <w:p w14:paraId="78367683"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1.37</w:t>
            </w:r>
          </w:p>
        </w:tc>
        <w:tc>
          <w:tcPr>
            <w:tcW w:w="2180" w:type="dxa"/>
            <w:shd w:val="clear" w:color="auto" w:fill="auto"/>
          </w:tcPr>
          <w:p w14:paraId="5C6D7274"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0.72</w:t>
            </w:r>
          </w:p>
        </w:tc>
      </w:tr>
      <w:tr w:rsidR="00D821EF" w14:paraId="06C91A90"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61A90197" w14:textId="77777777" w:rsidR="00D821EF" w:rsidRPr="00326613" w:rsidRDefault="00D821EF" w:rsidP="00D821EF">
            <w:pPr>
              <w:spacing w:before="0" w:after="0"/>
              <w:rPr>
                <w:sz w:val="18"/>
                <w:szCs w:val="18"/>
              </w:rPr>
            </w:pPr>
            <w:r w:rsidRPr="00326613">
              <w:rPr>
                <w:sz w:val="18"/>
                <w:szCs w:val="18"/>
              </w:rPr>
              <w:t>250</w:t>
            </w:r>
          </w:p>
        </w:tc>
        <w:tc>
          <w:tcPr>
            <w:tcW w:w="2180" w:type="dxa"/>
            <w:shd w:val="clear" w:color="auto" w:fill="auto"/>
          </w:tcPr>
          <w:p w14:paraId="2BAEF85D"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25</w:t>
            </w:r>
          </w:p>
        </w:tc>
        <w:tc>
          <w:tcPr>
            <w:tcW w:w="2180" w:type="dxa"/>
            <w:shd w:val="clear" w:color="auto" w:fill="auto"/>
          </w:tcPr>
          <w:p w14:paraId="727AE0F2"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1.83</w:t>
            </w:r>
          </w:p>
        </w:tc>
        <w:tc>
          <w:tcPr>
            <w:tcW w:w="2180" w:type="dxa"/>
            <w:shd w:val="clear" w:color="auto" w:fill="auto"/>
          </w:tcPr>
          <w:p w14:paraId="6F14A9F5"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0.29</w:t>
            </w:r>
          </w:p>
        </w:tc>
      </w:tr>
      <w:tr w:rsidR="00D821EF" w14:paraId="451F15A6"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6C0CB1D8" w14:textId="77777777" w:rsidR="00D821EF" w:rsidRPr="00326613" w:rsidRDefault="00D821EF" w:rsidP="00D821EF">
            <w:pPr>
              <w:spacing w:before="0" w:after="0"/>
              <w:rPr>
                <w:sz w:val="18"/>
                <w:szCs w:val="18"/>
              </w:rPr>
            </w:pPr>
            <w:r w:rsidRPr="00326613">
              <w:rPr>
                <w:sz w:val="18"/>
                <w:szCs w:val="18"/>
              </w:rPr>
              <w:t>250</w:t>
            </w:r>
          </w:p>
        </w:tc>
        <w:tc>
          <w:tcPr>
            <w:tcW w:w="2180" w:type="dxa"/>
            <w:shd w:val="clear" w:color="auto" w:fill="auto"/>
          </w:tcPr>
          <w:p w14:paraId="3E0F99C3"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50</w:t>
            </w:r>
          </w:p>
        </w:tc>
        <w:tc>
          <w:tcPr>
            <w:tcW w:w="2180" w:type="dxa"/>
            <w:shd w:val="clear" w:color="auto" w:fill="auto"/>
          </w:tcPr>
          <w:p w14:paraId="778AB610"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1.52</w:t>
            </w:r>
          </w:p>
        </w:tc>
        <w:tc>
          <w:tcPr>
            <w:tcW w:w="2180" w:type="dxa"/>
            <w:shd w:val="clear" w:color="auto" w:fill="auto"/>
          </w:tcPr>
          <w:p w14:paraId="1F77770E"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0.34</w:t>
            </w:r>
          </w:p>
        </w:tc>
      </w:tr>
      <w:tr w:rsidR="00D821EF" w14:paraId="039CD7BB"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548E58AC" w14:textId="77777777" w:rsidR="00D821EF" w:rsidRPr="00326613" w:rsidRDefault="00D821EF" w:rsidP="00D821EF">
            <w:pPr>
              <w:spacing w:before="0" w:after="0"/>
              <w:rPr>
                <w:sz w:val="18"/>
                <w:szCs w:val="18"/>
              </w:rPr>
            </w:pPr>
            <w:r w:rsidRPr="00326613">
              <w:rPr>
                <w:sz w:val="18"/>
                <w:szCs w:val="18"/>
              </w:rPr>
              <w:t>250</w:t>
            </w:r>
          </w:p>
        </w:tc>
        <w:tc>
          <w:tcPr>
            <w:tcW w:w="2180" w:type="dxa"/>
            <w:shd w:val="clear" w:color="auto" w:fill="auto"/>
          </w:tcPr>
          <w:p w14:paraId="73EC9061"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100</w:t>
            </w:r>
          </w:p>
        </w:tc>
        <w:tc>
          <w:tcPr>
            <w:tcW w:w="2180" w:type="dxa"/>
            <w:shd w:val="clear" w:color="auto" w:fill="auto"/>
          </w:tcPr>
          <w:p w14:paraId="556BC788"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0.72</w:t>
            </w:r>
          </w:p>
        </w:tc>
        <w:tc>
          <w:tcPr>
            <w:tcW w:w="2180" w:type="dxa"/>
            <w:shd w:val="clear" w:color="auto" w:fill="auto"/>
          </w:tcPr>
          <w:p w14:paraId="22D294A2"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0.71</w:t>
            </w:r>
          </w:p>
        </w:tc>
      </w:tr>
      <w:tr w:rsidR="00D821EF" w14:paraId="61C0720D"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330CE259" w14:textId="77777777" w:rsidR="00D821EF" w:rsidRPr="00326613" w:rsidRDefault="00D821EF" w:rsidP="00D821EF">
            <w:pPr>
              <w:spacing w:before="0" w:after="0"/>
              <w:rPr>
                <w:sz w:val="18"/>
                <w:szCs w:val="18"/>
              </w:rPr>
            </w:pPr>
            <w:r w:rsidRPr="00326613">
              <w:rPr>
                <w:sz w:val="18"/>
                <w:szCs w:val="18"/>
              </w:rPr>
              <w:t>250</w:t>
            </w:r>
          </w:p>
        </w:tc>
        <w:tc>
          <w:tcPr>
            <w:tcW w:w="2180" w:type="dxa"/>
            <w:shd w:val="clear" w:color="auto" w:fill="auto"/>
          </w:tcPr>
          <w:p w14:paraId="105439C4"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500</w:t>
            </w:r>
          </w:p>
        </w:tc>
        <w:tc>
          <w:tcPr>
            <w:tcW w:w="2180" w:type="dxa"/>
            <w:shd w:val="clear" w:color="auto" w:fill="auto"/>
          </w:tcPr>
          <w:p w14:paraId="0A38C7FB"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-2.34</w:t>
            </w:r>
          </w:p>
        </w:tc>
        <w:tc>
          <w:tcPr>
            <w:tcW w:w="2180" w:type="dxa"/>
            <w:shd w:val="clear" w:color="auto" w:fill="auto"/>
          </w:tcPr>
          <w:p w14:paraId="3F5CAF5E"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-0.14</w:t>
            </w:r>
          </w:p>
        </w:tc>
      </w:tr>
      <w:tr w:rsidR="00D821EF" w14:paraId="1775F460"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2EE452D0" w14:textId="77777777" w:rsidR="00D821EF" w:rsidRPr="00326613" w:rsidRDefault="00D821EF" w:rsidP="00D821EF">
            <w:pPr>
              <w:spacing w:before="0" w:after="0"/>
              <w:rPr>
                <w:sz w:val="18"/>
                <w:szCs w:val="18"/>
              </w:rPr>
            </w:pPr>
            <w:r w:rsidRPr="00326613">
              <w:rPr>
                <w:sz w:val="18"/>
                <w:szCs w:val="18"/>
              </w:rPr>
              <w:t>500</w:t>
            </w:r>
          </w:p>
        </w:tc>
        <w:tc>
          <w:tcPr>
            <w:tcW w:w="2180" w:type="dxa"/>
            <w:shd w:val="clear" w:color="auto" w:fill="auto"/>
          </w:tcPr>
          <w:p w14:paraId="0849B33B"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5</w:t>
            </w:r>
          </w:p>
        </w:tc>
        <w:tc>
          <w:tcPr>
            <w:tcW w:w="2180" w:type="dxa"/>
            <w:shd w:val="clear" w:color="auto" w:fill="auto"/>
          </w:tcPr>
          <w:p w14:paraId="0E6DA4B8"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2.37</w:t>
            </w:r>
          </w:p>
        </w:tc>
        <w:tc>
          <w:tcPr>
            <w:tcW w:w="2180" w:type="dxa"/>
            <w:shd w:val="clear" w:color="auto" w:fill="auto"/>
          </w:tcPr>
          <w:p w14:paraId="1F54E8DC"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0.94</w:t>
            </w:r>
          </w:p>
        </w:tc>
      </w:tr>
      <w:tr w:rsidR="00D821EF" w14:paraId="36D29838"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232CC00C" w14:textId="77777777" w:rsidR="00D821EF" w:rsidRPr="00326613" w:rsidRDefault="00D821EF" w:rsidP="00D821EF">
            <w:pPr>
              <w:spacing w:before="0" w:after="0"/>
              <w:rPr>
                <w:sz w:val="18"/>
                <w:szCs w:val="18"/>
              </w:rPr>
            </w:pPr>
            <w:r w:rsidRPr="00326613">
              <w:rPr>
                <w:sz w:val="18"/>
                <w:szCs w:val="18"/>
              </w:rPr>
              <w:t>500</w:t>
            </w:r>
          </w:p>
        </w:tc>
        <w:tc>
          <w:tcPr>
            <w:tcW w:w="2180" w:type="dxa"/>
            <w:shd w:val="clear" w:color="auto" w:fill="auto"/>
          </w:tcPr>
          <w:p w14:paraId="06D0568B"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25</w:t>
            </w:r>
          </w:p>
        </w:tc>
        <w:tc>
          <w:tcPr>
            <w:tcW w:w="2180" w:type="dxa"/>
            <w:shd w:val="clear" w:color="auto" w:fill="auto"/>
          </w:tcPr>
          <w:p w14:paraId="0194BF3C"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2.83</w:t>
            </w:r>
          </w:p>
        </w:tc>
        <w:tc>
          <w:tcPr>
            <w:tcW w:w="2180" w:type="dxa"/>
            <w:shd w:val="clear" w:color="auto" w:fill="auto"/>
          </w:tcPr>
          <w:p w14:paraId="4278FEC5"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0.38</w:t>
            </w:r>
          </w:p>
        </w:tc>
      </w:tr>
      <w:tr w:rsidR="00D821EF" w14:paraId="545A2E35"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48267AAE" w14:textId="77777777" w:rsidR="00D821EF" w:rsidRPr="00326613" w:rsidRDefault="00D821EF" w:rsidP="00D821EF">
            <w:pPr>
              <w:spacing w:before="0" w:after="0"/>
              <w:rPr>
                <w:sz w:val="18"/>
                <w:szCs w:val="18"/>
              </w:rPr>
            </w:pPr>
            <w:r w:rsidRPr="00326613">
              <w:rPr>
                <w:sz w:val="18"/>
                <w:szCs w:val="18"/>
              </w:rPr>
              <w:t>500</w:t>
            </w:r>
          </w:p>
        </w:tc>
        <w:tc>
          <w:tcPr>
            <w:tcW w:w="2180" w:type="dxa"/>
            <w:shd w:val="clear" w:color="auto" w:fill="auto"/>
          </w:tcPr>
          <w:p w14:paraId="073D32FE"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50</w:t>
            </w:r>
          </w:p>
        </w:tc>
        <w:tc>
          <w:tcPr>
            <w:tcW w:w="2180" w:type="dxa"/>
            <w:shd w:val="clear" w:color="auto" w:fill="auto"/>
          </w:tcPr>
          <w:p w14:paraId="51D9DC37"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2.52</w:t>
            </w:r>
          </w:p>
        </w:tc>
        <w:tc>
          <w:tcPr>
            <w:tcW w:w="2180" w:type="dxa"/>
            <w:shd w:val="clear" w:color="auto" w:fill="auto"/>
          </w:tcPr>
          <w:p w14:paraId="2DE20EAF"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0.49</w:t>
            </w:r>
          </w:p>
        </w:tc>
      </w:tr>
      <w:tr w:rsidR="00D821EF" w14:paraId="54DADE26"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22AB90E8" w14:textId="77777777" w:rsidR="00D821EF" w:rsidRPr="00326613" w:rsidRDefault="00D821EF" w:rsidP="00D821EF">
            <w:pPr>
              <w:spacing w:before="0" w:after="0"/>
              <w:rPr>
                <w:sz w:val="18"/>
                <w:szCs w:val="18"/>
              </w:rPr>
            </w:pPr>
            <w:r w:rsidRPr="00326613">
              <w:rPr>
                <w:sz w:val="18"/>
                <w:szCs w:val="18"/>
              </w:rPr>
              <w:t>500</w:t>
            </w:r>
          </w:p>
        </w:tc>
        <w:tc>
          <w:tcPr>
            <w:tcW w:w="2180" w:type="dxa"/>
            <w:shd w:val="clear" w:color="auto" w:fill="auto"/>
          </w:tcPr>
          <w:p w14:paraId="2AE2CC1B"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326613">
              <w:rPr>
                <w:b/>
                <w:sz w:val="18"/>
                <w:szCs w:val="18"/>
              </w:rPr>
              <w:t>100</w:t>
            </w:r>
          </w:p>
        </w:tc>
        <w:tc>
          <w:tcPr>
            <w:tcW w:w="2180" w:type="dxa"/>
            <w:shd w:val="clear" w:color="auto" w:fill="auto"/>
          </w:tcPr>
          <w:p w14:paraId="59BCE7A5"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1.73</w:t>
            </w:r>
          </w:p>
        </w:tc>
        <w:tc>
          <w:tcPr>
            <w:tcW w:w="2180" w:type="dxa"/>
            <w:shd w:val="clear" w:color="auto" w:fill="auto"/>
          </w:tcPr>
          <w:p w14:paraId="3F0F9BDA" w14:textId="77777777" w:rsidR="00D821EF" w:rsidRPr="00326613"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0.82</w:t>
            </w:r>
          </w:p>
        </w:tc>
      </w:tr>
      <w:tr w:rsidR="00D821EF" w14:paraId="34B425B5" w14:textId="77777777" w:rsidTr="00DB3655">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14:paraId="6B893D7B" w14:textId="77777777" w:rsidR="00D821EF" w:rsidRPr="00326613" w:rsidRDefault="00D821EF" w:rsidP="00D821EF">
            <w:pPr>
              <w:spacing w:before="0" w:after="0"/>
              <w:rPr>
                <w:sz w:val="18"/>
                <w:szCs w:val="18"/>
              </w:rPr>
            </w:pPr>
            <w:r w:rsidRPr="00326613">
              <w:rPr>
                <w:sz w:val="18"/>
                <w:szCs w:val="18"/>
              </w:rPr>
              <w:t>500</w:t>
            </w:r>
          </w:p>
        </w:tc>
        <w:tc>
          <w:tcPr>
            <w:tcW w:w="2180" w:type="dxa"/>
            <w:shd w:val="clear" w:color="auto" w:fill="auto"/>
          </w:tcPr>
          <w:p w14:paraId="0B08842F"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326613">
              <w:rPr>
                <w:b/>
                <w:sz w:val="18"/>
                <w:szCs w:val="18"/>
              </w:rPr>
              <w:t>500</w:t>
            </w:r>
          </w:p>
        </w:tc>
        <w:tc>
          <w:tcPr>
            <w:tcW w:w="2180" w:type="dxa"/>
            <w:shd w:val="clear" w:color="auto" w:fill="auto"/>
          </w:tcPr>
          <w:p w14:paraId="60C3B326"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-1.34</w:t>
            </w:r>
          </w:p>
        </w:tc>
        <w:tc>
          <w:tcPr>
            <w:tcW w:w="2180" w:type="dxa"/>
            <w:shd w:val="clear" w:color="auto" w:fill="auto"/>
          </w:tcPr>
          <w:p w14:paraId="4EBC9BDC" w14:textId="77777777" w:rsidR="00D821EF" w:rsidRPr="00326613"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0.08</w:t>
            </w:r>
          </w:p>
        </w:tc>
      </w:tr>
    </w:tbl>
    <w:p w14:paraId="7E1761F9" w14:textId="77777777" w:rsidR="00D821EF" w:rsidRDefault="00184734" w:rsidP="00184734">
      <w:pPr>
        <w:pStyle w:val="Heading2"/>
        <w:numPr>
          <w:ilvl w:val="0"/>
          <w:numId w:val="0"/>
        </w:numPr>
        <w:ind w:left="576" w:hanging="576"/>
      </w:pPr>
      <w:bookmarkStart w:id="298" w:name="_Toc485712838"/>
      <w:r>
        <w:t xml:space="preserve">Appendix C: </w:t>
      </w:r>
      <w:r w:rsidR="007B2306">
        <w:t xml:space="preserve">Raw data &amp; data tables </w:t>
      </w:r>
      <w:r w:rsidR="00D821EF">
        <w:t>for Chapter 5</w:t>
      </w:r>
      <w:bookmarkEnd w:id="298"/>
    </w:p>
    <w:p w14:paraId="621689C3" w14:textId="77777777" w:rsidR="008C2B83" w:rsidRPr="008C2B83" w:rsidRDefault="00184734" w:rsidP="00184734">
      <w:pPr>
        <w:pStyle w:val="Heading3"/>
        <w:numPr>
          <w:ilvl w:val="0"/>
          <w:numId w:val="0"/>
        </w:numPr>
        <w:ind w:left="720" w:hanging="720"/>
      </w:pPr>
      <w:bookmarkStart w:id="299" w:name="_Toc485712839"/>
      <w:r>
        <w:t xml:space="preserve">C.1 </w:t>
      </w:r>
      <w:r w:rsidR="008C2B83">
        <w:t>Arginine</w:t>
      </w:r>
      <w:bookmarkEnd w:id="299"/>
    </w:p>
    <w:p w14:paraId="15AFE4DF"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14</w:t>
        </w:r>
      </w:fldSimple>
      <w:r>
        <w:t>. NTA data for arginine pH 7 25 °C</w:t>
      </w:r>
    </w:p>
    <w:tbl>
      <w:tblPr>
        <w:tblStyle w:val="LightShading"/>
        <w:tblW w:w="0" w:type="auto"/>
        <w:tblLook w:val="04A0" w:firstRow="1" w:lastRow="0" w:firstColumn="1" w:lastColumn="0" w:noHBand="0" w:noVBand="1"/>
      </w:tblPr>
      <w:tblGrid>
        <w:gridCol w:w="1291"/>
        <w:gridCol w:w="1271"/>
        <w:gridCol w:w="1271"/>
        <w:gridCol w:w="1168"/>
        <w:gridCol w:w="1168"/>
        <w:gridCol w:w="1168"/>
        <w:gridCol w:w="1161"/>
        <w:gridCol w:w="222"/>
      </w:tblGrid>
      <w:tr w:rsidR="00D821EF" w14:paraId="19208850"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17EBE920" w14:textId="77777777" w:rsidR="00D821EF" w:rsidRPr="0054456C" w:rsidRDefault="00D821EF" w:rsidP="00D821EF">
            <w:pPr>
              <w:spacing w:before="0" w:after="0"/>
              <w:rPr>
                <w:sz w:val="18"/>
                <w:szCs w:val="18"/>
              </w:rPr>
            </w:pPr>
            <w:r w:rsidRPr="0054456C">
              <w:rPr>
                <w:sz w:val="18"/>
                <w:szCs w:val="18"/>
              </w:rPr>
              <w:t>Concentration (mM)</w:t>
            </w:r>
          </w:p>
        </w:tc>
        <w:tc>
          <w:tcPr>
            <w:tcW w:w="1271" w:type="dxa"/>
            <w:shd w:val="clear" w:color="auto" w:fill="auto"/>
          </w:tcPr>
          <w:p w14:paraId="505B273F"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Mean nanoparticle concentration (particles/ mL)</w:t>
            </w:r>
          </w:p>
        </w:tc>
        <w:tc>
          <w:tcPr>
            <w:tcW w:w="1271" w:type="dxa"/>
            <w:shd w:val="clear" w:color="auto" w:fill="auto"/>
          </w:tcPr>
          <w:p w14:paraId="53FD85AF"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Nanoparticle concentration SE</w:t>
            </w:r>
          </w:p>
        </w:tc>
        <w:tc>
          <w:tcPr>
            <w:tcW w:w="1168" w:type="dxa"/>
            <w:shd w:val="clear" w:color="auto" w:fill="auto"/>
          </w:tcPr>
          <w:p w14:paraId="3FFE76B2"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Averag</w:t>
            </w:r>
            <w:r w:rsidRPr="0054456C">
              <w:rPr>
                <w:sz w:val="18"/>
                <w:szCs w:val="18"/>
              </w:rPr>
              <w:t>e mean nanoparticle size (nm)</w:t>
            </w:r>
          </w:p>
        </w:tc>
        <w:tc>
          <w:tcPr>
            <w:tcW w:w="1168" w:type="dxa"/>
            <w:shd w:val="clear" w:color="auto" w:fill="auto"/>
          </w:tcPr>
          <w:p w14:paraId="201C68A0"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Mean nanoparticle size SE</w:t>
            </w:r>
          </w:p>
        </w:tc>
        <w:tc>
          <w:tcPr>
            <w:tcW w:w="1168" w:type="dxa"/>
            <w:shd w:val="clear" w:color="auto" w:fill="auto"/>
          </w:tcPr>
          <w:p w14:paraId="7CE6936B"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Average mode nanoparticle size (nm)</w:t>
            </w:r>
          </w:p>
        </w:tc>
        <w:tc>
          <w:tcPr>
            <w:tcW w:w="1161" w:type="dxa"/>
            <w:shd w:val="clear" w:color="auto" w:fill="auto"/>
          </w:tcPr>
          <w:p w14:paraId="34B27325"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Mode nanoparticle size SE</w:t>
            </w:r>
          </w:p>
        </w:tc>
        <w:tc>
          <w:tcPr>
            <w:tcW w:w="222" w:type="dxa"/>
            <w:shd w:val="clear" w:color="auto" w:fill="auto"/>
          </w:tcPr>
          <w:p w14:paraId="3CF83546" w14:textId="77777777" w:rsidR="00D821EF" w:rsidRDefault="00D821EF" w:rsidP="00D821EF">
            <w:pPr>
              <w:spacing w:before="0" w:after="0"/>
              <w:cnfStyle w:val="100000000000" w:firstRow="1" w:lastRow="0" w:firstColumn="0" w:lastColumn="0" w:oddVBand="0" w:evenVBand="0" w:oddHBand="0" w:evenHBand="0" w:firstRowFirstColumn="0" w:firstRowLastColumn="0" w:lastRowFirstColumn="0" w:lastRowLastColumn="0"/>
            </w:pPr>
          </w:p>
        </w:tc>
      </w:tr>
      <w:tr w:rsidR="00D821EF" w14:paraId="1347851C"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101A1C4A" w14:textId="77777777" w:rsidR="00D821EF" w:rsidRPr="0054456C" w:rsidRDefault="00D821EF" w:rsidP="00D821EF">
            <w:pPr>
              <w:spacing w:before="0" w:after="0"/>
              <w:rPr>
                <w:sz w:val="18"/>
                <w:szCs w:val="18"/>
              </w:rPr>
            </w:pPr>
            <w:r w:rsidRPr="0054456C">
              <w:rPr>
                <w:sz w:val="18"/>
                <w:szCs w:val="18"/>
              </w:rPr>
              <w:t>0.5</w:t>
            </w:r>
          </w:p>
        </w:tc>
        <w:tc>
          <w:tcPr>
            <w:tcW w:w="1271" w:type="dxa"/>
            <w:shd w:val="clear" w:color="auto" w:fill="auto"/>
          </w:tcPr>
          <w:p w14:paraId="54BBF156"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6.25E6</w:t>
            </w:r>
          </w:p>
        </w:tc>
        <w:tc>
          <w:tcPr>
            <w:tcW w:w="1271" w:type="dxa"/>
            <w:shd w:val="clear" w:color="auto" w:fill="auto"/>
          </w:tcPr>
          <w:p w14:paraId="492661C2"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1.89E6</w:t>
            </w:r>
          </w:p>
        </w:tc>
        <w:tc>
          <w:tcPr>
            <w:tcW w:w="1168" w:type="dxa"/>
            <w:shd w:val="clear" w:color="auto" w:fill="auto"/>
          </w:tcPr>
          <w:p w14:paraId="6081306F"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178.00</w:t>
            </w:r>
          </w:p>
        </w:tc>
        <w:tc>
          <w:tcPr>
            <w:tcW w:w="1168" w:type="dxa"/>
            <w:shd w:val="clear" w:color="auto" w:fill="auto"/>
          </w:tcPr>
          <w:p w14:paraId="572BEDD0"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32.64</w:t>
            </w:r>
          </w:p>
        </w:tc>
        <w:tc>
          <w:tcPr>
            <w:tcW w:w="1168" w:type="dxa"/>
            <w:shd w:val="clear" w:color="auto" w:fill="auto"/>
          </w:tcPr>
          <w:p w14:paraId="4B4F1616"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175.75</w:t>
            </w:r>
          </w:p>
        </w:tc>
        <w:tc>
          <w:tcPr>
            <w:tcW w:w="1161" w:type="dxa"/>
            <w:shd w:val="clear" w:color="auto" w:fill="auto"/>
          </w:tcPr>
          <w:p w14:paraId="340F1572"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42.87</w:t>
            </w:r>
          </w:p>
        </w:tc>
        <w:tc>
          <w:tcPr>
            <w:tcW w:w="222" w:type="dxa"/>
            <w:shd w:val="clear" w:color="auto" w:fill="auto"/>
          </w:tcPr>
          <w:p w14:paraId="41B68CE2"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r w:rsidR="00D821EF" w14:paraId="550942F6" w14:textId="77777777" w:rsidTr="00DB3655">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39CA2FD4" w14:textId="77777777" w:rsidR="00D821EF" w:rsidRPr="0054456C" w:rsidRDefault="00D821EF" w:rsidP="00D821EF">
            <w:pPr>
              <w:spacing w:before="0" w:after="0"/>
              <w:rPr>
                <w:sz w:val="18"/>
                <w:szCs w:val="18"/>
              </w:rPr>
            </w:pPr>
            <w:r w:rsidRPr="0054456C">
              <w:rPr>
                <w:sz w:val="18"/>
                <w:szCs w:val="18"/>
              </w:rPr>
              <w:t>1</w:t>
            </w:r>
          </w:p>
        </w:tc>
        <w:tc>
          <w:tcPr>
            <w:tcW w:w="1271" w:type="dxa"/>
            <w:shd w:val="clear" w:color="auto" w:fill="auto"/>
          </w:tcPr>
          <w:p w14:paraId="1C99BBBF"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8.75E6</w:t>
            </w:r>
          </w:p>
        </w:tc>
        <w:tc>
          <w:tcPr>
            <w:tcW w:w="1271" w:type="dxa"/>
            <w:shd w:val="clear" w:color="auto" w:fill="auto"/>
          </w:tcPr>
          <w:p w14:paraId="50C45F29"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1.11E6</w:t>
            </w:r>
          </w:p>
        </w:tc>
        <w:tc>
          <w:tcPr>
            <w:tcW w:w="1168" w:type="dxa"/>
            <w:shd w:val="clear" w:color="auto" w:fill="auto"/>
          </w:tcPr>
          <w:p w14:paraId="18837A65"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206.00</w:t>
            </w:r>
          </w:p>
        </w:tc>
        <w:tc>
          <w:tcPr>
            <w:tcW w:w="1168" w:type="dxa"/>
            <w:shd w:val="clear" w:color="auto" w:fill="auto"/>
          </w:tcPr>
          <w:p w14:paraId="06FB27A5"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7.38</w:t>
            </w:r>
          </w:p>
        </w:tc>
        <w:tc>
          <w:tcPr>
            <w:tcW w:w="1168" w:type="dxa"/>
            <w:shd w:val="clear" w:color="auto" w:fill="auto"/>
          </w:tcPr>
          <w:p w14:paraId="6C2CAC32"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154.00</w:t>
            </w:r>
          </w:p>
        </w:tc>
        <w:tc>
          <w:tcPr>
            <w:tcW w:w="1161" w:type="dxa"/>
            <w:shd w:val="clear" w:color="auto" w:fill="auto"/>
          </w:tcPr>
          <w:p w14:paraId="08D6F068"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24.62</w:t>
            </w:r>
          </w:p>
        </w:tc>
        <w:tc>
          <w:tcPr>
            <w:tcW w:w="222" w:type="dxa"/>
            <w:shd w:val="clear" w:color="auto" w:fill="auto"/>
          </w:tcPr>
          <w:p w14:paraId="38D16B2C" w14:textId="77777777" w:rsidR="00D821EF" w:rsidRDefault="00D821EF" w:rsidP="00D821EF">
            <w:pPr>
              <w:spacing w:before="0" w:after="0"/>
              <w:cnfStyle w:val="000000000000" w:firstRow="0" w:lastRow="0" w:firstColumn="0" w:lastColumn="0" w:oddVBand="0" w:evenVBand="0" w:oddHBand="0" w:evenHBand="0" w:firstRowFirstColumn="0" w:firstRowLastColumn="0" w:lastRowFirstColumn="0" w:lastRowLastColumn="0"/>
            </w:pPr>
          </w:p>
        </w:tc>
      </w:tr>
      <w:tr w:rsidR="00D821EF" w14:paraId="64224FC0"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5F5AB83F" w14:textId="77777777" w:rsidR="00D821EF" w:rsidRPr="0054456C" w:rsidRDefault="00D821EF" w:rsidP="00D821EF">
            <w:pPr>
              <w:spacing w:before="0" w:after="0"/>
              <w:rPr>
                <w:sz w:val="18"/>
                <w:szCs w:val="18"/>
              </w:rPr>
            </w:pPr>
            <w:r w:rsidRPr="0054456C">
              <w:rPr>
                <w:sz w:val="18"/>
                <w:szCs w:val="18"/>
              </w:rPr>
              <w:t>2.5</w:t>
            </w:r>
          </w:p>
        </w:tc>
        <w:tc>
          <w:tcPr>
            <w:tcW w:w="1271" w:type="dxa"/>
            <w:shd w:val="clear" w:color="auto" w:fill="auto"/>
          </w:tcPr>
          <w:p w14:paraId="365B43C5"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1.80E7</w:t>
            </w:r>
          </w:p>
        </w:tc>
        <w:tc>
          <w:tcPr>
            <w:tcW w:w="1271" w:type="dxa"/>
            <w:shd w:val="clear" w:color="auto" w:fill="auto"/>
          </w:tcPr>
          <w:p w14:paraId="6643B235"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1.29E6</w:t>
            </w:r>
          </w:p>
        </w:tc>
        <w:tc>
          <w:tcPr>
            <w:tcW w:w="1168" w:type="dxa"/>
            <w:shd w:val="clear" w:color="auto" w:fill="auto"/>
          </w:tcPr>
          <w:p w14:paraId="4E188CB2"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133.00</w:t>
            </w:r>
          </w:p>
        </w:tc>
        <w:tc>
          <w:tcPr>
            <w:tcW w:w="1168" w:type="dxa"/>
            <w:shd w:val="clear" w:color="auto" w:fill="auto"/>
          </w:tcPr>
          <w:p w14:paraId="1EDA62A8"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20.25</w:t>
            </w:r>
          </w:p>
        </w:tc>
        <w:tc>
          <w:tcPr>
            <w:tcW w:w="1168" w:type="dxa"/>
            <w:shd w:val="clear" w:color="auto" w:fill="auto"/>
          </w:tcPr>
          <w:p w14:paraId="3B078047"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100.50</w:t>
            </w:r>
          </w:p>
        </w:tc>
        <w:tc>
          <w:tcPr>
            <w:tcW w:w="1161" w:type="dxa"/>
            <w:shd w:val="clear" w:color="auto" w:fill="auto"/>
          </w:tcPr>
          <w:p w14:paraId="29D0F4F1"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8.05</w:t>
            </w:r>
          </w:p>
        </w:tc>
        <w:tc>
          <w:tcPr>
            <w:tcW w:w="222" w:type="dxa"/>
            <w:shd w:val="clear" w:color="auto" w:fill="auto"/>
          </w:tcPr>
          <w:p w14:paraId="50519086"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r w:rsidR="00D821EF" w14:paraId="4FE688F6" w14:textId="77777777" w:rsidTr="00DB3655">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135A683F" w14:textId="77777777" w:rsidR="00D821EF" w:rsidRPr="0054456C" w:rsidRDefault="00D821EF" w:rsidP="00D821EF">
            <w:pPr>
              <w:spacing w:before="0" w:after="0"/>
              <w:rPr>
                <w:sz w:val="18"/>
                <w:szCs w:val="18"/>
              </w:rPr>
            </w:pPr>
            <w:r w:rsidRPr="0054456C">
              <w:rPr>
                <w:sz w:val="18"/>
                <w:szCs w:val="18"/>
              </w:rPr>
              <w:t>5</w:t>
            </w:r>
          </w:p>
        </w:tc>
        <w:tc>
          <w:tcPr>
            <w:tcW w:w="1271" w:type="dxa"/>
            <w:shd w:val="clear" w:color="auto" w:fill="auto"/>
          </w:tcPr>
          <w:p w14:paraId="0E5DF728"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6.28E7</w:t>
            </w:r>
          </w:p>
        </w:tc>
        <w:tc>
          <w:tcPr>
            <w:tcW w:w="1271" w:type="dxa"/>
            <w:shd w:val="clear" w:color="auto" w:fill="auto"/>
          </w:tcPr>
          <w:p w14:paraId="45DF6AD6"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3.71E6</w:t>
            </w:r>
          </w:p>
        </w:tc>
        <w:tc>
          <w:tcPr>
            <w:tcW w:w="1168" w:type="dxa"/>
            <w:shd w:val="clear" w:color="auto" w:fill="auto"/>
          </w:tcPr>
          <w:p w14:paraId="27125B27"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137.75</w:t>
            </w:r>
          </w:p>
        </w:tc>
        <w:tc>
          <w:tcPr>
            <w:tcW w:w="1168" w:type="dxa"/>
            <w:shd w:val="clear" w:color="auto" w:fill="auto"/>
          </w:tcPr>
          <w:p w14:paraId="063F9E9E"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8.12</w:t>
            </w:r>
          </w:p>
        </w:tc>
        <w:tc>
          <w:tcPr>
            <w:tcW w:w="1168" w:type="dxa"/>
            <w:shd w:val="clear" w:color="auto" w:fill="auto"/>
          </w:tcPr>
          <w:p w14:paraId="51B4D6C2"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92.75</w:t>
            </w:r>
          </w:p>
        </w:tc>
        <w:tc>
          <w:tcPr>
            <w:tcW w:w="1161" w:type="dxa"/>
            <w:shd w:val="clear" w:color="auto" w:fill="auto"/>
          </w:tcPr>
          <w:p w14:paraId="219FB5A2"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5.04</w:t>
            </w:r>
          </w:p>
        </w:tc>
        <w:tc>
          <w:tcPr>
            <w:tcW w:w="222" w:type="dxa"/>
            <w:shd w:val="clear" w:color="auto" w:fill="auto"/>
          </w:tcPr>
          <w:p w14:paraId="0707C393" w14:textId="77777777" w:rsidR="00D821EF" w:rsidRDefault="00D821EF" w:rsidP="00D821EF">
            <w:pPr>
              <w:spacing w:before="0" w:after="0"/>
              <w:cnfStyle w:val="000000000000" w:firstRow="0" w:lastRow="0" w:firstColumn="0" w:lastColumn="0" w:oddVBand="0" w:evenVBand="0" w:oddHBand="0" w:evenHBand="0" w:firstRowFirstColumn="0" w:firstRowLastColumn="0" w:lastRowFirstColumn="0" w:lastRowLastColumn="0"/>
            </w:pPr>
          </w:p>
        </w:tc>
      </w:tr>
      <w:tr w:rsidR="00D821EF" w14:paraId="33901AF7"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5A2125CC" w14:textId="77777777" w:rsidR="00D821EF" w:rsidRPr="0054456C" w:rsidRDefault="00D821EF" w:rsidP="00D821EF">
            <w:pPr>
              <w:spacing w:before="0" w:after="0"/>
              <w:rPr>
                <w:sz w:val="18"/>
                <w:szCs w:val="18"/>
              </w:rPr>
            </w:pPr>
            <w:r w:rsidRPr="0054456C">
              <w:rPr>
                <w:sz w:val="18"/>
                <w:szCs w:val="18"/>
              </w:rPr>
              <w:t>10</w:t>
            </w:r>
          </w:p>
        </w:tc>
        <w:tc>
          <w:tcPr>
            <w:tcW w:w="1271" w:type="dxa"/>
            <w:shd w:val="clear" w:color="auto" w:fill="auto"/>
          </w:tcPr>
          <w:p w14:paraId="44B3FA8C"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3.68E7</w:t>
            </w:r>
          </w:p>
        </w:tc>
        <w:tc>
          <w:tcPr>
            <w:tcW w:w="1271" w:type="dxa"/>
            <w:shd w:val="clear" w:color="auto" w:fill="auto"/>
          </w:tcPr>
          <w:p w14:paraId="479F94DE"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9.15E6</w:t>
            </w:r>
          </w:p>
        </w:tc>
        <w:tc>
          <w:tcPr>
            <w:tcW w:w="1168" w:type="dxa"/>
            <w:shd w:val="clear" w:color="auto" w:fill="auto"/>
          </w:tcPr>
          <w:p w14:paraId="501ED17A"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209.75</w:t>
            </w:r>
          </w:p>
        </w:tc>
        <w:tc>
          <w:tcPr>
            <w:tcW w:w="1168" w:type="dxa"/>
            <w:shd w:val="clear" w:color="auto" w:fill="auto"/>
          </w:tcPr>
          <w:p w14:paraId="49572470"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39.77</w:t>
            </w:r>
          </w:p>
        </w:tc>
        <w:tc>
          <w:tcPr>
            <w:tcW w:w="1168" w:type="dxa"/>
            <w:shd w:val="clear" w:color="auto" w:fill="auto"/>
          </w:tcPr>
          <w:p w14:paraId="2F1DC4D7"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142.75</w:t>
            </w:r>
          </w:p>
        </w:tc>
        <w:tc>
          <w:tcPr>
            <w:tcW w:w="1161" w:type="dxa"/>
            <w:shd w:val="clear" w:color="auto" w:fill="auto"/>
          </w:tcPr>
          <w:p w14:paraId="24153204"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45.93</w:t>
            </w:r>
          </w:p>
        </w:tc>
        <w:tc>
          <w:tcPr>
            <w:tcW w:w="222" w:type="dxa"/>
            <w:shd w:val="clear" w:color="auto" w:fill="auto"/>
          </w:tcPr>
          <w:p w14:paraId="5C2C88FC"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r w:rsidR="00D821EF" w14:paraId="066AC6F0" w14:textId="77777777" w:rsidTr="00DB3655">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3A675364" w14:textId="77777777" w:rsidR="00D821EF" w:rsidRPr="0054456C" w:rsidRDefault="00D821EF" w:rsidP="00D821EF">
            <w:pPr>
              <w:spacing w:before="0" w:after="0"/>
              <w:rPr>
                <w:sz w:val="18"/>
                <w:szCs w:val="18"/>
              </w:rPr>
            </w:pPr>
            <w:r w:rsidRPr="0054456C">
              <w:rPr>
                <w:sz w:val="18"/>
                <w:szCs w:val="18"/>
              </w:rPr>
              <w:t>25</w:t>
            </w:r>
          </w:p>
        </w:tc>
        <w:tc>
          <w:tcPr>
            <w:tcW w:w="1271" w:type="dxa"/>
            <w:shd w:val="clear" w:color="auto" w:fill="auto"/>
          </w:tcPr>
          <w:p w14:paraId="28F6FF1E"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4.75E7</w:t>
            </w:r>
          </w:p>
        </w:tc>
        <w:tc>
          <w:tcPr>
            <w:tcW w:w="1271" w:type="dxa"/>
            <w:shd w:val="clear" w:color="auto" w:fill="auto"/>
          </w:tcPr>
          <w:p w14:paraId="26A5E8EF"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7.12E6</w:t>
            </w:r>
          </w:p>
        </w:tc>
        <w:tc>
          <w:tcPr>
            <w:tcW w:w="1168" w:type="dxa"/>
            <w:shd w:val="clear" w:color="auto" w:fill="auto"/>
          </w:tcPr>
          <w:p w14:paraId="45E5D3CB"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205.25</w:t>
            </w:r>
          </w:p>
        </w:tc>
        <w:tc>
          <w:tcPr>
            <w:tcW w:w="1168" w:type="dxa"/>
            <w:shd w:val="clear" w:color="auto" w:fill="auto"/>
          </w:tcPr>
          <w:p w14:paraId="1CFAEAB7"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12.34</w:t>
            </w:r>
          </w:p>
        </w:tc>
        <w:tc>
          <w:tcPr>
            <w:tcW w:w="1168" w:type="dxa"/>
            <w:shd w:val="clear" w:color="auto" w:fill="auto"/>
          </w:tcPr>
          <w:p w14:paraId="610B2B65"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189.25</w:t>
            </w:r>
          </w:p>
        </w:tc>
        <w:tc>
          <w:tcPr>
            <w:tcW w:w="1161" w:type="dxa"/>
            <w:shd w:val="clear" w:color="auto" w:fill="auto"/>
          </w:tcPr>
          <w:p w14:paraId="048CB562"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9.10</w:t>
            </w:r>
          </w:p>
        </w:tc>
        <w:tc>
          <w:tcPr>
            <w:tcW w:w="222" w:type="dxa"/>
            <w:shd w:val="clear" w:color="auto" w:fill="auto"/>
          </w:tcPr>
          <w:p w14:paraId="25173576" w14:textId="77777777" w:rsidR="00D821EF" w:rsidRDefault="00D821EF" w:rsidP="00D821EF">
            <w:pPr>
              <w:spacing w:before="0" w:after="0"/>
              <w:cnfStyle w:val="000000000000" w:firstRow="0" w:lastRow="0" w:firstColumn="0" w:lastColumn="0" w:oddVBand="0" w:evenVBand="0" w:oddHBand="0" w:evenHBand="0" w:firstRowFirstColumn="0" w:firstRowLastColumn="0" w:lastRowFirstColumn="0" w:lastRowLastColumn="0"/>
            </w:pPr>
          </w:p>
        </w:tc>
      </w:tr>
      <w:tr w:rsidR="00D821EF" w14:paraId="48C8BC77"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495E9B36" w14:textId="77777777" w:rsidR="00D821EF" w:rsidRPr="0054456C" w:rsidRDefault="00D821EF" w:rsidP="00D821EF">
            <w:pPr>
              <w:spacing w:before="0" w:after="0"/>
              <w:rPr>
                <w:sz w:val="18"/>
                <w:szCs w:val="18"/>
              </w:rPr>
            </w:pPr>
            <w:r w:rsidRPr="0054456C">
              <w:rPr>
                <w:sz w:val="18"/>
                <w:szCs w:val="18"/>
              </w:rPr>
              <w:t>50</w:t>
            </w:r>
          </w:p>
        </w:tc>
        <w:tc>
          <w:tcPr>
            <w:tcW w:w="1271" w:type="dxa"/>
            <w:shd w:val="clear" w:color="auto" w:fill="auto"/>
          </w:tcPr>
          <w:p w14:paraId="4D753F08"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6.68E7</w:t>
            </w:r>
          </w:p>
        </w:tc>
        <w:tc>
          <w:tcPr>
            <w:tcW w:w="1271" w:type="dxa"/>
            <w:shd w:val="clear" w:color="auto" w:fill="auto"/>
          </w:tcPr>
          <w:p w14:paraId="25FFFCA3"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7.49E6</w:t>
            </w:r>
          </w:p>
        </w:tc>
        <w:tc>
          <w:tcPr>
            <w:tcW w:w="1168" w:type="dxa"/>
            <w:shd w:val="clear" w:color="auto" w:fill="auto"/>
          </w:tcPr>
          <w:p w14:paraId="688BADD0"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177.50</w:t>
            </w:r>
          </w:p>
        </w:tc>
        <w:tc>
          <w:tcPr>
            <w:tcW w:w="1168" w:type="dxa"/>
            <w:shd w:val="clear" w:color="auto" w:fill="auto"/>
          </w:tcPr>
          <w:p w14:paraId="5197F208"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7.31</w:t>
            </w:r>
          </w:p>
        </w:tc>
        <w:tc>
          <w:tcPr>
            <w:tcW w:w="1168" w:type="dxa"/>
            <w:shd w:val="clear" w:color="auto" w:fill="auto"/>
          </w:tcPr>
          <w:p w14:paraId="4D2D0535"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170.00</w:t>
            </w:r>
          </w:p>
        </w:tc>
        <w:tc>
          <w:tcPr>
            <w:tcW w:w="1161" w:type="dxa"/>
            <w:shd w:val="clear" w:color="auto" w:fill="auto"/>
          </w:tcPr>
          <w:p w14:paraId="532D9619"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23.81</w:t>
            </w:r>
          </w:p>
        </w:tc>
        <w:tc>
          <w:tcPr>
            <w:tcW w:w="222" w:type="dxa"/>
            <w:shd w:val="clear" w:color="auto" w:fill="auto"/>
          </w:tcPr>
          <w:p w14:paraId="16E420BD"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r w:rsidR="00D821EF" w14:paraId="27FA18CF" w14:textId="77777777" w:rsidTr="00DB3655">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57F2F7D9" w14:textId="77777777" w:rsidR="00D821EF" w:rsidRPr="0054456C" w:rsidRDefault="00D821EF" w:rsidP="00D821EF">
            <w:pPr>
              <w:spacing w:before="0" w:after="0"/>
              <w:rPr>
                <w:sz w:val="18"/>
                <w:szCs w:val="18"/>
              </w:rPr>
            </w:pPr>
            <w:r w:rsidRPr="0054456C">
              <w:rPr>
                <w:sz w:val="18"/>
                <w:szCs w:val="18"/>
              </w:rPr>
              <w:t>75</w:t>
            </w:r>
          </w:p>
        </w:tc>
        <w:tc>
          <w:tcPr>
            <w:tcW w:w="1271" w:type="dxa"/>
            <w:shd w:val="clear" w:color="auto" w:fill="auto"/>
          </w:tcPr>
          <w:p w14:paraId="1F1B18C6"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8.38E7</w:t>
            </w:r>
          </w:p>
        </w:tc>
        <w:tc>
          <w:tcPr>
            <w:tcW w:w="1271" w:type="dxa"/>
            <w:shd w:val="clear" w:color="auto" w:fill="auto"/>
          </w:tcPr>
          <w:p w14:paraId="6D922EB5"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1.26E7</w:t>
            </w:r>
          </w:p>
        </w:tc>
        <w:tc>
          <w:tcPr>
            <w:tcW w:w="1168" w:type="dxa"/>
            <w:shd w:val="clear" w:color="auto" w:fill="auto"/>
          </w:tcPr>
          <w:p w14:paraId="1C16BA3C"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179.00</w:t>
            </w:r>
          </w:p>
        </w:tc>
        <w:tc>
          <w:tcPr>
            <w:tcW w:w="1168" w:type="dxa"/>
            <w:shd w:val="clear" w:color="auto" w:fill="auto"/>
          </w:tcPr>
          <w:p w14:paraId="2EF3599A"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9.03</w:t>
            </w:r>
          </w:p>
        </w:tc>
        <w:tc>
          <w:tcPr>
            <w:tcW w:w="1168" w:type="dxa"/>
            <w:shd w:val="clear" w:color="auto" w:fill="auto"/>
          </w:tcPr>
          <w:p w14:paraId="48C13F90"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139.50</w:t>
            </w:r>
          </w:p>
        </w:tc>
        <w:tc>
          <w:tcPr>
            <w:tcW w:w="1161" w:type="dxa"/>
            <w:shd w:val="clear" w:color="auto" w:fill="auto"/>
          </w:tcPr>
          <w:p w14:paraId="38B05041"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39.12</w:t>
            </w:r>
          </w:p>
        </w:tc>
        <w:tc>
          <w:tcPr>
            <w:tcW w:w="222" w:type="dxa"/>
            <w:shd w:val="clear" w:color="auto" w:fill="auto"/>
          </w:tcPr>
          <w:p w14:paraId="5F039864" w14:textId="77777777" w:rsidR="00D821EF" w:rsidRDefault="00D821EF" w:rsidP="00D821EF">
            <w:pPr>
              <w:spacing w:before="0" w:after="0"/>
              <w:cnfStyle w:val="000000000000" w:firstRow="0" w:lastRow="0" w:firstColumn="0" w:lastColumn="0" w:oddVBand="0" w:evenVBand="0" w:oddHBand="0" w:evenHBand="0" w:firstRowFirstColumn="0" w:firstRowLastColumn="0" w:lastRowFirstColumn="0" w:lastRowLastColumn="0"/>
            </w:pPr>
          </w:p>
        </w:tc>
      </w:tr>
      <w:tr w:rsidR="00D821EF" w14:paraId="68925AC0"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409686EE" w14:textId="77777777" w:rsidR="00D821EF" w:rsidRPr="0054456C" w:rsidRDefault="00D821EF" w:rsidP="00D821EF">
            <w:pPr>
              <w:spacing w:before="0" w:after="0"/>
              <w:rPr>
                <w:sz w:val="18"/>
                <w:szCs w:val="18"/>
              </w:rPr>
            </w:pPr>
            <w:r w:rsidRPr="0054456C">
              <w:rPr>
                <w:sz w:val="18"/>
                <w:szCs w:val="18"/>
              </w:rPr>
              <w:t>100</w:t>
            </w:r>
          </w:p>
        </w:tc>
        <w:tc>
          <w:tcPr>
            <w:tcW w:w="1271" w:type="dxa"/>
            <w:shd w:val="clear" w:color="auto" w:fill="auto"/>
          </w:tcPr>
          <w:p w14:paraId="69C3281C"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7.83E7</w:t>
            </w:r>
          </w:p>
        </w:tc>
        <w:tc>
          <w:tcPr>
            <w:tcW w:w="1271" w:type="dxa"/>
            <w:shd w:val="clear" w:color="auto" w:fill="auto"/>
          </w:tcPr>
          <w:p w14:paraId="7EE6973B"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6.86E6</w:t>
            </w:r>
          </w:p>
        </w:tc>
        <w:tc>
          <w:tcPr>
            <w:tcW w:w="1168" w:type="dxa"/>
            <w:shd w:val="clear" w:color="auto" w:fill="auto"/>
          </w:tcPr>
          <w:p w14:paraId="6F44A333"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203.75</w:t>
            </w:r>
          </w:p>
        </w:tc>
        <w:tc>
          <w:tcPr>
            <w:tcW w:w="1168" w:type="dxa"/>
            <w:shd w:val="clear" w:color="auto" w:fill="auto"/>
          </w:tcPr>
          <w:p w14:paraId="3735C39B"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4.99</w:t>
            </w:r>
          </w:p>
        </w:tc>
        <w:tc>
          <w:tcPr>
            <w:tcW w:w="1168" w:type="dxa"/>
            <w:shd w:val="clear" w:color="auto" w:fill="auto"/>
          </w:tcPr>
          <w:p w14:paraId="249DD053"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173.50</w:t>
            </w:r>
          </w:p>
        </w:tc>
        <w:tc>
          <w:tcPr>
            <w:tcW w:w="1161" w:type="dxa"/>
            <w:shd w:val="clear" w:color="auto" w:fill="auto"/>
          </w:tcPr>
          <w:p w14:paraId="554DD0C6"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16.26</w:t>
            </w:r>
          </w:p>
        </w:tc>
        <w:tc>
          <w:tcPr>
            <w:tcW w:w="222" w:type="dxa"/>
            <w:shd w:val="clear" w:color="auto" w:fill="auto"/>
          </w:tcPr>
          <w:p w14:paraId="254F26DB"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r w:rsidR="00D821EF" w14:paraId="1C1D29D6" w14:textId="77777777" w:rsidTr="00DB3655">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51B0649F" w14:textId="77777777" w:rsidR="00D821EF" w:rsidRPr="0054456C" w:rsidRDefault="00D821EF" w:rsidP="00D821EF">
            <w:pPr>
              <w:spacing w:before="0" w:after="0"/>
              <w:rPr>
                <w:sz w:val="18"/>
                <w:szCs w:val="18"/>
              </w:rPr>
            </w:pPr>
            <w:r w:rsidRPr="0054456C">
              <w:rPr>
                <w:sz w:val="18"/>
                <w:szCs w:val="18"/>
              </w:rPr>
              <w:t>250</w:t>
            </w:r>
          </w:p>
        </w:tc>
        <w:tc>
          <w:tcPr>
            <w:tcW w:w="1271" w:type="dxa"/>
            <w:shd w:val="clear" w:color="auto" w:fill="auto"/>
          </w:tcPr>
          <w:p w14:paraId="7710FEAD"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1.73E7</w:t>
            </w:r>
          </w:p>
        </w:tc>
        <w:tc>
          <w:tcPr>
            <w:tcW w:w="1271" w:type="dxa"/>
            <w:shd w:val="clear" w:color="auto" w:fill="auto"/>
          </w:tcPr>
          <w:p w14:paraId="620727A9"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1.20E7</w:t>
            </w:r>
          </w:p>
        </w:tc>
        <w:tc>
          <w:tcPr>
            <w:tcW w:w="1168" w:type="dxa"/>
            <w:shd w:val="clear" w:color="auto" w:fill="auto"/>
          </w:tcPr>
          <w:p w14:paraId="47895F20"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215.75</w:t>
            </w:r>
          </w:p>
        </w:tc>
        <w:tc>
          <w:tcPr>
            <w:tcW w:w="1168" w:type="dxa"/>
            <w:shd w:val="clear" w:color="auto" w:fill="auto"/>
          </w:tcPr>
          <w:p w14:paraId="7C133B91"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5.74</w:t>
            </w:r>
          </w:p>
        </w:tc>
        <w:tc>
          <w:tcPr>
            <w:tcW w:w="1168" w:type="dxa"/>
            <w:shd w:val="clear" w:color="auto" w:fill="auto"/>
          </w:tcPr>
          <w:p w14:paraId="08E12DEE"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209.25</w:t>
            </w:r>
          </w:p>
        </w:tc>
        <w:tc>
          <w:tcPr>
            <w:tcW w:w="1161" w:type="dxa"/>
            <w:shd w:val="clear" w:color="auto" w:fill="auto"/>
          </w:tcPr>
          <w:p w14:paraId="41ABA780"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9.51</w:t>
            </w:r>
          </w:p>
        </w:tc>
        <w:tc>
          <w:tcPr>
            <w:tcW w:w="222" w:type="dxa"/>
            <w:shd w:val="clear" w:color="auto" w:fill="auto"/>
          </w:tcPr>
          <w:p w14:paraId="7145C17F" w14:textId="77777777" w:rsidR="00D821EF" w:rsidRDefault="00D821EF" w:rsidP="00D821EF">
            <w:pPr>
              <w:spacing w:before="0" w:after="0"/>
              <w:cnfStyle w:val="000000000000" w:firstRow="0" w:lastRow="0" w:firstColumn="0" w:lastColumn="0" w:oddVBand="0" w:evenVBand="0" w:oddHBand="0" w:evenHBand="0" w:firstRowFirstColumn="0" w:firstRowLastColumn="0" w:lastRowFirstColumn="0" w:lastRowLastColumn="0"/>
            </w:pPr>
          </w:p>
        </w:tc>
      </w:tr>
      <w:tr w:rsidR="00D821EF" w14:paraId="3165EA5A"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25DAC498" w14:textId="77777777" w:rsidR="00D821EF" w:rsidRPr="0054456C" w:rsidRDefault="00D821EF" w:rsidP="00D821EF">
            <w:pPr>
              <w:spacing w:before="0" w:after="0"/>
              <w:rPr>
                <w:sz w:val="18"/>
                <w:szCs w:val="18"/>
              </w:rPr>
            </w:pPr>
            <w:r w:rsidRPr="0054456C">
              <w:rPr>
                <w:sz w:val="18"/>
                <w:szCs w:val="18"/>
              </w:rPr>
              <w:t>500</w:t>
            </w:r>
          </w:p>
        </w:tc>
        <w:tc>
          <w:tcPr>
            <w:tcW w:w="1271" w:type="dxa"/>
            <w:shd w:val="clear" w:color="auto" w:fill="auto"/>
          </w:tcPr>
          <w:p w14:paraId="54B4CA7E"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3.26E8</w:t>
            </w:r>
          </w:p>
        </w:tc>
        <w:tc>
          <w:tcPr>
            <w:tcW w:w="1271" w:type="dxa"/>
            <w:shd w:val="clear" w:color="auto" w:fill="auto"/>
          </w:tcPr>
          <w:p w14:paraId="36C9245B"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1.91E7</w:t>
            </w:r>
          </w:p>
        </w:tc>
        <w:tc>
          <w:tcPr>
            <w:tcW w:w="1168" w:type="dxa"/>
            <w:shd w:val="clear" w:color="auto" w:fill="auto"/>
          </w:tcPr>
          <w:p w14:paraId="5D849611"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243.75</w:t>
            </w:r>
          </w:p>
        </w:tc>
        <w:tc>
          <w:tcPr>
            <w:tcW w:w="1168" w:type="dxa"/>
            <w:shd w:val="clear" w:color="auto" w:fill="auto"/>
          </w:tcPr>
          <w:p w14:paraId="427DF04E"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5.84</w:t>
            </w:r>
          </w:p>
        </w:tc>
        <w:tc>
          <w:tcPr>
            <w:tcW w:w="1168" w:type="dxa"/>
            <w:shd w:val="clear" w:color="auto" w:fill="auto"/>
          </w:tcPr>
          <w:p w14:paraId="7478A9EA"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211.25</w:t>
            </w:r>
          </w:p>
        </w:tc>
        <w:tc>
          <w:tcPr>
            <w:tcW w:w="1161" w:type="dxa"/>
            <w:shd w:val="clear" w:color="auto" w:fill="auto"/>
          </w:tcPr>
          <w:p w14:paraId="541B5E15"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16.15</w:t>
            </w:r>
          </w:p>
        </w:tc>
        <w:tc>
          <w:tcPr>
            <w:tcW w:w="222" w:type="dxa"/>
            <w:shd w:val="clear" w:color="auto" w:fill="auto"/>
          </w:tcPr>
          <w:p w14:paraId="38F53102"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r w:rsidR="00D821EF" w14:paraId="504A5EE8" w14:textId="77777777" w:rsidTr="00DB3655">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2DDC4342" w14:textId="77777777" w:rsidR="00D821EF" w:rsidRPr="0054456C" w:rsidRDefault="00D821EF" w:rsidP="00D821EF">
            <w:pPr>
              <w:spacing w:before="0" w:after="0"/>
              <w:rPr>
                <w:sz w:val="18"/>
                <w:szCs w:val="18"/>
              </w:rPr>
            </w:pPr>
            <w:r w:rsidRPr="0054456C">
              <w:rPr>
                <w:sz w:val="18"/>
                <w:szCs w:val="18"/>
              </w:rPr>
              <w:t>750</w:t>
            </w:r>
          </w:p>
        </w:tc>
        <w:tc>
          <w:tcPr>
            <w:tcW w:w="1271" w:type="dxa"/>
            <w:shd w:val="clear" w:color="auto" w:fill="auto"/>
          </w:tcPr>
          <w:p w14:paraId="760CF62B"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3.69E8</w:t>
            </w:r>
          </w:p>
        </w:tc>
        <w:tc>
          <w:tcPr>
            <w:tcW w:w="1271" w:type="dxa"/>
            <w:shd w:val="clear" w:color="auto" w:fill="auto"/>
          </w:tcPr>
          <w:p w14:paraId="6A4CBC7D"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1.33E7</w:t>
            </w:r>
          </w:p>
        </w:tc>
        <w:tc>
          <w:tcPr>
            <w:tcW w:w="1168" w:type="dxa"/>
            <w:shd w:val="clear" w:color="auto" w:fill="auto"/>
          </w:tcPr>
          <w:p w14:paraId="1CE804C5"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192.50</w:t>
            </w:r>
          </w:p>
        </w:tc>
        <w:tc>
          <w:tcPr>
            <w:tcW w:w="1168" w:type="dxa"/>
            <w:shd w:val="clear" w:color="auto" w:fill="auto"/>
          </w:tcPr>
          <w:p w14:paraId="0C0BA8A0"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2.72</w:t>
            </w:r>
          </w:p>
        </w:tc>
        <w:tc>
          <w:tcPr>
            <w:tcW w:w="1168" w:type="dxa"/>
            <w:shd w:val="clear" w:color="auto" w:fill="auto"/>
          </w:tcPr>
          <w:p w14:paraId="3650B84D"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177.00</w:t>
            </w:r>
          </w:p>
        </w:tc>
        <w:tc>
          <w:tcPr>
            <w:tcW w:w="1161" w:type="dxa"/>
            <w:shd w:val="clear" w:color="auto" w:fill="auto"/>
          </w:tcPr>
          <w:p w14:paraId="51BB21F6"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6.77</w:t>
            </w:r>
          </w:p>
        </w:tc>
        <w:tc>
          <w:tcPr>
            <w:tcW w:w="222" w:type="dxa"/>
            <w:shd w:val="clear" w:color="auto" w:fill="auto"/>
          </w:tcPr>
          <w:p w14:paraId="1312B8DB" w14:textId="77777777" w:rsidR="00D821EF" w:rsidRDefault="00D821EF" w:rsidP="00D821EF">
            <w:pPr>
              <w:spacing w:before="0" w:after="0"/>
              <w:cnfStyle w:val="000000000000" w:firstRow="0" w:lastRow="0" w:firstColumn="0" w:lastColumn="0" w:oddVBand="0" w:evenVBand="0" w:oddHBand="0" w:evenHBand="0" w:firstRowFirstColumn="0" w:firstRowLastColumn="0" w:lastRowFirstColumn="0" w:lastRowLastColumn="0"/>
            </w:pPr>
          </w:p>
        </w:tc>
      </w:tr>
      <w:tr w:rsidR="00D821EF" w14:paraId="5147F1D3"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5027D0B5" w14:textId="77777777" w:rsidR="00D821EF" w:rsidRPr="0054456C" w:rsidRDefault="00D821EF" w:rsidP="00D821EF">
            <w:pPr>
              <w:spacing w:before="0" w:after="0"/>
              <w:rPr>
                <w:sz w:val="18"/>
                <w:szCs w:val="18"/>
              </w:rPr>
            </w:pPr>
            <w:r w:rsidRPr="0054456C">
              <w:rPr>
                <w:sz w:val="18"/>
                <w:szCs w:val="18"/>
              </w:rPr>
              <w:t>1000</w:t>
            </w:r>
          </w:p>
        </w:tc>
        <w:tc>
          <w:tcPr>
            <w:tcW w:w="1271" w:type="dxa"/>
            <w:shd w:val="clear" w:color="auto" w:fill="auto"/>
          </w:tcPr>
          <w:p w14:paraId="227E9535"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5.72E8</w:t>
            </w:r>
          </w:p>
        </w:tc>
        <w:tc>
          <w:tcPr>
            <w:tcW w:w="1271" w:type="dxa"/>
            <w:shd w:val="clear" w:color="auto" w:fill="auto"/>
          </w:tcPr>
          <w:p w14:paraId="6D2EE9D8"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1.89E7</w:t>
            </w:r>
          </w:p>
        </w:tc>
        <w:tc>
          <w:tcPr>
            <w:tcW w:w="1168" w:type="dxa"/>
            <w:shd w:val="clear" w:color="auto" w:fill="auto"/>
          </w:tcPr>
          <w:p w14:paraId="3BCDEA45"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200.50</w:t>
            </w:r>
          </w:p>
        </w:tc>
        <w:tc>
          <w:tcPr>
            <w:tcW w:w="1168" w:type="dxa"/>
            <w:shd w:val="clear" w:color="auto" w:fill="auto"/>
          </w:tcPr>
          <w:p w14:paraId="65A13AFF"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1.32</w:t>
            </w:r>
          </w:p>
        </w:tc>
        <w:tc>
          <w:tcPr>
            <w:tcW w:w="1168" w:type="dxa"/>
            <w:shd w:val="clear" w:color="auto" w:fill="auto"/>
          </w:tcPr>
          <w:p w14:paraId="756131FC"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184.75</w:t>
            </w:r>
          </w:p>
        </w:tc>
        <w:tc>
          <w:tcPr>
            <w:tcW w:w="1161" w:type="dxa"/>
            <w:shd w:val="clear" w:color="auto" w:fill="auto"/>
          </w:tcPr>
          <w:p w14:paraId="2CC77939"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4.01</w:t>
            </w:r>
          </w:p>
        </w:tc>
        <w:tc>
          <w:tcPr>
            <w:tcW w:w="222" w:type="dxa"/>
            <w:shd w:val="clear" w:color="auto" w:fill="auto"/>
          </w:tcPr>
          <w:p w14:paraId="7B82501A"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bl>
    <w:p w14:paraId="50151992" w14:textId="77777777" w:rsidR="00D821EF" w:rsidRDefault="00D821EF" w:rsidP="008C2B83">
      <w:pPr>
        <w:pStyle w:val="Caption"/>
        <w:keepNext/>
      </w:pPr>
    </w:p>
    <w:p w14:paraId="5482E1C9"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15</w:t>
        </w:r>
      </w:fldSimple>
      <w:r>
        <w:t>. NTA data for arginine pH 7 50 °C</w:t>
      </w:r>
    </w:p>
    <w:tbl>
      <w:tblPr>
        <w:tblStyle w:val="LightShading"/>
        <w:tblW w:w="8734" w:type="dxa"/>
        <w:tblLook w:val="04A0" w:firstRow="1" w:lastRow="0" w:firstColumn="1" w:lastColumn="0" w:noHBand="0" w:noVBand="1"/>
      </w:tblPr>
      <w:tblGrid>
        <w:gridCol w:w="1291"/>
        <w:gridCol w:w="1271"/>
        <w:gridCol w:w="1271"/>
        <w:gridCol w:w="1168"/>
        <w:gridCol w:w="1168"/>
        <w:gridCol w:w="1168"/>
        <w:gridCol w:w="1161"/>
        <w:gridCol w:w="222"/>
        <w:gridCol w:w="14"/>
      </w:tblGrid>
      <w:tr w:rsidR="00D821EF" w14:paraId="0B56A35E" w14:textId="77777777" w:rsidTr="00DB3655">
        <w:trPr>
          <w:gridAfter w:val="1"/>
          <w:cnfStyle w:val="100000000000" w:firstRow="1" w:lastRow="0" w:firstColumn="0" w:lastColumn="0" w:oddVBand="0" w:evenVBand="0" w:oddHBand="0"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3C1CBD80" w14:textId="77777777" w:rsidR="00D821EF" w:rsidRPr="0054456C" w:rsidRDefault="00D821EF" w:rsidP="00D821EF">
            <w:pPr>
              <w:spacing w:before="0" w:after="0"/>
              <w:rPr>
                <w:sz w:val="18"/>
                <w:szCs w:val="18"/>
              </w:rPr>
            </w:pPr>
            <w:r w:rsidRPr="0054456C">
              <w:rPr>
                <w:sz w:val="18"/>
                <w:szCs w:val="18"/>
              </w:rPr>
              <w:t>Concentration (mM)</w:t>
            </w:r>
          </w:p>
        </w:tc>
        <w:tc>
          <w:tcPr>
            <w:tcW w:w="1271" w:type="dxa"/>
            <w:shd w:val="clear" w:color="auto" w:fill="auto"/>
          </w:tcPr>
          <w:p w14:paraId="359EBD67"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Mean nanoparticle concentration (particles/ mL)</w:t>
            </w:r>
          </w:p>
        </w:tc>
        <w:tc>
          <w:tcPr>
            <w:tcW w:w="1271" w:type="dxa"/>
            <w:shd w:val="clear" w:color="auto" w:fill="auto"/>
          </w:tcPr>
          <w:p w14:paraId="25D4F375"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Nanoparticle concentration SE</w:t>
            </w:r>
          </w:p>
        </w:tc>
        <w:tc>
          <w:tcPr>
            <w:tcW w:w="1168" w:type="dxa"/>
            <w:shd w:val="clear" w:color="auto" w:fill="auto"/>
          </w:tcPr>
          <w:p w14:paraId="758C9D94"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Average mean nanoparticle size (nm)</w:t>
            </w:r>
          </w:p>
        </w:tc>
        <w:tc>
          <w:tcPr>
            <w:tcW w:w="1168" w:type="dxa"/>
            <w:shd w:val="clear" w:color="auto" w:fill="auto"/>
          </w:tcPr>
          <w:p w14:paraId="2E861AF2"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Mean nanoparticle size SE</w:t>
            </w:r>
          </w:p>
        </w:tc>
        <w:tc>
          <w:tcPr>
            <w:tcW w:w="1168" w:type="dxa"/>
            <w:shd w:val="clear" w:color="auto" w:fill="auto"/>
          </w:tcPr>
          <w:p w14:paraId="69C48A35"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Average mode nanoparticle size (nm)</w:t>
            </w:r>
          </w:p>
        </w:tc>
        <w:tc>
          <w:tcPr>
            <w:tcW w:w="1161" w:type="dxa"/>
            <w:shd w:val="clear" w:color="auto" w:fill="auto"/>
          </w:tcPr>
          <w:p w14:paraId="33F6FA5B"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Mode nanoparticle size SE</w:t>
            </w:r>
          </w:p>
        </w:tc>
        <w:tc>
          <w:tcPr>
            <w:tcW w:w="222" w:type="dxa"/>
            <w:shd w:val="clear" w:color="auto" w:fill="auto"/>
          </w:tcPr>
          <w:p w14:paraId="24EF4C80" w14:textId="77777777" w:rsidR="00D821EF" w:rsidRDefault="00D821EF" w:rsidP="00D821EF">
            <w:pPr>
              <w:spacing w:before="0" w:after="0"/>
              <w:cnfStyle w:val="100000000000" w:firstRow="1" w:lastRow="0" w:firstColumn="0" w:lastColumn="0" w:oddVBand="0" w:evenVBand="0" w:oddHBand="0" w:evenHBand="0" w:firstRowFirstColumn="0" w:firstRowLastColumn="0" w:lastRowFirstColumn="0" w:lastRowLastColumn="0"/>
            </w:pPr>
          </w:p>
        </w:tc>
      </w:tr>
      <w:tr w:rsidR="00D821EF" w14:paraId="06D3D8FB" w14:textId="77777777" w:rsidTr="00DB365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15C610F6" w14:textId="77777777" w:rsidR="00D821EF" w:rsidRPr="0054456C" w:rsidRDefault="00D821EF" w:rsidP="00D821EF">
            <w:pPr>
              <w:spacing w:before="0" w:after="0"/>
              <w:rPr>
                <w:sz w:val="18"/>
                <w:szCs w:val="18"/>
              </w:rPr>
            </w:pPr>
            <w:r w:rsidRPr="0054456C">
              <w:rPr>
                <w:sz w:val="18"/>
                <w:szCs w:val="18"/>
              </w:rPr>
              <w:t>0.5</w:t>
            </w:r>
          </w:p>
        </w:tc>
        <w:tc>
          <w:tcPr>
            <w:tcW w:w="1271" w:type="dxa"/>
            <w:shd w:val="clear" w:color="auto" w:fill="auto"/>
          </w:tcPr>
          <w:p w14:paraId="6A856F9A"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4.33E6</w:t>
            </w:r>
          </w:p>
        </w:tc>
        <w:tc>
          <w:tcPr>
            <w:tcW w:w="1271" w:type="dxa"/>
            <w:shd w:val="clear" w:color="auto" w:fill="auto"/>
          </w:tcPr>
          <w:p w14:paraId="1C1756AA"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1.76E6</w:t>
            </w:r>
          </w:p>
        </w:tc>
        <w:tc>
          <w:tcPr>
            <w:tcW w:w="1168" w:type="dxa"/>
            <w:shd w:val="clear" w:color="auto" w:fill="auto"/>
          </w:tcPr>
          <w:p w14:paraId="46648AEE"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235.67</w:t>
            </w:r>
          </w:p>
        </w:tc>
        <w:tc>
          <w:tcPr>
            <w:tcW w:w="1168" w:type="dxa"/>
            <w:shd w:val="clear" w:color="auto" w:fill="auto"/>
          </w:tcPr>
          <w:p w14:paraId="1A3297C4"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47.08</w:t>
            </w:r>
          </w:p>
        </w:tc>
        <w:tc>
          <w:tcPr>
            <w:tcW w:w="1168" w:type="dxa"/>
            <w:shd w:val="clear" w:color="auto" w:fill="auto"/>
          </w:tcPr>
          <w:p w14:paraId="21F502BC"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131.00</w:t>
            </w:r>
          </w:p>
        </w:tc>
        <w:tc>
          <w:tcPr>
            <w:tcW w:w="1161" w:type="dxa"/>
            <w:shd w:val="clear" w:color="auto" w:fill="auto"/>
          </w:tcPr>
          <w:p w14:paraId="4F76B98B"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2.52</w:t>
            </w:r>
          </w:p>
        </w:tc>
        <w:tc>
          <w:tcPr>
            <w:tcW w:w="222" w:type="dxa"/>
            <w:shd w:val="clear" w:color="auto" w:fill="auto"/>
          </w:tcPr>
          <w:p w14:paraId="18B8DBC5"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r w:rsidR="00D821EF" w14:paraId="7E110D7C" w14:textId="77777777" w:rsidTr="00DB3655">
        <w:trPr>
          <w:gridAfter w:val="1"/>
          <w:wAfter w:w="14" w:type="dxa"/>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0837C272" w14:textId="77777777" w:rsidR="00D821EF" w:rsidRPr="0054456C" w:rsidRDefault="00D821EF" w:rsidP="00D821EF">
            <w:pPr>
              <w:spacing w:before="0" w:after="0"/>
              <w:rPr>
                <w:sz w:val="18"/>
                <w:szCs w:val="18"/>
              </w:rPr>
            </w:pPr>
            <w:r w:rsidRPr="0054456C">
              <w:rPr>
                <w:sz w:val="18"/>
                <w:szCs w:val="18"/>
              </w:rPr>
              <w:t>1</w:t>
            </w:r>
          </w:p>
        </w:tc>
        <w:tc>
          <w:tcPr>
            <w:tcW w:w="1271" w:type="dxa"/>
            <w:shd w:val="clear" w:color="auto" w:fill="auto"/>
          </w:tcPr>
          <w:p w14:paraId="5E2B37CD"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5.00E6</w:t>
            </w:r>
          </w:p>
        </w:tc>
        <w:tc>
          <w:tcPr>
            <w:tcW w:w="1271" w:type="dxa"/>
            <w:shd w:val="clear" w:color="auto" w:fill="auto"/>
          </w:tcPr>
          <w:p w14:paraId="3B0889A4"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5.77E5</w:t>
            </w:r>
          </w:p>
        </w:tc>
        <w:tc>
          <w:tcPr>
            <w:tcW w:w="1168" w:type="dxa"/>
            <w:shd w:val="clear" w:color="auto" w:fill="auto"/>
          </w:tcPr>
          <w:p w14:paraId="51952E12"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239.00</w:t>
            </w:r>
          </w:p>
        </w:tc>
        <w:tc>
          <w:tcPr>
            <w:tcW w:w="1168" w:type="dxa"/>
            <w:shd w:val="clear" w:color="auto" w:fill="auto"/>
          </w:tcPr>
          <w:p w14:paraId="63154C0B"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57.59</w:t>
            </w:r>
          </w:p>
        </w:tc>
        <w:tc>
          <w:tcPr>
            <w:tcW w:w="1168" w:type="dxa"/>
            <w:shd w:val="clear" w:color="auto" w:fill="auto"/>
          </w:tcPr>
          <w:p w14:paraId="4313243A"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247.33</w:t>
            </w:r>
          </w:p>
        </w:tc>
        <w:tc>
          <w:tcPr>
            <w:tcW w:w="1161" w:type="dxa"/>
            <w:shd w:val="clear" w:color="auto" w:fill="auto"/>
          </w:tcPr>
          <w:p w14:paraId="5061A3EE"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74.85</w:t>
            </w:r>
          </w:p>
        </w:tc>
        <w:tc>
          <w:tcPr>
            <w:tcW w:w="222" w:type="dxa"/>
            <w:shd w:val="clear" w:color="auto" w:fill="auto"/>
          </w:tcPr>
          <w:p w14:paraId="4CDAB9A7" w14:textId="77777777" w:rsidR="00D821EF" w:rsidRDefault="00D821EF" w:rsidP="00D821EF">
            <w:pPr>
              <w:spacing w:before="0" w:after="0"/>
              <w:cnfStyle w:val="000000000000" w:firstRow="0" w:lastRow="0" w:firstColumn="0" w:lastColumn="0" w:oddVBand="0" w:evenVBand="0" w:oddHBand="0" w:evenHBand="0" w:firstRowFirstColumn="0" w:firstRowLastColumn="0" w:lastRowFirstColumn="0" w:lastRowLastColumn="0"/>
            </w:pPr>
          </w:p>
        </w:tc>
      </w:tr>
      <w:tr w:rsidR="00D821EF" w14:paraId="6143A828" w14:textId="77777777" w:rsidTr="00DB365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6F3F5BBC" w14:textId="77777777" w:rsidR="00D821EF" w:rsidRPr="0054456C" w:rsidRDefault="00D821EF" w:rsidP="00D821EF">
            <w:pPr>
              <w:spacing w:before="0" w:after="0"/>
              <w:rPr>
                <w:sz w:val="18"/>
                <w:szCs w:val="18"/>
              </w:rPr>
            </w:pPr>
            <w:r w:rsidRPr="0054456C">
              <w:rPr>
                <w:sz w:val="18"/>
                <w:szCs w:val="18"/>
              </w:rPr>
              <w:t>2.5</w:t>
            </w:r>
          </w:p>
        </w:tc>
        <w:tc>
          <w:tcPr>
            <w:tcW w:w="1271" w:type="dxa"/>
            <w:shd w:val="clear" w:color="auto" w:fill="auto"/>
          </w:tcPr>
          <w:p w14:paraId="6CAF27B7"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1.45E7</w:t>
            </w:r>
          </w:p>
        </w:tc>
        <w:tc>
          <w:tcPr>
            <w:tcW w:w="1271" w:type="dxa"/>
            <w:shd w:val="clear" w:color="auto" w:fill="auto"/>
          </w:tcPr>
          <w:p w14:paraId="16939164"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5.04E6</w:t>
            </w:r>
          </w:p>
        </w:tc>
        <w:tc>
          <w:tcPr>
            <w:tcW w:w="1168" w:type="dxa"/>
            <w:shd w:val="clear" w:color="auto" w:fill="auto"/>
          </w:tcPr>
          <w:p w14:paraId="363D712F"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163.00</w:t>
            </w:r>
          </w:p>
        </w:tc>
        <w:tc>
          <w:tcPr>
            <w:tcW w:w="1168" w:type="dxa"/>
            <w:shd w:val="clear" w:color="auto" w:fill="auto"/>
          </w:tcPr>
          <w:p w14:paraId="6E2BF954"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14.20</w:t>
            </w:r>
          </w:p>
        </w:tc>
        <w:tc>
          <w:tcPr>
            <w:tcW w:w="1168" w:type="dxa"/>
            <w:shd w:val="clear" w:color="auto" w:fill="auto"/>
          </w:tcPr>
          <w:p w14:paraId="280902E1"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144.25</w:t>
            </w:r>
          </w:p>
        </w:tc>
        <w:tc>
          <w:tcPr>
            <w:tcW w:w="1161" w:type="dxa"/>
            <w:shd w:val="clear" w:color="auto" w:fill="auto"/>
          </w:tcPr>
          <w:p w14:paraId="7CC032D9"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20.63</w:t>
            </w:r>
          </w:p>
        </w:tc>
        <w:tc>
          <w:tcPr>
            <w:tcW w:w="222" w:type="dxa"/>
            <w:shd w:val="clear" w:color="auto" w:fill="auto"/>
          </w:tcPr>
          <w:p w14:paraId="746BA91D"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r w:rsidR="00D821EF" w14:paraId="25F98F4D" w14:textId="77777777" w:rsidTr="00DB3655">
        <w:trPr>
          <w:gridAfter w:val="1"/>
          <w:wAfter w:w="14" w:type="dxa"/>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7B96F2A6" w14:textId="77777777" w:rsidR="00D821EF" w:rsidRPr="0054456C" w:rsidRDefault="00D821EF" w:rsidP="00D821EF">
            <w:pPr>
              <w:spacing w:before="0" w:after="0"/>
              <w:rPr>
                <w:sz w:val="18"/>
                <w:szCs w:val="18"/>
              </w:rPr>
            </w:pPr>
            <w:r w:rsidRPr="0054456C">
              <w:rPr>
                <w:sz w:val="18"/>
                <w:szCs w:val="18"/>
              </w:rPr>
              <w:t>5</w:t>
            </w:r>
          </w:p>
        </w:tc>
        <w:tc>
          <w:tcPr>
            <w:tcW w:w="1271" w:type="dxa"/>
            <w:shd w:val="clear" w:color="auto" w:fill="auto"/>
          </w:tcPr>
          <w:p w14:paraId="68E7CEA0"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1.70E7</w:t>
            </w:r>
          </w:p>
        </w:tc>
        <w:tc>
          <w:tcPr>
            <w:tcW w:w="1271" w:type="dxa"/>
            <w:shd w:val="clear" w:color="auto" w:fill="auto"/>
          </w:tcPr>
          <w:p w14:paraId="1FEEC7F0"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3.06E6</w:t>
            </w:r>
          </w:p>
        </w:tc>
        <w:tc>
          <w:tcPr>
            <w:tcW w:w="1168" w:type="dxa"/>
            <w:shd w:val="clear" w:color="auto" w:fill="auto"/>
          </w:tcPr>
          <w:p w14:paraId="267906AD"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143.67</w:t>
            </w:r>
          </w:p>
        </w:tc>
        <w:tc>
          <w:tcPr>
            <w:tcW w:w="1168" w:type="dxa"/>
            <w:shd w:val="clear" w:color="auto" w:fill="auto"/>
          </w:tcPr>
          <w:p w14:paraId="0C01CF14"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15.03</w:t>
            </w:r>
          </w:p>
        </w:tc>
        <w:tc>
          <w:tcPr>
            <w:tcW w:w="1168" w:type="dxa"/>
            <w:shd w:val="clear" w:color="auto" w:fill="auto"/>
          </w:tcPr>
          <w:p w14:paraId="3C71D688"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113.33</w:t>
            </w:r>
          </w:p>
        </w:tc>
        <w:tc>
          <w:tcPr>
            <w:tcW w:w="1161" w:type="dxa"/>
            <w:shd w:val="clear" w:color="auto" w:fill="auto"/>
          </w:tcPr>
          <w:p w14:paraId="763FF5F2"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4.33</w:t>
            </w:r>
          </w:p>
        </w:tc>
        <w:tc>
          <w:tcPr>
            <w:tcW w:w="222" w:type="dxa"/>
            <w:shd w:val="clear" w:color="auto" w:fill="auto"/>
          </w:tcPr>
          <w:p w14:paraId="0ECB3D41" w14:textId="77777777" w:rsidR="00D821EF" w:rsidRDefault="00D821EF" w:rsidP="00D821EF">
            <w:pPr>
              <w:spacing w:before="0" w:after="0"/>
              <w:cnfStyle w:val="000000000000" w:firstRow="0" w:lastRow="0" w:firstColumn="0" w:lastColumn="0" w:oddVBand="0" w:evenVBand="0" w:oddHBand="0" w:evenHBand="0" w:firstRowFirstColumn="0" w:firstRowLastColumn="0" w:lastRowFirstColumn="0" w:lastRowLastColumn="0"/>
            </w:pPr>
          </w:p>
        </w:tc>
      </w:tr>
      <w:tr w:rsidR="00D821EF" w14:paraId="0B2AF59B" w14:textId="77777777" w:rsidTr="00DB365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71FB48A6" w14:textId="77777777" w:rsidR="00D821EF" w:rsidRPr="0054456C" w:rsidRDefault="00D821EF" w:rsidP="00D821EF">
            <w:pPr>
              <w:spacing w:before="0" w:after="0"/>
              <w:rPr>
                <w:sz w:val="18"/>
                <w:szCs w:val="18"/>
              </w:rPr>
            </w:pPr>
            <w:r w:rsidRPr="0054456C">
              <w:rPr>
                <w:sz w:val="18"/>
                <w:szCs w:val="18"/>
              </w:rPr>
              <w:t>10</w:t>
            </w:r>
          </w:p>
        </w:tc>
        <w:tc>
          <w:tcPr>
            <w:tcW w:w="1271" w:type="dxa"/>
            <w:shd w:val="clear" w:color="auto" w:fill="auto"/>
          </w:tcPr>
          <w:p w14:paraId="501EF3AD"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1.33E7</w:t>
            </w:r>
          </w:p>
        </w:tc>
        <w:tc>
          <w:tcPr>
            <w:tcW w:w="1271" w:type="dxa"/>
            <w:shd w:val="clear" w:color="auto" w:fill="auto"/>
          </w:tcPr>
          <w:p w14:paraId="4E7718ED"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6.49E6</w:t>
            </w:r>
          </w:p>
        </w:tc>
        <w:tc>
          <w:tcPr>
            <w:tcW w:w="1168" w:type="dxa"/>
            <w:shd w:val="clear" w:color="auto" w:fill="auto"/>
          </w:tcPr>
          <w:p w14:paraId="4A041736"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218.33</w:t>
            </w:r>
          </w:p>
        </w:tc>
        <w:tc>
          <w:tcPr>
            <w:tcW w:w="1168" w:type="dxa"/>
            <w:shd w:val="clear" w:color="auto" w:fill="auto"/>
          </w:tcPr>
          <w:p w14:paraId="19FB47AA"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28.43</w:t>
            </w:r>
          </w:p>
        </w:tc>
        <w:tc>
          <w:tcPr>
            <w:tcW w:w="1168" w:type="dxa"/>
            <w:shd w:val="clear" w:color="auto" w:fill="auto"/>
          </w:tcPr>
          <w:p w14:paraId="57F8FE74"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191.33</w:t>
            </w:r>
          </w:p>
        </w:tc>
        <w:tc>
          <w:tcPr>
            <w:tcW w:w="1161" w:type="dxa"/>
            <w:shd w:val="clear" w:color="auto" w:fill="auto"/>
          </w:tcPr>
          <w:p w14:paraId="06467CBD"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20.93</w:t>
            </w:r>
          </w:p>
        </w:tc>
        <w:tc>
          <w:tcPr>
            <w:tcW w:w="222" w:type="dxa"/>
            <w:shd w:val="clear" w:color="auto" w:fill="auto"/>
          </w:tcPr>
          <w:p w14:paraId="592C14E8"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r w:rsidR="00D821EF" w14:paraId="3FBA71D3" w14:textId="77777777" w:rsidTr="00DB3655">
        <w:trPr>
          <w:gridAfter w:val="1"/>
          <w:wAfter w:w="14" w:type="dxa"/>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0A1CEF50" w14:textId="77777777" w:rsidR="00D821EF" w:rsidRPr="0054456C" w:rsidRDefault="00D821EF" w:rsidP="00D821EF">
            <w:pPr>
              <w:spacing w:before="0" w:after="0"/>
              <w:rPr>
                <w:sz w:val="18"/>
                <w:szCs w:val="18"/>
              </w:rPr>
            </w:pPr>
            <w:r w:rsidRPr="0054456C">
              <w:rPr>
                <w:sz w:val="18"/>
                <w:szCs w:val="18"/>
              </w:rPr>
              <w:t>25</w:t>
            </w:r>
          </w:p>
        </w:tc>
        <w:tc>
          <w:tcPr>
            <w:tcW w:w="1271" w:type="dxa"/>
            <w:shd w:val="clear" w:color="auto" w:fill="auto"/>
          </w:tcPr>
          <w:p w14:paraId="131585CA"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1.50E7</w:t>
            </w:r>
          </w:p>
        </w:tc>
        <w:tc>
          <w:tcPr>
            <w:tcW w:w="1271" w:type="dxa"/>
            <w:shd w:val="clear" w:color="auto" w:fill="auto"/>
          </w:tcPr>
          <w:p w14:paraId="3BBA52ED"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7.55E6</w:t>
            </w:r>
          </w:p>
        </w:tc>
        <w:tc>
          <w:tcPr>
            <w:tcW w:w="1168" w:type="dxa"/>
            <w:shd w:val="clear" w:color="auto" w:fill="auto"/>
          </w:tcPr>
          <w:p w14:paraId="760C1EF1"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245.33</w:t>
            </w:r>
          </w:p>
        </w:tc>
        <w:tc>
          <w:tcPr>
            <w:tcW w:w="1168" w:type="dxa"/>
            <w:shd w:val="clear" w:color="auto" w:fill="auto"/>
          </w:tcPr>
          <w:p w14:paraId="4A0C0361"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5.93</w:t>
            </w:r>
          </w:p>
        </w:tc>
        <w:tc>
          <w:tcPr>
            <w:tcW w:w="1168" w:type="dxa"/>
            <w:shd w:val="clear" w:color="auto" w:fill="auto"/>
          </w:tcPr>
          <w:p w14:paraId="49EA7595"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227.00</w:t>
            </w:r>
          </w:p>
        </w:tc>
        <w:tc>
          <w:tcPr>
            <w:tcW w:w="1161" w:type="dxa"/>
            <w:shd w:val="clear" w:color="auto" w:fill="auto"/>
          </w:tcPr>
          <w:p w14:paraId="42ADAAB2"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5.20</w:t>
            </w:r>
          </w:p>
        </w:tc>
        <w:tc>
          <w:tcPr>
            <w:tcW w:w="222" w:type="dxa"/>
            <w:shd w:val="clear" w:color="auto" w:fill="auto"/>
          </w:tcPr>
          <w:p w14:paraId="1B7A5924" w14:textId="77777777" w:rsidR="00D821EF" w:rsidRDefault="00D821EF" w:rsidP="00D821EF">
            <w:pPr>
              <w:spacing w:before="0" w:after="0"/>
              <w:cnfStyle w:val="000000000000" w:firstRow="0" w:lastRow="0" w:firstColumn="0" w:lastColumn="0" w:oddVBand="0" w:evenVBand="0" w:oddHBand="0" w:evenHBand="0" w:firstRowFirstColumn="0" w:firstRowLastColumn="0" w:lastRowFirstColumn="0" w:lastRowLastColumn="0"/>
            </w:pPr>
          </w:p>
        </w:tc>
      </w:tr>
      <w:tr w:rsidR="00D821EF" w14:paraId="70327A9F" w14:textId="77777777" w:rsidTr="00DB365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6EAD8AE2" w14:textId="77777777" w:rsidR="00D821EF" w:rsidRPr="0054456C" w:rsidRDefault="00D821EF" w:rsidP="00D821EF">
            <w:pPr>
              <w:spacing w:before="0" w:after="0"/>
              <w:rPr>
                <w:sz w:val="18"/>
                <w:szCs w:val="18"/>
              </w:rPr>
            </w:pPr>
            <w:r w:rsidRPr="0054456C">
              <w:rPr>
                <w:sz w:val="18"/>
                <w:szCs w:val="18"/>
              </w:rPr>
              <w:t>50</w:t>
            </w:r>
          </w:p>
        </w:tc>
        <w:tc>
          <w:tcPr>
            <w:tcW w:w="1271" w:type="dxa"/>
            <w:shd w:val="clear" w:color="auto" w:fill="auto"/>
          </w:tcPr>
          <w:p w14:paraId="12B5FB23"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1.87E7</w:t>
            </w:r>
          </w:p>
        </w:tc>
        <w:tc>
          <w:tcPr>
            <w:tcW w:w="1271" w:type="dxa"/>
            <w:shd w:val="clear" w:color="auto" w:fill="auto"/>
          </w:tcPr>
          <w:p w14:paraId="6A702B14"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2.03E6</w:t>
            </w:r>
          </w:p>
        </w:tc>
        <w:tc>
          <w:tcPr>
            <w:tcW w:w="1168" w:type="dxa"/>
            <w:shd w:val="clear" w:color="auto" w:fill="auto"/>
          </w:tcPr>
          <w:p w14:paraId="6C319566"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189.67</w:t>
            </w:r>
          </w:p>
        </w:tc>
        <w:tc>
          <w:tcPr>
            <w:tcW w:w="1168" w:type="dxa"/>
            <w:shd w:val="clear" w:color="auto" w:fill="auto"/>
          </w:tcPr>
          <w:p w14:paraId="453D62EA"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20.73</w:t>
            </w:r>
          </w:p>
        </w:tc>
        <w:tc>
          <w:tcPr>
            <w:tcW w:w="1168" w:type="dxa"/>
            <w:shd w:val="clear" w:color="auto" w:fill="auto"/>
          </w:tcPr>
          <w:p w14:paraId="5F088465"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163.00</w:t>
            </w:r>
          </w:p>
        </w:tc>
        <w:tc>
          <w:tcPr>
            <w:tcW w:w="1161" w:type="dxa"/>
            <w:shd w:val="clear" w:color="auto" w:fill="auto"/>
          </w:tcPr>
          <w:p w14:paraId="64CC0B47"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40.65</w:t>
            </w:r>
          </w:p>
        </w:tc>
        <w:tc>
          <w:tcPr>
            <w:tcW w:w="222" w:type="dxa"/>
            <w:shd w:val="clear" w:color="auto" w:fill="auto"/>
          </w:tcPr>
          <w:p w14:paraId="02D994EA"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r w:rsidR="00D821EF" w14:paraId="720B5C3C" w14:textId="77777777" w:rsidTr="00DB3655">
        <w:trPr>
          <w:gridAfter w:val="1"/>
          <w:wAfter w:w="14" w:type="dxa"/>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5B9706A5" w14:textId="77777777" w:rsidR="00D821EF" w:rsidRPr="0054456C" w:rsidRDefault="00D821EF" w:rsidP="00D821EF">
            <w:pPr>
              <w:spacing w:before="0" w:after="0"/>
              <w:rPr>
                <w:sz w:val="18"/>
                <w:szCs w:val="18"/>
              </w:rPr>
            </w:pPr>
            <w:r w:rsidRPr="0054456C">
              <w:rPr>
                <w:sz w:val="18"/>
                <w:szCs w:val="18"/>
              </w:rPr>
              <w:t>75</w:t>
            </w:r>
          </w:p>
        </w:tc>
        <w:tc>
          <w:tcPr>
            <w:tcW w:w="1271" w:type="dxa"/>
            <w:shd w:val="clear" w:color="auto" w:fill="auto"/>
          </w:tcPr>
          <w:p w14:paraId="4BE6D377"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3.60E7</w:t>
            </w:r>
          </w:p>
        </w:tc>
        <w:tc>
          <w:tcPr>
            <w:tcW w:w="1271" w:type="dxa"/>
            <w:shd w:val="clear" w:color="auto" w:fill="auto"/>
          </w:tcPr>
          <w:p w14:paraId="714B48CE"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1.04E7</w:t>
            </w:r>
          </w:p>
        </w:tc>
        <w:tc>
          <w:tcPr>
            <w:tcW w:w="1168" w:type="dxa"/>
            <w:shd w:val="clear" w:color="auto" w:fill="auto"/>
          </w:tcPr>
          <w:p w14:paraId="7034F919"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230.00</w:t>
            </w:r>
          </w:p>
        </w:tc>
        <w:tc>
          <w:tcPr>
            <w:tcW w:w="1168" w:type="dxa"/>
            <w:shd w:val="clear" w:color="auto" w:fill="auto"/>
          </w:tcPr>
          <w:p w14:paraId="3B45346F"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10.54</w:t>
            </w:r>
          </w:p>
        </w:tc>
        <w:tc>
          <w:tcPr>
            <w:tcW w:w="1168" w:type="dxa"/>
            <w:shd w:val="clear" w:color="auto" w:fill="auto"/>
          </w:tcPr>
          <w:p w14:paraId="68F96601"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190.00</w:t>
            </w:r>
          </w:p>
        </w:tc>
        <w:tc>
          <w:tcPr>
            <w:tcW w:w="1161" w:type="dxa"/>
            <w:shd w:val="clear" w:color="auto" w:fill="auto"/>
          </w:tcPr>
          <w:p w14:paraId="42CB32D8"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35.10</w:t>
            </w:r>
          </w:p>
        </w:tc>
        <w:tc>
          <w:tcPr>
            <w:tcW w:w="222" w:type="dxa"/>
            <w:shd w:val="clear" w:color="auto" w:fill="auto"/>
          </w:tcPr>
          <w:p w14:paraId="086A5353" w14:textId="77777777" w:rsidR="00D821EF" w:rsidRDefault="00D821EF" w:rsidP="00D821EF">
            <w:pPr>
              <w:spacing w:before="0" w:after="0"/>
              <w:cnfStyle w:val="000000000000" w:firstRow="0" w:lastRow="0" w:firstColumn="0" w:lastColumn="0" w:oddVBand="0" w:evenVBand="0" w:oddHBand="0" w:evenHBand="0" w:firstRowFirstColumn="0" w:firstRowLastColumn="0" w:lastRowFirstColumn="0" w:lastRowLastColumn="0"/>
            </w:pPr>
          </w:p>
        </w:tc>
      </w:tr>
      <w:tr w:rsidR="00D821EF" w14:paraId="5511954D" w14:textId="77777777" w:rsidTr="00DB365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38DE55C5" w14:textId="77777777" w:rsidR="00D821EF" w:rsidRPr="0054456C" w:rsidRDefault="00D821EF" w:rsidP="00D821EF">
            <w:pPr>
              <w:spacing w:before="0" w:after="0"/>
              <w:rPr>
                <w:sz w:val="18"/>
                <w:szCs w:val="18"/>
              </w:rPr>
            </w:pPr>
            <w:r w:rsidRPr="0054456C">
              <w:rPr>
                <w:sz w:val="18"/>
                <w:szCs w:val="18"/>
              </w:rPr>
              <w:t>100</w:t>
            </w:r>
          </w:p>
        </w:tc>
        <w:tc>
          <w:tcPr>
            <w:tcW w:w="1271" w:type="dxa"/>
            <w:shd w:val="clear" w:color="auto" w:fill="auto"/>
          </w:tcPr>
          <w:p w14:paraId="448D36AA"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3.10E7</w:t>
            </w:r>
          </w:p>
        </w:tc>
        <w:tc>
          <w:tcPr>
            <w:tcW w:w="1271" w:type="dxa"/>
            <w:shd w:val="clear" w:color="auto" w:fill="auto"/>
          </w:tcPr>
          <w:p w14:paraId="7876F843"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8.08E6</w:t>
            </w:r>
          </w:p>
        </w:tc>
        <w:tc>
          <w:tcPr>
            <w:tcW w:w="1168" w:type="dxa"/>
            <w:shd w:val="clear" w:color="auto" w:fill="auto"/>
          </w:tcPr>
          <w:p w14:paraId="071F20BF"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270.33</w:t>
            </w:r>
          </w:p>
        </w:tc>
        <w:tc>
          <w:tcPr>
            <w:tcW w:w="1168" w:type="dxa"/>
            <w:shd w:val="clear" w:color="auto" w:fill="auto"/>
          </w:tcPr>
          <w:p w14:paraId="50380359"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14.17</w:t>
            </w:r>
          </w:p>
        </w:tc>
        <w:tc>
          <w:tcPr>
            <w:tcW w:w="1168" w:type="dxa"/>
            <w:shd w:val="clear" w:color="auto" w:fill="auto"/>
          </w:tcPr>
          <w:p w14:paraId="0FE53D82"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247.33</w:t>
            </w:r>
          </w:p>
        </w:tc>
        <w:tc>
          <w:tcPr>
            <w:tcW w:w="1161" w:type="dxa"/>
            <w:shd w:val="clear" w:color="auto" w:fill="auto"/>
          </w:tcPr>
          <w:p w14:paraId="68756556"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46.25</w:t>
            </w:r>
          </w:p>
        </w:tc>
        <w:tc>
          <w:tcPr>
            <w:tcW w:w="222" w:type="dxa"/>
            <w:shd w:val="clear" w:color="auto" w:fill="auto"/>
          </w:tcPr>
          <w:p w14:paraId="7ABD8E86"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r w:rsidR="00D821EF" w14:paraId="4981D1E8" w14:textId="77777777" w:rsidTr="00DB3655">
        <w:trPr>
          <w:gridAfter w:val="1"/>
          <w:wAfter w:w="14" w:type="dxa"/>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1E999719" w14:textId="77777777" w:rsidR="00D821EF" w:rsidRPr="0054456C" w:rsidRDefault="00D821EF" w:rsidP="00D821EF">
            <w:pPr>
              <w:spacing w:before="0" w:after="0"/>
              <w:rPr>
                <w:sz w:val="18"/>
                <w:szCs w:val="18"/>
              </w:rPr>
            </w:pPr>
            <w:r w:rsidRPr="0054456C">
              <w:rPr>
                <w:sz w:val="18"/>
                <w:szCs w:val="18"/>
              </w:rPr>
              <w:t>250</w:t>
            </w:r>
          </w:p>
        </w:tc>
        <w:tc>
          <w:tcPr>
            <w:tcW w:w="1271" w:type="dxa"/>
            <w:shd w:val="clear" w:color="auto" w:fill="auto"/>
          </w:tcPr>
          <w:p w14:paraId="054651AF"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8.00E7</w:t>
            </w:r>
          </w:p>
        </w:tc>
        <w:tc>
          <w:tcPr>
            <w:tcW w:w="1271" w:type="dxa"/>
            <w:shd w:val="clear" w:color="auto" w:fill="auto"/>
          </w:tcPr>
          <w:p w14:paraId="75B85181"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7.55E6</w:t>
            </w:r>
          </w:p>
        </w:tc>
        <w:tc>
          <w:tcPr>
            <w:tcW w:w="1168" w:type="dxa"/>
            <w:shd w:val="clear" w:color="auto" w:fill="auto"/>
          </w:tcPr>
          <w:p w14:paraId="3B1BC523"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243.00</w:t>
            </w:r>
          </w:p>
        </w:tc>
        <w:tc>
          <w:tcPr>
            <w:tcW w:w="1168" w:type="dxa"/>
            <w:shd w:val="clear" w:color="auto" w:fill="auto"/>
          </w:tcPr>
          <w:p w14:paraId="3366B28C"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11.59</w:t>
            </w:r>
          </w:p>
        </w:tc>
        <w:tc>
          <w:tcPr>
            <w:tcW w:w="1168" w:type="dxa"/>
            <w:shd w:val="clear" w:color="auto" w:fill="auto"/>
          </w:tcPr>
          <w:p w14:paraId="05DC6EBE"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214.67</w:t>
            </w:r>
          </w:p>
        </w:tc>
        <w:tc>
          <w:tcPr>
            <w:tcW w:w="1161" w:type="dxa"/>
            <w:shd w:val="clear" w:color="auto" w:fill="auto"/>
          </w:tcPr>
          <w:p w14:paraId="7491263E"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22.38</w:t>
            </w:r>
          </w:p>
        </w:tc>
        <w:tc>
          <w:tcPr>
            <w:tcW w:w="222" w:type="dxa"/>
            <w:shd w:val="clear" w:color="auto" w:fill="auto"/>
          </w:tcPr>
          <w:p w14:paraId="7F7513B4" w14:textId="77777777" w:rsidR="00D821EF" w:rsidRDefault="00D821EF" w:rsidP="00D821EF">
            <w:pPr>
              <w:spacing w:before="0" w:after="0"/>
              <w:cnfStyle w:val="000000000000" w:firstRow="0" w:lastRow="0" w:firstColumn="0" w:lastColumn="0" w:oddVBand="0" w:evenVBand="0" w:oddHBand="0" w:evenHBand="0" w:firstRowFirstColumn="0" w:firstRowLastColumn="0" w:lastRowFirstColumn="0" w:lastRowLastColumn="0"/>
            </w:pPr>
          </w:p>
        </w:tc>
      </w:tr>
      <w:tr w:rsidR="00D821EF" w14:paraId="47CBE7B7" w14:textId="77777777" w:rsidTr="00DB365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145E9251" w14:textId="77777777" w:rsidR="00D821EF" w:rsidRPr="0054456C" w:rsidRDefault="00D821EF" w:rsidP="00D821EF">
            <w:pPr>
              <w:spacing w:before="0" w:after="0"/>
              <w:rPr>
                <w:sz w:val="18"/>
                <w:szCs w:val="18"/>
              </w:rPr>
            </w:pPr>
            <w:r w:rsidRPr="0054456C">
              <w:rPr>
                <w:sz w:val="18"/>
                <w:szCs w:val="18"/>
              </w:rPr>
              <w:t>500</w:t>
            </w:r>
          </w:p>
        </w:tc>
        <w:tc>
          <w:tcPr>
            <w:tcW w:w="1271" w:type="dxa"/>
            <w:shd w:val="clear" w:color="auto" w:fill="auto"/>
          </w:tcPr>
          <w:p w14:paraId="0B1FE986"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2.25E8</w:t>
            </w:r>
          </w:p>
        </w:tc>
        <w:tc>
          <w:tcPr>
            <w:tcW w:w="1271" w:type="dxa"/>
            <w:shd w:val="clear" w:color="auto" w:fill="auto"/>
          </w:tcPr>
          <w:p w14:paraId="624E60B7"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3.42E7</w:t>
            </w:r>
          </w:p>
        </w:tc>
        <w:tc>
          <w:tcPr>
            <w:tcW w:w="1168" w:type="dxa"/>
            <w:shd w:val="clear" w:color="auto" w:fill="auto"/>
          </w:tcPr>
          <w:p w14:paraId="73E13EAB"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290.33</w:t>
            </w:r>
          </w:p>
        </w:tc>
        <w:tc>
          <w:tcPr>
            <w:tcW w:w="1168" w:type="dxa"/>
            <w:shd w:val="clear" w:color="auto" w:fill="auto"/>
          </w:tcPr>
          <w:p w14:paraId="232E1F6F"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9.61</w:t>
            </w:r>
          </w:p>
        </w:tc>
        <w:tc>
          <w:tcPr>
            <w:tcW w:w="1168" w:type="dxa"/>
            <w:shd w:val="clear" w:color="auto" w:fill="auto"/>
          </w:tcPr>
          <w:p w14:paraId="3B789BCC"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257.33</w:t>
            </w:r>
          </w:p>
        </w:tc>
        <w:tc>
          <w:tcPr>
            <w:tcW w:w="1161" w:type="dxa"/>
            <w:shd w:val="clear" w:color="auto" w:fill="auto"/>
          </w:tcPr>
          <w:p w14:paraId="1CFDBCF9"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7.54</w:t>
            </w:r>
          </w:p>
        </w:tc>
        <w:tc>
          <w:tcPr>
            <w:tcW w:w="222" w:type="dxa"/>
            <w:shd w:val="clear" w:color="auto" w:fill="auto"/>
          </w:tcPr>
          <w:p w14:paraId="4D476A75"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r w:rsidR="00D821EF" w14:paraId="47173416" w14:textId="77777777" w:rsidTr="00DB3655">
        <w:trPr>
          <w:gridAfter w:val="1"/>
          <w:wAfter w:w="14" w:type="dxa"/>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74852FD1" w14:textId="77777777" w:rsidR="00D821EF" w:rsidRPr="0054456C" w:rsidRDefault="00D821EF" w:rsidP="00D821EF">
            <w:pPr>
              <w:spacing w:before="0" w:after="0"/>
              <w:rPr>
                <w:sz w:val="18"/>
                <w:szCs w:val="18"/>
              </w:rPr>
            </w:pPr>
            <w:r w:rsidRPr="0054456C">
              <w:rPr>
                <w:sz w:val="18"/>
                <w:szCs w:val="18"/>
              </w:rPr>
              <w:t>750</w:t>
            </w:r>
          </w:p>
        </w:tc>
        <w:tc>
          <w:tcPr>
            <w:tcW w:w="1271" w:type="dxa"/>
            <w:shd w:val="clear" w:color="auto" w:fill="auto"/>
          </w:tcPr>
          <w:p w14:paraId="34886B0C"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2.84E8</w:t>
            </w:r>
          </w:p>
        </w:tc>
        <w:tc>
          <w:tcPr>
            <w:tcW w:w="1271" w:type="dxa"/>
            <w:shd w:val="clear" w:color="auto" w:fill="auto"/>
          </w:tcPr>
          <w:p w14:paraId="707F8A97"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9.70E6</w:t>
            </w:r>
          </w:p>
        </w:tc>
        <w:tc>
          <w:tcPr>
            <w:tcW w:w="1168" w:type="dxa"/>
            <w:shd w:val="clear" w:color="auto" w:fill="auto"/>
          </w:tcPr>
          <w:p w14:paraId="67F4BDE3"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238.00</w:t>
            </w:r>
          </w:p>
        </w:tc>
        <w:tc>
          <w:tcPr>
            <w:tcW w:w="1168" w:type="dxa"/>
            <w:shd w:val="clear" w:color="auto" w:fill="auto"/>
          </w:tcPr>
          <w:p w14:paraId="33259132"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6.56</w:t>
            </w:r>
          </w:p>
        </w:tc>
        <w:tc>
          <w:tcPr>
            <w:tcW w:w="1168" w:type="dxa"/>
            <w:shd w:val="clear" w:color="auto" w:fill="auto"/>
          </w:tcPr>
          <w:p w14:paraId="433FFBF0"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206.67</w:t>
            </w:r>
          </w:p>
        </w:tc>
        <w:tc>
          <w:tcPr>
            <w:tcW w:w="1161" w:type="dxa"/>
            <w:shd w:val="clear" w:color="auto" w:fill="auto"/>
          </w:tcPr>
          <w:p w14:paraId="08B0F8B0"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5.78</w:t>
            </w:r>
          </w:p>
        </w:tc>
        <w:tc>
          <w:tcPr>
            <w:tcW w:w="222" w:type="dxa"/>
            <w:shd w:val="clear" w:color="auto" w:fill="auto"/>
          </w:tcPr>
          <w:p w14:paraId="08412AE4" w14:textId="77777777" w:rsidR="00D821EF" w:rsidRDefault="00D821EF" w:rsidP="00D821EF">
            <w:pPr>
              <w:spacing w:before="0" w:after="0"/>
              <w:cnfStyle w:val="000000000000" w:firstRow="0" w:lastRow="0" w:firstColumn="0" w:lastColumn="0" w:oddVBand="0" w:evenVBand="0" w:oddHBand="0" w:evenHBand="0" w:firstRowFirstColumn="0" w:firstRowLastColumn="0" w:lastRowFirstColumn="0" w:lastRowLastColumn="0"/>
            </w:pPr>
          </w:p>
        </w:tc>
      </w:tr>
      <w:tr w:rsidR="00D821EF" w14:paraId="1CBD1FA4"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6035FFDD" w14:textId="77777777" w:rsidR="00D821EF" w:rsidRPr="0054456C" w:rsidRDefault="00D821EF" w:rsidP="00D821EF">
            <w:pPr>
              <w:spacing w:before="0" w:after="0"/>
              <w:rPr>
                <w:sz w:val="18"/>
                <w:szCs w:val="18"/>
              </w:rPr>
            </w:pPr>
            <w:r w:rsidRPr="0054456C">
              <w:rPr>
                <w:sz w:val="18"/>
                <w:szCs w:val="18"/>
              </w:rPr>
              <w:t>1000</w:t>
            </w:r>
          </w:p>
        </w:tc>
        <w:tc>
          <w:tcPr>
            <w:tcW w:w="1271" w:type="dxa"/>
            <w:shd w:val="clear" w:color="auto" w:fill="auto"/>
          </w:tcPr>
          <w:p w14:paraId="12A5B341"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5.74E8</w:t>
            </w:r>
          </w:p>
        </w:tc>
        <w:tc>
          <w:tcPr>
            <w:tcW w:w="1271" w:type="dxa"/>
            <w:shd w:val="clear" w:color="auto" w:fill="auto"/>
          </w:tcPr>
          <w:p w14:paraId="79DA82A7"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1.58E7</w:t>
            </w:r>
          </w:p>
        </w:tc>
        <w:tc>
          <w:tcPr>
            <w:tcW w:w="1168" w:type="dxa"/>
            <w:shd w:val="clear" w:color="auto" w:fill="auto"/>
          </w:tcPr>
          <w:p w14:paraId="4ED329CB"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223.75</w:t>
            </w:r>
          </w:p>
        </w:tc>
        <w:tc>
          <w:tcPr>
            <w:tcW w:w="1168" w:type="dxa"/>
            <w:shd w:val="clear" w:color="auto" w:fill="auto"/>
          </w:tcPr>
          <w:p w14:paraId="15F72498"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1.93</w:t>
            </w:r>
          </w:p>
        </w:tc>
        <w:tc>
          <w:tcPr>
            <w:tcW w:w="1168" w:type="dxa"/>
            <w:shd w:val="clear" w:color="auto" w:fill="auto"/>
          </w:tcPr>
          <w:p w14:paraId="45439883"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197.75</w:t>
            </w:r>
          </w:p>
        </w:tc>
        <w:tc>
          <w:tcPr>
            <w:tcW w:w="1161" w:type="dxa"/>
            <w:shd w:val="clear" w:color="auto" w:fill="auto"/>
          </w:tcPr>
          <w:p w14:paraId="4D3EA365"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6.66</w:t>
            </w:r>
          </w:p>
        </w:tc>
        <w:tc>
          <w:tcPr>
            <w:tcW w:w="236" w:type="dxa"/>
            <w:gridSpan w:val="2"/>
            <w:shd w:val="clear" w:color="auto" w:fill="auto"/>
          </w:tcPr>
          <w:p w14:paraId="770F304E"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bl>
    <w:p w14:paraId="1E73A16F" w14:textId="77777777" w:rsidR="00D821EF" w:rsidRDefault="00D821EF" w:rsidP="008C2B83"/>
    <w:p w14:paraId="5504E468" w14:textId="77777777" w:rsidR="00D821EF" w:rsidRDefault="00D821EF" w:rsidP="008C2B83">
      <w:pPr>
        <w:keepNext/>
      </w:pPr>
      <w:r>
        <w:object w:dxaOrig="8115" w:dyaOrig="10800" w14:anchorId="4571E815">
          <v:shape id="_x0000_i1070" type="#_x0000_t75" style="width:405pt;height:540pt" o:ole="">
            <v:imagedata r:id="rId111" o:title=""/>
          </v:shape>
          <o:OLEObject Type="Embed" ProgID="Acrobat.Document.DC" ShapeID="_x0000_i1070" DrawAspect="Content" ObjectID="_1559454724" r:id="rId112"/>
        </w:object>
      </w:r>
    </w:p>
    <w:p w14:paraId="37BB55C1" w14:textId="77777777" w:rsidR="00D821EF" w:rsidRDefault="00D821EF" w:rsidP="008C2B83">
      <w:pPr>
        <w:pStyle w:val="Caption"/>
        <w:jc w:val="left"/>
      </w:pPr>
      <w:bookmarkStart w:id="300" w:name="_Toc482633210"/>
      <w:r>
        <w:t xml:space="preserve">Figure </w:t>
      </w:r>
      <w:fldSimple w:instr=" STYLEREF 1 \s ">
        <w:r w:rsidR="00AA6926">
          <w:rPr>
            <w:noProof/>
          </w:rPr>
          <w:t>8</w:t>
        </w:r>
      </w:fldSimple>
      <w:r w:rsidR="00BA082C">
        <w:noBreakHyphen/>
      </w:r>
      <w:fldSimple w:instr=" SEQ Figure \* ARABIC \s 1 ">
        <w:r w:rsidR="00AA6926">
          <w:rPr>
            <w:noProof/>
          </w:rPr>
          <w:t>3</w:t>
        </w:r>
      </w:fldSimple>
      <w:r>
        <w:t xml:space="preserve">. </w:t>
      </w:r>
      <w:r w:rsidRPr="00B5796A">
        <w:t>NTA images captured from videos of increasing concentrations of arginine at 50 °C, showing the increase in nanoparticle formation. These images are not indicative of absolute size of nanoparticles but purely a representation of the number of particles</w:t>
      </w:r>
      <w:r>
        <w:t xml:space="preserve"> that scattered light during video capture</w:t>
      </w:r>
      <w:bookmarkEnd w:id="300"/>
    </w:p>
    <w:p w14:paraId="28D59D23" w14:textId="77777777" w:rsidR="00D821EF" w:rsidRPr="00DE77F4" w:rsidRDefault="00D821EF" w:rsidP="008C2B83"/>
    <w:p w14:paraId="25FA2142" w14:textId="77777777" w:rsidR="00D821EF" w:rsidRDefault="00184734" w:rsidP="00184734">
      <w:pPr>
        <w:pStyle w:val="Heading3"/>
        <w:numPr>
          <w:ilvl w:val="0"/>
          <w:numId w:val="0"/>
        </w:numPr>
        <w:ind w:left="720" w:hanging="720"/>
      </w:pPr>
      <w:bookmarkStart w:id="301" w:name="_Toc485712840"/>
      <w:r>
        <w:t xml:space="preserve">C.2 </w:t>
      </w:r>
      <w:r w:rsidR="00D821EF">
        <w:t>Arginine &amp; NaCl</w:t>
      </w:r>
      <w:bookmarkEnd w:id="301"/>
    </w:p>
    <w:p w14:paraId="07DA96C7"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16</w:t>
        </w:r>
      </w:fldSimple>
      <w:r>
        <w:t>. NTA data for arginine &amp; NaCl pH 7 25 °C</w:t>
      </w:r>
    </w:p>
    <w:tbl>
      <w:tblPr>
        <w:tblStyle w:val="LightShading"/>
        <w:tblW w:w="0" w:type="auto"/>
        <w:tblLook w:val="04A0" w:firstRow="1" w:lastRow="0" w:firstColumn="1" w:lastColumn="0" w:noHBand="0" w:noVBand="1"/>
      </w:tblPr>
      <w:tblGrid>
        <w:gridCol w:w="1135"/>
        <w:gridCol w:w="1135"/>
        <w:gridCol w:w="1135"/>
        <w:gridCol w:w="1135"/>
        <w:gridCol w:w="1045"/>
        <w:gridCol w:w="1045"/>
        <w:gridCol w:w="1045"/>
        <w:gridCol w:w="1045"/>
      </w:tblGrid>
      <w:tr w:rsidR="00D821EF" w:rsidRPr="0052698B" w14:paraId="40257E7F"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67D713CD" w14:textId="77777777" w:rsidR="00D821EF" w:rsidRPr="00DB3655" w:rsidRDefault="00D821EF" w:rsidP="00D821EF">
            <w:pPr>
              <w:spacing w:before="0" w:after="0"/>
              <w:rPr>
                <w:sz w:val="18"/>
                <w:szCs w:val="18"/>
              </w:rPr>
            </w:pPr>
            <w:r w:rsidRPr="00DB3655">
              <w:rPr>
                <w:sz w:val="18"/>
                <w:szCs w:val="18"/>
              </w:rPr>
              <w:t>Arginine concentration (mM)</w:t>
            </w:r>
          </w:p>
        </w:tc>
        <w:tc>
          <w:tcPr>
            <w:tcW w:w="1135" w:type="dxa"/>
            <w:shd w:val="clear" w:color="auto" w:fill="auto"/>
          </w:tcPr>
          <w:p w14:paraId="411F9290" w14:textId="77777777" w:rsidR="00D821EF" w:rsidRPr="00DB3655"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DB3655">
              <w:rPr>
                <w:sz w:val="18"/>
                <w:szCs w:val="18"/>
              </w:rPr>
              <w:t>NaCl concentration (mM)</w:t>
            </w:r>
          </w:p>
        </w:tc>
        <w:tc>
          <w:tcPr>
            <w:tcW w:w="1135" w:type="dxa"/>
            <w:shd w:val="clear" w:color="auto" w:fill="auto"/>
          </w:tcPr>
          <w:p w14:paraId="73467826" w14:textId="77777777" w:rsidR="00D821EF" w:rsidRPr="00DB3655"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DB3655">
              <w:rPr>
                <w:sz w:val="18"/>
                <w:szCs w:val="18"/>
              </w:rPr>
              <w:t>Mean nanoparticle concentration (particles/ mL)</w:t>
            </w:r>
          </w:p>
        </w:tc>
        <w:tc>
          <w:tcPr>
            <w:tcW w:w="1135" w:type="dxa"/>
            <w:shd w:val="clear" w:color="auto" w:fill="auto"/>
          </w:tcPr>
          <w:p w14:paraId="717C41D6" w14:textId="77777777" w:rsidR="00D821EF" w:rsidRPr="00DB3655"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DB3655">
              <w:rPr>
                <w:sz w:val="18"/>
                <w:szCs w:val="18"/>
              </w:rPr>
              <w:t>Nanoparticle concentration SE</w:t>
            </w:r>
          </w:p>
        </w:tc>
        <w:tc>
          <w:tcPr>
            <w:tcW w:w="1045" w:type="dxa"/>
            <w:shd w:val="clear" w:color="auto" w:fill="auto"/>
          </w:tcPr>
          <w:p w14:paraId="46F6AEA5" w14:textId="77777777" w:rsidR="00D821EF" w:rsidRPr="00DB3655"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DB3655">
              <w:rPr>
                <w:sz w:val="18"/>
                <w:szCs w:val="18"/>
              </w:rPr>
              <w:t>Average mean nanoparticle size (nm)</w:t>
            </w:r>
          </w:p>
        </w:tc>
        <w:tc>
          <w:tcPr>
            <w:tcW w:w="1045" w:type="dxa"/>
            <w:shd w:val="clear" w:color="auto" w:fill="auto"/>
          </w:tcPr>
          <w:p w14:paraId="0096CC2F" w14:textId="77777777" w:rsidR="00D821EF" w:rsidRPr="00DB3655"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DB3655">
              <w:rPr>
                <w:sz w:val="18"/>
                <w:szCs w:val="18"/>
              </w:rPr>
              <w:t>Mean nanoparticle size SE</w:t>
            </w:r>
          </w:p>
        </w:tc>
        <w:tc>
          <w:tcPr>
            <w:tcW w:w="1045" w:type="dxa"/>
            <w:shd w:val="clear" w:color="auto" w:fill="auto"/>
          </w:tcPr>
          <w:p w14:paraId="3423CB31" w14:textId="77777777" w:rsidR="00D821EF" w:rsidRPr="00DB3655"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DB3655">
              <w:rPr>
                <w:sz w:val="18"/>
                <w:szCs w:val="18"/>
              </w:rPr>
              <w:t>Average mode nanoparticle size (nm)</w:t>
            </w:r>
          </w:p>
        </w:tc>
        <w:tc>
          <w:tcPr>
            <w:tcW w:w="1045" w:type="dxa"/>
            <w:shd w:val="clear" w:color="auto" w:fill="auto"/>
          </w:tcPr>
          <w:p w14:paraId="5C36DF68" w14:textId="77777777" w:rsidR="00D821EF" w:rsidRPr="00DB3655"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DB3655">
              <w:rPr>
                <w:sz w:val="18"/>
                <w:szCs w:val="18"/>
              </w:rPr>
              <w:t>Mode nanoparticle size SE</w:t>
            </w:r>
          </w:p>
        </w:tc>
      </w:tr>
      <w:tr w:rsidR="00D821EF" w14:paraId="6D536B32"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7972AAE5" w14:textId="77777777" w:rsidR="00D821EF" w:rsidRPr="0054456C" w:rsidRDefault="00D821EF" w:rsidP="00D821EF">
            <w:pPr>
              <w:spacing w:before="0" w:after="0"/>
              <w:rPr>
                <w:sz w:val="18"/>
                <w:szCs w:val="18"/>
              </w:rPr>
            </w:pPr>
            <w:r w:rsidRPr="0054456C">
              <w:rPr>
                <w:sz w:val="18"/>
                <w:szCs w:val="18"/>
              </w:rPr>
              <w:t>50</w:t>
            </w:r>
          </w:p>
        </w:tc>
        <w:tc>
          <w:tcPr>
            <w:tcW w:w="1135" w:type="dxa"/>
            <w:shd w:val="clear" w:color="auto" w:fill="auto"/>
          </w:tcPr>
          <w:p w14:paraId="3F130E73"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4456C">
              <w:rPr>
                <w:b/>
                <w:sz w:val="18"/>
                <w:szCs w:val="18"/>
              </w:rPr>
              <w:t>0</w:t>
            </w:r>
          </w:p>
        </w:tc>
        <w:tc>
          <w:tcPr>
            <w:tcW w:w="1135" w:type="dxa"/>
            <w:shd w:val="clear" w:color="auto" w:fill="auto"/>
          </w:tcPr>
          <w:p w14:paraId="591E23F9"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4.33E7</w:t>
            </w:r>
          </w:p>
        </w:tc>
        <w:tc>
          <w:tcPr>
            <w:tcW w:w="1135" w:type="dxa"/>
            <w:shd w:val="clear" w:color="auto" w:fill="auto"/>
          </w:tcPr>
          <w:p w14:paraId="7456EB42"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8.76E6</w:t>
            </w:r>
          </w:p>
        </w:tc>
        <w:tc>
          <w:tcPr>
            <w:tcW w:w="1045" w:type="dxa"/>
            <w:shd w:val="clear" w:color="auto" w:fill="auto"/>
          </w:tcPr>
          <w:p w14:paraId="458C4115"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267.67</w:t>
            </w:r>
          </w:p>
        </w:tc>
        <w:tc>
          <w:tcPr>
            <w:tcW w:w="1045" w:type="dxa"/>
            <w:shd w:val="clear" w:color="auto" w:fill="auto"/>
          </w:tcPr>
          <w:p w14:paraId="30A99115"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25.86</w:t>
            </w:r>
          </w:p>
        </w:tc>
        <w:tc>
          <w:tcPr>
            <w:tcW w:w="1045" w:type="dxa"/>
            <w:shd w:val="clear" w:color="auto" w:fill="auto"/>
          </w:tcPr>
          <w:p w14:paraId="742F8CEC"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262.67</w:t>
            </w:r>
          </w:p>
        </w:tc>
        <w:tc>
          <w:tcPr>
            <w:tcW w:w="1045" w:type="dxa"/>
            <w:shd w:val="clear" w:color="auto" w:fill="auto"/>
          </w:tcPr>
          <w:p w14:paraId="5F3E1FB6"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81.54</w:t>
            </w:r>
          </w:p>
        </w:tc>
      </w:tr>
      <w:tr w:rsidR="00D821EF" w14:paraId="004FFA9B" w14:textId="77777777" w:rsidTr="00DB3655">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34445473" w14:textId="77777777" w:rsidR="00D821EF" w:rsidRPr="0054456C" w:rsidRDefault="00D821EF" w:rsidP="00D821EF">
            <w:pPr>
              <w:spacing w:before="0" w:after="0"/>
              <w:rPr>
                <w:sz w:val="18"/>
                <w:szCs w:val="18"/>
              </w:rPr>
            </w:pPr>
            <w:r w:rsidRPr="0054456C">
              <w:rPr>
                <w:sz w:val="18"/>
                <w:szCs w:val="18"/>
              </w:rPr>
              <w:t>50</w:t>
            </w:r>
          </w:p>
        </w:tc>
        <w:tc>
          <w:tcPr>
            <w:tcW w:w="1135" w:type="dxa"/>
            <w:shd w:val="clear" w:color="auto" w:fill="auto"/>
          </w:tcPr>
          <w:p w14:paraId="3C68A036"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4456C">
              <w:rPr>
                <w:b/>
                <w:sz w:val="18"/>
                <w:szCs w:val="18"/>
              </w:rPr>
              <w:t>50</w:t>
            </w:r>
          </w:p>
        </w:tc>
        <w:tc>
          <w:tcPr>
            <w:tcW w:w="1135" w:type="dxa"/>
            <w:shd w:val="clear" w:color="auto" w:fill="auto"/>
          </w:tcPr>
          <w:p w14:paraId="14D708B1"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1.77E7</w:t>
            </w:r>
          </w:p>
        </w:tc>
        <w:tc>
          <w:tcPr>
            <w:tcW w:w="1135" w:type="dxa"/>
            <w:shd w:val="clear" w:color="auto" w:fill="auto"/>
          </w:tcPr>
          <w:p w14:paraId="1875364F"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4.67E6</w:t>
            </w:r>
          </w:p>
        </w:tc>
        <w:tc>
          <w:tcPr>
            <w:tcW w:w="1045" w:type="dxa"/>
            <w:shd w:val="clear" w:color="auto" w:fill="auto"/>
          </w:tcPr>
          <w:p w14:paraId="63B13D87"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266.67</w:t>
            </w:r>
          </w:p>
        </w:tc>
        <w:tc>
          <w:tcPr>
            <w:tcW w:w="1045" w:type="dxa"/>
            <w:shd w:val="clear" w:color="auto" w:fill="auto"/>
          </w:tcPr>
          <w:p w14:paraId="2192532A"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18.27</w:t>
            </w:r>
          </w:p>
        </w:tc>
        <w:tc>
          <w:tcPr>
            <w:tcW w:w="1045" w:type="dxa"/>
            <w:shd w:val="clear" w:color="auto" w:fill="auto"/>
          </w:tcPr>
          <w:p w14:paraId="058D340C"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144.67</w:t>
            </w:r>
          </w:p>
        </w:tc>
        <w:tc>
          <w:tcPr>
            <w:tcW w:w="1045" w:type="dxa"/>
            <w:shd w:val="clear" w:color="auto" w:fill="auto"/>
          </w:tcPr>
          <w:p w14:paraId="15127645"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3.48</w:t>
            </w:r>
          </w:p>
        </w:tc>
      </w:tr>
      <w:tr w:rsidR="00D821EF" w14:paraId="224132A1"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174DAF01" w14:textId="77777777" w:rsidR="00D821EF" w:rsidRPr="0054456C" w:rsidRDefault="00D821EF" w:rsidP="00D821EF">
            <w:pPr>
              <w:spacing w:before="0" w:after="0"/>
              <w:rPr>
                <w:sz w:val="18"/>
                <w:szCs w:val="18"/>
              </w:rPr>
            </w:pPr>
            <w:r w:rsidRPr="0054456C">
              <w:rPr>
                <w:sz w:val="18"/>
                <w:szCs w:val="18"/>
              </w:rPr>
              <w:t>500</w:t>
            </w:r>
          </w:p>
        </w:tc>
        <w:tc>
          <w:tcPr>
            <w:tcW w:w="1135" w:type="dxa"/>
            <w:shd w:val="clear" w:color="auto" w:fill="auto"/>
          </w:tcPr>
          <w:p w14:paraId="1A3F70AA"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4456C">
              <w:rPr>
                <w:b/>
                <w:sz w:val="18"/>
                <w:szCs w:val="18"/>
              </w:rPr>
              <w:t>0</w:t>
            </w:r>
          </w:p>
        </w:tc>
        <w:tc>
          <w:tcPr>
            <w:tcW w:w="1135" w:type="dxa"/>
            <w:shd w:val="clear" w:color="auto" w:fill="auto"/>
          </w:tcPr>
          <w:p w14:paraId="0ED1ED8D"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3.26E8</w:t>
            </w:r>
          </w:p>
        </w:tc>
        <w:tc>
          <w:tcPr>
            <w:tcW w:w="1135" w:type="dxa"/>
            <w:shd w:val="clear" w:color="auto" w:fill="auto"/>
          </w:tcPr>
          <w:p w14:paraId="2693044F"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1.91E7</w:t>
            </w:r>
          </w:p>
        </w:tc>
        <w:tc>
          <w:tcPr>
            <w:tcW w:w="1045" w:type="dxa"/>
            <w:shd w:val="clear" w:color="auto" w:fill="auto"/>
          </w:tcPr>
          <w:p w14:paraId="71191EAC"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243.75</w:t>
            </w:r>
          </w:p>
        </w:tc>
        <w:tc>
          <w:tcPr>
            <w:tcW w:w="1045" w:type="dxa"/>
            <w:shd w:val="clear" w:color="auto" w:fill="auto"/>
          </w:tcPr>
          <w:p w14:paraId="6BBAA5F1"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5.84</w:t>
            </w:r>
          </w:p>
        </w:tc>
        <w:tc>
          <w:tcPr>
            <w:tcW w:w="1045" w:type="dxa"/>
            <w:shd w:val="clear" w:color="auto" w:fill="auto"/>
          </w:tcPr>
          <w:p w14:paraId="727CF952"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211.25</w:t>
            </w:r>
          </w:p>
        </w:tc>
        <w:tc>
          <w:tcPr>
            <w:tcW w:w="1045" w:type="dxa"/>
            <w:shd w:val="clear" w:color="auto" w:fill="auto"/>
          </w:tcPr>
          <w:p w14:paraId="3F75B8D9"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16.15</w:t>
            </w:r>
          </w:p>
        </w:tc>
      </w:tr>
      <w:tr w:rsidR="00D821EF" w14:paraId="36731074" w14:textId="77777777" w:rsidTr="00DB3655">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3A3FFD24" w14:textId="77777777" w:rsidR="00D821EF" w:rsidRPr="0054456C" w:rsidRDefault="00D821EF" w:rsidP="00D821EF">
            <w:pPr>
              <w:spacing w:before="0" w:after="0"/>
              <w:rPr>
                <w:sz w:val="18"/>
                <w:szCs w:val="18"/>
              </w:rPr>
            </w:pPr>
            <w:r w:rsidRPr="0054456C">
              <w:rPr>
                <w:sz w:val="18"/>
                <w:szCs w:val="18"/>
              </w:rPr>
              <w:t>500</w:t>
            </w:r>
          </w:p>
        </w:tc>
        <w:tc>
          <w:tcPr>
            <w:tcW w:w="1135" w:type="dxa"/>
            <w:shd w:val="clear" w:color="auto" w:fill="auto"/>
          </w:tcPr>
          <w:p w14:paraId="43DF1FD3"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4456C">
              <w:rPr>
                <w:b/>
                <w:sz w:val="18"/>
                <w:szCs w:val="18"/>
              </w:rPr>
              <w:t>5</w:t>
            </w:r>
          </w:p>
        </w:tc>
        <w:tc>
          <w:tcPr>
            <w:tcW w:w="1135" w:type="dxa"/>
            <w:shd w:val="clear" w:color="auto" w:fill="auto"/>
          </w:tcPr>
          <w:p w14:paraId="61D4C202"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2.93E8</w:t>
            </w:r>
          </w:p>
        </w:tc>
        <w:tc>
          <w:tcPr>
            <w:tcW w:w="1135" w:type="dxa"/>
            <w:shd w:val="clear" w:color="auto" w:fill="auto"/>
          </w:tcPr>
          <w:p w14:paraId="3A23B732"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1.54E7</w:t>
            </w:r>
          </w:p>
        </w:tc>
        <w:tc>
          <w:tcPr>
            <w:tcW w:w="1045" w:type="dxa"/>
            <w:shd w:val="clear" w:color="auto" w:fill="auto"/>
          </w:tcPr>
          <w:p w14:paraId="0737C54C"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325.00</w:t>
            </w:r>
          </w:p>
        </w:tc>
        <w:tc>
          <w:tcPr>
            <w:tcW w:w="1045" w:type="dxa"/>
            <w:shd w:val="clear" w:color="auto" w:fill="auto"/>
          </w:tcPr>
          <w:p w14:paraId="019896B5"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18.61</w:t>
            </w:r>
          </w:p>
        </w:tc>
        <w:tc>
          <w:tcPr>
            <w:tcW w:w="1045" w:type="dxa"/>
            <w:shd w:val="clear" w:color="auto" w:fill="auto"/>
          </w:tcPr>
          <w:p w14:paraId="55DA43AB"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257.00</w:t>
            </w:r>
          </w:p>
        </w:tc>
        <w:tc>
          <w:tcPr>
            <w:tcW w:w="1045" w:type="dxa"/>
            <w:shd w:val="clear" w:color="auto" w:fill="auto"/>
          </w:tcPr>
          <w:p w14:paraId="3162CD84"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1.15</w:t>
            </w:r>
          </w:p>
        </w:tc>
      </w:tr>
      <w:tr w:rsidR="00D821EF" w14:paraId="34CC7859"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774B0143" w14:textId="77777777" w:rsidR="00D821EF" w:rsidRPr="0054456C" w:rsidRDefault="00D821EF" w:rsidP="00D821EF">
            <w:pPr>
              <w:spacing w:before="0" w:after="0"/>
              <w:rPr>
                <w:sz w:val="18"/>
                <w:szCs w:val="18"/>
              </w:rPr>
            </w:pPr>
            <w:r w:rsidRPr="0054456C">
              <w:rPr>
                <w:sz w:val="18"/>
                <w:szCs w:val="18"/>
              </w:rPr>
              <w:t>500</w:t>
            </w:r>
          </w:p>
        </w:tc>
        <w:tc>
          <w:tcPr>
            <w:tcW w:w="1135" w:type="dxa"/>
            <w:shd w:val="clear" w:color="auto" w:fill="auto"/>
          </w:tcPr>
          <w:p w14:paraId="137C605A"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4456C">
              <w:rPr>
                <w:b/>
                <w:sz w:val="18"/>
                <w:szCs w:val="18"/>
              </w:rPr>
              <w:t>25</w:t>
            </w:r>
          </w:p>
        </w:tc>
        <w:tc>
          <w:tcPr>
            <w:tcW w:w="1135" w:type="dxa"/>
            <w:shd w:val="clear" w:color="auto" w:fill="auto"/>
          </w:tcPr>
          <w:p w14:paraId="25891DA9"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2.02E8</w:t>
            </w:r>
          </w:p>
        </w:tc>
        <w:tc>
          <w:tcPr>
            <w:tcW w:w="1135" w:type="dxa"/>
            <w:shd w:val="clear" w:color="auto" w:fill="auto"/>
          </w:tcPr>
          <w:p w14:paraId="1843A261"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1.12E7</w:t>
            </w:r>
          </w:p>
        </w:tc>
        <w:tc>
          <w:tcPr>
            <w:tcW w:w="1045" w:type="dxa"/>
            <w:shd w:val="clear" w:color="auto" w:fill="auto"/>
          </w:tcPr>
          <w:p w14:paraId="75B92FBD"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400.33</w:t>
            </w:r>
          </w:p>
        </w:tc>
        <w:tc>
          <w:tcPr>
            <w:tcW w:w="1045" w:type="dxa"/>
            <w:shd w:val="clear" w:color="auto" w:fill="auto"/>
          </w:tcPr>
          <w:p w14:paraId="5C6950F5"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26.12</w:t>
            </w:r>
          </w:p>
        </w:tc>
        <w:tc>
          <w:tcPr>
            <w:tcW w:w="1045" w:type="dxa"/>
            <w:shd w:val="clear" w:color="auto" w:fill="auto"/>
          </w:tcPr>
          <w:p w14:paraId="4F53A50A"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285.00</w:t>
            </w:r>
          </w:p>
        </w:tc>
        <w:tc>
          <w:tcPr>
            <w:tcW w:w="1045" w:type="dxa"/>
            <w:shd w:val="clear" w:color="auto" w:fill="auto"/>
          </w:tcPr>
          <w:p w14:paraId="56EF48E6"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11.02</w:t>
            </w:r>
          </w:p>
        </w:tc>
      </w:tr>
      <w:tr w:rsidR="00D821EF" w14:paraId="281B6457" w14:textId="77777777" w:rsidTr="00DB3655">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2331AB2D" w14:textId="77777777" w:rsidR="00D821EF" w:rsidRPr="0054456C" w:rsidRDefault="00D821EF" w:rsidP="00D821EF">
            <w:pPr>
              <w:spacing w:before="0" w:after="0"/>
              <w:rPr>
                <w:sz w:val="18"/>
                <w:szCs w:val="18"/>
              </w:rPr>
            </w:pPr>
            <w:r w:rsidRPr="0054456C">
              <w:rPr>
                <w:sz w:val="18"/>
                <w:szCs w:val="18"/>
              </w:rPr>
              <w:t>500</w:t>
            </w:r>
          </w:p>
        </w:tc>
        <w:tc>
          <w:tcPr>
            <w:tcW w:w="1135" w:type="dxa"/>
            <w:shd w:val="clear" w:color="auto" w:fill="auto"/>
          </w:tcPr>
          <w:p w14:paraId="4380A3B5"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4456C">
              <w:rPr>
                <w:b/>
                <w:sz w:val="18"/>
                <w:szCs w:val="18"/>
              </w:rPr>
              <w:t>100</w:t>
            </w:r>
          </w:p>
        </w:tc>
        <w:tc>
          <w:tcPr>
            <w:tcW w:w="1135" w:type="dxa"/>
            <w:shd w:val="clear" w:color="auto" w:fill="auto"/>
          </w:tcPr>
          <w:p w14:paraId="39151FBC"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2.35E8</w:t>
            </w:r>
          </w:p>
        </w:tc>
        <w:tc>
          <w:tcPr>
            <w:tcW w:w="1135" w:type="dxa"/>
            <w:shd w:val="clear" w:color="auto" w:fill="auto"/>
          </w:tcPr>
          <w:p w14:paraId="7A6F45FC"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1.80E7</w:t>
            </w:r>
          </w:p>
        </w:tc>
        <w:tc>
          <w:tcPr>
            <w:tcW w:w="1045" w:type="dxa"/>
            <w:shd w:val="clear" w:color="auto" w:fill="auto"/>
          </w:tcPr>
          <w:p w14:paraId="19DCDAD2"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309.67</w:t>
            </w:r>
          </w:p>
        </w:tc>
        <w:tc>
          <w:tcPr>
            <w:tcW w:w="1045" w:type="dxa"/>
            <w:shd w:val="clear" w:color="auto" w:fill="auto"/>
          </w:tcPr>
          <w:p w14:paraId="48C370F2"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9.74</w:t>
            </w:r>
          </w:p>
        </w:tc>
        <w:tc>
          <w:tcPr>
            <w:tcW w:w="1045" w:type="dxa"/>
            <w:shd w:val="clear" w:color="auto" w:fill="auto"/>
          </w:tcPr>
          <w:p w14:paraId="0CD0D8C5"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234.33</w:t>
            </w:r>
          </w:p>
        </w:tc>
        <w:tc>
          <w:tcPr>
            <w:tcW w:w="1045" w:type="dxa"/>
            <w:shd w:val="clear" w:color="auto" w:fill="auto"/>
          </w:tcPr>
          <w:p w14:paraId="4318C3C6"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25.50</w:t>
            </w:r>
          </w:p>
        </w:tc>
      </w:tr>
      <w:tr w:rsidR="00D821EF" w14:paraId="18CA9517"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3DE5162D" w14:textId="77777777" w:rsidR="00D821EF" w:rsidRPr="0054456C" w:rsidRDefault="00D821EF" w:rsidP="00D821EF">
            <w:pPr>
              <w:spacing w:before="0" w:after="0"/>
              <w:rPr>
                <w:sz w:val="18"/>
                <w:szCs w:val="18"/>
              </w:rPr>
            </w:pPr>
            <w:r w:rsidRPr="0054456C">
              <w:rPr>
                <w:sz w:val="18"/>
                <w:szCs w:val="18"/>
              </w:rPr>
              <w:t>500</w:t>
            </w:r>
          </w:p>
        </w:tc>
        <w:tc>
          <w:tcPr>
            <w:tcW w:w="1135" w:type="dxa"/>
            <w:shd w:val="clear" w:color="auto" w:fill="auto"/>
          </w:tcPr>
          <w:p w14:paraId="18909B82"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4456C">
              <w:rPr>
                <w:b/>
                <w:sz w:val="18"/>
                <w:szCs w:val="18"/>
              </w:rPr>
              <w:t>500</w:t>
            </w:r>
          </w:p>
        </w:tc>
        <w:tc>
          <w:tcPr>
            <w:tcW w:w="1135" w:type="dxa"/>
            <w:shd w:val="clear" w:color="auto" w:fill="auto"/>
          </w:tcPr>
          <w:p w14:paraId="7EAA97EC"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1.96E8</w:t>
            </w:r>
          </w:p>
        </w:tc>
        <w:tc>
          <w:tcPr>
            <w:tcW w:w="1135" w:type="dxa"/>
            <w:shd w:val="clear" w:color="auto" w:fill="auto"/>
          </w:tcPr>
          <w:p w14:paraId="719346CC"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1.36E7</w:t>
            </w:r>
          </w:p>
        </w:tc>
        <w:tc>
          <w:tcPr>
            <w:tcW w:w="1045" w:type="dxa"/>
            <w:shd w:val="clear" w:color="auto" w:fill="auto"/>
          </w:tcPr>
          <w:p w14:paraId="3A0FE8EF"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300.00</w:t>
            </w:r>
          </w:p>
        </w:tc>
        <w:tc>
          <w:tcPr>
            <w:tcW w:w="1045" w:type="dxa"/>
            <w:shd w:val="clear" w:color="auto" w:fill="auto"/>
          </w:tcPr>
          <w:p w14:paraId="0F67F72A"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9.29</w:t>
            </w:r>
          </w:p>
        </w:tc>
        <w:tc>
          <w:tcPr>
            <w:tcW w:w="1045" w:type="dxa"/>
            <w:shd w:val="clear" w:color="auto" w:fill="auto"/>
          </w:tcPr>
          <w:p w14:paraId="2281ADAC"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242.33</w:t>
            </w:r>
          </w:p>
        </w:tc>
        <w:tc>
          <w:tcPr>
            <w:tcW w:w="1045" w:type="dxa"/>
            <w:shd w:val="clear" w:color="auto" w:fill="auto"/>
          </w:tcPr>
          <w:p w14:paraId="63F067CA"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6.94</w:t>
            </w:r>
          </w:p>
        </w:tc>
      </w:tr>
    </w:tbl>
    <w:p w14:paraId="2EC64BA1" w14:textId="77777777" w:rsidR="00D821EF" w:rsidRDefault="00D821EF" w:rsidP="008C2B83"/>
    <w:p w14:paraId="085022C7" w14:textId="77777777" w:rsidR="00D821EF" w:rsidRDefault="00D821EF" w:rsidP="008C2B83"/>
    <w:p w14:paraId="0552E41E"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17</w:t>
        </w:r>
      </w:fldSimple>
      <w:r>
        <w:t>. NTA data for arginine &amp; NaCl pH 7 50 °C</w:t>
      </w:r>
    </w:p>
    <w:tbl>
      <w:tblPr>
        <w:tblStyle w:val="LightShading"/>
        <w:tblW w:w="0" w:type="auto"/>
        <w:tblLook w:val="04A0" w:firstRow="1" w:lastRow="0" w:firstColumn="1" w:lastColumn="0" w:noHBand="0" w:noVBand="1"/>
      </w:tblPr>
      <w:tblGrid>
        <w:gridCol w:w="1135"/>
        <w:gridCol w:w="1135"/>
        <w:gridCol w:w="1135"/>
        <w:gridCol w:w="1135"/>
        <w:gridCol w:w="1045"/>
        <w:gridCol w:w="1045"/>
        <w:gridCol w:w="1045"/>
        <w:gridCol w:w="1045"/>
      </w:tblGrid>
      <w:tr w:rsidR="00D821EF" w:rsidRPr="0052698B" w14:paraId="7B428041"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580612BC" w14:textId="77777777" w:rsidR="00D821EF" w:rsidRPr="0054456C" w:rsidRDefault="00D821EF" w:rsidP="00D821EF">
            <w:pPr>
              <w:spacing w:before="0" w:after="0"/>
              <w:rPr>
                <w:sz w:val="18"/>
                <w:szCs w:val="18"/>
              </w:rPr>
            </w:pPr>
            <w:r w:rsidRPr="0054456C">
              <w:rPr>
                <w:sz w:val="18"/>
                <w:szCs w:val="18"/>
              </w:rPr>
              <w:t>Arginine concentration (mM)</w:t>
            </w:r>
          </w:p>
        </w:tc>
        <w:tc>
          <w:tcPr>
            <w:tcW w:w="1135" w:type="dxa"/>
            <w:shd w:val="clear" w:color="auto" w:fill="auto"/>
          </w:tcPr>
          <w:p w14:paraId="7C09AD34"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NaCl concentration (mM)</w:t>
            </w:r>
          </w:p>
        </w:tc>
        <w:tc>
          <w:tcPr>
            <w:tcW w:w="1135" w:type="dxa"/>
            <w:shd w:val="clear" w:color="auto" w:fill="auto"/>
          </w:tcPr>
          <w:p w14:paraId="1A46AE36"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Mean nanoparticle concentration (particles/ mL)</w:t>
            </w:r>
          </w:p>
        </w:tc>
        <w:tc>
          <w:tcPr>
            <w:tcW w:w="1135" w:type="dxa"/>
            <w:shd w:val="clear" w:color="auto" w:fill="auto"/>
          </w:tcPr>
          <w:p w14:paraId="24960D15"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Nanoparticle concentration SE</w:t>
            </w:r>
          </w:p>
        </w:tc>
        <w:tc>
          <w:tcPr>
            <w:tcW w:w="1045" w:type="dxa"/>
            <w:shd w:val="clear" w:color="auto" w:fill="auto"/>
          </w:tcPr>
          <w:p w14:paraId="2B80B2B3"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Average mean nanoparticle size (nm)</w:t>
            </w:r>
          </w:p>
        </w:tc>
        <w:tc>
          <w:tcPr>
            <w:tcW w:w="1045" w:type="dxa"/>
            <w:shd w:val="clear" w:color="auto" w:fill="auto"/>
          </w:tcPr>
          <w:p w14:paraId="03544F3A"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Mean nanoparticle size SE</w:t>
            </w:r>
          </w:p>
        </w:tc>
        <w:tc>
          <w:tcPr>
            <w:tcW w:w="1045" w:type="dxa"/>
            <w:shd w:val="clear" w:color="auto" w:fill="auto"/>
          </w:tcPr>
          <w:p w14:paraId="54702183"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Average mode nanoparticle size (nm)</w:t>
            </w:r>
          </w:p>
        </w:tc>
        <w:tc>
          <w:tcPr>
            <w:tcW w:w="1045" w:type="dxa"/>
            <w:shd w:val="clear" w:color="auto" w:fill="auto"/>
          </w:tcPr>
          <w:p w14:paraId="6CC27655"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Mode nanoparticle size SE</w:t>
            </w:r>
          </w:p>
        </w:tc>
      </w:tr>
      <w:tr w:rsidR="00D821EF" w14:paraId="3CB29058"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413F34AD" w14:textId="77777777" w:rsidR="00D821EF" w:rsidRPr="0054456C" w:rsidRDefault="00D821EF" w:rsidP="00D821EF">
            <w:pPr>
              <w:spacing w:before="0" w:after="0"/>
              <w:rPr>
                <w:sz w:val="18"/>
                <w:szCs w:val="18"/>
              </w:rPr>
            </w:pPr>
            <w:r w:rsidRPr="0054456C">
              <w:rPr>
                <w:sz w:val="18"/>
                <w:szCs w:val="18"/>
              </w:rPr>
              <w:t>50</w:t>
            </w:r>
          </w:p>
        </w:tc>
        <w:tc>
          <w:tcPr>
            <w:tcW w:w="1135" w:type="dxa"/>
            <w:shd w:val="clear" w:color="auto" w:fill="auto"/>
          </w:tcPr>
          <w:p w14:paraId="30D49C74"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4456C">
              <w:rPr>
                <w:b/>
                <w:sz w:val="18"/>
                <w:szCs w:val="18"/>
              </w:rPr>
              <w:t>0</w:t>
            </w:r>
          </w:p>
        </w:tc>
        <w:tc>
          <w:tcPr>
            <w:tcW w:w="1135" w:type="dxa"/>
            <w:shd w:val="clear" w:color="auto" w:fill="auto"/>
          </w:tcPr>
          <w:p w14:paraId="6782CC2E"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2.25E7</w:t>
            </w:r>
          </w:p>
        </w:tc>
        <w:tc>
          <w:tcPr>
            <w:tcW w:w="1135" w:type="dxa"/>
            <w:shd w:val="clear" w:color="auto" w:fill="auto"/>
          </w:tcPr>
          <w:p w14:paraId="1FDFE9D6"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1.50E6</w:t>
            </w:r>
          </w:p>
        </w:tc>
        <w:tc>
          <w:tcPr>
            <w:tcW w:w="1045" w:type="dxa"/>
            <w:shd w:val="clear" w:color="auto" w:fill="auto"/>
          </w:tcPr>
          <w:p w14:paraId="6C1A8A82"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487.00</w:t>
            </w:r>
          </w:p>
        </w:tc>
        <w:tc>
          <w:tcPr>
            <w:tcW w:w="1045" w:type="dxa"/>
            <w:shd w:val="clear" w:color="auto" w:fill="auto"/>
          </w:tcPr>
          <w:p w14:paraId="5140A047"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103.50</w:t>
            </w:r>
          </w:p>
        </w:tc>
        <w:tc>
          <w:tcPr>
            <w:tcW w:w="1045" w:type="dxa"/>
            <w:shd w:val="clear" w:color="auto" w:fill="auto"/>
          </w:tcPr>
          <w:p w14:paraId="375191CB"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256.00</w:t>
            </w:r>
          </w:p>
        </w:tc>
        <w:tc>
          <w:tcPr>
            <w:tcW w:w="1045" w:type="dxa"/>
            <w:shd w:val="clear" w:color="auto" w:fill="auto"/>
          </w:tcPr>
          <w:p w14:paraId="4F52F5F5"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60.00</w:t>
            </w:r>
          </w:p>
        </w:tc>
      </w:tr>
      <w:tr w:rsidR="00D821EF" w14:paraId="4C7929CE" w14:textId="77777777" w:rsidTr="00DB3655">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29585FBB" w14:textId="77777777" w:rsidR="00D821EF" w:rsidRPr="0054456C" w:rsidRDefault="00D821EF" w:rsidP="00D821EF">
            <w:pPr>
              <w:spacing w:before="0" w:after="0"/>
              <w:rPr>
                <w:sz w:val="18"/>
                <w:szCs w:val="18"/>
              </w:rPr>
            </w:pPr>
            <w:r w:rsidRPr="0054456C">
              <w:rPr>
                <w:sz w:val="18"/>
                <w:szCs w:val="18"/>
              </w:rPr>
              <w:t>50</w:t>
            </w:r>
          </w:p>
        </w:tc>
        <w:tc>
          <w:tcPr>
            <w:tcW w:w="1135" w:type="dxa"/>
            <w:shd w:val="clear" w:color="auto" w:fill="auto"/>
          </w:tcPr>
          <w:p w14:paraId="3E5D41A8"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4456C">
              <w:rPr>
                <w:b/>
                <w:sz w:val="18"/>
                <w:szCs w:val="18"/>
              </w:rPr>
              <w:t>50</w:t>
            </w:r>
          </w:p>
        </w:tc>
        <w:tc>
          <w:tcPr>
            <w:tcW w:w="1135" w:type="dxa"/>
            <w:shd w:val="clear" w:color="auto" w:fill="auto"/>
          </w:tcPr>
          <w:p w14:paraId="1AAC90C4"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3.00E6</w:t>
            </w:r>
          </w:p>
        </w:tc>
        <w:tc>
          <w:tcPr>
            <w:tcW w:w="1135" w:type="dxa"/>
            <w:shd w:val="clear" w:color="auto" w:fill="auto"/>
          </w:tcPr>
          <w:p w14:paraId="693A74A9"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1.53E6</w:t>
            </w:r>
          </w:p>
        </w:tc>
        <w:tc>
          <w:tcPr>
            <w:tcW w:w="1045" w:type="dxa"/>
            <w:shd w:val="clear" w:color="auto" w:fill="auto"/>
          </w:tcPr>
          <w:p w14:paraId="029A5FD9"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311.33</w:t>
            </w:r>
          </w:p>
        </w:tc>
        <w:tc>
          <w:tcPr>
            <w:tcW w:w="1045" w:type="dxa"/>
            <w:shd w:val="clear" w:color="auto" w:fill="auto"/>
          </w:tcPr>
          <w:p w14:paraId="775BC33F"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97.35</w:t>
            </w:r>
          </w:p>
        </w:tc>
        <w:tc>
          <w:tcPr>
            <w:tcW w:w="1045" w:type="dxa"/>
            <w:shd w:val="clear" w:color="auto" w:fill="auto"/>
          </w:tcPr>
          <w:p w14:paraId="165E49AB"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360.67</w:t>
            </w:r>
          </w:p>
        </w:tc>
        <w:tc>
          <w:tcPr>
            <w:tcW w:w="1045" w:type="dxa"/>
            <w:shd w:val="clear" w:color="auto" w:fill="auto"/>
          </w:tcPr>
          <w:p w14:paraId="3A3CE064"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116.16</w:t>
            </w:r>
          </w:p>
        </w:tc>
      </w:tr>
      <w:tr w:rsidR="00D821EF" w14:paraId="6B31D56E"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5F4596A1" w14:textId="77777777" w:rsidR="00D821EF" w:rsidRPr="0054456C" w:rsidRDefault="00D821EF" w:rsidP="00D821EF">
            <w:pPr>
              <w:spacing w:before="0" w:after="0"/>
              <w:rPr>
                <w:sz w:val="18"/>
                <w:szCs w:val="18"/>
              </w:rPr>
            </w:pPr>
            <w:r w:rsidRPr="0054456C">
              <w:rPr>
                <w:sz w:val="18"/>
                <w:szCs w:val="18"/>
              </w:rPr>
              <w:t>500</w:t>
            </w:r>
          </w:p>
        </w:tc>
        <w:tc>
          <w:tcPr>
            <w:tcW w:w="1135" w:type="dxa"/>
            <w:shd w:val="clear" w:color="auto" w:fill="auto"/>
          </w:tcPr>
          <w:p w14:paraId="0BB093AE"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4456C">
              <w:rPr>
                <w:b/>
                <w:sz w:val="18"/>
                <w:szCs w:val="18"/>
              </w:rPr>
              <w:t>0</w:t>
            </w:r>
          </w:p>
        </w:tc>
        <w:tc>
          <w:tcPr>
            <w:tcW w:w="1135" w:type="dxa"/>
            <w:shd w:val="clear" w:color="auto" w:fill="auto"/>
          </w:tcPr>
          <w:p w14:paraId="101E30FD"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2.25E8</w:t>
            </w:r>
          </w:p>
        </w:tc>
        <w:tc>
          <w:tcPr>
            <w:tcW w:w="1135" w:type="dxa"/>
            <w:shd w:val="clear" w:color="auto" w:fill="auto"/>
          </w:tcPr>
          <w:p w14:paraId="714A04EB"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3.42E7</w:t>
            </w:r>
          </w:p>
        </w:tc>
        <w:tc>
          <w:tcPr>
            <w:tcW w:w="1045" w:type="dxa"/>
            <w:shd w:val="clear" w:color="auto" w:fill="auto"/>
          </w:tcPr>
          <w:p w14:paraId="3FAB8F40"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290.33</w:t>
            </w:r>
          </w:p>
        </w:tc>
        <w:tc>
          <w:tcPr>
            <w:tcW w:w="1045" w:type="dxa"/>
            <w:shd w:val="clear" w:color="auto" w:fill="auto"/>
          </w:tcPr>
          <w:p w14:paraId="33A36909"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9.61</w:t>
            </w:r>
          </w:p>
        </w:tc>
        <w:tc>
          <w:tcPr>
            <w:tcW w:w="1045" w:type="dxa"/>
            <w:shd w:val="clear" w:color="auto" w:fill="auto"/>
          </w:tcPr>
          <w:p w14:paraId="1F014F7E"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257.33</w:t>
            </w:r>
          </w:p>
        </w:tc>
        <w:tc>
          <w:tcPr>
            <w:tcW w:w="1045" w:type="dxa"/>
            <w:shd w:val="clear" w:color="auto" w:fill="auto"/>
          </w:tcPr>
          <w:p w14:paraId="10536AB8"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7.54</w:t>
            </w:r>
          </w:p>
        </w:tc>
      </w:tr>
      <w:tr w:rsidR="00D821EF" w14:paraId="78C908FC" w14:textId="77777777" w:rsidTr="00DB3655">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71D5CCD3" w14:textId="77777777" w:rsidR="00D821EF" w:rsidRPr="0054456C" w:rsidRDefault="00D821EF" w:rsidP="00D821EF">
            <w:pPr>
              <w:spacing w:before="0" w:after="0"/>
              <w:rPr>
                <w:sz w:val="18"/>
                <w:szCs w:val="18"/>
              </w:rPr>
            </w:pPr>
            <w:r w:rsidRPr="0054456C">
              <w:rPr>
                <w:sz w:val="18"/>
                <w:szCs w:val="18"/>
              </w:rPr>
              <w:t>500</w:t>
            </w:r>
          </w:p>
        </w:tc>
        <w:tc>
          <w:tcPr>
            <w:tcW w:w="1135" w:type="dxa"/>
            <w:shd w:val="clear" w:color="auto" w:fill="auto"/>
          </w:tcPr>
          <w:p w14:paraId="321FC233"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4456C">
              <w:rPr>
                <w:b/>
                <w:sz w:val="18"/>
                <w:szCs w:val="18"/>
              </w:rPr>
              <w:t>5</w:t>
            </w:r>
          </w:p>
        </w:tc>
        <w:tc>
          <w:tcPr>
            <w:tcW w:w="1135" w:type="dxa"/>
            <w:shd w:val="clear" w:color="auto" w:fill="auto"/>
          </w:tcPr>
          <w:p w14:paraId="0769E8A3"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1.50E8</w:t>
            </w:r>
          </w:p>
        </w:tc>
        <w:tc>
          <w:tcPr>
            <w:tcW w:w="1135" w:type="dxa"/>
            <w:shd w:val="clear" w:color="auto" w:fill="auto"/>
          </w:tcPr>
          <w:p w14:paraId="050E5AFC"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3.36E7</w:t>
            </w:r>
          </w:p>
        </w:tc>
        <w:tc>
          <w:tcPr>
            <w:tcW w:w="1045" w:type="dxa"/>
            <w:shd w:val="clear" w:color="auto" w:fill="auto"/>
          </w:tcPr>
          <w:p w14:paraId="12C517A4"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418.00</w:t>
            </w:r>
          </w:p>
        </w:tc>
        <w:tc>
          <w:tcPr>
            <w:tcW w:w="1045" w:type="dxa"/>
            <w:shd w:val="clear" w:color="auto" w:fill="auto"/>
          </w:tcPr>
          <w:p w14:paraId="2E28BADB"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18.19</w:t>
            </w:r>
          </w:p>
        </w:tc>
        <w:tc>
          <w:tcPr>
            <w:tcW w:w="1045" w:type="dxa"/>
            <w:shd w:val="clear" w:color="auto" w:fill="auto"/>
          </w:tcPr>
          <w:p w14:paraId="6B9539F3"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322.67</w:t>
            </w:r>
          </w:p>
        </w:tc>
        <w:tc>
          <w:tcPr>
            <w:tcW w:w="1045" w:type="dxa"/>
            <w:shd w:val="clear" w:color="auto" w:fill="auto"/>
          </w:tcPr>
          <w:p w14:paraId="56DD09AD"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31.87</w:t>
            </w:r>
          </w:p>
        </w:tc>
      </w:tr>
      <w:tr w:rsidR="00D821EF" w14:paraId="07002259"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536AB544" w14:textId="77777777" w:rsidR="00D821EF" w:rsidRPr="0054456C" w:rsidRDefault="00D821EF" w:rsidP="00D821EF">
            <w:pPr>
              <w:spacing w:before="0" w:after="0"/>
              <w:rPr>
                <w:sz w:val="18"/>
                <w:szCs w:val="18"/>
              </w:rPr>
            </w:pPr>
            <w:r w:rsidRPr="0054456C">
              <w:rPr>
                <w:sz w:val="18"/>
                <w:szCs w:val="18"/>
              </w:rPr>
              <w:t>500</w:t>
            </w:r>
          </w:p>
        </w:tc>
        <w:tc>
          <w:tcPr>
            <w:tcW w:w="1135" w:type="dxa"/>
            <w:shd w:val="clear" w:color="auto" w:fill="auto"/>
          </w:tcPr>
          <w:p w14:paraId="3FB8C626"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4456C">
              <w:rPr>
                <w:b/>
                <w:sz w:val="18"/>
                <w:szCs w:val="18"/>
              </w:rPr>
              <w:t>25</w:t>
            </w:r>
          </w:p>
        </w:tc>
        <w:tc>
          <w:tcPr>
            <w:tcW w:w="1135" w:type="dxa"/>
            <w:shd w:val="clear" w:color="auto" w:fill="auto"/>
          </w:tcPr>
          <w:p w14:paraId="2E966E7B"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8.70E7</w:t>
            </w:r>
          </w:p>
        </w:tc>
        <w:tc>
          <w:tcPr>
            <w:tcW w:w="1135" w:type="dxa"/>
            <w:shd w:val="clear" w:color="auto" w:fill="auto"/>
          </w:tcPr>
          <w:p w14:paraId="5C1933E2"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1.47E7</w:t>
            </w:r>
          </w:p>
        </w:tc>
        <w:tc>
          <w:tcPr>
            <w:tcW w:w="1045" w:type="dxa"/>
            <w:shd w:val="clear" w:color="auto" w:fill="auto"/>
          </w:tcPr>
          <w:p w14:paraId="4DE83EB7"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442.67</w:t>
            </w:r>
          </w:p>
        </w:tc>
        <w:tc>
          <w:tcPr>
            <w:tcW w:w="1045" w:type="dxa"/>
            <w:shd w:val="clear" w:color="auto" w:fill="auto"/>
          </w:tcPr>
          <w:p w14:paraId="61BAD59C"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10.27</w:t>
            </w:r>
          </w:p>
        </w:tc>
        <w:tc>
          <w:tcPr>
            <w:tcW w:w="1045" w:type="dxa"/>
            <w:shd w:val="clear" w:color="auto" w:fill="auto"/>
          </w:tcPr>
          <w:p w14:paraId="57A1A76C"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355.67</w:t>
            </w:r>
          </w:p>
        </w:tc>
        <w:tc>
          <w:tcPr>
            <w:tcW w:w="1045" w:type="dxa"/>
            <w:shd w:val="clear" w:color="auto" w:fill="auto"/>
          </w:tcPr>
          <w:p w14:paraId="6FA0CDB2"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21.88</w:t>
            </w:r>
          </w:p>
        </w:tc>
      </w:tr>
      <w:tr w:rsidR="00D821EF" w14:paraId="0F5EF79B" w14:textId="77777777" w:rsidTr="00DB3655">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2B326D66" w14:textId="77777777" w:rsidR="00D821EF" w:rsidRPr="0054456C" w:rsidRDefault="00D821EF" w:rsidP="00D821EF">
            <w:pPr>
              <w:spacing w:before="0" w:after="0"/>
              <w:rPr>
                <w:sz w:val="18"/>
                <w:szCs w:val="18"/>
              </w:rPr>
            </w:pPr>
            <w:r w:rsidRPr="0054456C">
              <w:rPr>
                <w:sz w:val="18"/>
                <w:szCs w:val="18"/>
              </w:rPr>
              <w:t>500</w:t>
            </w:r>
          </w:p>
        </w:tc>
        <w:tc>
          <w:tcPr>
            <w:tcW w:w="1135" w:type="dxa"/>
            <w:shd w:val="clear" w:color="auto" w:fill="auto"/>
          </w:tcPr>
          <w:p w14:paraId="489BBD51"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4456C">
              <w:rPr>
                <w:b/>
                <w:sz w:val="18"/>
                <w:szCs w:val="18"/>
              </w:rPr>
              <w:t>100</w:t>
            </w:r>
          </w:p>
        </w:tc>
        <w:tc>
          <w:tcPr>
            <w:tcW w:w="1135" w:type="dxa"/>
            <w:shd w:val="clear" w:color="auto" w:fill="auto"/>
          </w:tcPr>
          <w:p w14:paraId="19BAAF69"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1.01E8</w:t>
            </w:r>
          </w:p>
        </w:tc>
        <w:tc>
          <w:tcPr>
            <w:tcW w:w="1135" w:type="dxa"/>
            <w:shd w:val="clear" w:color="auto" w:fill="auto"/>
          </w:tcPr>
          <w:p w14:paraId="29E80099"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1.16E7</w:t>
            </w:r>
          </w:p>
        </w:tc>
        <w:tc>
          <w:tcPr>
            <w:tcW w:w="1045" w:type="dxa"/>
            <w:shd w:val="clear" w:color="auto" w:fill="auto"/>
          </w:tcPr>
          <w:p w14:paraId="446BC2ED"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396.67</w:t>
            </w:r>
          </w:p>
        </w:tc>
        <w:tc>
          <w:tcPr>
            <w:tcW w:w="1045" w:type="dxa"/>
            <w:shd w:val="clear" w:color="auto" w:fill="auto"/>
          </w:tcPr>
          <w:p w14:paraId="7521D3AA"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15.76</w:t>
            </w:r>
          </w:p>
        </w:tc>
        <w:tc>
          <w:tcPr>
            <w:tcW w:w="1045" w:type="dxa"/>
            <w:shd w:val="clear" w:color="auto" w:fill="auto"/>
          </w:tcPr>
          <w:p w14:paraId="2DC20B3B"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281.67</w:t>
            </w:r>
          </w:p>
        </w:tc>
        <w:tc>
          <w:tcPr>
            <w:tcW w:w="1045" w:type="dxa"/>
            <w:shd w:val="clear" w:color="auto" w:fill="auto"/>
          </w:tcPr>
          <w:p w14:paraId="0835B49F"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54456C">
              <w:rPr>
                <w:sz w:val="18"/>
                <w:szCs w:val="18"/>
              </w:rPr>
              <w:t>6.94</w:t>
            </w:r>
          </w:p>
        </w:tc>
      </w:tr>
      <w:tr w:rsidR="00D821EF" w14:paraId="463013C6"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494D9F7E" w14:textId="77777777" w:rsidR="00D821EF" w:rsidRPr="0054456C" w:rsidRDefault="00D821EF" w:rsidP="00D821EF">
            <w:pPr>
              <w:spacing w:before="0" w:after="0"/>
              <w:rPr>
                <w:sz w:val="18"/>
                <w:szCs w:val="18"/>
              </w:rPr>
            </w:pPr>
            <w:r w:rsidRPr="0054456C">
              <w:rPr>
                <w:sz w:val="18"/>
                <w:szCs w:val="18"/>
              </w:rPr>
              <w:t>500</w:t>
            </w:r>
          </w:p>
        </w:tc>
        <w:tc>
          <w:tcPr>
            <w:tcW w:w="1135" w:type="dxa"/>
            <w:shd w:val="clear" w:color="auto" w:fill="auto"/>
          </w:tcPr>
          <w:p w14:paraId="41EC88BA"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54456C">
              <w:rPr>
                <w:b/>
                <w:sz w:val="18"/>
                <w:szCs w:val="18"/>
              </w:rPr>
              <w:t>500</w:t>
            </w:r>
          </w:p>
        </w:tc>
        <w:tc>
          <w:tcPr>
            <w:tcW w:w="1135" w:type="dxa"/>
            <w:shd w:val="clear" w:color="auto" w:fill="auto"/>
          </w:tcPr>
          <w:p w14:paraId="2A462D40"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1.18E8</w:t>
            </w:r>
          </w:p>
        </w:tc>
        <w:tc>
          <w:tcPr>
            <w:tcW w:w="1135" w:type="dxa"/>
            <w:shd w:val="clear" w:color="auto" w:fill="auto"/>
          </w:tcPr>
          <w:p w14:paraId="6142B662"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2.23E7</w:t>
            </w:r>
          </w:p>
        </w:tc>
        <w:tc>
          <w:tcPr>
            <w:tcW w:w="1045" w:type="dxa"/>
            <w:shd w:val="clear" w:color="auto" w:fill="auto"/>
          </w:tcPr>
          <w:p w14:paraId="575BA80A"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420.67</w:t>
            </w:r>
          </w:p>
        </w:tc>
        <w:tc>
          <w:tcPr>
            <w:tcW w:w="1045" w:type="dxa"/>
            <w:shd w:val="clear" w:color="auto" w:fill="auto"/>
          </w:tcPr>
          <w:p w14:paraId="724A6AAF"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19.72</w:t>
            </w:r>
          </w:p>
        </w:tc>
        <w:tc>
          <w:tcPr>
            <w:tcW w:w="1045" w:type="dxa"/>
            <w:shd w:val="clear" w:color="auto" w:fill="auto"/>
          </w:tcPr>
          <w:p w14:paraId="2BEBC0B9"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302.00</w:t>
            </w:r>
          </w:p>
        </w:tc>
        <w:tc>
          <w:tcPr>
            <w:tcW w:w="1045" w:type="dxa"/>
            <w:shd w:val="clear" w:color="auto" w:fill="auto"/>
          </w:tcPr>
          <w:p w14:paraId="0E4D4A82"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4456C">
              <w:rPr>
                <w:sz w:val="18"/>
                <w:szCs w:val="18"/>
              </w:rPr>
              <w:t>13.87</w:t>
            </w:r>
          </w:p>
        </w:tc>
      </w:tr>
    </w:tbl>
    <w:p w14:paraId="3D7375C3" w14:textId="77777777" w:rsidR="00D821EF" w:rsidRPr="009B1765" w:rsidRDefault="00D821EF" w:rsidP="008C2B83"/>
    <w:p w14:paraId="117983B9" w14:textId="77777777" w:rsidR="00D821EF" w:rsidRDefault="00D821EF" w:rsidP="008C2B83">
      <w:pPr>
        <w:keepNext/>
        <w:framePr w:w="8668" w:hSpace="180" w:wrap="around" w:vAnchor="text" w:hAnchor="text" w:x="1" w:y="1"/>
      </w:pPr>
      <w:r>
        <w:object w:dxaOrig="9001" w:dyaOrig="6825" w14:anchorId="3DE14D17">
          <v:shape id="_x0000_i1071" type="#_x0000_t75" style="width:437.25pt;height:331.5pt" o:ole="">
            <v:imagedata r:id="rId113" o:title=""/>
          </v:shape>
          <o:OLEObject Type="Embed" ProgID="SigmaPlotGraphicObject.12" ShapeID="_x0000_i1071" DrawAspect="Content" ObjectID="_1559454725" r:id="rId114"/>
        </w:object>
      </w:r>
    </w:p>
    <w:p w14:paraId="7DBF076D" w14:textId="77777777" w:rsidR="00D821EF" w:rsidRDefault="00D821EF" w:rsidP="008C2B83">
      <w:pPr>
        <w:pStyle w:val="Caption"/>
        <w:framePr w:w="8668" w:hSpace="180" w:wrap="around" w:vAnchor="text" w:hAnchor="text" w:x="1" w:y="1"/>
        <w:jc w:val="left"/>
      </w:pPr>
      <w:bookmarkStart w:id="302" w:name="_Toc482633211"/>
      <w:r>
        <w:t xml:space="preserve">Figure </w:t>
      </w:r>
      <w:fldSimple w:instr=" STYLEREF 1 \s ">
        <w:r w:rsidR="00AA6926">
          <w:rPr>
            <w:noProof/>
          </w:rPr>
          <w:t>8</w:t>
        </w:r>
      </w:fldSimple>
      <w:r w:rsidR="00BA082C">
        <w:noBreakHyphen/>
      </w:r>
      <w:fldSimple w:instr=" SEQ Figure \* ARABIC \s 1 ">
        <w:r w:rsidR="00AA6926">
          <w:rPr>
            <w:noProof/>
          </w:rPr>
          <w:t>4</w:t>
        </w:r>
      </w:fldSimple>
      <w:r>
        <w:t>. Nanoparticle (&gt;30 nm) concentration of 500 mM arginine in the presence of increasing concentrations of NaCl at both 25 °C (red bars) and 50 °C (green bars)</w:t>
      </w:r>
      <w:bookmarkEnd w:id="302"/>
    </w:p>
    <w:p w14:paraId="248CDBC8" w14:textId="77777777" w:rsidR="00D821EF" w:rsidRPr="00E70004" w:rsidRDefault="00D821EF" w:rsidP="008C2B83"/>
    <w:p w14:paraId="4AD852CF" w14:textId="77777777" w:rsidR="00D821EF" w:rsidRDefault="00D821EF" w:rsidP="008C2B83"/>
    <w:p w14:paraId="67EDB028" w14:textId="77777777" w:rsidR="00D821EF" w:rsidRDefault="00184734" w:rsidP="00184734">
      <w:pPr>
        <w:pStyle w:val="Heading3"/>
        <w:numPr>
          <w:ilvl w:val="0"/>
          <w:numId w:val="0"/>
        </w:numPr>
        <w:ind w:left="720" w:hanging="720"/>
      </w:pPr>
      <w:bookmarkStart w:id="303" w:name="_Toc485712841"/>
      <w:r>
        <w:t xml:space="preserve">C.3 </w:t>
      </w:r>
      <w:r w:rsidR="00D821EF">
        <w:t>Lysine</w:t>
      </w:r>
      <w:bookmarkEnd w:id="303"/>
    </w:p>
    <w:p w14:paraId="248BCA05"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18</w:t>
        </w:r>
      </w:fldSimple>
      <w:r>
        <w:t>. NTA data for lysine pH 7 25 °C</w:t>
      </w:r>
    </w:p>
    <w:tbl>
      <w:tblPr>
        <w:tblStyle w:val="LightShading"/>
        <w:tblW w:w="0" w:type="auto"/>
        <w:tblLook w:val="04A0" w:firstRow="1" w:lastRow="0" w:firstColumn="1" w:lastColumn="0" w:noHBand="0" w:noVBand="1"/>
      </w:tblPr>
      <w:tblGrid>
        <w:gridCol w:w="1291"/>
        <w:gridCol w:w="1271"/>
        <w:gridCol w:w="1271"/>
        <w:gridCol w:w="1168"/>
        <w:gridCol w:w="1168"/>
        <w:gridCol w:w="1168"/>
        <w:gridCol w:w="1161"/>
        <w:gridCol w:w="222"/>
      </w:tblGrid>
      <w:tr w:rsidR="00D821EF" w14:paraId="24902586"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21D1F357" w14:textId="77777777" w:rsidR="00D821EF" w:rsidRPr="0054456C" w:rsidRDefault="00D821EF" w:rsidP="00D821EF">
            <w:pPr>
              <w:spacing w:before="0" w:after="0"/>
              <w:rPr>
                <w:sz w:val="18"/>
                <w:szCs w:val="18"/>
              </w:rPr>
            </w:pPr>
            <w:r w:rsidRPr="0054456C">
              <w:rPr>
                <w:sz w:val="18"/>
                <w:szCs w:val="18"/>
              </w:rPr>
              <w:t>Concentration (mM)</w:t>
            </w:r>
          </w:p>
        </w:tc>
        <w:tc>
          <w:tcPr>
            <w:tcW w:w="1271" w:type="dxa"/>
            <w:shd w:val="clear" w:color="auto" w:fill="auto"/>
          </w:tcPr>
          <w:p w14:paraId="0E711C10"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Mean nanoparticle concentration (particles/ mL)</w:t>
            </w:r>
          </w:p>
        </w:tc>
        <w:tc>
          <w:tcPr>
            <w:tcW w:w="1271" w:type="dxa"/>
            <w:shd w:val="clear" w:color="auto" w:fill="auto"/>
          </w:tcPr>
          <w:p w14:paraId="244E41EB"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Nanoparticle concentration SE</w:t>
            </w:r>
          </w:p>
        </w:tc>
        <w:tc>
          <w:tcPr>
            <w:tcW w:w="1168" w:type="dxa"/>
            <w:shd w:val="clear" w:color="auto" w:fill="auto"/>
          </w:tcPr>
          <w:p w14:paraId="69439F5F"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Average mean nanoparticle size (nm)</w:t>
            </w:r>
          </w:p>
        </w:tc>
        <w:tc>
          <w:tcPr>
            <w:tcW w:w="1168" w:type="dxa"/>
            <w:shd w:val="clear" w:color="auto" w:fill="auto"/>
          </w:tcPr>
          <w:p w14:paraId="6245F8E5"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Mean nanoparticle size SE</w:t>
            </w:r>
          </w:p>
        </w:tc>
        <w:tc>
          <w:tcPr>
            <w:tcW w:w="1168" w:type="dxa"/>
            <w:shd w:val="clear" w:color="auto" w:fill="auto"/>
          </w:tcPr>
          <w:p w14:paraId="316A4CEC"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Average mode nanoparticle size (nm)</w:t>
            </w:r>
          </w:p>
        </w:tc>
        <w:tc>
          <w:tcPr>
            <w:tcW w:w="1161" w:type="dxa"/>
            <w:shd w:val="clear" w:color="auto" w:fill="auto"/>
          </w:tcPr>
          <w:p w14:paraId="5615CA82"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Mode nanoparticle size SE</w:t>
            </w:r>
          </w:p>
        </w:tc>
        <w:tc>
          <w:tcPr>
            <w:tcW w:w="222" w:type="dxa"/>
            <w:shd w:val="clear" w:color="auto" w:fill="auto"/>
          </w:tcPr>
          <w:p w14:paraId="1D06AFBA" w14:textId="77777777" w:rsidR="00D821EF" w:rsidRDefault="00D821EF" w:rsidP="00D821EF">
            <w:pPr>
              <w:spacing w:before="0" w:after="0"/>
              <w:cnfStyle w:val="100000000000" w:firstRow="1" w:lastRow="0" w:firstColumn="0" w:lastColumn="0" w:oddVBand="0" w:evenVBand="0" w:oddHBand="0" w:evenHBand="0" w:firstRowFirstColumn="0" w:firstRowLastColumn="0" w:lastRowFirstColumn="0" w:lastRowLastColumn="0"/>
            </w:pPr>
          </w:p>
        </w:tc>
      </w:tr>
      <w:tr w:rsidR="00D821EF" w14:paraId="7DC15860"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48FC4CF0" w14:textId="77777777" w:rsidR="00D821EF" w:rsidRPr="0054456C" w:rsidRDefault="00D821EF" w:rsidP="00D821EF">
            <w:pPr>
              <w:spacing w:before="0" w:after="0"/>
              <w:rPr>
                <w:sz w:val="18"/>
                <w:szCs w:val="18"/>
              </w:rPr>
            </w:pPr>
            <w:r w:rsidRPr="0054456C">
              <w:rPr>
                <w:sz w:val="18"/>
                <w:szCs w:val="18"/>
              </w:rPr>
              <w:t>0.5</w:t>
            </w:r>
          </w:p>
        </w:tc>
        <w:tc>
          <w:tcPr>
            <w:tcW w:w="1271" w:type="dxa"/>
            <w:shd w:val="clear" w:color="auto" w:fill="auto"/>
          </w:tcPr>
          <w:p w14:paraId="12206310"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3.98E7</w:t>
            </w:r>
          </w:p>
        </w:tc>
        <w:tc>
          <w:tcPr>
            <w:tcW w:w="1271" w:type="dxa"/>
            <w:shd w:val="clear" w:color="auto" w:fill="auto"/>
          </w:tcPr>
          <w:p w14:paraId="7F852869"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4.39E6</w:t>
            </w:r>
          </w:p>
        </w:tc>
        <w:tc>
          <w:tcPr>
            <w:tcW w:w="1168" w:type="dxa"/>
            <w:shd w:val="clear" w:color="auto" w:fill="auto"/>
          </w:tcPr>
          <w:p w14:paraId="326C4EEA"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127.25</w:t>
            </w:r>
          </w:p>
        </w:tc>
        <w:tc>
          <w:tcPr>
            <w:tcW w:w="1168" w:type="dxa"/>
            <w:shd w:val="clear" w:color="auto" w:fill="auto"/>
          </w:tcPr>
          <w:p w14:paraId="001C29C6"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4.75</w:t>
            </w:r>
          </w:p>
        </w:tc>
        <w:tc>
          <w:tcPr>
            <w:tcW w:w="1168" w:type="dxa"/>
            <w:shd w:val="clear" w:color="auto" w:fill="auto"/>
          </w:tcPr>
          <w:p w14:paraId="537B3E56"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109.50</w:t>
            </w:r>
          </w:p>
        </w:tc>
        <w:tc>
          <w:tcPr>
            <w:tcW w:w="1161" w:type="dxa"/>
            <w:shd w:val="clear" w:color="auto" w:fill="auto"/>
          </w:tcPr>
          <w:p w14:paraId="3A1345EE"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8.45</w:t>
            </w:r>
          </w:p>
        </w:tc>
        <w:tc>
          <w:tcPr>
            <w:tcW w:w="222" w:type="dxa"/>
            <w:shd w:val="clear" w:color="auto" w:fill="auto"/>
          </w:tcPr>
          <w:p w14:paraId="106E97C7"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r w:rsidR="00D821EF" w14:paraId="2CF3DCCC" w14:textId="77777777" w:rsidTr="00DB3655">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7D6845B8" w14:textId="77777777" w:rsidR="00D821EF" w:rsidRPr="0054456C" w:rsidRDefault="00D821EF" w:rsidP="00D821EF">
            <w:pPr>
              <w:spacing w:before="0" w:after="0"/>
              <w:rPr>
                <w:sz w:val="18"/>
                <w:szCs w:val="18"/>
              </w:rPr>
            </w:pPr>
            <w:r w:rsidRPr="0054456C">
              <w:rPr>
                <w:sz w:val="18"/>
                <w:szCs w:val="18"/>
              </w:rPr>
              <w:t>1</w:t>
            </w:r>
          </w:p>
        </w:tc>
        <w:tc>
          <w:tcPr>
            <w:tcW w:w="1271" w:type="dxa"/>
            <w:shd w:val="clear" w:color="auto" w:fill="auto"/>
          </w:tcPr>
          <w:p w14:paraId="2447A4F2"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7.03E7</w:t>
            </w:r>
          </w:p>
        </w:tc>
        <w:tc>
          <w:tcPr>
            <w:tcW w:w="1271" w:type="dxa"/>
            <w:shd w:val="clear" w:color="auto" w:fill="auto"/>
          </w:tcPr>
          <w:p w14:paraId="6B8FB08D"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8.73E6</w:t>
            </w:r>
          </w:p>
        </w:tc>
        <w:tc>
          <w:tcPr>
            <w:tcW w:w="1168" w:type="dxa"/>
            <w:shd w:val="clear" w:color="auto" w:fill="auto"/>
          </w:tcPr>
          <w:p w14:paraId="02750CDC"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114.00</w:t>
            </w:r>
          </w:p>
        </w:tc>
        <w:tc>
          <w:tcPr>
            <w:tcW w:w="1168" w:type="dxa"/>
            <w:shd w:val="clear" w:color="auto" w:fill="auto"/>
          </w:tcPr>
          <w:p w14:paraId="5F7AFC4E"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7.88</w:t>
            </w:r>
          </w:p>
        </w:tc>
        <w:tc>
          <w:tcPr>
            <w:tcW w:w="1168" w:type="dxa"/>
            <w:shd w:val="clear" w:color="auto" w:fill="auto"/>
          </w:tcPr>
          <w:p w14:paraId="0C2E38DF"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87.25</w:t>
            </w:r>
          </w:p>
        </w:tc>
        <w:tc>
          <w:tcPr>
            <w:tcW w:w="1161" w:type="dxa"/>
            <w:shd w:val="clear" w:color="auto" w:fill="auto"/>
          </w:tcPr>
          <w:p w14:paraId="64488925"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2.02</w:t>
            </w:r>
          </w:p>
        </w:tc>
        <w:tc>
          <w:tcPr>
            <w:tcW w:w="222" w:type="dxa"/>
            <w:shd w:val="clear" w:color="auto" w:fill="auto"/>
          </w:tcPr>
          <w:p w14:paraId="4DC22AE1" w14:textId="77777777" w:rsidR="00D821EF" w:rsidRDefault="00D821EF" w:rsidP="00D821EF">
            <w:pPr>
              <w:spacing w:before="0" w:after="0"/>
              <w:cnfStyle w:val="000000000000" w:firstRow="0" w:lastRow="0" w:firstColumn="0" w:lastColumn="0" w:oddVBand="0" w:evenVBand="0" w:oddHBand="0" w:evenHBand="0" w:firstRowFirstColumn="0" w:firstRowLastColumn="0" w:lastRowFirstColumn="0" w:lastRowLastColumn="0"/>
            </w:pPr>
          </w:p>
        </w:tc>
      </w:tr>
      <w:tr w:rsidR="00D821EF" w14:paraId="5BC3C26A"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226A3688" w14:textId="77777777" w:rsidR="00D821EF" w:rsidRPr="0054456C" w:rsidRDefault="00D821EF" w:rsidP="00D821EF">
            <w:pPr>
              <w:spacing w:before="0" w:after="0"/>
              <w:rPr>
                <w:sz w:val="18"/>
                <w:szCs w:val="18"/>
              </w:rPr>
            </w:pPr>
            <w:r w:rsidRPr="0054456C">
              <w:rPr>
                <w:sz w:val="18"/>
                <w:szCs w:val="18"/>
              </w:rPr>
              <w:t>2.5</w:t>
            </w:r>
          </w:p>
        </w:tc>
        <w:tc>
          <w:tcPr>
            <w:tcW w:w="1271" w:type="dxa"/>
            <w:shd w:val="clear" w:color="auto" w:fill="auto"/>
          </w:tcPr>
          <w:p w14:paraId="5FBAD0A0"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6.80E7</w:t>
            </w:r>
          </w:p>
        </w:tc>
        <w:tc>
          <w:tcPr>
            <w:tcW w:w="1271" w:type="dxa"/>
            <w:shd w:val="clear" w:color="auto" w:fill="auto"/>
          </w:tcPr>
          <w:p w14:paraId="1CE2866F"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1.15E7</w:t>
            </w:r>
          </w:p>
        </w:tc>
        <w:tc>
          <w:tcPr>
            <w:tcW w:w="1168" w:type="dxa"/>
            <w:shd w:val="clear" w:color="auto" w:fill="auto"/>
          </w:tcPr>
          <w:p w14:paraId="394C10EA"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118.50</w:t>
            </w:r>
          </w:p>
        </w:tc>
        <w:tc>
          <w:tcPr>
            <w:tcW w:w="1168" w:type="dxa"/>
            <w:shd w:val="clear" w:color="auto" w:fill="auto"/>
          </w:tcPr>
          <w:p w14:paraId="3631AA83"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7.47</w:t>
            </w:r>
          </w:p>
        </w:tc>
        <w:tc>
          <w:tcPr>
            <w:tcW w:w="1168" w:type="dxa"/>
            <w:shd w:val="clear" w:color="auto" w:fill="auto"/>
          </w:tcPr>
          <w:p w14:paraId="2A6744B3"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95.25</w:t>
            </w:r>
          </w:p>
        </w:tc>
        <w:tc>
          <w:tcPr>
            <w:tcW w:w="1161" w:type="dxa"/>
            <w:shd w:val="clear" w:color="auto" w:fill="auto"/>
          </w:tcPr>
          <w:p w14:paraId="56C34A16"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4.75</w:t>
            </w:r>
          </w:p>
        </w:tc>
        <w:tc>
          <w:tcPr>
            <w:tcW w:w="222" w:type="dxa"/>
            <w:shd w:val="clear" w:color="auto" w:fill="auto"/>
          </w:tcPr>
          <w:p w14:paraId="1CFE1DA3"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r w:rsidR="00D821EF" w14:paraId="678B190B" w14:textId="77777777" w:rsidTr="00DB3655">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0006524D" w14:textId="77777777" w:rsidR="00D821EF" w:rsidRPr="0054456C" w:rsidRDefault="00D821EF" w:rsidP="00D821EF">
            <w:pPr>
              <w:spacing w:before="0" w:after="0"/>
              <w:rPr>
                <w:sz w:val="18"/>
                <w:szCs w:val="18"/>
              </w:rPr>
            </w:pPr>
            <w:r w:rsidRPr="0054456C">
              <w:rPr>
                <w:sz w:val="18"/>
                <w:szCs w:val="18"/>
              </w:rPr>
              <w:t>5</w:t>
            </w:r>
          </w:p>
        </w:tc>
        <w:tc>
          <w:tcPr>
            <w:tcW w:w="1271" w:type="dxa"/>
            <w:shd w:val="clear" w:color="auto" w:fill="auto"/>
          </w:tcPr>
          <w:p w14:paraId="0D8FF5C5"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4.18E7</w:t>
            </w:r>
          </w:p>
        </w:tc>
        <w:tc>
          <w:tcPr>
            <w:tcW w:w="1271" w:type="dxa"/>
            <w:shd w:val="clear" w:color="auto" w:fill="auto"/>
          </w:tcPr>
          <w:p w14:paraId="66D436F8"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8.14E6</w:t>
            </w:r>
          </w:p>
        </w:tc>
        <w:tc>
          <w:tcPr>
            <w:tcW w:w="1168" w:type="dxa"/>
            <w:shd w:val="clear" w:color="auto" w:fill="auto"/>
          </w:tcPr>
          <w:p w14:paraId="764DBC9F"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168.50</w:t>
            </w:r>
          </w:p>
        </w:tc>
        <w:tc>
          <w:tcPr>
            <w:tcW w:w="1168" w:type="dxa"/>
            <w:shd w:val="clear" w:color="auto" w:fill="auto"/>
          </w:tcPr>
          <w:p w14:paraId="1F4A2968"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14.06</w:t>
            </w:r>
          </w:p>
        </w:tc>
        <w:tc>
          <w:tcPr>
            <w:tcW w:w="1168" w:type="dxa"/>
            <w:shd w:val="clear" w:color="auto" w:fill="auto"/>
          </w:tcPr>
          <w:p w14:paraId="7B23482E"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180.50</w:t>
            </w:r>
          </w:p>
        </w:tc>
        <w:tc>
          <w:tcPr>
            <w:tcW w:w="1161" w:type="dxa"/>
            <w:shd w:val="clear" w:color="auto" w:fill="auto"/>
          </w:tcPr>
          <w:p w14:paraId="1394FEE8"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28.64</w:t>
            </w:r>
          </w:p>
        </w:tc>
        <w:tc>
          <w:tcPr>
            <w:tcW w:w="222" w:type="dxa"/>
            <w:shd w:val="clear" w:color="auto" w:fill="auto"/>
          </w:tcPr>
          <w:p w14:paraId="5603B6DD" w14:textId="77777777" w:rsidR="00D821EF" w:rsidRDefault="00D821EF" w:rsidP="00D821EF">
            <w:pPr>
              <w:spacing w:before="0" w:after="0"/>
              <w:cnfStyle w:val="000000000000" w:firstRow="0" w:lastRow="0" w:firstColumn="0" w:lastColumn="0" w:oddVBand="0" w:evenVBand="0" w:oddHBand="0" w:evenHBand="0" w:firstRowFirstColumn="0" w:firstRowLastColumn="0" w:lastRowFirstColumn="0" w:lastRowLastColumn="0"/>
            </w:pPr>
          </w:p>
        </w:tc>
      </w:tr>
      <w:tr w:rsidR="00D821EF" w14:paraId="7753990B"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5E4CB640" w14:textId="77777777" w:rsidR="00D821EF" w:rsidRPr="0054456C" w:rsidRDefault="00D821EF" w:rsidP="00D821EF">
            <w:pPr>
              <w:spacing w:before="0" w:after="0"/>
              <w:rPr>
                <w:sz w:val="18"/>
                <w:szCs w:val="18"/>
              </w:rPr>
            </w:pPr>
            <w:r w:rsidRPr="0054456C">
              <w:rPr>
                <w:sz w:val="18"/>
                <w:szCs w:val="18"/>
              </w:rPr>
              <w:t>10</w:t>
            </w:r>
          </w:p>
        </w:tc>
        <w:tc>
          <w:tcPr>
            <w:tcW w:w="1271" w:type="dxa"/>
            <w:shd w:val="clear" w:color="auto" w:fill="auto"/>
          </w:tcPr>
          <w:p w14:paraId="3FF8ADBC"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1.03E7</w:t>
            </w:r>
          </w:p>
        </w:tc>
        <w:tc>
          <w:tcPr>
            <w:tcW w:w="1271" w:type="dxa"/>
            <w:shd w:val="clear" w:color="auto" w:fill="auto"/>
          </w:tcPr>
          <w:p w14:paraId="422DE222"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3.33E6</w:t>
            </w:r>
          </w:p>
        </w:tc>
        <w:tc>
          <w:tcPr>
            <w:tcW w:w="1168" w:type="dxa"/>
            <w:shd w:val="clear" w:color="auto" w:fill="auto"/>
          </w:tcPr>
          <w:p w14:paraId="75490E36"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190.25</w:t>
            </w:r>
          </w:p>
        </w:tc>
        <w:tc>
          <w:tcPr>
            <w:tcW w:w="1168" w:type="dxa"/>
            <w:shd w:val="clear" w:color="auto" w:fill="auto"/>
          </w:tcPr>
          <w:p w14:paraId="0EB321FC"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19.88</w:t>
            </w:r>
          </w:p>
        </w:tc>
        <w:tc>
          <w:tcPr>
            <w:tcW w:w="1168" w:type="dxa"/>
            <w:shd w:val="clear" w:color="auto" w:fill="auto"/>
          </w:tcPr>
          <w:p w14:paraId="092B7779"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180.25</w:t>
            </w:r>
          </w:p>
        </w:tc>
        <w:tc>
          <w:tcPr>
            <w:tcW w:w="1161" w:type="dxa"/>
            <w:shd w:val="clear" w:color="auto" w:fill="auto"/>
          </w:tcPr>
          <w:p w14:paraId="639315E7"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23.02</w:t>
            </w:r>
          </w:p>
        </w:tc>
        <w:tc>
          <w:tcPr>
            <w:tcW w:w="222" w:type="dxa"/>
            <w:shd w:val="clear" w:color="auto" w:fill="auto"/>
          </w:tcPr>
          <w:p w14:paraId="1CBC1A8F"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r w:rsidR="00D821EF" w14:paraId="0A599D7B" w14:textId="77777777" w:rsidTr="00DB3655">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5D232492" w14:textId="77777777" w:rsidR="00D821EF" w:rsidRPr="0054456C" w:rsidRDefault="00D821EF" w:rsidP="00D821EF">
            <w:pPr>
              <w:spacing w:before="0" w:after="0"/>
              <w:rPr>
                <w:sz w:val="18"/>
                <w:szCs w:val="18"/>
              </w:rPr>
            </w:pPr>
            <w:r w:rsidRPr="0054456C">
              <w:rPr>
                <w:sz w:val="18"/>
                <w:szCs w:val="18"/>
              </w:rPr>
              <w:t>25</w:t>
            </w:r>
          </w:p>
        </w:tc>
        <w:tc>
          <w:tcPr>
            <w:tcW w:w="1271" w:type="dxa"/>
            <w:shd w:val="clear" w:color="auto" w:fill="auto"/>
          </w:tcPr>
          <w:p w14:paraId="283ECC55"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1.66E8</w:t>
            </w:r>
          </w:p>
        </w:tc>
        <w:tc>
          <w:tcPr>
            <w:tcW w:w="1271" w:type="dxa"/>
            <w:shd w:val="clear" w:color="auto" w:fill="auto"/>
          </w:tcPr>
          <w:p w14:paraId="0C31A3D0"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1.52E7</w:t>
            </w:r>
          </w:p>
        </w:tc>
        <w:tc>
          <w:tcPr>
            <w:tcW w:w="1168" w:type="dxa"/>
            <w:shd w:val="clear" w:color="auto" w:fill="auto"/>
          </w:tcPr>
          <w:p w14:paraId="67660840"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124.25</w:t>
            </w:r>
          </w:p>
        </w:tc>
        <w:tc>
          <w:tcPr>
            <w:tcW w:w="1168" w:type="dxa"/>
            <w:shd w:val="clear" w:color="auto" w:fill="auto"/>
          </w:tcPr>
          <w:p w14:paraId="5057671A"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6.52</w:t>
            </w:r>
          </w:p>
        </w:tc>
        <w:tc>
          <w:tcPr>
            <w:tcW w:w="1168" w:type="dxa"/>
            <w:shd w:val="clear" w:color="auto" w:fill="auto"/>
          </w:tcPr>
          <w:p w14:paraId="441B20D8"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90.75</w:t>
            </w:r>
          </w:p>
        </w:tc>
        <w:tc>
          <w:tcPr>
            <w:tcW w:w="1161" w:type="dxa"/>
            <w:shd w:val="clear" w:color="auto" w:fill="auto"/>
          </w:tcPr>
          <w:p w14:paraId="5FC7D47C"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2.69</w:t>
            </w:r>
          </w:p>
        </w:tc>
        <w:tc>
          <w:tcPr>
            <w:tcW w:w="222" w:type="dxa"/>
            <w:shd w:val="clear" w:color="auto" w:fill="auto"/>
          </w:tcPr>
          <w:p w14:paraId="102F86F8" w14:textId="77777777" w:rsidR="00D821EF" w:rsidRDefault="00D821EF" w:rsidP="00D821EF">
            <w:pPr>
              <w:spacing w:before="0" w:after="0"/>
              <w:cnfStyle w:val="000000000000" w:firstRow="0" w:lastRow="0" w:firstColumn="0" w:lastColumn="0" w:oddVBand="0" w:evenVBand="0" w:oddHBand="0" w:evenHBand="0" w:firstRowFirstColumn="0" w:firstRowLastColumn="0" w:lastRowFirstColumn="0" w:lastRowLastColumn="0"/>
            </w:pPr>
          </w:p>
        </w:tc>
      </w:tr>
      <w:tr w:rsidR="00D821EF" w14:paraId="09332E3E"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2AFB32CE" w14:textId="77777777" w:rsidR="00D821EF" w:rsidRPr="0054456C" w:rsidRDefault="00D821EF" w:rsidP="00D821EF">
            <w:pPr>
              <w:spacing w:before="0" w:after="0"/>
              <w:rPr>
                <w:sz w:val="18"/>
                <w:szCs w:val="18"/>
              </w:rPr>
            </w:pPr>
            <w:r w:rsidRPr="0054456C">
              <w:rPr>
                <w:sz w:val="18"/>
                <w:szCs w:val="18"/>
              </w:rPr>
              <w:t>50</w:t>
            </w:r>
          </w:p>
        </w:tc>
        <w:tc>
          <w:tcPr>
            <w:tcW w:w="1271" w:type="dxa"/>
            <w:shd w:val="clear" w:color="auto" w:fill="auto"/>
          </w:tcPr>
          <w:p w14:paraId="01D8C861"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5.88E7</w:t>
            </w:r>
          </w:p>
        </w:tc>
        <w:tc>
          <w:tcPr>
            <w:tcW w:w="1271" w:type="dxa"/>
            <w:shd w:val="clear" w:color="auto" w:fill="auto"/>
          </w:tcPr>
          <w:p w14:paraId="748BE5E9"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7.22E6</w:t>
            </w:r>
          </w:p>
        </w:tc>
        <w:tc>
          <w:tcPr>
            <w:tcW w:w="1168" w:type="dxa"/>
            <w:shd w:val="clear" w:color="auto" w:fill="auto"/>
          </w:tcPr>
          <w:p w14:paraId="36001016"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168.75</w:t>
            </w:r>
          </w:p>
        </w:tc>
        <w:tc>
          <w:tcPr>
            <w:tcW w:w="1168" w:type="dxa"/>
            <w:shd w:val="clear" w:color="auto" w:fill="auto"/>
          </w:tcPr>
          <w:p w14:paraId="3B75F0E3"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6.81</w:t>
            </w:r>
          </w:p>
        </w:tc>
        <w:tc>
          <w:tcPr>
            <w:tcW w:w="1168" w:type="dxa"/>
            <w:shd w:val="clear" w:color="auto" w:fill="auto"/>
          </w:tcPr>
          <w:p w14:paraId="36A70696"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120.25</w:t>
            </w:r>
          </w:p>
        </w:tc>
        <w:tc>
          <w:tcPr>
            <w:tcW w:w="1161" w:type="dxa"/>
            <w:shd w:val="clear" w:color="auto" w:fill="auto"/>
          </w:tcPr>
          <w:p w14:paraId="40B48554"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7.12</w:t>
            </w:r>
          </w:p>
        </w:tc>
        <w:tc>
          <w:tcPr>
            <w:tcW w:w="222" w:type="dxa"/>
            <w:shd w:val="clear" w:color="auto" w:fill="auto"/>
          </w:tcPr>
          <w:p w14:paraId="686BC360"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r w:rsidR="00D821EF" w14:paraId="76D15D53" w14:textId="77777777" w:rsidTr="00DB3655">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0B81B760" w14:textId="77777777" w:rsidR="00D821EF" w:rsidRPr="0054456C" w:rsidRDefault="00D821EF" w:rsidP="00D821EF">
            <w:pPr>
              <w:spacing w:before="0" w:after="0"/>
              <w:rPr>
                <w:sz w:val="18"/>
                <w:szCs w:val="18"/>
              </w:rPr>
            </w:pPr>
            <w:r w:rsidRPr="0054456C">
              <w:rPr>
                <w:sz w:val="18"/>
                <w:szCs w:val="18"/>
              </w:rPr>
              <w:t>75</w:t>
            </w:r>
          </w:p>
        </w:tc>
        <w:tc>
          <w:tcPr>
            <w:tcW w:w="1271" w:type="dxa"/>
            <w:shd w:val="clear" w:color="auto" w:fill="auto"/>
          </w:tcPr>
          <w:p w14:paraId="0A648FDB"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1.28E8</w:t>
            </w:r>
          </w:p>
        </w:tc>
        <w:tc>
          <w:tcPr>
            <w:tcW w:w="1271" w:type="dxa"/>
            <w:shd w:val="clear" w:color="auto" w:fill="auto"/>
          </w:tcPr>
          <w:p w14:paraId="4EEF7DF4"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1.33E7</w:t>
            </w:r>
          </w:p>
        </w:tc>
        <w:tc>
          <w:tcPr>
            <w:tcW w:w="1168" w:type="dxa"/>
            <w:shd w:val="clear" w:color="auto" w:fill="auto"/>
          </w:tcPr>
          <w:p w14:paraId="54BFD8B9"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171.25</w:t>
            </w:r>
          </w:p>
        </w:tc>
        <w:tc>
          <w:tcPr>
            <w:tcW w:w="1168" w:type="dxa"/>
            <w:shd w:val="clear" w:color="auto" w:fill="auto"/>
          </w:tcPr>
          <w:p w14:paraId="5EEA1E4D"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10.09</w:t>
            </w:r>
          </w:p>
        </w:tc>
        <w:tc>
          <w:tcPr>
            <w:tcW w:w="1168" w:type="dxa"/>
            <w:shd w:val="clear" w:color="auto" w:fill="auto"/>
          </w:tcPr>
          <w:p w14:paraId="56995BCB"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119.50</w:t>
            </w:r>
          </w:p>
        </w:tc>
        <w:tc>
          <w:tcPr>
            <w:tcW w:w="1161" w:type="dxa"/>
            <w:shd w:val="clear" w:color="auto" w:fill="auto"/>
          </w:tcPr>
          <w:p w14:paraId="54636332"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9.58</w:t>
            </w:r>
          </w:p>
        </w:tc>
        <w:tc>
          <w:tcPr>
            <w:tcW w:w="222" w:type="dxa"/>
            <w:shd w:val="clear" w:color="auto" w:fill="auto"/>
          </w:tcPr>
          <w:p w14:paraId="03E156F3" w14:textId="77777777" w:rsidR="00D821EF" w:rsidRDefault="00D821EF" w:rsidP="00D821EF">
            <w:pPr>
              <w:spacing w:before="0" w:after="0"/>
              <w:cnfStyle w:val="000000000000" w:firstRow="0" w:lastRow="0" w:firstColumn="0" w:lastColumn="0" w:oddVBand="0" w:evenVBand="0" w:oddHBand="0" w:evenHBand="0" w:firstRowFirstColumn="0" w:firstRowLastColumn="0" w:lastRowFirstColumn="0" w:lastRowLastColumn="0"/>
            </w:pPr>
          </w:p>
        </w:tc>
      </w:tr>
      <w:tr w:rsidR="00D821EF" w14:paraId="77081C85"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58F62A11" w14:textId="77777777" w:rsidR="00D821EF" w:rsidRPr="0054456C" w:rsidRDefault="00D821EF" w:rsidP="00D821EF">
            <w:pPr>
              <w:spacing w:before="0" w:after="0"/>
              <w:rPr>
                <w:sz w:val="18"/>
                <w:szCs w:val="18"/>
              </w:rPr>
            </w:pPr>
            <w:r w:rsidRPr="0054456C">
              <w:rPr>
                <w:sz w:val="18"/>
                <w:szCs w:val="18"/>
              </w:rPr>
              <w:t>100</w:t>
            </w:r>
          </w:p>
        </w:tc>
        <w:tc>
          <w:tcPr>
            <w:tcW w:w="1271" w:type="dxa"/>
            <w:shd w:val="clear" w:color="auto" w:fill="auto"/>
          </w:tcPr>
          <w:p w14:paraId="76B8C42F"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8.73E7</w:t>
            </w:r>
          </w:p>
        </w:tc>
        <w:tc>
          <w:tcPr>
            <w:tcW w:w="1271" w:type="dxa"/>
            <w:shd w:val="clear" w:color="auto" w:fill="auto"/>
          </w:tcPr>
          <w:p w14:paraId="294B4280"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8.65E6</w:t>
            </w:r>
          </w:p>
        </w:tc>
        <w:tc>
          <w:tcPr>
            <w:tcW w:w="1168" w:type="dxa"/>
            <w:shd w:val="clear" w:color="auto" w:fill="auto"/>
          </w:tcPr>
          <w:p w14:paraId="4742F30E"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174.50</w:t>
            </w:r>
          </w:p>
        </w:tc>
        <w:tc>
          <w:tcPr>
            <w:tcW w:w="1168" w:type="dxa"/>
            <w:shd w:val="clear" w:color="auto" w:fill="auto"/>
          </w:tcPr>
          <w:p w14:paraId="6E732FA8"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8.53</w:t>
            </w:r>
          </w:p>
        </w:tc>
        <w:tc>
          <w:tcPr>
            <w:tcW w:w="1168" w:type="dxa"/>
            <w:shd w:val="clear" w:color="auto" w:fill="auto"/>
          </w:tcPr>
          <w:p w14:paraId="53F83C7C"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158.00</w:t>
            </w:r>
          </w:p>
        </w:tc>
        <w:tc>
          <w:tcPr>
            <w:tcW w:w="1161" w:type="dxa"/>
            <w:shd w:val="clear" w:color="auto" w:fill="auto"/>
          </w:tcPr>
          <w:p w14:paraId="75355602"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22.17</w:t>
            </w:r>
          </w:p>
        </w:tc>
        <w:tc>
          <w:tcPr>
            <w:tcW w:w="222" w:type="dxa"/>
            <w:shd w:val="clear" w:color="auto" w:fill="auto"/>
          </w:tcPr>
          <w:p w14:paraId="1A317953"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r w:rsidR="00D821EF" w14:paraId="53BDC4E1" w14:textId="77777777" w:rsidTr="00DB3655">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0D3B2370" w14:textId="77777777" w:rsidR="00D821EF" w:rsidRPr="0054456C" w:rsidRDefault="00D821EF" w:rsidP="00D821EF">
            <w:pPr>
              <w:spacing w:before="0" w:after="0"/>
              <w:rPr>
                <w:sz w:val="18"/>
                <w:szCs w:val="18"/>
              </w:rPr>
            </w:pPr>
            <w:r w:rsidRPr="0054456C">
              <w:rPr>
                <w:sz w:val="18"/>
                <w:szCs w:val="18"/>
              </w:rPr>
              <w:t>250</w:t>
            </w:r>
          </w:p>
        </w:tc>
        <w:tc>
          <w:tcPr>
            <w:tcW w:w="1271" w:type="dxa"/>
            <w:shd w:val="clear" w:color="auto" w:fill="auto"/>
          </w:tcPr>
          <w:p w14:paraId="30CB42C0"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1.48E8</w:t>
            </w:r>
          </w:p>
        </w:tc>
        <w:tc>
          <w:tcPr>
            <w:tcW w:w="1271" w:type="dxa"/>
            <w:shd w:val="clear" w:color="auto" w:fill="auto"/>
          </w:tcPr>
          <w:p w14:paraId="00CC8909"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8.54E6</w:t>
            </w:r>
          </w:p>
        </w:tc>
        <w:tc>
          <w:tcPr>
            <w:tcW w:w="1168" w:type="dxa"/>
            <w:shd w:val="clear" w:color="auto" w:fill="auto"/>
          </w:tcPr>
          <w:p w14:paraId="41B1C41C"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205.25</w:t>
            </w:r>
          </w:p>
        </w:tc>
        <w:tc>
          <w:tcPr>
            <w:tcW w:w="1168" w:type="dxa"/>
            <w:shd w:val="clear" w:color="auto" w:fill="auto"/>
          </w:tcPr>
          <w:p w14:paraId="5BBD3598"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15.07</w:t>
            </w:r>
          </w:p>
        </w:tc>
        <w:tc>
          <w:tcPr>
            <w:tcW w:w="1168" w:type="dxa"/>
            <w:shd w:val="clear" w:color="auto" w:fill="auto"/>
          </w:tcPr>
          <w:p w14:paraId="04BE0235"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128.50</w:t>
            </w:r>
          </w:p>
        </w:tc>
        <w:tc>
          <w:tcPr>
            <w:tcW w:w="1161" w:type="dxa"/>
            <w:shd w:val="clear" w:color="auto" w:fill="auto"/>
          </w:tcPr>
          <w:p w14:paraId="086753A5"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4.09</w:t>
            </w:r>
          </w:p>
        </w:tc>
        <w:tc>
          <w:tcPr>
            <w:tcW w:w="222" w:type="dxa"/>
            <w:shd w:val="clear" w:color="auto" w:fill="auto"/>
          </w:tcPr>
          <w:p w14:paraId="7F0090BE" w14:textId="77777777" w:rsidR="00D821EF" w:rsidRDefault="00D821EF" w:rsidP="00D821EF">
            <w:pPr>
              <w:spacing w:before="0" w:after="0"/>
              <w:cnfStyle w:val="000000000000" w:firstRow="0" w:lastRow="0" w:firstColumn="0" w:lastColumn="0" w:oddVBand="0" w:evenVBand="0" w:oddHBand="0" w:evenHBand="0" w:firstRowFirstColumn="0" w:firstRowLastColumn="0" w:lastRowFirstColumn="0" w:lastRowLastColumn="0"/>
            </w:pPr>
          </w:p>
        </w:tc>
      </w:tr>
      <w:tr w:rsidR="00D821EF" w14:paraId="03D9B280"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3236CF52" w14:textId="77777777" w:rsidR="00D821EF" w:rsidRPr="0054456C" w:rsidRDefault="00D821EF" w:rsidP="00D821EF">
            <w:pPr>
              <w:spacing w:before="0" w:after="0"/>
              <w:rPr>
                <w:sz w:val="18"/>
                <w:szCs w:val="18"/>
              </w:rPr>
            </w:pPr>
            <w:r w:rsidRPr="0054456C">
              <w:rPr>
                <w:sz w:val="18"/>
                <w:szCs w:val="18"/>
              </w:rPr>
              <w:t>500</w:t>
            </w:r>
          </w:p>
        </w:tc>
        <w:tc>
          <w:tcPr>
            <w:tcW w:w="1271" w:type="dxa"/>
            <w:shd w:val="clear" w:color="auto" w:fill="auto"/>
          </w:tcPr>
          <w:p w14:paraId="7BBC3F9F"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2.52E8</w:t>
            </w:r>
          </w:p>
        </w:tc>
        <w:tc>
          <w:tcPr>
            <w:tcW w:w="1271" w:type="dxa"/>
            <w:shd w:val="clear" w:color="auto" w:fill="auto"/>
          </w:tcPr>
          <w:p w14:paraId="7FE1B7DC"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1.33E7</w:t>
            </w:r>
          </w:p>
        </w:tc>
        <w:tc>
          <w:tcPr>
            <w:tcW w:w="1168" w:type="dxa"/>
            <w:shd w:val="clear" w:color="auto" w:fill="auto"/>
          </w:tcPr>
          <w:p w14:paraId="115771EE"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198.00</w:t>
            </w:r>
          </w:p>
        </w:tc>
        <w:tc>
          <w:tcPr>
            <w:tcW w:w="1168" w:type="dxa"/>
            <w:shd w:val="clear" w:color="auto" w:fill="auto"/>
          </w:tcPr>
          <w:p w14:paraId="62BA6670"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2.42</w:t>
            </w:r>
          </w:p>
        </w:tc>
        <w:tc>
          <w:tcPr>
            <w:tcW w:w="1168" w:type="dxa"/>
            <w:shd w:val="clear" w:color="auto" w:fill="auto"/>
          </w:tcPr>
          <w:p w14:paraId="23F8D29F"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148.75</w:t>
            </w:r>
          </w:p>
        </w:tc>
        <w:tc>
          <w:tcPr>
            <w:tcW w:w="1161" w:type="dxa"/>
            <w:shd w:val="clear" w:color="auto" w:fill="auto"/>
          </w:tcPr>
          <w:p w14:paraId="1BB4E1E0"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11.40</w:t>
            </w:r>
          </w:p>
        </w:tc>
        <w:tc>
          <w:tcPr>
            <w:tcW w:w="222" w:type="dxa"/>
            <w:shd w:val="clear" w:color="auto" w:fill="auto"/>
          </w:tcPr>
          <w:p w14:paraId="054A0620"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r w:rsidR="00D821EF" w14:paraId="719ECC99" w14:textId="77777777" w:rsidTr="00DB3655">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51A186CE" w14:textId="77777777" w:rsidR="00D821EF" w:rsidRPr="0054456C" w:rsidRDefault="00D821EF" w:rsidP="00D821EF">
            <w:pPr>
              <w:spacing w:before="0" w:after="0"/>
              <w:rPr>
                <w:sz w:val="18"/>
                <w:szCs w:val="18"/>
              </w:rPr>
            </w:pPr>
            <w:r w:rsidRPr="0054456C">
              <w:rPr>
                <w:sz w:val="18"/>
                <w:szCs w:val="18"/>
              </w:rPr>
              <w:t>750</w:t>
            </w:r>
          </w:p>
        </w:tc>
        <w:tc>
          <w:tcPr>
            <w:tcW w:w="1271" w:type="dxa"/>
            <w:shd w:val="clear" w:color="auto" w:fill="auto"/>
          </w:tcPr>
          <w:p w14:paraId="3CBD706B"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2.41E8</w:t>
            </w:r>
          </w:p>
        </w:tc>
        <w:tc>
          <w:tcPr>
            <w:tcW w:w="1271" w:type="dxa"/>
            <w:shd w:val="clear" w:color="auto" w:fill="auto"/>
          </w:tcPr>
          <w:p w14:paraId="4A8E7BB5"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4.92E6</w:t>
            </w:r>
          </w:p>
        </w:tc>
        <w:tc>
          <w:tcPr>
            <w:tcW w:w="1168" w:type="dxa"/>
            <w:shd w:val="clear" w:color="auto" w:fill="auto"/>
          </w:tcPr>
          <w:p w14:paraId="572CA97E"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211.00</w:t>
            </w:r>
          </w:p>
        </w:tc>
        <w:tc>
          <w:tcPr>
            <w:tcW w:w="1168" w:type="dxa"/>
            <w:shd w:val="clear" w:color="auto" w:fill="auto"/>
          </w:tcPr>
          <w:p w14:paraId="676F1F56"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2.12</w:t>
            </w:r>
          </w:p>
        </w:tc>
        <w:tc>
          <w:tcPr>
            <w:tcW w:w="1168" w:type="dxa"/>
            <w:shd w:val="clear" w:color="auto" w:fill="auto"/>
          </w:tcPr>
          <w:p w14:paraId="2D121AE8"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161.50</w:t>
            </w:r>
          </w:p>
        </w:tc>
        <w:tc>
          <w:tcPr>
            <w:tcW w:w="1161" w:type="dxa"/>
            <w:shd w:val="clear" w:color="auto" w:fill="auto"/>
          </w:tcPr>
          <w:p w14:paraId="2A9F0901"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15.11</w:t>
            </w:r>
          </w:p>
        </w:tc>
        <w:tc>
          <w:tcPr>
            <w:tcW w:w="222" w:type="dxa"/>
            <w:shd w:val="clear" w:color="auto" w:fill="auto"/>
          </w:tcPr>
          <w:p w14:paraId="32293338" w14:textId="77777777" w:rsidR="00D821EF" w:rsidRDefault="00D821EF" w:rsidP="00D821EF">
            <w:pPr>
              <w:spacing w:before="0" w:after="0"/>
              <w:cnfStyle w:val="000000000000" w:firstRow="0" w:lastRow="0" w:firstColumn="0" w:lastColumn="0" w:oddVBand="0" w:evenVBand="0" w:oddHBand="0" w:evenHBand="0" w:firstRowFirstColumn="0" w:firstRowLastColumn="0" w:lastRowFirstColumn="0" w:lastRowLastColumn="0"/>
            </w:pPr>
          </w:p>
        </w:tc>
      </w:tr>
      <w:tr w:rsidR="00D821EF" w14:paraId="2D8847AD"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741C00F1" w14:textId="77777777" w:rsidR="00D821EF" w:rsidRPr="0054456C" w:rsidRDefault="00D821EF" w:rsidP="00D821EF">
            <w:pPr>
              <w:spacing w:before="0" w:after="0"/>
              <w:rPr>
                <w:sz w:val="18"/>
                <w:szCs w:val="18"/>
              </w:rPr>
            </w:pPr>
            <w:r w:rsidRPr="0054456C">
              <w:rPr>
                <w:sz w:val="18"/>
                <w:szCs w:val="18"/>
              </w:rPr>
              <w:t>1000</w:t>
            </w:r>
          </w:p>
        </w:tc>
        <w:tc>
          <w:tcPr>
            <w:tcW w:w="1271" w:type="dxa"/>
            <w:shd w:val="clear" w:color="auto" w:fill="auto"/>
          </w:tcPr>
          <w:p w14:paraId="715D0506"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3.04E8</w:t>
            </w:r>
          </w:p>
        </w:tc>
        <w:tc>
          <w:tcPr>
            <w:tcW w:w="1271" w:type="dxa"/>
            <w:shd w:val="clear" w:color="auto" w:fill="auto"/>
          </w:tcPr>
          <w:p w14:paraId="1896B18A"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2.28E7</w:t>
            </w:r>
          </w:p>
        </w:tc>
        <w:tc>
          <w:tcPr>
            <w:tcW w:w="1168" w:type="dxa"/>
            <w:shd w:val="clear" w:color="auto" w:fill="auto"/>
          </w:tcPr>
          <w:p w14:paraId="6825C66F"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203.50</w:t>
            </w:r>
          </w:p>
        </w:tc>
        <w:tc>
          <w:tcPr>
            <w:tcW w:w="1168" w:type="dxa"/>
            <w:shd w:val="clear" w:color="auto" w:fill="auto"/>
          </w:tcPr>
          <w:p w14:paraId="0C3A7F39"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3.01</w:t>
            </w:r>
          </w:p>
        </w:tc>
        <w:tc>
          <w:tcPr>
            <w:tcW w:w="1168" w:type="dxa"/>
            <w:shd w:val="clear" w:color="auto" w:fill="auto"/>
          </w:tcPr>
          <w:p w14:paraId="3B2F5A97"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161.50</w:t>
            </w:r>
          </w:p>
        </w:tc>
        <w:tc>
          <w:tcPr>
            <w:tcW w:w="1161" w:type="dxa"/>
            <w:shd w:val="clear" w:color="auto" w:fill="auto"/>
          </w:tcPr>
          <w:p w14:paraId="22B32521"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8.63</w:t>
            </w:r>
          </w:p>
        </w:tc>
        <w:tc>
          <w:tcPr>
            <w:tcW w:w="222" w:type="dxa"/>
            <w:shd w:val="clear" w:color="auto" w:fill="auto"/>
          </w:tcPr>
          <w:p w14:paraId="4DA42766"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bl>
    <w:p w14:paraId="60328698" w14:textId="77777777" w:rsidR="00D821EF" w:rsidRPr="0054456C" w:rsidRDefault="00D821EF" w:rsidP="008C2B83"/>
    <w:p w14:paraId="0D6271C1" w14:textId="77777777" w:rsidR="00D821EF" w:rsidRDefault="00D821EF" w:rsidP="008C2B83">
      <w:pPr>
        <w:keepNext/>
        <w:framePr w:w="9032" w:hSpace="180" w:wrap="around" w:vAnchor="text" w:hAnchor="page" w:x="2263" w:y="1"/>
      </w:pPr>
      <w:r>
        <w:object w:dxaOrig="8566" w:dyaOrig="6825" w14:anchorId="07572E92">
          <v:shape id="_x0000_i1072" type="#_x0000_t75" style="width:423.75pt;height:337.5pt" o:ole="">
            <v:imagedata r:id="rId115" o:title=""/>
          </v:shape>
          <o:OLEObject Type="Embed" ProgID="SigmaPlotGraphicObject.12" ShapeID="_x0000_i1072" DrawAspect="Content" ObjectID="_1559454726" r:id="rId116"/>
        </w:object>
      </w:r>
    </w:p>
    <w:p w14:paraId="14B2A83F" w14:textId="77777777" w:rsidR="00D821EF" w:rsidRDefault="00D821EF" w:rsidP="00FB0CA1">
      <w:pPr>
        <w:pStyle w:val="Caption"/>
        <w:framePr w:w="9032" w:hSpace="180" w:wrap="around" w:vAnchor="text" w:hAnchor="page" w:x="2263" w:y="1"/>
        <w:jc w:val="left"/>
      </w:pPr>
      <w:bookmarkStart w:id="304" w:name="_Toc482633212"/>
      <w:r>
        <w:t xml:space="preserve">Figure </w:t>
      </w:r>
      <w:fldSimple w:instr=" STYLEREF 1 \s ">
        <w:r w:rsidR="00AA6926">
          <w:rPr>
            <w:noProof/>
          </w:rPr>
          <w:t>8</w:t>
        </w:r>
      </w:fldSimple>
      <w:r w:rsidR="00BA082C">
        <w:noBreakHyphen/>
      </w:r>
      <w:fldSimple w:instr=" SEQ Figure \* ARABIC \s 1 ">
        <w:r w:rsidR="00AA6926">
          <w:rPr>
            <w:noProof/>
          </w:rPr>
          <w:t>5</w:t>
        </w:r>
      </w:fldSimple>
      <w:r>
        <w:t>. Average nanoparticle size of lysine nanoparticles at various millimolar concentrations</w:t>
      </w:r>
      <w:bookmarkEnd w:id="304"/>
    </w:p>
    <w:p w14:paraId="24ED3608" w14:textId="77777777" w:rsidR="00D821EF" w:rsidRDefault="00D821EF" w:rsidP="008C2B83"/>
    <w:p w14:paraId="3B3E8CC6" w14:textId="77777777" w:rsidR="00D821EF" w:rsidRDefault="00D821EF" w:rsidP="008C2B83">
      <w:pPr>
        <w:keepNext/>
        <w:framePr w:w="9093" w:hSpace="180" w:wrap="around" w:vAnchor="text" w:hAnchor="text" w:x="1" w:y="1"/>
      </w:pPr>
      <w:r>
        <w:object w:dxaOrig="11281" w:dyaOrig="8476" w14:anchorId="36A247E5">
          <v:shape id="_x0000_i1073" type="#_x0000_t75" style="width:454.5pt;height:341.25pt" o:ole="">
            <v:imagedata r:id="rId117" o:title=""/>
          </v:shape>
          <o:OLEObject Type="Embed" ProgID="SigmaPlotGraphicObject.12" ShapeID="_x0000_i1073" DrawAspect="Content" ObjectID="_1559454727" r:id="rId118"/>
        </w:object>
      </w:r>
    </w:p>
    <w:p w14:paraId="69AB66C9" w14:textId="77777777" w:rsidR="00D821EF" w:rsidRDefault="00D821EF" w:rsidP="00FB0CA1">
      <w:pPr>
        <w:pStyle w:val="Caption"/>
        <w:framePr w:w="9093" w:hSpace="180" w:wrap="around" w:vAnchor="text" w:hAnchor="text" w:x="1" w:y="1"/>
        <w:jc w:val="left"/>
      </w:pPr>
      <w:bookmarkStart w:id="305" w:name="_Toc482633213"/>
      <w:r>
        <w:t xml:space="preserve">Figure </w:t>
      </w:r>
      <w:fldSimple w:instr=" STYLEREF 1 \s ">
        <w:r w:rsidR="00AA6926">
          <w:rPr>
            <w:noProof/>
          </w:rPr>
          <w:t>8</w:t>
        </w:r>
      </w:fldSimple>
      <w:r w:rsidR="00BA082C">
        <w:noBreakHyphen/>
      </w:r>
      <w:fldSimple w:instr=" SEQ Figure \* ARABIC \s 1 ">
        <w:r w:rsidR="00AA6926">
          <w:rPr>
            <w:noProof/>
          </w:rPr>
          <w:t>6</w:t>
        </w:r>
      </w:fldSimple>
      <w:r>
        <w:t xml:space="preserve">. </w:t>
      </w:r>
      <w:r w:rsidRPr="007236E6">
        <w:t xml:space="preserve">Nanoparticle size distributions of </w:t>
      </w:r>
      <w:r>
        <w:t>lysine at 25</w:t>
      </w:r>
      <w:r w:rsidRPr="007236E6">
        <w:t xml:space="preserve"> °C of increasing concentrations. Four concentrations are shown as representative of the concentration range: 0.5 mM (upper left panel); 5 mM (upper right panel); 100 mM (lower left panel); 500 mM (lower</w:t>
      </w:r>
      <w:r>
        <w:t xml:space="preserve"> right panel)</w:t>
      </w:r>
      <w:bookmarkEnd w:id="305"/>
    </w:p>
    <w:p w14:paraId="6F932B92" w14:textId="77777777" w:rsidR="00D821EF" w:rsidRDefault="00D821EF" w:rsidP="008C2B83"/>
    <w:p w14:paraId="7BFB7839" w14:textId="77777777" w:rsidR="00D821EF" w:rsidRDefault="00D821EF" w:rsidP="008C2B83"/>
    <w:p w14:paraId="79400A08" w14:textId="77777777" w:rsidR="00D821EF" w:rsidRDefault="00D821EF" w:rsidP="008C2B83"/>
    <w:p w14:paraId="28CDC154" w14:textId="77777777" w:rsidR="00D821EF" w:rsidRDefault="00D821EF" w:rsidP="008C2B83">
      <w:pPr>
        <w:keepNext/>
      </w:pPr>
      <w:r>
        <w:object w:dxaOrig="8100" w:dyaOrig="10801" w14:anchorId="0AACE028">
          <v:shape id="_x0000_i1074" type="#_x0000_t75" style="width:406.5pt;height:540pt" o:ole="">
            <v:imagedata r:id="rId119" o:title=""/>
          </v:shape>
          <o:OLEObject Type="Embed" ProgID="Acrobat.Document.DC" ShapeID="_x0000_i1074" DrawAspect="Content" ObjectID="_1559454728" r:id="rId120"/>
        </w:object>
      </w:r>
    </w:p>
    <w:p w14:paraId="787E870F" w14:textId="77777777" w:rsidR="00D821EF" w:rsidRDefault="00D821EF" w:rsidP="008C2B83">
      <w:pPr>
        <w:pStyle w:val="Caption"/>
        <w:jc w:val="left"/>
      </w:pPr>
      <w:bookmarkStart w:id="306" w:name="_Toc482633214"/>
      <w:r>
        <w:t xml:space="preserve">Figure </w:t>
      </w:r>
      <w:fldSimple w:instr=" STYLEREF 1 \s ">
        <w:r w:rsidR="00AA6926">
          <w:rPr>
            <w:noProof/>
          </w:rPr>
          <w:t>8</w:t>
        </w:r>
      </w:fldSimple>
      <w:r w:rsidR="00BA082C">
        <w:noBreakHyphen/>
      </w:r>
      <w:fldSimple w:instr=" SEQ Figure \* ARABIC \s 1 ">
        <w:r w:rsidR="00AA6926">
          <w:rPr>
            <w:noProof/>
          </w:rPr>
          <w:t>7</w:t>
        </w:r>
      </w:fldSimple>
      <w:r>
        <w:t xml:space="preserve">. </w:t>
      </w:r>
      <w:r w:rsidRPr="00962D66">
        <w:t>NTA images captured from videos of increasing concentrations of lysine at 25 °C, showing the increase in nanoparticle formation. These images are not indicative of absolute size of nanoparticles but purely a representation of the number of particles sc</w:t>
      </w:r>
      <w:r>
        <w:t>attering light during video capture</w:t>
      </w:r>
      <w:bookmarkEnd w:id="306"/>
    </w:p>
    <w:p w14:paraId="29103898" w14:textId="77777777" w:rsidR="00D821EF" w:rsidRDefault="00D821EF" w:rsidP="008C2B83"/>
    <w:p w14:paraId="6E57F9A8" w14:textId="77777777" w:rsidR="00D821EF" w:rsidRDefault="00184734" w:rsidP="00184734">
      <w:pPr>
        <w:pStyle w:val="Heading3"/>
        <w:numPr>
          <w:ilvl w:val="0"/>
          <w:numId w:val="0"/>
        </w:numPr>
        <w:ind w:left="720" w:hanging="720"/>
      </w:pPr>
      <w:bookmarkStart w:id="307" w:name="_Toc485712842"/>
      <w:r>
        <w:t xml:space="preserve">C.4 </w:t>
      </w:r>
      <w:r w:rsidR="00D821EF">
        <w:t>GdnHCl</w:t>
      </w:r>
      <w:bookmarkEnd w:id="307"/>
    </w:p>
    <w:p w14:paraId="40118516"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19</w:t>
        </w:r>
      </w:fldSimple>
      <w:r>
        <w:t>. NTA data for GdnHCl pH 7 25 °C</w:t>
      </w:r>
    </w:p>
    <w:tbl>
      <w:tblPr>
        <w:tblStyle w:val="LightShading"/>
        <w:tblW w:w="0" w:type="auto"/>
        <w:tblLook w:val="04A0" w:firstRow="1" w:lastRow="0" w:firstColumn="1" w:lastColumn="0" w:noHBand="0" w:noVBand="1"/>
      </w:tblPr>
      <w:tblGrid>
        <w:gridCol w:w="1291"/>
        <w:gridCol w:w="1271"/>
        <w:gridCol w:w="1271"/>
        <w:gridCol w:w="1168"/>
        <w:gridCol w:w="1168"/>
        <w:gridCol w:w="1168"/>
        <w:gridCol w:w="1161"/>
        <w:gridCol w:w="222"/>
      </w:tblGrid>
      <w:tr w:rsidR="00D821EF" w14:paraId="39C490F7"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7B2B7BEC" w14:textId="77777777" w:rsidR="00D821EF" w:rsidRPr="0054456C" w:rsidRDefault="00D821EF" w:rsidP="00D821EF">
            <w:pPr>
              <w:spacing w:before="0" w:after="0"/>
              <w:rPr>
                <w:sz w:val="18"/>
                <w:szCs w:val="18"/>
              </w:rPr>
            </w:pPr>
            <w:r w:rsidRPr="0054456C">
              <w:rPr>
                <w:sz w:val="18"/>
                <w:szCs w:val="18"/>
              </w:rPr>
              <w:t>Concentration (mM)</w:t>
            </w:r>
          </w:p>
        </w:tc>
        <w:tc>
          <w:tcPr>
            <w:tcW w:w="1271" w:type="dxa"/>
            <w:shd w:val="clear" w:color="auto" w:fill="auto"/>
          </w:tcPr>
          <w:p w14:paraId="4E3E1242"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Mean nanoparticle concentration (particles/ mL)</w:t>
            </w:r>
          </w:p>
        </w:tc>
        <w:tc>
          <w:tcPr>
            <w:tcW w:w="1271" w:type="dxa"/>
            <w:shd w:val="clear" w:color="auto" w:fill="auto"/>
          </w:tcPr>
          <w:p w14:paraId="3E4F3BD4"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Nanoparticle concentration SE</w:t>
            </w:r>
          </w:p>
        </w:tc>
        <w:tc>
          <w:tcPr>
            <w:tcW w:w="1168" w:type="dxa"/>
            <w:shd w:val="clear" w:color="auto" w:fill="auto"/>
          </w:tcPr>
          <w:p w14:paraId="00B7034B"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Average mean nanoparticle size (nm)</w:t>
            </w:r>
          </w:p>
        </w:tc>
        <w:tc>
          <w:tcPr>
            <w:tcW w:w="1168" w:type="dxa"/>
            <w:shd w:val="clear" w:color="auto" w:fill="auto"/>
          </w:tcPr>
          <w:p w14:paraId="08060E78"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Mean nanoparticle size SE</w:t>
            </w:r>
          </w:p>
        </w:tc>
        <w:tc>
          <w:tcPr>
            <w:tcW w:w="1168" w:type="dxa"/>
            <w:shd w:val="clear" w:color="auto" w:fill="auto"/>
          </w:tcPr>
          <w:p w14:paraId="6B65CA3D"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Average mode nanoparticle size (nm)</w:t>
            </w:r>
          </w:p>
        </w:tc>
        <w:tc>
          <w:tcPr>
            <w:tcW w:w="1161" w:type="dxa"/>
            <w:shd w:val="clear" w:color="auto" w:fill="auto"/>
          </w:tcPr>
          <w:p w14:paraId="3B0C77CA" w14:textId="77777777" w:rsidR="00D821EF" w:rsidRPr="0054456C"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54456C">
              <w:rPr>
                <w:sz w:val="18"/>
                <w:szCs w:val="18"/>
              </w:rPr>
              <w:t>Mode nanoparticle size SE</w:t>
            </w:r>
          </w:p>
        </w:tc>
        <w:tc>
          <w:tcPr>
            <w:tcW w:w="222" w:type="dxa"/>
            <w:shd w:val="clear" w:color="auto" w:fill="auto"/>
          </w:tcPr>
          <w:p w14:paraId="685C58B9" w14:textId="77777777" w:rsidR="00D821EF" w:rsidRDefault="00D821EF" w:rsidP="00D821EF">
            <w:pPr>
              <w:spacing w:before="0" w:after="0"/>
              <w:cnfStyle w:val="100000000000" w:firstRow="1" w:lastRow="0" w:firstColumn="0" w:lastColumn="0" w:oddVBand="0" w:evenVBand="0" w:oddHBand="0" w:evenHBand="0" w:firstRowFirstColumn="0" w:firstRowLastColumn="0" w:lastRowFirstColumn="0" w:lastRowLastColumn="0"/>
            </w:pPr>
          </w:p>
        </w:tc>
      </w:tr>
      <w:tr w:rsidR="00D821EF" w14:paraId="1849C34C"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44FA32D1" w14:textId="77777777" w:rsidR="00D821EF" w:rsidRPr="0054456C" w:rsidRDefault="00D821EF" w:rsidP="00D821EF">
            <w:pPr>
              <w:spacing w:before="0" w:after="0"/>
              <w:rPr>
                <w:sz w:val="18"/>
                <w:szCs w:val="18"/>
              </w:rPr>
            </w:pPr>
            <w:r w:rsidRPr="0054456C">
              <w:rPr>
                <w:sz w:val="18"/>
                <w:szCs w:val="18"/>
              </w:rPr>
              <w:t>0.5</w:t>
            </w:r>
          </w:p>
        </w:tc>
        <w:tc>
          <w:tcPr>
            <w:tcW w:w="1271" w:type="dxa"/>
            <w:shd w:val="clear" w:color="auto" w:fill="auto"/>
          </w:tcPr>
          <w:p w14:paraId="4D7C42A8"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3.53E7</w:t>
            </w:r>
          </w:p>
        </w:tc>
        <w:tc>
          <w:tcPr>
            <w:tcW w:w="1271" w:type="dxa"/>
            <w:shd w:val="clear" w:color="auto" w:fill="auto"/>
          </w:tcPr>
          <w:p w14:paraId="331612DB"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6.05E6</w:t>
            </w:r>
          </w:p>
        </w:tc>
        <w:tc>
          <w:tcPr>
            <w:tcW w:w="1168" w:type="dxa"/>
            <w:shd w:val="clear" w:color="auto" w:fill="auto"/>
          </w:tcPr>
          <w:p w14:paraId="70DE1DA5"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137.50</w:t>
            </w:r>
          </w:p>
        </w:tc>
        <w:tc>
          <w:tcPr>
            <w:tcW w:w="1168" w:type="dxa"/>
            <w:shd w:val="clear" w:color="auto" w:fill="auto"/>
          </w:tcPr>
          <w:p w14:paraId="142424BA"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7.10</w:t>
            </w:r>
          </w:p>
        </w:tc>
        <w:tc>
          <w:tcPr>
            <w:tcW w:w="1168" w:type="dxa"/>
            <w:shd w:val="clear" w:color="auto" w:fill="auto"/>
          </w:tcPr>
          <w:p w14:paraId="49A1A8B2"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119.25</w:t>
            </w:r>
          </w:p>
        </w:tc>
        <w:tc>
          <w:tcPr>
            <w:tcW w:w="1161" w:type="dxa"/>
            <w:shd w:val="clear" w:color="auto" w:fill="auto"/>
          </w:tcPr>
          <w:p w14:paraId="59D1862F"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7.96</w:t>
            </w:r>
          </w:p>
        </w:tc>
        <w:tc>
          <w:tcPr>
            <w:tcW w:w="222" w:type="dxa"/>
            <w:shd w:val="clear" w:color="auto" w:fill="auto"/>
          </w:tcPr>
          <w:p w14:paraId="5615AAE4"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r w:rsidR="00D821EF" w14:paraId="270FECC8" w14:textId="77777777" w:rsidTr="00DB3655">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60D6059C" w14:textId="77777777" w:rsidR="00D821EF" w:rsidRPr="0054456C" w:rsidRDefault="00D821EF" w:rsidP="00D821EF">
            <w:pPr>
              <w:spacing w:before="0" w:after="0"/>
              <w:rPr>
                <w:sz w:val="18"/>
                <w:szCs w:val="18"/>
              </w:rPr>
            </w:pPr>
            <w:r w:rsidRPr="0054456C">
              <w:rPr>
                <w:sz w:val="18"/>
                <w:szCs w:val="18"/>
              </w:rPr>
              <w:t>1</w:t>
            </w:r>
          </w:p>
        </w:tc>
        <w:tc>
          <w:tcPr>
            <w:tcW w:w="1271" w:type="dxa"/>
            <w:shd w:val="clear" w:color="auto" w:fill="auto"/>
          </w:tcPr>
          <w:p w14:paraId="0DA22B0F"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4.38E7</w:t>
            </w:r>
          </w:p>
        </w:tc>
        <w:tc>
          <w:tcPr>
            <w:tcW w:w="1271" w:type="dxa"/>
            <w:shd w:val="clear" w:color="auto" w:fill="auto"/>
          </w:tcPr>
          <w:p w14:paraId="215A9BD1"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2.17E6</w:t>
            </w:r>
          </w:p>
        </w:tc>
        <w:tc>
          <w:tcPr>
            <w:tcW w:w="1168" w:type="dxa"/>
            <w:shd w:val="clear" w:color="auto" w:fill="auto"/>
          </w:tcPr>
          <w:p w14:paraId="2C1871B3"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146.25</w:t>
            </w:r>
          </w:p>
        </w:tc>
        <w:tc>
          <w:tcPr>
            <w:tcW w:w="1168" w:type="dxa"/>
            <w:shd w:val="clear" w:color="auto" w:fill="auto"/>
          </w:tcPr>
          <w:p w14:paraId="40CEB286"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5.68</w:t>
            </w:r>
          </w:p>
        </w:tc>
        <w:tc>
          <w:tcPr>
            <w:tcW w:w="1168" w:type="dxa"/>
            <w:shd w:val="clear" w:color="auto" w:fill="auto"/>
          </w:tcPr>
          <w:p w14:paraId="54A397FE"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133.25</w:t>
            </w:r>
          </w:p>
        </w:tc>
        <w:tc>
          <w:tcPr>
            <w:tcW w:w="1161" w:type="dxa"/>
            <w:shd w:val="clear" w:color="auto" w:fill="auto"/>
          </w:tcPr>
          <w:p w14:paraId="230AD8E5"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11.56</w:t>
            </w:r>
          </w:p>
        </w:tc>
        <w:tc>
          <w:tcPr>
            <w:tcW w:w="222" w:type="dxa"/>
            <w:shd w:val="clear" w:color="auto" w:fill="auto"/>
          </w:tcPr>
          <w:p w14:paraId="722F9910" w14:textId="77777777" w:rsidR="00D821EF" w:rsidRDefault="00D821EF" w:rsidP="00D821EF">
            <w:pPr>
              <w:spacing w:before="0" w:after="0"/>
              <w:cnfStyle w:val="000000000000" w:firstRow="0" w:lastRow="0" w:firstColumn="0" w:lastColumn="0" w:oddVBand="0" w:evenVBand="0" w:oddHBand="0" w:evenHBand="0" w:firstRowFirstColumn="0" w:firstRowLastColumn="0" w:lastRowFirstColumn="0" w:lastRowLastColumn="0"/>
            </w:pPr>
          </w:p>
        </w:tc>
      </w:tr>
      <w:tr w:rsidR="00D821EF" w14:paraId="295D777D"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28FB72C6" w14:textId="77777777" w:rsidR="00D821EF" w:rsidRPr="0054456C" w:rsidRDefault="00D821EF" w:rsidP="00D821EF">
            <w:pPr>
              <w:spacing w:before="0" w:after="0"/>
              <w:rPr>
                <w:sz w:val="18"/>
                <w:szCs w:val="18"/>
              </w:rPr>
            </w:pPr>
            <w:r w:rsidRPr="0054456C">
              <w:rPr>
                <w:sz w:val="18"/>
                <w:szCs w:val="18"/>
              </w:rPr>
              <w:t>2.5</w:t>
            </w:r>
          </w:p>
        </w:tc>
        <w:tc>
          <w:tcPr>
            <w:tcW w:w="1271" w:type="dxa"/>
            <w:shd w:val="clear" w:color="auto" w:fill="auto"/>
          </w:tcPr>
          <w:p w14:paraId="516EDFA9"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1.83E7</w:t>
            </w:r>
          </w:p>
        </w:tc>
        <w:tc>
          <w:tcPr>
            <w:tcW w:w="1271" w:type="dxa"/>
            <w:shd w:val="clear" w:color="auto" w:fill="auto"/>
          </w:tcPr>
          <w:p w14:paraId="2587260C"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4.35E6</w:t>
            </w:r>
          </w:p>
        </w:tc>
        <w:tc>
          <w:tcPr>
            <w:tcW w:w="1168" w:type="dxa"/>
            <w:shd w:val="clear" w:color="auto" w:fill="auto"/>
          </w:tcPr>
          <w:p w14:paraId="4CCB510E"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138.50</w:t>
            </w:r>
          </w:p>
        </w:tc>
        <w:tc>
          <w:tcPr>
            <w:tcW w:w="1168" w:type="dxa"/>
            <w:shd w:val="clear" w:color="auto" w:fill="auto"/>
          </w:tcPr>
          <w:p w14:paraId="2EF176DB"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11.11</w:t>
            </w:r>
          </w:p>
        </w:tc>
        <w:tc>
          <w:tcPr>
            <w:tcW w:w="1168" w:type="dxa"/>
            <w:shd w:val="clear" w:color="auto" w:fill="auto"/>
          </w:tcPr>
          <w:p w14:paraId="00697133"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154.00</w:t>
            </w:r>
          </w:p>
        </w:tc>
        <w:tc>
          <w:tcPr>
            <w:tcW w:w="1161" w:type="dxa"/>
            <w:shd w:val="clear" w:color="auto" w:fill="auto"/>
          </w:tcPr>
          <w:p w14:paraId="6828697F"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26.99</w:t>
            </w:r>
          </w:p>
        </w:tc>
        <w:tc>
          <w:tcPr>
            <w:tcW w:w="222" w:type="dxa"/>
            <w:shd w:val="clear" w:color="auto" w:fill="auto"/>
          </w:tcPr>
          <w:p w14:paraId="71642146"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r w:rsidR="00D821EF" w14:paraId="293F65ED" w14:textId="77777777" w:rsidTr="00DB3655">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01BDB009" w14:textId="77777777" w:rsidR="00D821EF" w:rsidRPr="0054456C" w:rsidRDefault="00D821EF" w:rsidP="00D821EF">
            <w:pPr>
              <w:spacing w:before="0" w:after="0"/>
              <w:rPr>
                <w:sz w:val="18"/>
                <w:szCs w:val="18"/>
              </w:rPr>
            </w:pPr>
            <w:r w:rsidRPr="0054456C">
              <w:rPr>
                <w:sz w:val="18"/>
                <w:szCs w:val="18"/>
              </w:rPr>
              <w:t>5</w:t>
            </w:r>
          </w:p>
        </w:tc>
        <w:tc>
          <w:tcPr>
            <w:tcW w:w="1271" w:type="dxa"/>
            <w:shd w:val="clear" w:color="auto" w:fill="auto"/>
          </w:tcPr>
          <w:p w14:paraId="6516F088"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1.50E7</w:t>
            </w:r>
          </w:p>
        </w:tc>
        <w:tc>
          <w:tcPr>
            <w:tcW w:w="1271" w:type="dxa"/>
            <w:shd w:val="clear" w:color="auto" w:fill="auto"/>
          </w:tcPr>
          <w:p w14:paraId="3C167224"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2.20E6</w:t>
            </w:r>
          </w:p>
        </w:tc>
        <w:tc>
          <w:tcPr>
            <w:tcW w:w="1168" w:type="dxa"/>
            <w:shd w:val="clear" w:color="auto" w:fill="auto"/>
          </w:tcPr>
          <w:p w14:paraId="4425ACAA"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249.25</w:t>
            </w:r>
          </w:p>
        </w:tc>
        <w:tc>
          <w:tcPr>
            <w:tcW w:w="1168" w:type="dxa"/>
            <w:shd w:val="clear" w:color="auto" w:fill="auto"/>
          </w:tcPr>
          <w:p w14:paraId="745DCA93"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15.80</w:t>
            </w:r>
          </w:p>
        </w:tc>
        <w:tc>
          <w:tcPr>
            <w:tcW w:w="1168" w:type="dxa"/>
            <w:shd w:val="clear" w:color="auto" w:fill="auto"/>
          </w:tcPr>
          <w:p w14:paraId="4D315AEB"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242.25</w:t>
            </w:r>
          </w:p>
        </w:tc>
        <w:tc>
          <w:tcPr>
            <w:tcW w:w="1161" w:type="dxa"/>
            <w:shd w:val="clear" w:color="auto" w:fill="auto"/>
          </w:tcPr>
          <w:p w14:paraId="7979CA66"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31.82</w:t>
            </w:r>
          </w:p>
        </w:tc>
        <w:tc>
          <w:tcPr>
            <w:tcW w:w="222" w:type="dxa"/>
            <w:shd w:val="clear" w:color="auto" w:fill="auto"/>
          </w:tcPr>
          <w:p w14:paraId="5056B3E0" w14:textId="77777777" w:rsidR="00D821EF" w:rsidRDefault="00D821EF" w:rsidP="00D821EF">
            <w:pPr>
              <w:spacing w:before="0" w:after="0"/>
              <w:cnfStyle w:val="000000000000" w:firstRow="0" w:lastRow="0" w:firstColumn="0" w:lastColumn="0" w:oddVBand="0" w:evenVBand="0" w:oddHBand="0" w:evenHBand="0" w:firstRowFirstColumn="0" w:firstRowLastColumn="0" w:lastRowFirstColumn="0" w:lastRowLastColumn="0"/>
            </w:pPr>
          </w:p>
        </w:tc>
      </w:tr>
      <w:tr w:rsidR="00D821EF" w14:paraId="2269F19A"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00360EDE" w14:textId="77777777" w:rsidR="00D821EF" w:rsidRPr="0054456C" w:rsidRDefault="00D821EF" w:rsidP="00D821EF">
            <w:pPr>
              <w:spacing w:before="0" w:after="0"/>
              <w:rPr>
                <w:sz w:val="18"/>
                <w:szCs w:val="18"/>
              </w:rPr>
            </w:pPr>
            <w:r w:rsidRPr="0054456C">
              <w:rPr>
                <w:sz w:val="18"/>
                <w:szCs w:val="18"/>
              </w:rPr>
              <w:t>10</w:t>
            </w:r>
          </w:p>
        </w:tc>
        <w:tc>
          <w:tcPr>
            <w:tcW w:w="1271" w:type="dxa"/>
            <w:shd w:val="clear" w:color="auto" w:fill="auto"/>
          </w:tcPr>
          <w:p w14:paraId="34E4FEFD"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1.47E7</w:t>
            </w:r>
          </w:p>
        </w:tc>
        <w:tc>
          <w:tcPr>
            <w:tcW w:w="1271" w:type="dxa"/>
            <w:shd w:val="clear" w:color="auto" w:fill="auto"/>
          </w:tcPr>
          <w:p w14:paraId="50170D6C"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3.71E6</w:t>
            </w:r>
          </w:p>
        </w:tc>
        <w:tc>
          <w:tcPr>
            <w:tcW w:w="1168" w:type="dxa"/>
            <w:shd w:val="clear" w:color="auto" w:fill="auto"/>
          </w:tcPr>
          <w:p w14:paraId="1F6AC479"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147.75</w:t>
            </w:r>
          </w:p>
        </w:tc>
        <w:tc>
          <w:tcPr>
            <w:tcW w:w="1168" w:type="dxa"/>
            <w:shd w:val="clear" w:color="auto" w:fill="auto"/>
          </w:tcPr>
          <w:p w14:paraId="5E00206F"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16.90</w:t>
            </w:r>
          </w:p>
        </w:tc>
        <w:tc>
          <w:tcPr>
            <w:tcW w:w="1168" w:type="dxa"/>
            <w:shd w:val="clear" w:color="auto" w:fill="auto"/>
          </w:tcPr>
          <w:p w14:paraId="45E9314B"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122.50</w:t>
            </w:r>
          </w:p>
        </w:tc>
        <w:tc>
          <w:tcPr>
            <w:tcW w:w="1161" w:type="dxa"/>
            <w:shd w:val="clear" w:color="auto" w:fill="auto"/>
          </w:tcPr>
          <w:p w14:paraId="1E14E476"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17.61</w:t>
            </w:r>
          </w:p>
        </w:tc>
        <w:tc>
          <w:tcPr>
            <w:tcW w:w="222" w:type="dxa"/>
            <w:shd w:val="clear" w:color="auto" w:fill="auto"/>
          </w:tcPr>
          <w:p w14:paraId="228D5105"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r w:rsidR="00D821EF" w14:paraId="42CBE31E" w14:textId="77777777" w:rsidTr="00DB3655">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5566710B" w14:textId="77777777" w:rsidR="00D821EF" w:rsidRPr="0054456C" w:rsidRDefault="00D821EF" w:rsidP="00D821EF">
            <w:pPr>
              <w:spacing w:before="0" w:after="0"/>
              <w:rPr>
                <w:sz w:val="18"/>
                <w:szCs w:val="18"/>
              </w:rPr>
            </w:pPr>
            <w:r w:rsidRPr="0054456C">
              <w:rPr>
                <w:sz w:val="18"/>
                <w:szCs w:val="18"/>
              </w:rPr>
              <w:t>25</w:t>
            </w:r>
          </w:p>
        </w:tc>
        <w:tc>
          <w:tcPr>
            <w:tcW w:w="1271" w:type="dxa"/>
            <w:shd w:val="clear" w:color="auto" w:fill="auto"/>
          </w:tcPr>
          <w:p w14:paraId="560B9381"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8.25E6</w:t>
            </w:r>
          </w:p>
        </w:tc>
        <w:tc>
          <w:tcPr>
            <w:tcW w:w="1271" w:type="dxa"/>
            <w:shd w:val="clear" w:color="auto" w:fill="auto"/>
          </w:tcPr>
          <w:p w14:paraId="152693E8"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3.04E6</w:t>
            </w:r>
          </w:p>
        </w:tc>
        <w:tc>
          <w:tcPr>
            <w:tcW w:w="1168" w:type="dxa"/>
            <w:shd w:val="clear" w:color="auto" w:fill="auto"/>
          </w:tcPr>
          <w:p w14:paraId="0404EF2C"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222.50</w:t>
            </w:r>
          </w:p>
        </w:tc>
        <w:tc>
          <w:tcPr>
            <w:tcW w:w="1168" w:type="dxa"/>
            <w:shd w:val="clear" w:color="auto" w:fill="auto"/>
          </w:tcPr>
          <w:p w14:paraId="4C580DD3"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29.06</w:t>
            </w:r>
          </w:p>
        </w:tc>
        <w:tc>
          <w:tcPr>
            <w:tcW w:w="1168" w:type="dxa"/>
            <w:shd w:val="clear" w:color="auto" w:fill="auto"/>
          </w:tcPr>
          <w:p w14:paraId="6917433F"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185.75</w:t>
            </w:r>
          </w:p>
        </w:tc>
        <w:tc>
          <w:tcPr>
            <w:tcW w:w="1161" w:type="dxa"/>
            <w:shd w:val="clear" w:color="auto" w:fill="auto"/>
          </w:tcPr>
          <w:p w14:paraId="3C7BC1CC"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34.22</w:t>
            </w:r>
          </w:p>
        </w:tc>
        <w:tc>
          <w:tcPr>
            <w:tcW w:w="222" w:type="dxa"/>
            <w:shd w:val="clear" w:color="auto" w:fill="auto"/>
          </w:tcPr>
          <w:p w14:paraId="72C676E3" w14:textId="77777777" w:rsidR="00D821EF" w:rsidRDefault="00D821EF" w:rsidP="00D821EF">
            <w:pPr>
              <w:spacing w:before="0" w:after="0"/>
              <w:cnfStyle w:val="000000000000" w:firstRow="0" w:lastRow="0" w:firstColumn="0" w:lastColumn="0" w:oddVBand="0" w:evenVBand="0" w:oddHBand="0" w:evenHBand="0" w:firstRowFirstColumn="0" w:firstRowLastColumn="0" w:lastRowFirstColumn="0" w:lastRowLastColumn="0"/>
            </w:pPr>
          </w:p>
        </w:tc>
      </w:tr>
      <w:tr w:rsidR="00D821EF" w14:paraId="1A5E3AD3"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22D4CB18" w14:textId="77777777" w:rsidR="00D821EF" w:rsidRPr="0054456C" w:rsidRDefault="00D821EF" w:rsidP="00D821EF">
            <w:pPr>
              <w:spacing w:before="0" w:after="0"/>
              <w:rPr>
                <w:sz w:val="18"/>
                <w:szCs w:val="18"/>
              </w:rPr>
            </w:pPr>
            <w:r w:rsidRPr="0054456C">
              <w:rPr>
                <w:sz w:val="18"/>
                <w:szCs w:val="18"/>
              </w:rPr>
              <w:t>50</w:t>
            </w:r>
          </w:p>
        </w:tc>
        <w:tc>
          <w:tcPr>
            <w:tcW w:w="1271" w:type="dxa"/>
            <w:shd w:val="clear" w:color="auto" w:fill="auto"/>
          </w:tcPr>
          <w:p w14:paraId="58801F59"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2.87E7</w:t>
            </w:r>
          </w:p>
        </w:tc>
        <w:tc>
          <w:tcPr>
            <w:tcW w:w="1271" w:type="dxa"/>
            <w:shd w:val="clear" w:color="auto" w:fill="auto"/>
          </w:tcPr>
          <w:p w14:paraId="463F8C0C"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3.33E5</w:t>
            </w:r>
          </w:p>
        </w:tc>
        <w:tc>
          <w:tcPr>
            <w:tcW w:w="1168" w:type="dxa"/>
            <w:shd w:val="clear" w:color="auto" w:fill="auto"/>
          </w:tcPr>
          <w:p w14:paraId="0EEC85B9"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142.25</w:t>
            </w:r>
          </w:p>
        </w:tc>
        <w:tc>
          <w:tcPr>
            <w:tcW w:w="1168" w:type="dxa"/>
            <w:shd w:val="clear" w:color="auto" w:fill="auto"/>
          </w:tcPr>
          <w:p w14:paraId="22D2CA1F"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1.33</w:t>
            </w:r>
          </w:p>
        </w:tc>
        <w:tc>
          <w:tcPr>
            <w:tcW w:w="1168" w:type="dxa"/>
            <w:shd w:val="clear" w:color="auto" w:fill="auto"/>
          </w:tcPr>
          <w:p w14:paraId="0BA0DEC8"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125.00</w:t>
            </w:r>
          </w:p>
        </w:tc>
        <w:tc>
          <w:tcPr>
            <w:tcW w:w="1161" w:type="dxa"/>
            <w:shd w:val="clear" w:color="auto" w:fill="auto"/>
          </w:tcPr>
          <w:p w14:paraId="358F5821"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11.53</w:t>
            </w:r>
          </w:p>
        </w:tc>
        <w:tc>
          <w:tcPr>
            <w:tcW w:w="222" w:type="dxa"/>
            <w:shd w:val="clear" w:color="auto" w:fill="auto"/>
          </w:tcPr>
          <w:p w14:paraId="5734A9AD"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r w:rsidR="00D821EF" w14:paraId="064FEB8A" w14:textId="77777777" w:rsidTr="00DB3655">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2C03767D" w14:textId="77777777" w:rsidR="00D821EF" w:rsidRPr="0054456C" w:rsidRDefault="00D821EF" w:rsidP="00D821EF">
            <w:pPr>
              <w:spacing w:before="0" w:after="0"/>
              <w:rPr>
                <w:sz w:val="18"/>
                <w:szCs w:val="18"/>
              </w:rPr>
            </w:pPr>
            <w:r w:rsidRPr="0054456C">
              <w:rPr>
                <w:sz w:val="18"/>
                <w:szCs w:val="18"/>
              </w:rPr>
              <w:t>75</w:t>
            </w:r>
          </w:p>
        </w:tc>
        <w:tc>
          <w:tcPr>
            <w:tcW w:w="1271" w:type="dxa"/>
            <w:shd w:val="clear" w:color="auto" w:fill="auto"/>
          </w:tcPr>
          <w:p w14:paraId="1BE557FA"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1.50E7</w:t>
            </w:r>
          </w:p>
        </w:tc>
        <w:tc>
          <w:tcPr>
            <w:tcW w:w="1271" w:type="dxa"/>
            <w:shd w:val="clear" w:color="auto" w:fill="auto"/>
          </w:tcPr>
          <w:p w14:paraId="486CDEFF"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4.58E6</w:t>
            </w:r>
          </w:p>
        </w:tc>
        <w:tc>
          <w:tcPr>
            <w:tcW w:w="1168" w:type="dxa"/>
            <w:shd w:val="clear" w:color="auto" w:fill="auto"/>
          </w:tcPr>
          <w:p w14:paraId="13B3B9ED"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179.75</w:t>
            </w:r>
          </w:p>
        </w:tc>
        <w:tc>
          <w:tcPr>
            <w:tcW w:w="1168" w:type="dxa"/>
            <w:shd w:val="clear" w:color="auto" w:fill="auto"/>
          </w:tcPr>
          <w:p w14:paraId="70F0720A"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1.45</w:t>
            </w:r>
          </w:p>
        </w:tc>
        <w:tc>
          <w:tcPr>
            <w:tcW w:w="1168" w:type="dxa"/>
            <w:shd w:val="clear" w:color="auto" w:fill="auto"/>
          </w:tcPr>
          <w:p w14:paraId="5353EBA2"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140.75</w:t>
            </w:r>
          </w:p>
        </w:tc>
        <w:tc>
          <w:tcPr>
            <w:tcW w:w="1161" w:type="dxa"/>
            <w:shd w:val="clear" w:color="auto" w:fill="auto"/>
          </w:tcPr>
          <w:p w14:paraId="55838562"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17.40</w:t>
            </w:r>
          </w:p>
        </w:tc>
        <w:tc>
          <w:tcPr>
            <w:tcW w:w="222" w:type="dxa"/>
            <w:shd w:val="clear" w:color="auto" w:fill="auto"/>
          </w:tcPr>
          <w:p w14:paraId="31A0F125" w14:textId="77777777" w:rsidR="00D821EF" w:rsidRDefault="00D821EF" w:rsidP="00D821EF">
            <w:pPr>
              <w:spacing w:before="0" w:after="0"/>
              <w:cnfStyle w:val="000000000000" w:firstRow="0" w:lastRow="0" w:firstColumn="0" w:lastColumn="0" w:oddVBand="0" w:evenVBand="0" w:oddHBand="0" w:evenHBand="0" w:firstRowFirstColumn="0" w:firstRowLastColumn="0" w:lastRowFirstColumn="0" w:lastRowLastColumn="0"/>
            </w:pPr>
          </w:p>
        </w:tc>
      </w:tr>
      <w:tr w:rsidR="00D821EF" w14:paraId="351AE8F0"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430BD178" w14:textId="77777777" w:rsidR="00D821EF" w:rsidRPr="0054456C" w:rsidRDefault="00D821EF" w:rsidP="00D821EF">
            <w:pPr>
              <w:spacing w:before="0" w:after="0"/>
              <w:rPr>
                <w:sz w:val="18"/>
                <w:szCs w:val="18"/>
              </w:rPr>
            </w:pPr>
            <w:r w:rsidRPr="0054456C">
              <w:rPr>
                <w:sz w:val="18"/>
                <w:szCs w:val="18"/>
              </w:rPr>
              <w:t>100</w:t>
            </w:r>
          </w:p>
        </w:tc>
        <w:tc>
          <w:tcPr>
            <w:tcW w:w="1271" w:type="dxa"/>
            <w:shd w:val="clear" w:color="auto" w:fill="auto"/>
          </w:tcPr>
          <w:p w14:paraId="376FB53F"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2.60E7</w:t>
            </w:r>
          </w:p>
        </w:tc>
        <w:tc>
          <w:tcPr>
            <w:tcW w:w="1271" w:type="dxa"/>
            <w:shd w:val="clear" w:color="auto" w:fill="auto"/>
          </w:tcPr>
          <w:p w14:paraId="538904C2"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5.10E6</w:t>
            </w:r>
          </w:p>
        </w:tc>
        <w:tc>
          <w:tcPr>
            <w:tcW w:w="1168" w:type="dxa"/>
            <w:shd w:val="clear" w:color="auto" w:fill="auto"/>
          </w:tcPr>
          <w:p w14:paraId="4A885C45"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143.75</w:t>
            </w:r>
          </w:p>
        </w:tc>
        <w:tc>
          <w:tcPr>
            <w:tcW w:w="1168" w:type="dxa"/>
            <w:shd w:val="clear" w:color="auto" w:fill="auto"/>
          </w:tcPr>
          <w:p w14:paraId="6C489C14"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20.17</w:t>
            </w:r>
          </w:p>
        </w:tc>
        <w:tc>
          <w:tcPr>
            <w:tcW w:w="1168" w:type="dxa"/>
            <w:shd w:val="clear" w:color="auto" w:fill="auto"/>
          </w:tcPr>
          <w:p w14:paraId="3898A360"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120.25</w:t>
            </w:r>
          </w:p>
        </w:tc>
        <w:tc>
          <w:tcPr>
            <w:tcW w:w="1161" w:type="dxa"/>
            <w:shd w:val="clear" w:color="auto" w:fill="auto"/>
          </w:tcPr>
          <w:p w14:paraId="52C07A4F"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2.87</w:t>
            </w:r>
          </w:p>
        </w:tc>
        <w:tc>
          <w:tcPr>
            <w:tcW w:w="222" w:type="dxa"/>
            <w:shd w:val="clear" w:color="auto" w:fill="auto"/>
          </w:tcPr>
          <w:p w14:paraId="3D20F9C6"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r w:rsidR="00D821EF" w14:paraId="70550F9C" w14:textId="77777777" w:rsidTr="00DB3655">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64670804" w14:textId="77777777" w:rsidR="00D821EF" w:rsidRPr="0054456C" w:rsidRDefault="00D821EF" w:rsidP="00D821EF">
            <w:pPr>
              <w:spacing w:before="0" w:after="0"/>
              <w:rPr>
                <w:sz w:val="18"/>
                <w:szCs w:val="18"/>
              </w:rPr>
            </w:pPr>
            <w:r w:rsidRPr="0054456C">
              <w:rPr>
                <w:sz w:val="18"/>
                <w:szCs w:val="18"/>
              </w:rPr>
              <w:t>250</w:t>
            </w:r>
          </w:p>
        </w:tc>
        <w:tc>
          <w:tcPr>
            <w:tcW w:w="1271" w:type="dxa"/>
            <w:shd w:val="clear" w:color="auto" w:fill="auto"/>
          </w:tcPr>
          <w:p w14:paraId="5FAB7092"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1.67E7</w:t>
            </w:r>
          </w:p>
        </w:tc>
        <w:tc>
          <w:tcPr>
            <w:tcW w:w="1271" w:type="dxa"/>
            <w:shd w:val="clear" w:color="auto" w:fill="auto"/>
          </w:tcPr>
          <w:p w14:paraId="4F0A7930"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7.22E6</w:t>
            </w:r>
          </w:p>
        </w:tc>
        <w:tc>
          <w:tcPr>
            <w:tcW w:w="1168" w:type="dxa"/>
            <w:shd w:val="clear" w:color="auto" w:fill="auto"/>
          </w:tcPr>
          <w:p w14:paraId="5FD812B5"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254.75</w:t>
            </w:r>
          </w:p>
        </w:tc>
        <w:tc>
          <w:tcPr>
            <w:tcW w:w="1168" w:type="dxa"/>
            <w:shd w:val="clear" w:color="auto" w:fill="auto"/>
          </w:tcPr>
          <w:p w14:paraId="7F5295A6"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37.25</w:t>
            </w:r>
          </w:p>
        </w:tc>
        <w:tc>
          <w:tcPr>
            <w:tcW w:w="1168" w:type="dxa"/>
            <w:shd w:val="clear" w:color="auto" w:fill="auto"/>
          </w:tcPr>
          <w:p w14:paraId="1E43F0BA"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192.75</w:t>
            </w:r>
          </w:p>
        </w:tc>
        <w:tc>
          <w:tcPr>
            <w:tcW w:w="1161" w:type="dxa"/>
            <w:shd w:val="clear" w:color="auto" w:fill="auto"/>
          </w:tcPr>
          <w:p w14:paraId="2F76C6F2"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84.09</w:t>
            </w:r>
          </w:p>
        </w:tc>
        <w:tc>
          <w:tcPr>
            <w:tcW w:w="222" w:type="dxa"/>
            <w:shd w:val="clear" w:color="auto" w:fill="auto"/>
          </w:tcPr>
          <w:p w14:paraId="7ABAEE4E" w14:textId="77777777" w:rsidR="00D821EF" w:rsidRDefault="00D821EF" w:rsidP="00D821EF">
            <w:pPr>
              <w:spacing w:before="0" w:after="0"/>
              <w:cnfStyle w:val="000000000000" w:firstRow="0" w:lastRow="0" w:firstColumn="0" w:lastColumn="0" w:oddVBand="0" w:evenVBand="0" w:oddHBand="0" w:evenHBand="0" w:firstRowFirstColumn="0" w:firstRowLastColumn="0" w:lastRowFirstColumn="0" w:lastRowLastColumn="0"/>
            </w:pPr>
          </w:p>
        </w:tc>
      </w:tr>
      <w:tr w:rsidR="00D821EF" w14:paraId="66B44AC4"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0A44B575" w14:textId="77777777" w:rsidR="00D821EF" w:rsidRPr="0054456C" w:rsidRDefault="00D821EF" w:rsidP="00D821EF">
            <w:pPr>
              <w:spacing w:before="0" w:after="0"/>
              <w:rPr>
                <w:sz w:val="18"/>
                <w:szCs w:val="18"/>
              </w:rPr>
            </w:pPr>
            <w:r w:rsidRPr="0054456C">
              <w:rPr>
                <w:sz w:val="18"/>
                <w:szCs w:val="18"/>
              </w:rPr>
              <w:t>500</w:t>
            </w:r>
          </w:p>
        </w:tc>
        <w:tc>
          <w:tcPr>
            <w:tcW w:w="1271" w:type="dxa"/>
            <w:shd w:val="clear" w:color="auto" w:fill="auto"/>
          </w:tcPr>
          <w:p w14:paraId="08F1FEA2"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2.37E7</w:t>
            </w:r>
          </w:p>
        </w:tc>
        <w:tc>
          <w:tcPr>
            <w:tcW w:w="1271" w:type="dxa"/>
            <w:shd w:val="clear" w:color="auto" w:fill="auto"/>
          </w:tcPr>
          <w:p w14:paraId="46C23803"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2.60E6</w:t>
            </w:r>
          </w:p>
        </w:tc>
        <w:tc>
          <w:tcPr>
            <w:tcW w:w="1168" w:type="dxa"/>
            <w:shd w:val="clear" w:color="auto" w:fill="auto"/>
          </w:tcPr>
          <w:p w14:paraId="23EB968B"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271.25</w:t>
            </w:r>
          </w:p>
        </w:tc>
        <w:tc>
          <w:tcPr>
            <w:tcW w:w="1168" w:type="dxa"/>
            <w:shd w:val="clear" w:color="auto" w:fill="auto"/>
          </w:tcPr>
          <w:p w14:paraId="1FFB28F7"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24.44</w:t>
            </w:r>
          </w:p>
        </w:tc>
        <w:tc>
          <w:tcPr>
            <w:tcW w:w="1168" w:type="dxa"/>
            <w:shd w:val="clear" w:color="auto" w:fill="auto"/>
          </w:tcPr>
          <w:p w14:paraId="015F56BD"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179.25</w:t>
            </w:r>
          </w:p>
        </w:tc>
        <w:tc>
          <w:tcPr>
            <w:tcW w:w="1161" w:type="dxa"/>
            <w:shd w:val="clear" w:color="auto" w:fill="auto"/>
          </w:tcPr>
          <w:p w14:paraId="418F3D51"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33.80</w:t>
            </w:r>
          </w:p>
        </w:tc>
        <w:tc>
          <w:tcPr>
            <w:tcW w:w="222" w:type="dxa"/>
            <w:shd w:val="clear" w:color="auto" w:fill="auto"/>
          </w:tcPr>
          <w:p w14:paraId="2F303028"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r w:rsidR="00D821EF" w14:paraId="6B8542AE" w14:textId="77777777" w:rsidTr="00DB3655">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2DA5320C" w14:textId="77777777" w:rsidR="00D821EF" w:rsidRPr="0054456C" w:rsidRDefault="00D821EF" w:rsidP="00D821EF">
            <w:pPr>
              <w:spacing w:before="0" w:after="0"/>
              <w:rPr>
                <w:sz w:val="18"/>
                <w:szCs w:val="18"/>
              </w:rPr>
            </w:pPr>
            <w:r w:rsidRPr="0054456C">
              <w:rPr>
                <w:sz w:val="18"/>
                <w:szCs w:val="18"/>
              </w:rPr>
              <w:t>750</w:t>
            </w:r>
          </w:p>
        </w:tc>
        <w:tc>
          <w:tcPr>
            <w:tcW w:w="1271" w:type="dxa"/>
            <w:shd w:val="clear" w:color="auto" w:fill="auto"/>
          </w:tcPr>
          <w:p w14:paraId="357DBEF7"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3.93E7</w:t>
            </w:r>
          </w:p>
        </w:tc>
        <w:tc>
          <w:tcPr>
            <w:tcW w:w="1271" w:type="dxa"/>
            <w:shd w:val="clear" w:color="auto" w:fill="auto"/>
          </w:tcPr>
          <w:p w14:paraId="3413E3F2"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1.00E7</w:t>
            </w:r>
          </w:p>
        </w:tc>
        <w:tc>
          <w:tcPr>
            <w:tcW w:w="1168" w:type="dxa"/>
            <w:shd w:val="clear" w:color="auto" w:fill="auto"/>
          </w:tcPr>
          <w:p w14:paraId="7A1C8910"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255.25</w:t>
            </w:r>
          </w:p>
        </w:tc>
        <w:tc>
          <w:tcPr>
            <w:tcW w:w="1168" w:type="dxa"/>
            <w:shd w:val="clear" w:color="auto" w:fill="auto"/>
          </w:tcPr>
          <w:p w14:paraId="33C315F6"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17.39</w:t>
            </w:r>
          </w:p>
        </w:tc>
        <w:tc>
          <w:tcPr>
            <w:tcW w:w="1168" w:type="dxa"/>
            <w:shd w:val="clear" w:color="auto" w:fill="auto"/>
          </w:tcPr>
          <w:p w14:paraId="5E2E4E9D"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142.00</w:t>
            </w:r>
          </w:p>
        </w:tc>
        <w:tc>
          <w:tcPr>
            <w:tcW w:w="1161" w:type="dxa"/>
            <w:shd w:val="clear" w:color="auto" w:fill="auto"/>
          </w:tcPr>
          <w:p w14:paraId="318ACB7B" w14:textId="77777777" w:rsidR="00D821EF" w:rsidRPr="0054456C"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16.56</w:t>
            </w:r>
          </w:p>
        </w:tc>
        <w:tc>
          <w:tcPr>
            <w:tcW w:w="222" w:type="dxa"/>
            <w:shd w:val="clear" w:color="auto" w:fill="auto"/>
          </w:tcPr>
          <w:p w14:paraId="34ACFD7C" w14:textId="77777777" w:rsidR="00D821EF" w:rsidRDefault="00D821EF" w:rsidP="00D821EF">
            <w:pPr>
              <w:spacing w:before="0" w:after="0"/>
              <w:cnfStyle w:val="000000000000" w:firstRow="0" w:lastRow="0" w:firstColumn="0" w:lastColumn="0" w:oddVBand="0" w:evenVBand="0" w:oddHBand="0" w:evenHBand="0" w:firstRowFirstColumn="0" w:firstRowLastColumn="0" w:lastRowFirstColumn="0" w:lastRowLastColumn="0"/>
            </w:pPr>
          </w:p>
        </w:tc>
      </w:tr>
      <w:tr w:rsidR="00D821EF" w14:paraId="38936934"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auto"/>
          </w:tcPr>
          <w:p w14:paraId="725BF5BC" w14:textId="77777777" w:rsidR="00D821EF" w:rsidRPr="0054456C" w:rsidRDefault="00D821EF" w:rsidP="00D821EF">
            <w:pPr>
              <w:spacing w:before="0" w:after="0"/>
              <w:rPr>
                <w:sz w:val="18"/>
                <w:szCs w:val="18"/>
              </w:rPr>
            </w:pPr>
            <w:r w:rsidRPr="0054456C">
              <w:rPr>
                <w:sz w:val="18"/>
                <w:szCs w:val="18"/>
              </w:rPr>
              <w:t>1000</w:t>
            </w:r>
          </w:p>
        </w:tc>
        <w:tc>
          <w:tcPr>
            <w:tcW w:w="1271" w:type="dxa"/>
            <w:shd w:val="clear" w:color="auto" w:fill="auto"/>
          </w:tcPr>
          <w:p w14:paraId="4CEF161F"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5.20E7</w:t>
            </w:r>
          </w:p>
        </w:tc>
        <w:tc>
          <w:tcPr>
            <w:tcW w:w="1271" w:type="dxa"/>
            <w:shd w:val="clear" w:color="auto" w:fill="auto"/>
          </w:tcPr>
          <w:p w14:paraId="0B30819A"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5.12E6</w:t>
            </w:r>
          </w:p>
        </w:tc>
        <w:tc>
          <w:tcPr>
            <w:tcW w:w="1168" w:type="dxa"/>
            <w:shd w:val="clear" w:color="auto" w:fill="auto"/>
          </w:tcPr>
          <w:p w14:paraId="5EE8985B"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229.00</w:t>
            </w:r>
          </w:p>
        </w:tc>
        <w:tc>
          <w:tcPr>
            <w:tcW w:w="1168" w:type="dxa"/>
            <w:shd w:val="clear" w:color="auto" w:fill="auto"/>
          </w:tcPr>
          <w:p w14:paraId="1C29C9BB"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11.32</w:t>
            </w:r>
          </w:p>
        </w:tc>
        <w:tc>
          <w:tcPr>
            <w:tcW w:w="1168" w:type="dxa"/>
            <w:shd w:val="clear" w:color="auto" w:fill="auto"/>
          </w:tcPr>
          <w:p w14:paraId="0A2CC947"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131.25</w:t>
            </w:r>
          </w:p>
        </w:tc>
        <w:tc>
          <w:tcPr>
            <w:tcW w:w="1161" w:type="dxa"/>
            <w:shd w:val="clear" w:color="auto" w:fill="auto"/>
          </w:tcPr>
          <w:p w14:paraId="73326110" w14:textId="77777777" w:rsidR="00D821EF" w:rsidRPr="0054456C"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14.67</w:t>
            </w:r>
          </w:p>
        </w:tc>
        <w:tc>
          <w:tcPr>
            <w:tcW w:w="222" w:type="dxa"/>
            <w:shd w:val="clear" w:color="auto" w:fill="auto"/>
          </w:tcPr>
          <w:p w14:paraId="6EC28C75" w14:textId="77777777" w:rsidR="00D821EF" w:rsidRDefault="00D821EF" w:rsidP="00D821EF">
            <w:pPr>
              <w:spacing w:before="0" w:after="0"/>
              <w:cnfStyle w:val="000000100000" w:firstRow="0" w:lastRow="0" w:firstColumn="0" w:lastColumn="0" w:oddVBand="0" w:evenVBand="0" w:oddHBand="1" w:evenHBand="0" w:firstRowFirstColumn="0" w:firstRowLastColumn="0" w:lastRowFirstColumn="0" w:lastRowLastColumn="0"/>
            </w:pPr>
          </w:p>
        </w:tc>
      </w:tr>
    </w:tbl>
    <w:p w14:paraId="0A37BDBF" w14:textId="77777777" w:rsidR="00D821EF" w:rsidRPr="002F1197" w:rsidRDefault="00D821EF" w:rsidP="008C2B83"/>
    <w:p w14:paraId="1776F14D" w14:textId="77777777" w:rsidR="00D821EF" w:rsidRDefault="00D821EF" w:rsidP="008C2B83">
      <w:pPr>
        <w:keepNext/>
        <w:framePr w:w="8906" w:hSpace="180" w:wrap="around" w:vAnchor="text" w:hAnchor="text" w:x="1" w:y="1"/>
      </w:pPr>
      <w:r>
        <w:object w:dxaOrig="8566" w:dyaOrig="6825" w14:anchorId="25200858">
          <v:shape id="_x0000_i1075" type="#_x0000_t75" style="width:424.5pt;height:339pt" o:ole="">
            <v:imagedata r:id="rId121" o:title=""/>
          </v:shape>
          <o:OLEObject Type="Embed" ProgID="SigmaPlotGraphicObject.12" ShapeID="_x0000_i1075" DrawAspect="Content" ObjectID="_1559454729" r:id="rId122"/>
        </w:object>
      </w:r>
    </w:p>
    <w:p w14:paraId="4913D131" w14:textId="77777777" w:rsidR="00D821EF" w:rsidRDefault="00D821EF" w:rsidP="00FB0CA1">
      <w:pPr>
        <w:pStyle w:val="Caption"/>
        <w:framePr w:w="8906" w:hSpace="180" w:wrap="around" w:vAnchor="text" w:hAnchor="text" w:x="1" w:y="1"/>
        <w:jc w:val="left"/>
      </w:pPr>
      <w:bookmarkStart w:id="308" w:name="_Toc482633215"/>
      <w:r>
        <w:t xml:space="preserve">Figure </w:t>
      </w:r>
      <w:fldSimple w:instr=" STYLEREF 1 \s ">
        <w:r w:rsidR="00AA6926">
          <w:rPr>
            <w:noProof/>
          </w:rPr>
          <w:t>8</w:t>
        </w:r>
      </w:fldSimple>
      <w:r w:rsidR="00BA082C">
        <w:noBreakHyphen/>
      </w:r>
      <w:fldSimple w:instr=" SEQ Figure \* ARABIC \s 1 ">
        <w:r w:rsidR="00AA6926">
          <w:rPr>
            <w:noProof/>
          </w:rPr>
          <w:t>8</w:t>
        </w:r>
      </w:fldSimple>
      <w:r>
        <w:t xml:space="preserve">. </w:t>
      </w:r>
      <w:r w:rsidRPr="00457921">
        <w:t>Average nanoparticle sizes of GdnHCl at 25 °C at various millimolar concentrations</w:t>
      </w:r>
      <w:bookmarkEnd w:id="308"/>
    </w:p>
    <w:p w14:paraId="184D23D0" w14:textId="77777777" w:rsidR="00D821EF" w:rsidRDefault="00D821EF" w:rsidP="008C2B83"/>
    <w:p w14:paraId="6263A253" w14:textId="77777777" w:rsidR="00D821EF" w:rsidRDefault="00D821EF" w:rsidP="008C2B83">
      <w:pPr>
        <w:keepNext/>
        <w:framePr w:w="9185" w:hSpace="180" w:wrap="around" w:vAnchor="text" w:hAnchor="text" w:x="1" w:y="1"/>
      </w:pPr>
      <w:r>
        <w:object w:dxaOrig="11700" w:dyaOrig="8595" w14:anchorId="58ECD915">
          <v:shape id="_x0000_i1076" type="#_x0000_t75" style="width:459pt;height:337.5pt" o:ole="">
            <v:imagedata r:id="rId123" o:title=""/>
          </v:shape>
          <o:OLEObject Type="Embed" ProgID="SigmaPlotGraphicObject.12" ShapeID="_x0000_i1076" DrawAspect="Content" ObjectID="_1559454730" r:id="rId124"/>
        </w:object>
      </w:r>
    </w:p>
    <w:p w14:paraId="23573A19" w14:textId="77777777" w:rsidR="00D821EF" w:rsidRDefault="00D821EF" w:rsidP="00FB0CA1">
      <w:pPr>
        <w:pStyle w:val="Caption"/>
        <w:framePr w:w="9185" w:hSpace="180" w:wrap="around" w:vAnchor="text" w:hAnchor="text" w:x="1" w:y="1"/>
        <w:jc w:val="left"/>
      </w:pPr>
      <w:bookmarkStart w:id="309" w:name="_Toc482633216"/>
      <w:r>
        <w:t xml:space="preserve">Figure </w:t>
      </w:r>
      <w:fldSimple w:instr=" STYLEREF 1 \s ">
        <w:r w:rsidR="00AA6926">
          <w:rPr>
            <w:noProof/>
          </w:rPr>
          <w:t>8</w:t>
        </w:r>
      </w:fldSimple>
      <w:r w:rsidR="00BA082C">
        <w:noBreakHyphen/>
      </w:r>
      <w:fldSimple w:instr=" SEQ Figure \* ARABIC \s 1 ">
        <w:r w:rsidR="00AA6926">
          <w:rPr>
            <w:noProof/>
          </w:rPr>
          <w:t>9</w:t>
        </w:r>
      </w:fldSimple>
      <w:r>
        <w:t xml:space="preserve">. </w:t>
      </w:r>
      <w:r w:rsidRPr="00C60B1B">
        <w:t xml:space="preserve">Nanoparticle size distributions of </w:t>
      </w:r>
      <w:r>
        <w:t>GdnHCl at 25</w:t>
      </w:r>
      <w:r w:rsidRPr="00C60B1B">
        <w:t xml:space="preserve"> °C of increasing concentrations. Four concentrations are shown as representative of the concentration range: 0.5 mM (upper left panel); 5 mM (upper right panel); 100 mM (lower left panel); 500 mM (lower</w:t>
      </w:r>
      <w:r>
        <w:t xml:space="preserve"> right panel)</w:t>
      </w:r>
      <w:bookmarkEnd w:id="309"/>
    </w:p>
    <w:p w14:paraId="645C92CB" w14:textId="77777777" w:rsidR="00D821EF" w:rsidRDefault="00D821EF" w:rsidP="008C2B83">
      <w:pPr>
        <w:keepNext/>
      </w:pPr>
      <w:r>
        <w:object w:dxaOrig="8100" w:dyaOrig="10801" w14:anchorId="1150CE8D">
          <v:shape id="_x0000_i1077" type="#_x0000_t75" style="width:406.5pt;height:540pt" o:ole="">
            <v:imagedata r:id="rId125" o:title=""/>
          </v:shape>
          <o:OLEObject Type="Embed" ProgID="Acrobat.Document.DC" ShapeID="_x0000_i1077" DrawAspect="Content" ObjectID="_1559454731" r:id="rId126"/>
        </w:object>
      </w:r>
    </w:p>
    <w:p w14:paraId="4E785B0C" w14:textId="77777777" w:rsidR="00D821EF" w:rsidRDefault="00D821EF" w:rsidP="008C2B83">
      <w:pPr>
        <w:pStyle w:val="Caption"/>
        <w:jc w:val="left"/>
      </w:pPr>
      <w:bookmarkStart w:id="310" w:name="_Toc482633217"/>
      <w:r>
        <w:t xml:space="preserve">Figure </w:t>
      </w:r>
      <w:fldSimple w:instr=" STYLEREF 1 \s ">
        <w:r w:rsidR="00AA6926">
          <w:rPr>
            <w:noProof/>
          </w:rPr>
          <w:t>8</w:t>
        </w:r>
      </w:fldSimple>
      <w:r w:rsidR="00BA082C">
        <w:noBreakHyphen/>
      </w:r>
      <w:fldSimple w:instr=" SEQ Figure \* ARABIC \s 1 ">
        <w:r w:rsidR="00AA6926">
          <w:rPr>
            <w:noProof/>
          </w:rPr>
          <w:t>10</w:t>
        </w:r>
      </w:fldSimple>
      <w:r>
        <w:t xml:space="preserve">. </w:t>
      </w:r>
      <w:r w:rsidRPr="00265F68">
        <w:t xml:space="preserve"> NTA images captured from videos of increasing concentrations of GdnHCl, showing the increase in nanoparticle formation. These images are not indicative of absolute size of nanoparticles but purely a representation of the number of particles scattering</w:t>
      </w:r>
      <w:bookmarkEnd w:id="310"/>
    </w:p>
    <w:p w14:paraId="7A49CB60" w14:textId="77777777" w:rsidR="00D821EF" w:rsidRPr="005A1F4E" w:rsidRDefault="00D821EF" w:rsidP="008C2B83"/>
    <w:p w14:paraId="7C0C10EA" w14:textId="77777777" w:rsidR="00D821EF" w:rsidRDefault="00184734" w:rsidP="00184734">
      <w:pPr>
        <w:pStyle w:val="Heading2"/>
        <w:numPr>
          <w:ilvl w:val="0"/>
          <w:numId w:val="0"/>
        </w:numPr>
        <w:ind w:left="576" w:hanging="576"/>
      </w:pPr>
      <w:bookmarkStart w:id="311" w:name="_Toc485712843"/>
      <w:r>
        <w:t xml:space="preserve">Appendix D: </w:t>
      </w:r>
      <w:r w:rsidR="007B2306">
        <w:t>Raw data &amp; data tables for</w:t>
      </w:r>
      <w:r w:rsidR="00D821EF">
        <w:t xml:space="preserve"> Chapter 6</w:t>
      </w:r>
      <w:bookmarkEnd w:id="311"/>
    </w:p>
    <w:p w14:paraId="75F1E8B3" w14:textId="77777777" w:rsidR="00D821EF" w:rsidRPr="00A2227C" w:rsidRDefault="00184734" w:rsidP="00184734">
      <w:pPr>
        <w:pStyle w:val="Heading3"/>
        <w:numPr>
          <w:ilvl w:val="0"/>
          <w:numId w:val="0"/>
        </w:numPr>
        <w:ind w:left="720" w:hanging="720"/>
      </w:pPr>
      <w:bookmarkStart w:id="312" w:name="_Toc485712844"/>
      <w:r>
        <w:t xml:space="preserve">D.1 </w:t>
      </w:r>
      <w:r w:rsidR="00D821EF">
        <w:t>Lysine</w:t>
      </w:r>
      <w:bookmarkEnd w:id="312"/>
    </w:p>
    <w:p w14:paraId="5C79196E"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20</w:t>
        </w:r>
      </w:fldSimple>
      <w:r>
        <w:t xml:space="preserve">. </w:t>
      </w:r>
      <w:r w:rsidR="001620A9">
        <w:t>Data values of 1 g/L BSA 10 mM sodium octanoate pH 7 in presence of various concentrations of lysine n=3</w:t>
      </w:r>
    </w:p>
    <w:tbl>
      <w:tblPr>
        <w:tblStyle w:val="LightShading"/>
        <w:tblW w:w="0" w:type="auto"/>
        <w:tblLook w:val="04A0" w:firstRow="1" w:lastRow="0" w:firstColumn="1" w:lastColumn="0" w:noHBand="0" w:noVBand="1"/>
      </w:tblPr>
      <w:tblGrid>
        <w:gridCol w:w="2018"/>
        <w:gridCol w:w="1764"/>
        <w:gridCol w:w="1593"/>
        <w:gridCol w:w="1678"/>
        <w:gridCol w:w="1667"/>
      </w:tblGrid>
      <w:tr w:rsidR="00D821EF" w14:paraId="70284A18"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2CD17B49" w14:textId="77777777" w:rsidR="00D821EF" w:rsidRPr="007E2B4E" w:rsidRDefault="00D821EF" w:rsidP="00D821EF">
            <w:pPr>
              <w:spacing w:before="0" w:after="0"/>
              <w:rPr>
                <w:sz w:val="18"/>
                <w:szCs w:val="18"/>
              </w:rPr>
            </w:pPr>
            <w:r w:rsidRPr="007E2B4E">
              <w:rPr>
                <w:sz w:val="18"/>
                <w:szCs w:val="18"/>
              </w:rPr>
              <w:t>Concentration (mM)</w:t>
            </w:r>
          </w:p>
        </w:tc>
        <w:tc>
          <w:tcPr>
            <w:tcW w:w="1764" w:type="dxa"/>
            <w:shd w:val="clear" w:color="auto" w:fill="auto"/>
          </w:tcPr>
          <w:p w14:paraId="7B736FB1"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mean (°C)</w:t>
            </w:r>
          </w:p>
        </w:tc>
        <w:tc>
          <w:tcPr>
            <w:tcW w:w="1593" w:type="dxa"/>
            <w:shd w:val="clear" w:color="auto" w:fill="auto"/>
          </w:tcPr>
          <w:p w14:paraId="1690C0C8"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SE</w:t>
            </w:r>
          </w:p>
        </w:tc>
        <w:tc>
          <w:tcPr>
            <w:tcW w:w="1678" w:type="dxa"/>
            <w:shd w:val="clear" w:color="auto" w:fill="auto"/>
          </w:tcPr>
          <w:p w14:paraId="4A40664A"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ΔH (kJ mol</w:t>
            </w:r>
            <w:r w:rsidRPr="007E2B4E">
              <w:rPr>
                <w:sz w:val="18"/>
                <w:szCs w:val="18"/>
                <w:vertAlign w:val="superscript"/>
              </w:rPr>
              <w:t>-1</w:t>
            </w:r>
            <w:r w:rsidRPr="007E2B4E">
              <w:rPr>
                <w:sz w:val="18"/>
                <w:szCs w:val="18"/>
              </w:rPr>
              <w:t>) mean</w:t>
            </w:r>
          </w:p>
        </w:tc>
        <w:tc>
          <w:tcPr>
            <w:tcW w:w="1667" w:type="dxa"/>
            <w:shd w:val="clear" w:color="auto" w:fill="auto"/>
          </w:tcPr>
          <w:p w14:paraId="23A0F01D"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ΔS (kJ mol</w:t>
            </w:r>
            <w:r w:rsidRPr="007E2B4E">
              <w:rPr>
                <w:sz w:val="18"/>
                <w:szCs w:val="18"/>
                <w:vertAlign w:val="superscript"/>
              </w:rPr>
              <w:t>-1</w:t>
            </w:r>
            <w:r w:rsidRPr="007E2B4E">
              <w:rPr>
                <w:sz w:val="18"/>
                <w:szCs w:val="18"/>
              </w:rPr>
              <w:t xml:space="preserve"> K</w:t>
            </w:r>
            <w:r w:rsidRPr="007E2B4E">
              <w:rPr>
                <w:sz w:val="18"/>
                <w:szCs w:val="18"/>
                <w:vertAlign w:val="superscript"/>
              </w:rPr>
              <w:t>-1</w:t>
            </w:r>
            <w:r w:rsidRPr="007E2B4E">
              <w:rPr>
                <w:sz w:val="18"/>
                <w:szCs w:val="18"/>
              </w:rPr>
              <w:t>) mean</w:t>
            </w:r>
          </w:p>
        </w:tc>
      </w:tr>
      <w:tr w:rsidR="00D821EF" w14:paraId="5294002F"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54AF7873" w14:textId="77777777" w:rsidR="00D821EF" w:rsidRPr="007E2B4E" w:rsidRDefault="00D821EF" w:rsidP="00D821EF">
            <w:pPr>
              <w:spacing w:before="0" w:after="0"/>
              <w:rPr>
                <w:sz w:val="18"/>
                <w:szCs w:val="18"/>
              </w:rPr>
            </w:pPr>
            <w:r w:rsidRPr="007E2B4E">
              <w:rPr>
                <w:sz w:val="18"/>
                <w:szCs w:val="18"/>
              </w:rPr>
              <w:t>0.5</w:t>
            </w:r>
          </w:p>
        </w:tc>
        <w:tc>
          <w:tcPr>
            <w:tcW w:w="1764" w:type="dxa"/>
            <w:shd w:val="clear" w:color="auto" w:fill="auto"/>
          </w:tcPr>
          <w:p w14:paraId="6AACA5D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0.11</w:t>
            </w:r>
          </w:p>
        </w:tc>
        <w:tc>
          <w:tcPr>
            <w:tcW w:w="1593" w:type="dxa"/>
            <w:shd w:val="clear" w:color="auto" w:fill="auto"/>
          </w:tcPr>
          <w:p w14:paraId="7C62658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0.08</w:t>
            </w:r>
          </w:p>
        </w:tc>
        <w:tc>
          <w:tcPr>
            <w:tcW w:w="1678" w:type="dxa"/>
            <w:shd w:val="clear" w:color="auto" w:fill="auto"/>
          </w:tcPr>
          <w:p w14:paraId="65DD7F4C"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1116.20</w:t>
            </w:r>
          </w:p>
        </w:tc>
        <w:tc>
          <w:tcPr>
            <w:tcW w:w="1667" w:type="dxa"/>
            <w:shd w:val="clear" w:color="auto" w:fill="auto"/>
          </w:tcPr>
          <w:p w14:paraId="7D697AA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3.13</w:t>
            </w:r>
          </w:p>
        </w:tc>
      </w:tr>
      <w:tr w:rsidR="00D821EF" w14:paraId="6FB91B3F"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12D7F3E7" w14:textId="77777777" w:rsidR="00D821EF" w:rsidRPr="007E2B4E" w:rsidRDefault="00D821EF" w:rsidP="00D821EF">
            <w:pPr>
              <w:spacing w:before="0" w:after="0"/>
              <w:rPr>
                <w:sz w:val="18"/>
                <w:szCs w:val="18"/>
              </w:rPr>
            </w:pPr>
            <w:r w:rsidRPr="007E2B4E">
              <w:rPr>
                <w:sz w:val="18"/>
                <w:szCs w:val="18"/>
              </w:rPr>
              <w:t>1</w:t>
            </w:r>
          </w:p>
        </w:tc>
        <w:tc>
          <w:tcPr>
            <w:tcW w:w="1764" w:type="dxa"/>
            <w:shd w:val="clear" w:color="auto" w:fill="auto"/>
          </w:tcPr>
          <w:p w14:paraId="01B49CD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0.26</w:t>
            </w:r>
          </w:p>
        </w:tc>
        <w:tc>
          <w:tcPr>
            <w:tcW w:w="1593" w:type="dxa"/>
            <w:shd w:val="clear" w:color="auto" w:fill="auto"/>
          </w:tcPr>
          <w:p w14:paraId="08F0C4B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0.15</w:t>
            </w:r>
          </w:p>
        </w:tc>
        <w:tc>
          <w:tcPr>
            <w:tcW w:w="1678" w:type="dxa"/>
            <w:shd w:val="clear" w:color="auto" w:fill="auto"/>
          </w:tcPr>
          <w:p w14:paraId="17B82CBB"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1145.79</w:t>
            </w:r>
          </w:p>
        </w:tc>
        <w:tc>
          <w:tcPr>
            <w:tcW w:w="1667" w:type="dxa"/>
            <w:shd w:val="clear" w:color="auto" w:fill="auto"/>
          </w:tcPr>
          <w:p w14:paraId="0F98B08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3.21</w:t>
            </w:r>
          </w:p>
        </w:tc>
      </w:tr>
      <w:tr w:rsidR="00D821EF" w14:paraId="17E9737A"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2B572D2C"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4A6CB4C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0.68</w:t>
            </w:r>
          </w:p>
        </w:tc>
        <w:tc>
          <w:tcPr>
            <w:tcW w:w="1593" w:type="dxa"/>
            <w:shd w:val="clear" w:color="auto" w:fill="auto"/>
          </w:tcPr>
          <w:p w14:paraId="4760B85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0.09</w:t>
            </w:r>
          </w:p>
        </w:tc>
        <w:tc>
          <w:tcPr>
            <w:tcW w:w="1678" w:type="dxa"/>
            <w:shd w:val="clear" w:color="auto" w:fill="auto"/>
          </w:tcPr>
          <w:p w14:paraId="648CF7AF"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1139.80</w:t>
            </w:r>
          </w:p>
        </w:tc>
        <w:tc>
          <w:tcPr>
            <w:tcW w:w="1667" w:type="dxa"/>
            <w:shd w:val="clear" w:color="auto" w:fill="auto"/>
          </w:tcPr>
          <w:p w14:paraId="0F06EE1C"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3.19</w:t>
            </w:r>
          </w:p>
        </w:tc>
      </w:tr>
      <w:tr w:rsidR="00D821EF" w14:paraId="56AB46AB"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71FFD7D9" w14:textId="77777777" w:rsidR="00D821EF" w:rsidRPr="007E2B4E" w:rsidRDefault="00D821EF" w:rsidP="00D821EF">
            <w:pPr>
              <w:spacing w:before="0" w:after="0"/>
              <w:rPr>
                <w:sz w:val="18"/>
                <w:szCs w:val="18"/>
              </w:rPr>
            </w:pPr>
            <w:r w:rsidRPr="007E2B4E">
              <w:rPr>
                <w:sz w:val="18"/>
                <w:szCs w:val="18"/>
              </w:rPr>
              <w:t>5</w:t>
            </w:r>
          </w:p>
        </w:tc>
        <w:tc>
          <w:tcPr>
            <w:tcW w:w="1764" w:type="dxa"/>
            <w:shd w:val="clear" w:color="auto" w:fill="auto"/>
          </w:tcPr>
          <w:p w14:paraId="7F08997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1.11</w:t>
            </w:r>
          </w:p>
        </w:tc>
        <w:tc>
          <w:tcPr>
            <w:tcW w:w="1593" w:type="dxa"/>
            <w:shd w:val="clear" w:color="auto" w:fill="auto"/>
          </w:tcPr>
          <w:p w14:paraId="07F35667"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0.14</w:t>
            </w:r>
          </w:p>
        </w:tc>
        <w:tc>
          <w:tcPr>
            <w:tcW w:w="1678" w:type="dxa"/>
            <w:shd w:val="clear" w:color="auto" w:fill="auto"/>
          </w:tcPr>
          <w:p w14:paraId="1D46528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1096.37</w:t>
            </w:r>
          </w:p>
        </w:tc>
        <w:tc>
          <w:tcPr>
            <w:tcW w:w="1667" w:type="dxa"/>
            <w:shd w:val="clear" w:color="auto" w:fill="auto"/>
          </w:tcPr>
          <w:p w14:paraId="2DD81BB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3.07</w:t>
            </w:r>
          </w:p>
        </w:tc>
      </w:tr>
      <w:tr w:rsidR="00D821EF" w14:paraId="5DFF9342"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03C2E125" w14:textId="77777777" w:rsidR="00D821EF" w:rsidRPr="007E2B4E" w:rsidRDefault="00D821EF" w:rsidP="00D821EF">
            <w:pPr>
              <w:spacing w:before="0" w:after="0"/>
              <w:rPr>
                <w:sz w:val="18"/>
                <w:szCs w:val="18"/>
              </w:rPr>
            </w:pPr>
            <w:r w:rsidRPr="007E2B4E">
              <w:rPr>
                <w:sz w:val="18"/>
                <w:szCs w:val="18"/>
              </w:rPr>
              <w:t>10</w:t>
            </w:r>
          </w:p>
        </w:tc>
        <w:tc>
          <w:tcPr>
            <w:tcW w:w="1764" w:type="dxa"/>
            <w:shd w:val="clear" w:color="auto" w:fill="auto"/>
          </w:tcPr>
          <w:p w14:paraId="664405C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1.33</w:t>
            </w:r>
          </w:p>
        </w:tc>
        <w:tc>
          <w:tcPr>
            <w:tcW w:w="1593" w:type="dxa"/>
            <w:shd w:val="clear" w:color="auto" w:fill="auto"/>
          </w:tcPr>
          <w:p w14:paraId="5A9FA6F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0.17</w:t>
            </w:r>
          </w:p>
        </w:tc>
        <w:tc>
          <w:tcPr>
            <w:tcW w:w="1678" w:type="dxa"/>
            <w:shd w:val="clear" w:color="auto" w:fill="auto"/>
          </w:tcPr>
          <w:p w14:paraId="39D570F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1111.22</w:t>
            </w:r>
          </w:p>
        </w:tc>
        <w:tc>
          <w:tcPr>
            <w:tcW w:w="1667" w:type="dxa"/>
            <w:shd w:val="clear" w:color="auto" w:fill="auto"/>
          </w:tcPr>
          <w:p w14:paraId="4C5B19F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3.11</w:t>
            </w:r>
          </w:p>
        </w:tc>
      </w:tr>
      <w:tr w:rsidR="00D821EF" w14:paraId="1F60A22E"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30C14137"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00EFA69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1.65</w:t>
            </w:r>
          </w:p>
        </w:tc>
        <w:tc>
          <w:tcPr>
            <w:tcW w:w="1593" w:type="dxa"/>
            <w:shd w:val="clear" w:color="auto" w:fill="auto"/>
          </w:tcPr>
          <w:p w14:paraId="04D6868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0.27</w:t>
            </w:r>
          </w:p>
        </w:tc>
        <w:tc>
          <w:tcPr>
            <w:tcW w:w="1678" w:type="dxa"/>
            <w:shd w:val="clear" w:color="auto" w:fill="auto"/>
          </w:tcPr>
          <w:p w14:paraId="34F3F88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1136.70</w:t>
            </w:r>
          </w:p>
        </w:tc>
        <w:tc>
          <w:tcPr>
            <w:tcW w:w="1667" w:type="dxa"/>
            <w:shd w:val="clear" w:color="auto" w:fill="auto"/>
          </w:tcPr>
          <w:p w14:paraId="0E9258A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3.17</w:t>
            </w:r>
          </w:p>
        </w:tc>
      </w:tr>
      <w:tr w:rsidR="00D821EF" w14:paraId="79F334C3"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593A78D1" w14:textId="77777777" w:rsidR="00D821EF" w:rsidRPr="007E2B4E" w:rsidRDefault="00D821EF" w:rsidP="00D821EF">
            <w:pPr>
              <w:spacing w:before="0" w:after="0"/>
              <w:rPr>
                <w:sz w:val="18"/>
                <w:szCs w:val="18"/>
              </w:rPr>
            </w:pPr>
            <w:r w:rsidRPr="007E2B4E">
              <w:rPr>
                <w:sz w:val="18"/>
                <w:szCs w:val="18"/>
              </w:rPr>
              <w:t>50</w:t>
            </w:r>
          </w:p>
        </w:tc>
        <w:tc>
          <w:tcPr>
            <w:tcW w:w="1764" w:type="dxa"/>
            <w:shd w:val="clear" w:color="auto" w:fill="auto"/>
          </w:tcPr>
          <w:p w14:paraId="3339D1A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2.80</w:t>
            </w:r>
          </w:p>
        </w:tc>
        <w:tc>
          <w:tcPr>
            <w:tcW w:w="1593" w:type="dxa"/>
            <w:shd w:val="clear" w:color="auto" w:fill="auto"/>
          </w:tcPr>
          <w:p w14:paraId="4C2D3FEC"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0.15</w:t>
            </w:r>
          </w:p>
        </w:tc>
        <w:tc>
          <w:tcPr>
            <w:tcW w:w="1678" w:type="dxa"/>
            <w:shd w:val="clear" w:color="auto" w:fill="auto"/>
          </w:tcPr>
          <w:p w14:paraId="7EFA206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1162.46</w:t>
            </w:r>
          </w:p>
        </w:tc>
        <w:tc>
          <w:tcPr>
            <w:tcW w:w="1667" w:type="dxa"/>
            <w:shd w:val="clear" w:color="auto" w:fill="auto"/>
          </w:tcPr>
          <w:p w14:paraId="5CBA80FC"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3.24</w:t>
            </w:r>
          </w:p>
        </w:tc>
      </w:tr>
      <w:tr w:rsidR="00D821EF" w14:paraId="11DD3247"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023C084B" w14:textId="77777777" w:rsidR="00D821EF" w:rsidRPr="007E2B4E" w:rsidRDefault="00D821EF" w:rsidP="00D821EF">
            <w:pPr>
              <w:spacing w:before="0" w:after="0"/>
              <w:rPr>
                <w:sz w:val="18"/>
                <w:szCs w:val="18"/>
              </w:rPr>
            </w:pPr>
            <w:r w:rsidRPr="007E2B4E">
              <w:rPr>
                <w:sz w:val="18"/>
                <w:szCs w:val="18"/>
              </w:rPr>
              <w:t>75</w:t>
            </w:r>
          </w:p>
        </w:tc>
        <w:tc>
          <w:tcPr>
            <w:tcW w:w="1764" w:type="dxa"/>
            <w:shd w:val="clear" w:color="auto" w:fill="auto"/>
          </w:tcPr>
          <w:p w14:paraId="5416C4A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2.48</w:t>
            </w:r>
          </w:p>
        </w:tc>
        <w:tc>
          <w:tcPr>
            <w:tcW w:w="1593" w:type="dxa"/>
            <w:shd w:val="clear" w:color="auto" w:fill="auto"/>
          </w:tcPr>
          <w:p w14:paraId="0882A58B"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0.37</w:t>
            </w:r>
          </w:p>
        </w:tc>
        <w:tc>
          <w:tcPr>
            <w:tcW w:w="1678" w:type="dxa"/>
            <w:shd w:val="clear" w:color="auto" w:fill="auto"/>
          </w:tcPr>
          <w:p w14:paraId="1715877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1087.80</w:t>
            </w:r>
          </w:p>
        </w:tc>
        <w:tc>
          <w:tcPr>
            <w:tcW w:w="1667" w:type="dxa"/>
            <w:shd w:val="clear" w:color="auto" w:fill="auto"/>
          </w:tcPr>
          <w:p w14:paraId="2FF9812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3.03</w:t>
            </w:r>
          </w:p>
        </w:tc>
      </w:tr>
      <w:tr w:rsidR="00D821EF" w14:paraId="24383014"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DDE9798" w14:textId="77777777" w:rsidR="00D821EF" w:rsidRPr="007E2B4E" w:rsidRDefault="00D821EF" w:rsidP="00D821EF">
            <w:pPr>
              <w:spacing w:before="0" w:after="0"/>
              <w:rPr>
                <w:sz w:val="18"/>
                <w:szCs w:val="18"/>
              </w:rPr>
            </w:pPr>
            <w:r w:rsidRPr="007E2B4E">
              <w:rPr>
                <w:sz w:val="18"/>
                <w:szCs w:val="18"/>
              </w:rPr>
              <w:t>100</w:t>
            </w:r>
          </w:p>
        </w:tc>
        <w:tc>
          <w:tcPr>
            <w:tcW w:w="1764" w:type="dxa"/>
            <w:shd w:val="clear" w:color="auto" w:fill="auto"/>
          </w:tcPr>
          <w:p w14:paraId="0F6A9F3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2.44</w:t>
            </w:r>
          </w:p>
        </w:tc>
        <w:tc>
          <w:tcPr>
            <w:tcW w:w="1593" w:type="dxa"/>
            <w:shd w:val="clear" w:color="auto" w:fill="auto"/>
          </w:tcPr>
          <w:p w14:paraId="086A407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0.15</w:t>
            </w:r>
          </w:p>
        </w:tc>
        <w:tc>
          <w:tcPr>
            <w:tcW w:w="1678" w:type="dxa"/>
            <w:shd w:val="clear" w:color="auto" w:fill="auto"/>
          </w:tcPr>
          <w:p w14:paraId="6F38065F"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1133.73</w:t>
            </w:r>
          </w:p>
        </w:tc>
        <w:tc>
          <w:tcPr>
            <w:tcW w:w="1667" w:type="dxa"/>
            <w:shd w:val="clear" w:color="auto" w:fill="auto"/>
          </w:tcPr>
          <w:p w14:paraId="53594EF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3.16</w:t>
            </w:r>
          </w:p>
        </w:tc>
      </w:tr>
      <w:tr w:rsidR="00D821EF" w14:paraId="712419E4"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1A9945E3" w14:textId="77777777" w:rsidR="00D821EF" w:rsidRPr="007E2B4E" w:rsidRDefault="00D821EF" w:rsidP="00D821EF">
            <w:pPr>
              <w:spacing w:before="0" w:after="0"/>
              <w:rPr>
                <w:sz w:val="18"/>
                <w:szCs w:val="18"/>
              </w:rPr>
            </w:pPr>
            <w:r w:rsidRPr="007E2B4E">
              <w:rPr>
                <w:sz w:val="18"/>
                <w:szCs w:val="18"/>
              </w:rPr>
              <w:t>250</w:t>
            </w:r>
          </w:p>
        </w:tc>
        <w:tc>
          <w:tcPr>
            <w:tcW w:w="1764" w:type="dxa"/>
            <w:shd w:val="clear" w:color="auto" w:fill="auto"/>
          </w:tcPr>
          <w:p w14:paraId="051AC80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2.20</w:t>
            </w:r>
          </w:p>
        </w:tc>
        <w:tc>
          <w:tcPr>
            <w:tcW w:w="1593" w:type="dxa"/>
            <w:shd w:val="clear" w:color="auto" w:fill="auto"/>
          </w:tcPr>
          <w:p w14:paraId="6F7918C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0.26</w:t>
            </w:r>
          </w:p>
        </w:tc>
        <w:tc>
          <w:tcPr>
            <w:tcW w:w="1678" w:type="dxa"/>
            <w:shd w:val="clear" w:color="auto" w:fill="auto"/>
          </w:tcPr>
          <w:p w14:paraId="13B8486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1108.61</w:t>
            </w:r>
          </w:p>
        </w:tc>
        <w:tc>
          <w:tcPr>
            <w:tcW w:w="1667" w:type="dxa"/>
            <w:shd w:val="clear" w:color="auto" w:fill="auto"/>
          </w:tcPr>
          <w:p w14:paraId="1FBEADF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3.09</w:t>
            </w:r>
          </w:p>
        </w:tc>
      </w:tr>
      <w:tr w:rsidR="00D821EF" w14:paraId="72BCD0E6"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11023F22" w14:textId="77777777" w:rsidR="00D821EF" w:rsidRPr="007E2B4E" w:rsidRDefault="00D821EF" w:rsidP="00D821EF">
            <w:pPr>
              <w:spacing w:before="0" w:after="0"/>
              <w:rPr>
                <w:sz w:val="18"/>
                <w:szCs w:val="18"/>
              </w:rPr>
            </w:pPr>
            <w:r w:rsidRPr="007E2B4E">
              <w:rPr>
                <w:sz w:val="18"/>
                <w:szCs w:val="18"/>
              </w:rPr>
              <w:t>500</w:t>
            </w:r>
          </w:p>
        </w:tc>
        <w:tc>
          <w:tcPr>
            <w:tcW w:w="1764" w:type="dxa"/>
            <w:shd w:val="clear" w:color="auto" w:fill="auto"/>
          </w:tcPr>
          <w:p w14:paraId="1E3CC635"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1.85</w:t>
            </w:r>
          </w:p>
        </w:tc>
        <w:tc>
          <w:tcPr>
            <w:tcW w:w="1593" w:type="dxa"/>
            <w:shd w:val="clear" w:color="auto" w:fill="auto"/>
          </w:tcPr>
          <w:p w14:paraId="1C8CA457"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0.15</w:t>
            </w:r>
          </w:p>
        </w:tc>
        <w:tc>
          <w:tcPr>
            <w:tcW w:w="1678" w:type="dxa"/>
            <w:shd w:val="clear" w:color="auto" w:fill="auto"/>
          </w:tcPr>
          <w:p w14:paraId="5A89633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1162.44</w:t>
            </w:r>
          </w:p>
        </w:tc>
        <w:tc>
          <w:tcPr>
            <w:tcW w:w="1667" w:type="dxa"/>
            <w:shd w:val="clear" w:color="auto" w:fill="auto"/>
          </w:tcPr>
          <w:p w14:paraId="63B0050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3.24</w:t>
            </w:r>
          </w:p>
        </w:tc>
      </w:tr>
    </w:tbl>
    <w:p w14:paraId="50A70A14" w14:textId="77777777" w:rsidR="00D821EF" w:rsidRDefault="00D821EF" w:rsidP="008C2B83">
      <w:pPr>
        <w:pStyle w:val="Caption"/>
        <w:keepNext/>
      </w:pPr>
    </w:p>
    <w:p w14:paraId="333A8B4A"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21</w:t>
        </w:r>
      </w:fldSimple>
      <w:r>
        <w:t xml:space="preserve">. </w:t>
      </w:r>
      <w:r w:rsidR="001620A9">
        <w:t>Data values of 1 g/L lysozyme pH 7 in presence of various concentrations of lysine n=3</w:t>
      </w:r>
    </w:p>
    <w:tbl>
      <w:tblPr>
        <w:tblStyle w:val="LightShading"/>
        <w:tblW w:w="0" w:type="auto"/>
        <w:tblLook w:val="04A0" w:firstRow="1" w:lastRow="0" w:firstColumn="1" w:lastColumn="0" w:noHBand="0" w:noVBand="1"/>
      </w:tblPr>
      <w:tblGrid>
        <w:gridCol w:w="2018"/>
        <w:gridCol w:w="1764"/>
        <w:gridCol w:w="1593"/>
        <w:gridCol w:w="1678"/>
        <w:gridCol w:w="1667"/>
      </w:tblGrid>
      <w:tr w:rsidR="00D821EF" w14:paraId="03181F40"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7FE708B" w14:textId="77777777" w:rsidR="00D821EF" w:rsidRPr="007E2B4E" w:rsidRDefault="00D821EF" w:rsidP="00D821EF">
            <w:pPr>
              <w:spacing w:before="0" w:after="0"/>
              <w:rPr>
                <w:sz w:val="18"/>
                <w:szCs w:val="18"/>
              </w:rPr>
            </w:pPr>
            <w:r w:rsidRPr="007E2B4E">
              <w:rPr>
                <w:sz w:val="18"/>
                <w:szCs w:val="18"/>
              </w:rPr>
              <w:t>Concentration (mM)</w:t>
            </w:r>
          </w:p>
        </w:tc>
        <w:tc>
          <w:tcPr>
            <w:tcW w:w="1764" w:type="dxa"/>
            <w:shd w:val="clear" w:color="auto" w:fill="auto"/>
          </w:tcPr>
          <w:p w14:paraId="27307C75"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mean (°C)</w:t>
            </w:r>
          </w:p>
        </w:tc>
        <w:tc>
          <w:tcPr>
            <w:tcW w:w="1593" w:type="dxa"/>
            <w:shd w:val="clear" w:color="auto" w:fill="auto"/>
          </w:tcPr>
          <w:p w14:paraId="0A2366EE"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SE</w:t>
            </w:r>
          </w:p>
        </w:tc>
        <w:tc>
          <w:tcPr>
            <w:tcW w:w="1678" w:type="dxa"/>
            <w:shd w:val="clear" w:color="auto" w:fill="auto"/>
          </w:tcPr>
          <w:p w14:paraId="0B306473"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ΔH (kJ mol</w:t>
            </w:r>
            <w:r w:rsidRPr="007E2B4E">
              <w:rPr>
                <w:sz w:val="18"/>
                <w:szCs w:val="18"/>
                <w:vertAlign w:val="superscript"/>
              </w:rPr>
              <w:t>-1</w:t>
            </w:r>
            <w:r w:rsidRPr="007E2B4E">
              <w:rPr>
                <w:sz w:val="18"/>
                <w:szCs w:val="18"/>
              </w:rPr>
              <w:t>) mean</w:t>
            </w:r>
          </w:p>
        </w:tc>
        <w:tc>
          <w:tcPr>
            <w:tcW w:w="1667" w:type="dxa"/>
            <w:shd w:val="clear" w:color="auto" w:fill="auto"/>
          </w:tcPr>
          <w:p w14:paraId="5A8A34CA"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ΔS (kJ mol</w:t>
            </w:r>
            <w:r w:rsidRPr="007E2B4E">
              <w:rPr>
                <w:sz w:val="18"/>
                <w:szCs w:val="18"/>
                <w:vertAlign w:val="superscript"/>
              </w:rPr>
              <w:t>-1</w:t>
            </w:r>
            <w:r w:rsidRPr="007E2B4E">
              <w:rPr>
                <w:sz w:val="18"/>
                <w:szCs w:val="18"/>
              </w:rPr>
              <w:t xml:space="preserve"> K</w:t>
            </w:r>
            <w:r w:rsidRPr="007E2B4E">
              <w:rPr>
                <w:sz w:val="18"/>
                <w:szCs w:val="18"/>
                <w:vertAlign w:val="superscript"/>
              </w:rPr>
              <w:t>-1</w:t>
            </w:r>
            <w:r w:rsidRPr="007E2B4E">
              <w:rPr>
                <w:sz w:val="18"/>
                <w:szCs w:val="18"/>
              </w:rPr>
              <w:t>) mean</w:t>
            </w:r>
          </w:p>
        </w:tc>
      </w:tr>
      <w:tr w:rsidR="00D821EF" w14:paraId="593B90D4"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4F738303" w14:textId="77777777" w:rsidR="00D821EF" w:rsidRPr="007E2B4E" w:rsidRDefault="00D821EF" w:rsidP="00D821EF">
            <w:pPr>
              <w:spacing w:before="0" w:after="0"/>
              <w:rPr>
                <w:sz w:val="18"/>
                <w:szCs w:val="18"/>
              </w:rPr>
            </w:pPr>
            <w:r w:rsidRPr="007E2B4E">
              <w:rPr>
                <w:sz w:val="18"/>
                <w:szCs w:val="18"/>
              </w:rPr>
              <w:t>0.5</w:t>
            </w:r>
          </w:p>
        </w:tc>
        <w:tc>
          <w:tcPr>
            <w:tcW w:w="1764" w:type="dxa"/>
            <w:shd w:val="clear" w:color="auto" w:fill="auto"/>
          </w:tcPr>
          <w:p w14:paraId="1D75DCB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0.26</w:t>
            </w:r>
          </w:p>
        </w:tc>
        <w:tc>
          <w:tcPr>
            <w:tcW w:w="1593" w:type="dxa"/>
            <w:shd w:val="clear" w:color="auto" w:fill="auto"/>
          </w:tcPr>
          <w:p w14:paraId="4DA2168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0.10</w:t>
            </w:r>
          </w:p>
        </w:tc>
        <w:tc>
          <w:tcPr>
            <w:tcW w:w="1678" w:type="dxa"/>
            <w:shd w:val="clear" w:color="auto" w:fill="auto"/>
          </w:tcPr>
          <w:p w14:paraId="5E47FB8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350.48</w:t>
            </w:r>
          </w:p>
        </w:tc>
        <w:tc>
          <w:tcPr>
            <w:tcW w:w="1667" w:type="dxa"/>
            <w:shd w:val="clear" w:color="auto" w:fill="auto"/>
          </w:tcPr>
          <w:p w14:paraId="0A89883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1.01</w:t>
            </w:r>
          </w:p>
        </w:tc>
      </w:tr>
      <w:tr w:rsidR="00D821EF" w14:paraId="1DFD86D1"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5D2FEF9A" w14:textId="77777777" w:rsidR="00D821EF" w:rsidRPr="007E2B4E" w:rsidRDefault="00D821EF" w:rsidP="00D821EF">
            <w:pPr>
              <w:spacing w:before="0" w:after="0"/>
              <w:rPr>
                <w:sz w:val="18"/>
                <w:szCs w:val="18"/>
              </w:rPr>
            </w:pPr>
            <w:r w:rsidRPr="007E2B4E">
              <w:rPr>
                <w:sz w:val="18"/>
                <w:szCs w:val="18"/>
              </w:rPr>
              <w:t>1</w:t>
            </w:r>
          </w:p>
        </w:tc>
        <w:tc>
          <w:tcPr>
            <w:tcW w:w="1764" w:type="dxa"/>
            <w:shd w:val="clear" w:color="auto" w:fill="auto"/>
          </w:tcPr>
          <w:p w14:paraId="1307D7F1"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0.13</w:t>
            </w:r>
          </w:p>
        </w:tc>
        <w:tc>
          <w:tcPr>
            <w:tcW w:w="1593" w:type="dxa"/>
            <w:shd w:val="clear" w:color="auto" w:fill="auto"/>
          </w:tcPr>
          <w:p w14:paraId="2EF3E8BB"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0.10</w:t>
            </w:r>
          </w:p>
        </w:tc>
        <w:tc>
          <w:tcPr>
            <w:tcW w:w="1678" w:type="dxa"/>
            <w:shd w:val="clear" w:color="auto" w:fill="auto"/>
          </w:tcPr>
          <w:p w14:paraId="5E341FE7"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348.87</w:t>
            </w:r>
          </w:p>
        </w:tc>
        <w:tc>
          <w:tcPr>
            <w:tcW w:w="1667" w:type="dxa"/>
            <w:shd w:val="clear" w:color="auto" w:fill="auto"/>
          </w:tcPr>
          <w:p w14:paraId="10B8D62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1.01</w:t>
            </w:r>
          </w:p>
        </w:tc>
      </w:tr>
      <w:tr w:rsidR="00D821EF" w14:paraId="7E22972C"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2229CD2E"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38B11B9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0.16</w:t>
            </w:r>
          </w:p>
        </w:tc>
        <w:tc>
          <w:tcPr>
            <w:tcW w:w="1593" w:type="dxa"/>
            <w:shd w:val="clear" w:color="auto" w:fill="auto"/>
          </w:tcPr>
          <w:p w14:paraId="7D7CBE2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0.11</w:t>
            </w:r>
          </w:p>
        </w:tc>
        <w:tc>
          <w:tcPr>
            <w:tcW w:w="1678" w:type="dxa"/>
            <w:shd w:val="clear" w:color="auto" w:fill="auto"/>
          </w:tcPr>
          <w:p w14:paraId="3596FA5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336.75</w:t>
            </w:r>
          </w:p>
        </w:tc>
        <w:tc>
          <w:tcPr>
            <w:tcW w:w="1667" w:type="dxa"/>
            <w:shd w:val="clear" w:color="auto" w:fill="auto"/>
          </w:tcPr>
          <w:p w14:paraId="7C0F9DB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0.97</w:t>
            </w:r>
          </w:p>
        </w:tc>
      </w:tr>
      <w:tr w:rsidR="00D821EF" w14:paraId="15629890"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100E7297" w14:textId="77777777" w:rsidR="00D821EF" w:rsidRPr="007E2B4E" w:rsidRDefault="00D821EF" w:rsidP="00D821EF">
            <w:pPr>
              <w:spacing w:before="0" w:after="0"/>
              <w:rPr>
                <w:sz w:val="18"/>
                <w:szCs w:val="18"/>
              </w:rPr>
            </w:pPr>
            <w:r w:rsidRPr="007E2B4E">
              <w:rPr>
                <w:sz w:val="18"/>
                <w:szCs w:val="18"/>
              </w:rPr>
              <w:t>5</w:t>
            </w:r>
          </w:p>
        </w:tc>
        <w:tc>
          <w:tcPr>
            <w:tcW w:w="1764" w:type="dxa"/>
            <w:shd w:val="clear" w:color="auto" w:fill="auto"/>
          </w:tcPr>
          <w:p w14:paraId="154ECB3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-0.01</w:t>
            </w:r>
          </w:p>
        </w:tc>
        <w:tc>
          <w:tcPr>
            <w:tcW w:w="1593" w:type="dxa"/>
            <w:shd w:val="clear" w:color="auto" w:fill="auto"/>
          </w:tcPr>
          <w:p w14:paraId="0AD6FE4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0.11</w:t>
            </w:r>
          </w:p>
        </w:tc>
        <w:tc>
          <w:tcPr>
            <w:tcW w:w="1678" w:type="dxa"/>
            <w:shd w:val="clear" w:color="auto" w:fill="auto"/>
          </w:tcPr>
          <w:p w14:paraId="74E6E3C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342.18</w:t>
            </w:r>
          </w:p>
        </w:tc>
        <w:tc>
          <w:tcPr>
            <w:tcW w:w="1667" w:type="dxa"/>
            <w:shd w:val="clear" w:color="auto" w:fill="auto"/>
          </w:tcPr>
          <w:p w14:paraId="58BE3E2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0.99</w:t>
            </w:r>
          </w:p>
        </w:tc>
      </w:tr>
      <w:tr w:rsidR="00D821EF" w14:paraId="253A62F0"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0283899C" w14:textId="77777777" w:rsidR="00D821EF" w:rsidRPr="007E2B4E" w:rsidRDefault="00D821EF" w:rsidP="00D821EF">
            <w:pPr>
              <w:spacing w:before="0" w:after="0"/>
              <w:rPr>
                <w:sz w:val="18"/>
                <w:szCs w:val="18"/>
              </w:rPr>
            </w:pPr>
            <w:r w:rsidRPr="007E2B4E">
              <w:rPr>
                <w:sz w:val="18"/>
                <w:szCs w:val="18"/>
              </w:rPr>
              <w:t>10</w:t>
            </w:r>
          </w:p>
        </w:tc>
        <w:tc>
          <w:tcPr>
            <w:tcW w:w="1764" w:type="dxa"/>
            <w:shd w:val="clear" w:color="auto" w:fill="auto"/>
          </w:tcPr>
          <w:p w14:paraId="0B42C91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0.11</w:t>
            </w:r>
          </w:p>
        </w:tc>
        <w:tc>
          <w:tcPr>
            <w:tcW w:w="1593" w:type="dxa"/>
            <w:shd w:val="clear" w:color="auto" w:fill="auto"/>
          </w:tcPr>
          <w:p w14:paraId="1C2A342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0.08</w:t>
            </w:r>
          </w:p>
        </w:tc>
        <w:tc>
          <w:tcPr>
            <w:tcW w:w="1678" w:type="dxa"/>
            <w:shd w:val="clear" w:color="auto" w:fill="auto"/>
          </w:tcPr>
          <w:p w14:paraId="1A1FAC1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340.47</w:t>
            </w:r>
          </w:p>
        </w:tc>
        <w:tc>
          <w:tcPr>
            <w:tcW w:w="1667" w:type="dxa"/>
            <w:shd w:val="clear" w:color="auto" w:fill="auto"/>
          </w:tcPr>
          <w:p w14:paraId="4C1A3A4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0.98</w:t>
            </w:r>
          </w:p>
        </w:tc>
      </w:tr>
      <w:tr w:rsidR="00D821EF" w14:paraId="74C21462"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4BF268B4"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2DA7A13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-0.04</w:t>
            </w:r>
          </w:p>
        </w:tc>
        <w:tc>
          <w:tcPr>
            <w:tcW w:w="1593" w:type="dxa"/>
            <w:shd w:val="clear" w:color="auto" w:fill="auto"/>
          </w:tcPr>
          <w:p w14:paraId="12E0EDC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0.09</w:t>
            </w:r>
          </w:p>
        </w:tc>
        <w:tc>
          <w:tcPr>
            <w:tcW w:w="1678" w:type="dxa"/>
            <w:shd w:val="clear" w:color="auto" w:fill="auto"/>
          </w:tcPr>
          <w:p w14:paraId="5A0E147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345.34</w:t>
            </w:r>
          </w:p>
        </w:tc>
        <w:tc>
          <w:tcPr>
            <w:tcW w:w="1667" w:type="dxa"/>
            <w:shd w:val="clear" w:color="auto" w:fill="auto"/>
          </w:tcPr>
          <w:p w14:paraId="69336BF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w:t>
            </w:r>
          </w:p>
        </w:tc>
      </w:tr>
      <w:tr w:rsidR="00D821EF" w14:paraId="309D4A0C"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5494E724" w14:textId="77777777" w:rsidR="00D821EF" w:rsidRPr="007E2B4E" w:rsidRDefault="00D821EF" w:rsidP="00D821EF">
            <w:pPr>
              <w:spacing w:before="0" w:after="0"/>
              <w:rPr>
                <w:sz w:val="18"/>
                <w:szCs w:val="18"/>
              </w:rPr>
            </w:pPr>
            <w:r w:rsidRPr="007E2B4E">
              <w:rPr>
                <w:sz w:val="18"/>
                <w:szCs w:val="18"/>
              </w:rPr>
              <w:t>50</w:t>
            </w:r>
          </w:p>
        </w:tc>
        <w:tc>
          <w:tcPr>
            <w:tcW w:w="1764" w:type="dxa"/>
            <w:shd w:val="clear" w:color="auto" w:fill="auto"/>
          </w:tcPr>
          <w:p w14:paraId="6F742D8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0.12</w:t>
            </w:r>
          </w:p>
        </w:tc>
        <w:tc>
          <w:tcPr>
            <w:tcW w:w="1593" w:type="dxa"/>
            <w:shd w:val="clear" w:color="auto" w:fill="auto"/>
          </w:tcPr>
          <w:p w14:paraId="5702E7D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0.13</w:t>
            </w:r>
          </w:p>
        </w:tc>
        <w:tc>
          <w:tcPr>
            <w:tcW w:w="1678" w:type="dxa"/>
            <w:shd w:val="clear" w:color="auto" w:fill="auto"/>
          </w:tcPr>
          <w:p w14:paraId="2584D04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346.44</w:t>
            </w:r>
          </w:p>
        </w:tc>
        <w:tc>
          <w:tcPr>
            <w:tcW w:w="1667" w:type="dxa"/>
            <w:shd w:val="clear" w:color="auto" w:fill="auto"/>
          </w:tcPr>
          <w:p w14:paraId="73376EA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r>
      <w:tr w:rsidR="00D821EF" w14:paraId="0A5B6307"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1D2E838E" w14:textId="77777777" w:rsidR="00D821EF" w:rsidRPr="007E2B4E" w:rsidRDefault="00D821EF" w:rsidP="00D821EF">
            <w:pPr>
              <w:spacing w:before="0" w:after="0"/>
              <w:rPr>
                <w:sz w:val="18"/>
                <w:szCs w:val="18"/>
              </w:rPr>
            </w:pPr>
            <w:r w:rsidRPr="007E2B4E">
              <w:rPr>
                <w:sz w:val="18"/>
                <w:szCs w:val="18"/>
              </w:rPr>
              <w:t>75</w:t>
            </w:r>
          </w:p>
        </w:tc>
        <w:tc>
          <w:tcPr>
            <w:tcW w:w="1764" w:type="dxa"/>
            <w:shd w:val="clear" w:color="auto" w:fill="auto"/>
          </w:tcPr>
          <w:p w14:paraId="1C79A63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0.01</w:t>
            </w:r>
          </w:p>
        </w:tc>
        <w:tc>
          <w:tcPr>
            <w:tcW w:w="1593" w:type="dxa"/>
            <w:shd w:val="clear" w:color="auto" w:fill="auto"/>
          </w:tcPr>
          <w:p w14:paraId="01EA7EB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0.12</w:t>
            </w:r>
          </w:p>
        </w:tc>
        <w:tc>
          <w:tcPr>
            <w:tcW w:w="1678" w:type="dxa"/>
            <w:shd w:val="clear" w:color="auto" w:fill="auto"/>
          </w:tcPr>
          <w:p w14:paraId="1C0B5007"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340.90</w:t>
            </w:r>
          </w:p>
        </w:tc>
        <w:tc>
          <w:tcPr>
            <w:tcW w:w="1667" w:type="dxa"/>
            <w:shd w:val="clear" w:color="auto" w:fill="auto"/>
          </w:tcPr>
          <w:p w14:paraId="7909DC7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0.98</w:t>
            </w:r>
          </w:p>
        </w:tc>
      </w:tr>
      <w:tr w:rsidR="00D821EF" w14:paraId="21C1A6AD"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EF2B405" w14:textId="77777777" w:rsidR="00D821EF" w:rsidRPr="007E2B4E" w:rsidRDefault="00D821EF" w:rsidP="00D821EF">
            <w:pPr>
              <w:spacing w:before="0" w:after="0"/>
              <w:rPr>
                <w:sz w:val="18"/>
                <w:szCs w:val="18"/>
              </w:rPr>
            </w:pPr>
            <w:r w:rsidRPr="007E2B4E">
              <w:rPr>
                <w:sz w:val="18"/>
                <w:szCs w:val="18"/>
              </w:rPr>
              <w:t>100</w:t>
            </w:r>
          </w:p>
        </w:tc>
        <w:tc>
          <w:tcPr>
            <w:tcW w:w="1764" w:type="dxa"/>
            <w:shd w:val="clear" w:color="auto" w:fill="auto"/>
          </w:tcPr>
          <w:p w14:paraId="6FF111A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0.09</w:t>
            </w:r>
          </w:p>
        </w:tc>
        <w:tc>
          <w:tcPr>
            <w:tcW w:w="1593" w:type="dxa"/>
            <w:shd w:val="clear" w:color="auto" w:fill="auto"/>
          </w:tcPr>
          <w:p w14:paraId="0E3F655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0.06</w:t>
            </w:r>
          </w:p>
        </w:tc>
        <w:tc>
          <w:tcPr>
            <w:tcW w:w="1678" w:type="dxa"/>
            <w:shd w:val="clear" w:color="auto" w:fill="auto"/>
          </w:tcPr>
          <w:p w14:paraId="311EEE6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346.49</w:t>
            </w:r>
          </w:p>
        </w:tc>
        <w:tc>
          <w:tcPr>
            <w:tcW w:w="1667" w:type="dxa"/>
            <w:shd w:val="clear" w:color="auto" w:fill="auto"/>
          </w:tcPr>
          <w:p w14:paraId="0AACC9A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1.01</w:t>
            </w:r>
          </w:p>
        </w:tc>
      </w:tr>
      <w:tr w:rsidR="00D821EF" w14:paraId="7DA42021"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1D23F080" w14:textId="77777777" w:rsidR="00D821EF" w:rsidRPr="007E2B4E" w:rsidRDefault="00D821EF" w:rsidP="00D821EF">
            <w:pPr>
              <w:spacing w:before="0" w:after="0"/>
              <w:rPr>
                <w:sz w:val="18"/>
                <w:szCs w:val="18"/>
              </w:rPr>
            </w:pPr>
            <w:r w:rsidRPr="007E2B4E">
              <w:rPr>
                <w:sz w:val="18"/>
                <w:szCs w:val="18"/>
              </w:rPr>
              <w:t>250</w:t>
            </w:r>
          </w:p>
        </w:tc>
        <w:tc>
          <w:tcPr>
            <w:tcW w:w="1764" w:type="dxa"/>
            <w:shd w:val="clear" w:color="auto" w:fill="auto"/>
          </w:tcPr>
          <w:p w14:paraId="06CE141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0.34</w:t>
            </w:r>
          </w:p>
        </w:tc>
        <w:tc>
          <w:tcPr>
            <w:tcW w:w="1593" w:type="dxa"/>
            <w:shd w:val="clear" w:color="auto" w:fill="auto"/>
          </w:tcPr>
          <w:p w14:paraId="2AE4F1D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0.13</w:t>
            </w:r>
          </w:p>
        </w:tc>
        <w:tc>
          <w:tcPr>
            <w:tcW w:w="1678" w:type="dxa"/>
            <w:shd w:val="clear" w:color="auto" w:fill="auto"/>
          </w:tcPr>
          <w:p w14:paraId="2C1FD11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332.73</w:t>
            </w:r>
          </w:p>
        </w:tc>
        <w:tc>
          <w:tcPr>
            <w:tcW w:w="1667" w:type="dxa"/>
            <w:shd w:val="clear" w:color="auto" w:fill="auto"/>
          </w:tcPr>
          <w:p w14:paraId="5BA5AB2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0.96</w:t>
            </w:r>
          </w:p>
        </w:tc>
      </w:tr>
      <w:tr w:rsidR="00D821EF" w14:paraId="7B886348"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1C7182D5" w14:textId="77777777" w:rsidR="00D821EF" w:rsidRPr="007E2B4E" w:rsidRDefault="00D821EF" w:rsidP="00D821EF">
            <w:pPr>
              <w:spacing w:before="0" w:after="0"/>
              <w:rPr>
                <w:sz w:val="18"/>
                <w:szCs w:val="18"/>
              </w:rPr>
            </w:pPr>
            <w:r w:rsidRPr="007E2B4E">
              <w:rPr>
                <w:sz w:val="18"/>
                <w:szCs w:val="18"/>
              </w:rPr>
              <w:t>500</w:t>
            </w:r>
          </w:p>
        </w:tc>
        <w:tc>
          <w:tcPr>
            <w:tcW w:w="1764" w:type="dxa"/>
            <w:shd w:val="clear" w:color="auto" w:fill="auto"/>
          </w:tcPr>
          <w:p w14:paraId="49B4EE2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0.99</w:t>
            </w:r>
          </w:p>
        </w:tc>
        <w:tc>
          <w:tcPr>
            <w:tcW w:w="1593" w:type="dxa"/>
            <w:shd w:val="clear" w:color="auto" w:fill="auto"/>
          </w:tcPr>
          <w:p w14:paraId="3D20768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0.10</w:t>
            </w:r>
          </w:p>
        </w:tc>
        <w:tc>
          <w:tcPr>
            <w:tcW w:w="1678" w:type="dxa"/>
            <w:shd w:val="clear" w:color="auto" w:fill="auto"/>
          </w:tcPr>
          <w:p w14:paraId="216EF8C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342.78</w:t>
            </w:r>
          </w:p>
        </w:tc>
        <w:tc>
          <w:tcPr>
            <w:tcW w:w="1667" w:type="dxa"/>
            <w:shd w:val="clear" w:color="auto" w:fill="auto"/>
          </w:tcPr>
          <w:p w14:paraId="394A8977"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0.99</w:t>
            </w:r>
          </w:p>
        </w:tc>
      </w:tr>
    </w:tbl>
    <w:p w14:paraId="3A55C52E" w14:textId="77777777" w:rsidR="00D821EF" w:rsidRDefault="00D821EF" w:rsidP="008C2B83"/>
    <w:p w14:paraId="077A51A7" w14:textId="77777777" w:rsidR="00D821EF" w:rsidRDefault="00D821EF" w:rsidP="008C2B83"/>
    <w:p w14:paraId="7A9B2245" w14:textId="77777777" w:rsidR="00D821EF" w:rsidRDefault="00D821EF" w:rsidP="008C2B83"/>
    <w:p w14:paraId="2C7EB085" w14:textId="77777777" w:rsidR="00D821EF" w:rsidRDefault="00D821EF" w:rsidP="008C2B83"/>
    <w:p w14:paraId="1346B71C"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22</w:t>
        </w:r>
      </w:fldSimple>
      <w:r>
        <w:t xml:space="preserve">. </w:t>
      </w:r>
      <w:r w:rsidR="00BB68F0">
        <w:t>Data values</w:t>
      </w:r>
      <w:r>
        <w:t xml:space="preserve"> of 0.5 g/L myoglobin pH 8 </w:t>
      </w:r>
      <w:r w:rsidR="00BB68F0">
        <w:t>in presence of various concentrations of</w:t>
      </w:r>
      <w:r>
        <w:t xml:space="preserve"> lysine</w:t>
      </w:r>
    </w:p>
    <w:tbl>
      <w:tblPr>
        <w:tblStyle w:val="LightShading"/>
        <w:tblW w:w="5000" w:type="pct"/>
        <w:tblLook w:val="04A0" w:firstRow="1" w:lastRow="0" w:firstColumn="1" w:lastColumn="0" w:noHBand="0" w:noVBand="1"/>
      </w:tblPr>
      <w:tblGrid>
        <w:gridCol w:w="2469"/>
        <w:gridCol w:w="2159"/>
        <w:gridCol w:w="2053"/>
        <w:gridCol w:w="2039"/>
      </w:tblGrid>
      <w:tr w:rsidR="00D821EF" w14:paraId="02AA296D"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1AEB6A04" w14:textId="77777777" w:rsidR="00D821EF" w:rsidRPr="007E2B4E" w:rsidRDefault="00D821EF" w:rsidP="00D821EF">
            <w:pPr>
              <w:spacing w:before="0" w:after="0"/>
              <w:rPr>
                <w:sz w:val="18"/>
                <w:szCs w:val="18"/>
              </w:rPr>
            </w:pPr>
            <w:r w:rsidRPr="007E2B4E">
              <w:rPr>
                <w:sz w:val="18"/>
                <w:szCs w:val="18"/>
              </w:rPr>
              <w:t>Concentration (mM)</w:t>
            </w:r>
          </w:p>
        </w:tc>
        <w:tc>
          <w:tcPr>
            <w:tcW w:w="1238" w:type="pct"/>
            <w:shd w:val="clear" w:color="auto" w:fill="auto"/>
          </w:tcPr>
          <w:p w14:paraId="544EE1CF"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(°C)</w:t>
            </w:r>
          </w:p>
        </w:tc>
        <w:tc>
          <w:tcPr>
            <w:tcW w:w="1177" w:type="pct"/>
            <w:shd w:val="clear" w:color="auto" w:fill="auto"/>
          </w:tcPr>
          <w:p w14:paraId="7139B18A"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ΔH (kJ mol</w:t>
            </w:r>
            <w:r w:rsidRPr="007E2B4E">
              <w:rPr>
                <w:sz w:val="18"/>
                <w:szCs w:val="18"/>
                <w:vertAlign w:val="superscript"/>
              </w:rPr>
              <w:t>-1</w:t>
            </w:r>
            <w:r>
              <w:rPr>
                <w:sz w:val="18"/>
                <w:szCs w:val="18"/>
              </w:rPr>
              <w:t>)</w:t>
            </w:r>
          </w:p>
        </w:tc>
        <w:tc>
          <w:tcPr>
            <w:tcW w:w="1169" w:type="pct"/>
            <w:shd w:val="clear" w:color="auto" w:fill="auto"/>
          </w:tcPr>
          <w:p w14:paraId="4D5CF830"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ΔS (kJ mol</w:t>
            </w:r>
            <w:r w:rsidRPr="007E2B4E">
              <w:rPr>
                <w:sz w:val="18"/>
                <w:szCs w:val="18"/>
                <w:vertAlign w:val="superscript"/>
              </w:rPr>
              <w:t>-1</w:t>
            </w:r>
            <w:r w:rsidRPr="007E2B4E">
              <w:rPr>
                <w:sz w:val="18"/>
                <w:szCs w:val="18"/>
              </w:rPr>
              <w:t xml:space="preserve"> K</w:t>
            </w:r>
            <w:r w:rsidRPr="007E2B4E">
              <w:rPr>
                <w:sz w:val="18"/>
                <w:szCs w:val="18"/>
                <w:vertAlign w:val="superscript"/>
              </w:rPr>
              <w:t>-1</w:t>
            </w:r>
            <w:r>
              <w:rPr>
                <w:sz w:val="18"/>
                <w:szCs w:val="18"/>
              </w:rPr>
              <w:t>)</w:t>
            </w:r>
          </w:p>
        </w:tc>
      </w:tr>
      <w:tr w:rsidR="00D821EF" w14:paraId="373B2C7F"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5503E1DC" w14:textId="77777777" w:rsidR="00D821EF" w:rsidRPr="007E2B4E" w:rsidRDefault="00D821EF" w:rsidP="00D821EF">
            <w:pPr>
              <w:spacing w:before="0" w:after="0"/>
              <w:rPr>
                <w:sz w:val="18"/>
                <w:szCs w:val="18"/>
              </w:rPr>
            </w:pPr>
            <w:r w:rsidRPr="007E2B4E">
              <w:rPr>
                <w:sz w:val="18"/>
                <w:szCs w:val="18"/>
              </w:rPr>
              <w:t>0.5</w:t>
            </w:r>
          </w:p>
        </w:tc>
        <w:tc>
          <w:tcPr>
            <w:tcW w:w="1238" w:type="pct"/>
            <w:shd w:val="clear" w:color="auto" w:fill="auto"/>
          </w:tcPr>
          <w:p w14:paraId="10FC95A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-1.98</w:t>
            </w:r>
          </w:p>
        </w:tc>
        <w:tc>
          <w:tcPr>
            <w:tcW w:w="1177" w:type="pct"/>
            <w:shd w:val="clear" w:color="auto" w:fill="auto"/>
          </w:tcPr>
          <w:p w14:paraId="45062B9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1194.36</w:t>
            </w:r>
          </w:p>
        </w:tc>
        <w:tc>
          <w:tcPr>
            <w:tcW w:w="1169" w:type="pct"/>
            <w:shd w:val="clear" w:color="auto" w:fill="auto"/>
          </w:tcPr>
          <w:p w14:paraId="18C4213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3.39</w:t>
            </w:r>
          </w:p>
        </w:tc>
      </w:tr>
      <w:tr w:rsidR="00D821EF" w14:paraId="279573BF"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7426E517" w14:textId="77777777" w:rsidR="00D821EF" w:rsidRPr="007E2B4E" w:rsidRDefault="00D821EF" w:rsidP="00D821EF">
            <w:pPr>
              <w:spacing w:before="0" w:after="0"/>
              <w:rPr>
                <w:sz w:val="18"/>
                <w:szCs w:val="18"/>
              </w:rPr>
            </w:pPr>
            <w:r w:rsidRPr="007E2B4E">
              <w:rPr>
                <w:sz w:val="18"/>
                <w:szCs w:val="18"/>
              </w:rPr>
              <w:t>1</w:t>
            </w:r>
          </w:p>
        </w:tc>
        <w:tc>
          <w:tcPr>
            <w:tcW w:w="1238" w:type="pct"/>
            <w:shd w:val="clear" w:color="auto" w:fill="auto"/>
          </w:tcPr>
          <w:p w14:paraId="132FA53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-1.57</w:t>
            </w:r>
          </w:p>
        </w:tc>
        <w:tc>
          <w:tcPr>
            <w:tcW w:w="1177" w:type="pct"/>
            <w:shd w:val="clear" w:color="auto" w:fill="auto"/>
          </w:tcPr>
          <w:p w14:paraId="25E1B3D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1237.54</w:t>
            </w:r>
          </w:p>
        </w:tc>
        <w:tc>
          <w:tcPr>
            <w:tcW w:w="1169" w:type="pct"/>
            <w:shd w:val="clear" w:color="auto" w:fill="auto"/>
          </w:tcPr>
          <w:p w14:paraId="5EBD849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3.51</w:t>
            </w:r>
          </w:p>
        </w:tc>
      </w:tr>
      <w:tr w:rsidR="00D821EF" w14:paraId="41C3B5D5"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2B8631C4" w14:textId="77777777" w:rsidR="00D821EF" w:rsidRPr="007E2B4E" w:rsidRDefault="00D821EF" w:rsidP="00D821EF">
            <w:pPr>
              <w:spacing w:before="0" w:after="0"/>
              <w:rPr>
                <w:sz w:val="18"/>
                <w:szCs w:val="18"/>
              </w:rPr>
            </w:pPr>
            <w:r w:rsidRPr="007E2B4E">
              <w:rPr>
                <w:sz w:val="18"/>
                <w:szCs w:val="18"/>
              </w:rPr>
              <w:t>2.5</w:t>
            </w:r>
          </w:p>
        </w:tc>
        <w:tc>
          <w:tcPr>
            <w:tcW w:w="1238" w:type="pct"/>
            <w:shd w:val="clear" w:color="auto" w:fill="auto"/>
          </w:tcPr>
          <w:p w14:paraId="562FFBB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-1.54</w:t>
            </w:r>
          </w:p>
        </w:tc>
        <w:tc>
          <w:tcPr>
            <w:tcW w:w="1177" w:type="pct"/>
            <w:shd w:val="clear" w:color="auto" w:fill="auto"/>
          </w:tcPr>
          <w:p w14:paraId="09D7F785"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1250.42</w:t>
            </w:r>
          </w:p>
        </w:tc>
        <w:tc>
          <w:tcPr>
            <w:tcW w:w="1169" w:type="pct"/>
            <w:shd w:val="clear" w:color="auto" w:fill="auto"/>
          </w:tcPr>
          <w:p w14:paraId="3D3F559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3.54</w:t>
            </w:r>
          </w:p>
        </w:tc>
      </w:tr>
      <w:tr w:rsidR="00D821EF" w14:paraId="7416F93D"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0C2391C3" w14:textId="77777777" w:rsidR="00D821EF" w:rsidRPr="007E2B4E" w:rsidRDefault="00D821EF" w:rsidP="00D821EF">
            <w:pPr>
              <w:spacing w:before="0" w:after="0"/>
              <w:rPr>
                <w:sz w:val="18"/>
                <w:szCs w:val="18"/>
              </w:rPr>
            </w:pPr>
            <w:r w:rsidRPr="007E2B4E">
              <w:rPr>
                <w:sz w:val="18"/>
                <w:szCs w:val="18"/>
              </w:rPr>
              <w:t>5</w:t>
            </w:r>
          </w:p>
        </w:tc>
        <w:tc>
          <w:tcPr>
            <w:tcW w:w="1238" w:type="pct"/>
            <w:shd w:val="clear" w:color="auto" w:fill="auto"/>
          </w:tcPr>
          <w:p w14:paraId="4B9B901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-1.95</w:t>
            </w:r>
          </w:p>
        </w:tc>
        <w:tc>
          <w:tcPr>
            <w:tcW w:w="1177" w:type="pct"/>
            <w:shd w:val="clear" w:color="auto" w:fill="auto"/>
          </w:tcPr>
          <w:p w14:paraId="29F3FA0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1200.92</w:t>
            </w:r>
          </w:p>
        </w:tc>
        <w:tc>
          <w:tcPr>
            <w:tcW w:w="1169" w:type="pct"/>
            <w:shd w:val="clear" w:color="auto" w:fill="auto"/>
          </w:tcPr>
          <w:p w14:paraId="0FCAD9E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3.41</w:t>
            </w:r>
          </w:p>
        </w:tc>
      </w:tr>
      <w:tr w:rsidR="00D821EF" w14:paraId="2BC91F3C"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30649671" w14:textId="77777777" w:rsidR="00D821EF" w:rsidRPr="007E2B4E" w:rsidRDefault="00D821EF" w:rsidP="00D821EF">
            <w:pPr>
              <w:spacing w:before="0" w:after="0"/>
              <w:rPr>
                <w:sz w:val="18"/>
                <w:szCs w:val="18"/>
              </w:rPr>
            </w:pPr>
            <w:r w:rsidRPr="007E2B4E">
              <w:rPr>
                <w:sz w:val="18"/>
                <w:szCs w:val="18"/>
              </w:rPr>
              <w:t>10</w:t>
            </w:r>
          </w:p>
        </w:tc>
        <w:tc>
          <w:tcPr>
            <w:tcW w:w="1238" w:type="pct"/>
            <w:shd w:val="clear" w:color="auto" w:fill="auto"/>
          </w:tcPr>
          <w:p w14:paraId="1DEC3B8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-1.75</w:t>
            </w:r>
          </w:p>
        </w:tc>
        <w:tc>
          <w:tcPr>
            <w:tcW w:w="1177" w:type="pct"/>
            <w:shd w:val="clear" w:color="auto" w:fill="auto"/>
          </w:tcPr>
          <w:p w14:paraId="0AB37E2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1229.17</w:t>
            </w:r>
          </w:p>
        </w:tc>
        <w:tc>
          <w:tcPr>
            <w:tcW w:w="1169" w:type="pct"/>
            <w:shd w:val="clear" w:color="auto" w:fill="auto"/>
          </w:tcPr>
          <w:p w14:paraId="22FBAA8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3.48</w:t>
            </w:r>
          </w:p>
        </w:tc>
      </w:tr>
      <w:tr w:rsidR="00D821EF" w14:paraId="658F488B"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5DC00AC0" w14:textId="77777777" w:rsidR="00D821EF" w:rsidRPr="007E2B4E" w:rsidRDefault="00D821EF" w:rsidP="00D821EF">
            <w:pPr>
              <w:spacing w:before="0" w:after="0"/>
              <w:rPr>
                <w:sz w:val="18"/>
                <w:szCs w:val="18"/>
              </w:rPr>
            </w:pPr>
            <w:r w:rsidRPr="007E2B4E">
              <w:rPr>
                <w:sz w:val="18"/>
                <w:szCs w:val="18"/>
              </w:rPr>
              <w:t>25</w:t>
            </w:r>
          </w:p>
        </w:tc>
        <w:tc>
          <w:tcPr>
            <w:tcW w:w="1238" w:type="pct"/>
            <w:shd w:val="clear" w:color="auto" w:fill="auto"/>
          </w:tcPr>
          <w:p w14:paraId="2B694C4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-1.90</w:t>
            </w:r>
          </w:p>
        </w:tc>
        <w:tc>
          <w:tcPr>
            <w:tcW w:w="1177" w:type="pct"/>
            <w:shd w:val="clear" w:color="auto" w:fill="auto"/>
          </w:tcPr>
          <w:p w14:paraId="01A11D0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1271.89</w:t>
            </w:r>
          </w:p>
        </w:tc>
        <w:tc>
          <w:tcPr>
            <w:tcW w:w="1169" w:type="pct"/>
            <w:shd w:val="clear" w:color="auto" w:fill="auto"/>
          </w:tcPr>
          <w:p w14:paraId="1CE3ADC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3.61</w:t>
            </w:r>
          </w:p>
        </w:tc>
      </w:tr>
      <w:tr w:rsidR="00D821EF" w14:paraId="74C2C484"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44DEF53E" w14:textId="77777777" w:rsidR="00D821EF" w:rsidRPr="007E2B4E" w:rsidRDefault="00D821EF" w:rsidP="00D821EF">
            <w:pPr>
              <w:spacing w:before="0" w:after="0"/>
              <w:rPr>
                <w:sz w:val="18"/>
                <w:szCs w:val="18"/>
              </w:rPr>
            </w:pPr>
            <w:r w:rsidRPr="007E2B4E">
              <w:rPr>
                <w:sz w:val="18"/>
                <w:szCs w:val="18"/>
              </w:rPr>
              <w:t>50</w:t>
            </w:r>
          </w:p>
        </w:tc>
        <w:tc>
          <w:tcPr>
            <w:tcW w:w="1238" w:type="pct"/>
            <w:shd w:val="clear" w:color="auto" w:fill="auto"/>
          </w:tcPr>
          <w:p w14:paraId="38732D8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-2.26</w:t>
            </w:r>
          </w:p>
        </w:tc>
        <w:tc>
          <w:tcPr>
            <w:tcW w:w="1177" w:type="pct"/>
            <w:shd w:val="clear" w:color="auto" w:fill="auto"/>
          </w:tcPr>
          <w:p w14:paraId="35A6845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1282.46</w:t>
            </w:r>
          </w:p>
        </w:tc>
        <w:tc>
          <w:tcPr>
            <w:tcW w:w="1169" w:type="pct"/>
            <w:shd w:val="clear" w:color="auto" w:fill="auto"/>
          </w:tcPr>
          <w:p w14:paraId="5030A1F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3.64</w:t>
            </w:r>
          </w:p>
        </w:tc>
      </w:tr>
      <w:tr w:rsidR="00D821EF" w14:paraId="2424FDC5"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6EF9EDD7" w14:textId="77777777" w:rsidR="00D821EF" w:rsidRPr="007E2B4E" w:rsidRDefault="00D821EF" w:rsidP="00D821EF">
            <w:pPr>
              <w:spacing w:before="0" w:after="0"/>
              <w:rPr>
                <w:sz w:val="18"/>
                <w:szCs w:val="18"/>
              </w:rPr>
            </w:pPr>
            <w:r w:rsidRPr="007E2B4E">
              <w:rPr>
                <w:sz w:val="18"/>
                <w:szCs w:val="18"/>
              </w:rPr>
              <w:t>75</w:t>
            </w:r>
          </w:p>
        </w:tc>
        <w:tc>
          <w:tcPr>
            <w:tcW w:w="1238" w:type="pct"/>
            <w:shd w:val="clear" w:color="auto" w:fill="auto"/>
          </w:tcPr>
          <w:p w14:paraId="052654E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-2.62</w:t>
            </w:r>
          </w:p>
        </w:tc>
        <w:tc>
          <w:tcPr>
            <w:tcW w:w="1177" w:type="pct"/>
            <w:shd w:val="clear" w:color="auto" w:fill="auto"/>
          </w:tcPr>
          <w:p w14:paraId="2A940F3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1259.42</w:t>
            </w:r>
          </w:p>
        </w:tc>
        <w:tc>
          <w:tcPr>
            <w:tcW w:w="1169" w:type="pct"/>
            <w:shd w:val="clear" w:color="auto" w:fill="auto"/>
          </w:tcPr>
          <w:p w14:paraId="0D197187"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3.58</w:t>
            </w:r>
          </w:p>
        </w:tc>
      </w:tr>
      <w:tr w:rsidR="00D821EF" w14:paraId="31B05254"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3A282B1C" w14:textId="77777777" w:rsidR="00D821EF" w:rsidRPr="007E2B4E" w:rsidRDefault="00D821EF" w:rsidP="00D821EF">
            <w:pPr>
              <w:spacing w:before="0" w:after="0"/>
              <w:rPr>
                <w:sz w:val="18"/>
                <w:szCs w:val="18"/>
              </w:rPr>
            </w:pPr>
            <w:r w:rsidRPr="007E2B4E">
              <w:rPr>
                <w:sz w:val="18"/>
                <w:szCs w:val="18"/>
              </w:rPr>
              <w:t>100</w:t>
            </w:r>
          </w:p>
        </w:tc>
        <w:tc>
          <w:tcPr>
            <w:tcW w:w="1238" w:type="pct"/>
            <w:shd w:val="clear" w:color="auto" w:fill="auto"/>
          </w:tcPr>
          <w:p w14:paraId="320AA205"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-3.06</w:t>
            </w:r>
          </w:p>
        </w:tc>
        <w:tc>
          <w:tcPr>
            <w:tcW w:w="1177" w:type="pct"/>
            <w:shd w:val="clear" w:color="auto" w:fill="auto"/>
          </w:tcPr>
          <w:p w14:paraId="5CF6734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1249.51</w:t>
            </w:r>
          </w:p>
        </w:tc>
        <w:tc>
          <w:tcPr>
            <w:tcW w:w="1169" w:type="pct"/>
            <w:shd w:val="clear" w:color="auto" w:fill="auto"/>
          </w:tcPr>
          <w:p w14:paraId="75B1665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3.56</w:t>
            </w:r>
          </w:p>
        </w:tc>
      </w:tr>
      <w:tr w:rsidR="00D821EF" w14:paraId="4C8A2192"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54532CDE" w14:textId="77777777" w:rsidR="00D821EF" w:rsidRPr="007E2B4E" w:rsidRDefault="00D821EF" w:rsidP="00D821EF">
            <w:pPr>
              <w:spacing w:before="0" w:after="0"/>
              <w:rPr>
                <w:sz w:val="18"/>
                <w:szCs w:val="18"/>
              </w:rPr>
            </w:pPr>
            <w:r w:rsidRPr="007E2B4E">
              <w:rPr>
                <w:sz w:val="18"/>
                <w:szCs w:val="18"/>
              </w:rPr>
              <w:t>250</w:t>
            </w:r>
          </w:p>
        </w:tc>
        <w:tc>
          <w:tcPr>
            <w:tcW w:w="1238" w:type="pct"/>
            <w:shd w:val="clear" w:color="auto" w:fill="auto"/>
          </w:tcPr>
          <w:p w14:paraId="15ED1E0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-3.49</w:t>
            </w:r>
          </w:p>
        </w:tc>
        <w:tc>
          <w:tcPr>
            <w:tcW w:w="1177" w:type="pct"/>
            <w:shd w:val="clear" w:color="auto" w:fill="auto"/>
          </w:tcPr>
          <w:p w14:paraId="44A51901"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1182.45</w:t>
            </w:r>
          </w:p>
        </w:tc>
        <w:tc>
          <w:tcPr>
            <w:tcW w:w="1169" w:type="pct"/>
            <w:shd w:val="clear" w:color="auto" w:fill="auto"/>
          </w:tcPr>
          <w:p w14:paraId="0CBD12E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3.37</w:t>
            </w:r>
          </w:p>
        </w:tc>
      </w:tr>
      <w:tr w:rsidR="00D821EF" w14:paraId="1805159D"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6A36C417" w14:textId="77777777" w:rsidR="00D821EF" w:rsidRPr="007E2B4E" w:rsidRDefault="00D821EF" w:rsidP="00D821EF">
            <w:pPr>
              <w:spacing w:before="0" w:after="0"/>
              <w:rPr>
                <w:sz w:val="18"/>
                <w:szCs w:val="18"/>
              </w:rPr>
            </w:pPr>
            <w:r w:rsidRPr="007E2B4E">
              <w:rPr>
                <w:sz w:val="18"/>
                <w:szCs w:val="18"/>
              </w:rPr>
              <w:t>500</w:t>
            </w:r>
          </w:p>
        </w:tc>
        <w:tc>
          <w:tcPr>
            <w:tcW w:w="1238" w:type="pct"/>
            <w:shd w:val="clear" w:color="auto" w:fill="auto"/>
          </w:tcPr>
          <w:p w14:paraId="520D8F5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-4.11</w:t>
            </w:r>
          </w:p>
        </w:tc>
        <w:tc>
          <w:tcPr>
            <w:tcW w:w="1177" w:type="pct"/>
            <w:shd w:val="clear" w:color="auto" w:fill="auto"/>
          </w:tcPr>
          <w:p w14:paraId="6D4075B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1506.02</w:t>
            </w:r>
          </w:p>
        </w:tc>
        <w:tc>
          <w:tcPr>
            <w:tcW w:w="1169" w:type="pct"/>
            <w:shd w:val="clear" w:color="auto" w:fill="auto"/>
          </w:tcPr>
          <w:p w14:paraId="5CF0AC0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4.30</w:t>
            </w:r>
          </w:p>
        </w:tc>
      </w:tr>
    </w:tbl>
    <w:p w14:paraId="161AE5EE" w14:textId="77777777" w:rsidR="00D821EF" w:rsidRDefault="00D821EF" w:rsidP="008C2B83">
      <w:pPr>
        <w:pStyle w:val="Caption"/>
        <w:keepNext/>
      </w:pPr>
    </w:p>
    <w:p w14:paraId="20F3904A"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23</w:t>
        </w:r>
      </w:fldSimple>
      <w:r>
        <w:t xml:space="preserve">. </w:t>
      </w:r>
      <w:r w:rsidR="00BB68F0">
        <w:t>Data values of 1 g/L BSA 10 mM sodium octanoate pH 7 in presence of various concentrations of methylamine hydrochloride n=3</w:t>
      </w:r>
    </w:p>
    <w:tbl>
      <w:tblPr>
        <w:tblStyle w:val="LightShading"/>
        <w:tblW w:w="0" w:type="auto"/>
        <w:tblLook w:val="04A0" w:firstRow="1" w:lastRow="0" w:firstColumn="1" w:lastColumn="0" w:noHBand="0" w:noVBand="1"/>
      </w:tblPr>
      <w:tblGrid>
        <w:gridCol w:w="2018"/>
        <w:gridCol w:w="1764"/>
        <w:gridCol w:w="1593"/>
        <w:gridCol w:w="1678"/>
        <w:gridCol w:w="1667"/>
      </w:tblGrid>
      <w:tr w:rsidR="00D821EF" w14:paraId="71E48076"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3AF31C88" w14:textId="77777777" w:rsidR="00D821EF" w:rsidRPr="007E2B4E" w:rsidRDefault="00D821EF" w:rsidP="00D821EF">
            <w:pPr>
              <w:spacing w:before="0" w:after="0"/>
              <w:rPr>
                <w:sz w:val="18"/>
                <w:szCs w:val="18"/>
              </w:rPr>
            </w:pPr>
            <w:r w:rsidRPr="007E2B4E">
              <w:rPr>
                <w:sz w:val="18"/>
                <w:szCs w:val="18"/>
              </w:rPr>
              <w:t>Concentration (mM)</w:t>
            </w:r>
          </w:p>
        </w:tc>
        <w:tc>
          <w:tcPr>
            <w:tcW w:w="1764" w:type="dxa"/>
            <w:shd w:val="clear" w:color="auto" w:fill="auto"/>
          </w:tcPr>
          <w:p w14:paraId="1B9A6959"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mean (°C)</w:t>
            </w:r>
          </w:p>
        </w:tc>
        <w:tc>
          <w:tcPr>
            <w:tcW w:w="1593" w:type="dxa"/>
            <w:shd w:val="clear" w:color="auto" w:fill="auto"/>
          </w:tcPr>
          <w:p w14:paraId="0DC829F1"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SE</w:t>
            </w:r>
          </w:p>
        </w:tc>
        <w:tc>
          <w:tcPr>
            <w:tcW w:w="1678" w:type="dxa"/>
            <w:shd w:val="clear" w:color="auto" w:fill="auto"/>
          </w:tcPr>
          <w:p w14:paraId="52FDB547"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ΔH (kJ mol</w:t>
            </w:r>
            <w:r w:rsidRPr="007E2B4E">
              <w:rPr>
                <w:sz w:val="18"/>
                <w:szCs w:val="18"/>
                <w:vertAlign w:val="superscript"/>
              </w:rPr>
              <w:t>-1</w:t>
            </w:r>
            <w:r w:rsidRPr="007E2B4E">
              <w:rPr>
                <w:sz w:val="18"/>
                <w:szCs w:val="18"/>
              </w:rPr>
              <w:t>) mean</w:t>
            </w:r>
          </w:p>
        </w:tc>
        <w:tc>
          <w:tcPr>
            <w:tcW w:w="1667" w:type="dxa"/>
            <w:shd w:val="clear" w:color="auto" w:fill="auto"/>
          </w:tcPr>
          <w:p w14:paraId="6A203D81"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ΔS (kJ mol</w:t>
            </w:r>
            <w:r w:rsidRPr="007E2B4E">
              <w:rPr>
                <w:sz w:val="18"/>
                <w:szCs w:val="18"/>
                <w:vertAlign w:val="superscript"/>
              </w:rPr>
              <w:t>-1</w:t>
            </w:r>
            <w:r w:rsidRPr="007E2B4E">
              <w:rPr>
                <w:sz w:val="18"/>
                <w:szCs w:val="18"/>
              </w:rPr>
              <w:t xml:space="preserve"> K</w:t>
            </w:r>
            <w:r w:rsidRPr="007E2B4E">
              <w:rPr>
                <w:sz w:val="18"/>
                <w:szCs w:val="18"/>
                <w:vertAlign w:val="superscript"/>
              </w:rPr>
              <w:t>-1</w:t>
            </w:r>
            <w:r w:rsidRPr="007E2B4E">
              <w:rPr>
                <w:sz w:val="18"/>
                <w:szCs w:val="18"/>
              </w:rPr>
              <w:t>) mean</w:t>
            </w:r>
          </w:p>
        </w:tc>
      </w:tr>
      <w:tr w:rsidR="00D821EF" w14:paraId="6C3FDB95"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6211FB5" w14:textId="77777777" w:rsidR="00D821EF" w:rsidRPr="007E2B4E" w:rsidRDefault="00D821EF" w:rsidP="00D821EF">
            <w:pPr>
              <w:spacing w:before="0" w:after="0"/>
              <w:rPr>
                <w:sz w:val="18"/>
                <w:szCs w:val="18"/>
              </w:rPr>
            </w:pPr>
            <w:r w:rsidRPr="007E2B4E">
              <w:rPr>
                <w:sz w:val="18"/>
                <w:szCs w:val="18"/>
              </w:rPr>
              <w:t>0.5</w:t>
            </w:r>
          </w:p>
        </w:tc>
        <w:tc>
          <w:tcPr>
            <w:tcW w:w="1764" w:type="dxa"/>
            <w:shd w:val="clear" w:color="auto" w:fill="auto"/>
          </w:tcPr>
          <w:p w14:paraId="1FCA51E0"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-0.86</w:t>
            </w:r>
          </w:p>
        </w:tc>
        <w:tc>
          <w:tcPr>
            <w:tcW w:w="1593" w:type="dxa"/>
            <w:shd w:val="clear" w:color="auto" w:fill="auto"/>
          </w:tcPr>
          <w:p w14:paraId="2FB3C02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0.11</w:t>
            </w:r>
          </w:p>
        </w:tc>
        <w:tc>
          <w:tcPr>
            <w:tcW w:w="1678" w:type="dxa"/>
            <w:shd w:val="clear" w:color="auto" w:fill="auto"/>
          </w:tcPr>
          <w:p w14:paraId="1DDFD12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1037.16</w:t>
            </w:r>
          </w:p>
        </w:tc>
        <w:tc>
          <w:tcPr>
            <w:tcW w:w="1667" w:type="dxa"/>
            <w:shd w:val="clear" w:color="auto" w:fill="auto"/>
          </w:tcPr>
          <w:p w14:paraId="2E68242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2.92</w:t>
            </w:r>
          </w:p>
        </w:tc>
      </w:tr>
      <w:tr w:rsidR="00D821EF" w14:paraId="0A92D9AB"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8D7E727" w14:textId="77777777" w:rsidR="00D821EF" w:rsidRPr="007E2B4E" w:rsidRDefault="00D821EF" w:rsidP="00D821EF">
            <w:pPr>
              <w:spacing w:before="0" w:after="0"/>
              <w:rPr>
                <w:sz w:val="18"/>
                <w:szCs w:val="18"/>
              </w:rPr>
            </w:pPr>
            <w:r w:rsidRPr="007E2B4E">
              <w:rPr>
                <w:sz w:val="18"/>
                <w:szCs w:val="18"/>
              </w:rPr>
              <w:t>1</w:t>
            </w:r>
          </w:p>
        </w:tc>
        <w:tc>
          <w:tcPr>
            <w:tcW w:w="1764" w:type="dxa"/>
            <w:shd w:val="clear" w:color="auto" w:fill="auto"/>
          </w:tcPr>
          <w:p w14:paraId="3DCB9F1B"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-1.05</w:t>
            </w:r>
          </w:p>
        </w:tc>
        <w:tc>
          <w:tcPr>
            <w:tcW w:w="1593" w:type="dxa"/>
            <w:shd w:val="clear" w:color="auto" w:fill="auto"/>
          </w:tcPr>
          <w:p w14:paraId="47A3A3C7"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0.20</w:t>
            </w:r>
          </w:p>
        </w:tc>
        <w:tc>
          <w:tcPr>
            <w:tcW w:w="1678" w:type="dxa"/>
            <w:shd w:val="clear" w:color="auto" w:fill="auto"/>
          </w:tcPr>
          <w:p w14:paraId="6BCEE261"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1056.81</w:t>
            </w:r>
          </w:p>
        </w:tc>
        <w:tc>
          <w:tcPr>
            <w:tcW w:w="1667" w:type="dxa"/>
            <w:shd w:val="clear" w:color="auto" w:fill="auto"/>
          </w:tcPr>
          <w:p w14:paraId="7ACFA25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2.98</w:t>
            </w:r>
          </w:p>
        </w:tc>
      </w:tr>
      <w:tr w:rsidR="00D821EF" w14:paraId="346395BC"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3EB51950"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4498E1A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-0.18</w:t>
            </w:r>
          </w:p>
        </w:tc>
        <w:tc>
          <w:tcPr>
            <w:tcW w:w="1593" w:type="dxa"/>
            <w:shd w:val="clear" w:color="auto" w:fill="auto"/>
          </w:tcPr>
          <w:p w14:paraId="3815004F"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0.47</w:t>
            </w:r>
          </w:p>
        </w:tc>
        <w:tc>
          <w:tcPr>
            <w:tcW w:w="1678" w:type="dxa"/>
            <w:shd w:val="clear" w:color="auto" w:fill="auto"/>
          </w:tcPr>
          <w:p w14:paraId="18B9A53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963.22</w:t>
            </w:r>
          </w:p>
        </w:tc>
        <w:tc>
          <w:tcPr>
            <w:tcW w:w="1667" w:type="dxa"/>
            <w:shd w:val="clear" w:color="auto" w:fill="auto"/>
          </w:tcPr>
          <w:p w14:paraId="2504635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2.71</w:t>
            </w:r>
          </w:p>
        </w:tc>
      </w:tr>
      <w:tr w:rsidR="00D821EF" w14:paraId="5EFB6F7B"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B742FAD" w14:textId="77777777" w:rsidR="00D821EF" w:rsidRPr="007E2B4E" w:rsidRDefault="00D821EF" w:rsidP="00D821EF">
            <w:pPr>
              <w:spacing w:before="0" w:after="0"/>
              <w:rPr>
                <w:sz w:val="18"/>
                <w:szCs w:val="18"/>
              </w:rPr>
            </w:pPr>
            <w:r w:rsidRPr="007E2B4E">
              <w:rPr>
                <w:sz w:val="18"/>
                <w:szCs w:val="18"/>
              </w:rPr>
              <w:t>5</w:t>
            </w:r>
          </w:p>
        </w:tc>
        <w:tc>
          <w:tcPr>
            <w:tcW w:w="1764" w:type="dxa"/>
            <w:shd w:val="clear" w:color="auto" w:fill="auto"/>
          </w:tcPr>
          <w:p w14:paraId="6355ECA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0.06</w:t>
            </w:r>
          </w:p>
        </w:tc>
        <w:tc>
          <w:tcPr>
            <w:tcW w:w="1593" w:type="dxa"/>
            <w:shd w:val="clear" w:color="auto" w:fill="auto"/>
          </w:tcPr>
          <w:p w14:paraId="726445E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0.42</w:t>
            </w:r>
          </w:p>
        </w:tc>
        <w:tc>
          <w:tcPr>
            <w:tcW w:w="1678" w:type="dxa"/>
            <w:shd w:val="clear" w:color="auto" w:fill="auto"/>
          </w:tcPr>
          <w:p w14:paraId="0BDA0E67"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1079.87</w:t>
            </w:r>
          </w:p>
        </w:tc>
        <w:tc>
          <w:tcPr>
            <w:tcW w:w="1667" w:type="dxa"/>
            <w:shd w:val="clear" w:color="auto" w:fill="auto"/>
          </w:tcPr>
          <w:p w14:paraId="47673F7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3.03</w:t>
            </w:r>
          </w:p>
        </w:tc>
      </w:tr>
      <w:tr w:rsidR="00D821EF" w14:paraId="7CD9F47F"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EF0B00D" w14:textId="77777777" w:rsidR="00D821EF" w:rsidRPr="007E2B4E" w:rsidRDefault="00D821EF" w:rsidP="00D821EF">
            <w:pPr>
              <w:spacing w:before="0" w:after="0"/>
              <w:rPr>
                <w:sz w:val="18"/>
                <w:szCs w:val="18"/>
              </w:rPr>
            </w:pPr>
            <w:r w:rsidRPr="007E2B4E">
              <w:rPr>
                <w:sz w:val="18"/>
                <w:szCs w:val="18"/>
              </w:rPr>
              <w:t>10</w:t>
            </w:r>
          </w:p>
        </w:tc>
        <w:tc>
          <w:tcPr>
            <w:tcW w:w="1764" w:type="dxa"/>
            <w:shd w:val="clear" w:color="auto" w:fill="auto"/>
          </w:tcPr>
          <w:p w14:paraId="229ED1E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0.17</w:t>
            </w:r>
          </w:p>
        </w:tc>
        <w:tc>
          <w:tcPr>
            <w:tcW w:w="1593" w:type="dxa"/>
            <w:shd w:val="clear" w:color="auto" w:fill="auto"/>
          </w:tcPr>
          <w:p w14:paraId="41E7ED20"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0.38</w:t>
            </w:r>
          </w:p>
        </w:tc>
        <w:tc>
          <w:tcPr>
            <w:tcW w:w="1678" w:type="dxa"/>
            <w:shd w:val="clear" w:color="auto" w:fill="auto"/>
          </w:tcPr>
          <w:p w14:paraId="7980CCC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1060.25</w:t>
            </w:r>
          </w:p>
        </w:tc>
        <w:tc>
          <w:tcPr>
            <w:tcW w:w="1667" w:type="dxa"/>
            <w:shd w:val="clear" w:color="auto" w:fill="auto"/>
          </w:tcPr>
          <w:p w14:paraId="5D3CB43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2.98</w:t>
            </w:r>
          </w:p>
        </w:tc>
      </w:tr>
      <w:tr w:rsidR="00D821EF" w14:paraId="417A28CE"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5085A286"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31B8C83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0.50</w:t>
            </w:r>
          </w:p>
        </w:tc>
        <w:tc>
          <w:tcPr>
            <w:tcW w:w="1593" w:type="dxa"/>
            <w:shd w:val="clear" w:color="auto" w:fill="auto"/>
          </w:tcPr>
          <w:p w14:paraId="18E5E88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0.46</w:t>
            </w:r>
          </w:p>
        </w:tc>
        <w:tc>
          <w:tcPr>
            <w:tcW w:w="1678" w:type="dxa"/>
            <w:shd w:val="clear" w:color="auto" w:fill="auto"/>
          </w:tcPr>
          <w:p w14:paraId="471586B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1094.38</w:t>
            </w:r>
          </w:p>
        </w:tc>
        <w:tc>
          <w:tcPr>
            <w:tcW w:w="1667" w:type="dxa"/>
            <w:shd w:val="clear" w:color="auto" w:fill="auto"/>
          </w:tcPr>
          <w:p w14:paraId="1FDECD6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3.07</w:t>
            </w:r>
          </w:p>
        </w:tc>
      </w:tr>
      <w:tr w:rsidR="00D821EF" w14:paraId="2CEE645D"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067C3883" w14:textId="77777777" w:rsidR="00D821EF" w:rsidRPr="007E2B4E" w:rsidRDefault="00D821EF" w:rsidP="00D821EF">
            <w:pPr>
              <w:spacing w:before="0" w:after="0"/>
              <w:rPr>
                <w:sz w:val="18"/>
                <w:szCs w:val="18"/>
              </w:rPr>
            </w:pPr>
            <w:r w:rsidRPr="007E2B4E">
              <w:rPr>
                <w:sz w:val="18"/>
                <w:szCs w:val="18"/>
              </w:rPr>
              <w:t>50</w:t>
            </w:r>
          </w:p>
        </w:tc>
        <w:tc>
          <w:tcPr>
            <w:tcW w:w="1764" w:type="dxa"/>
            <w:shd w:val="clear" w:color="auto" w:fill="auto"/>
          </w:tcPr>
          <w:p w14:paraId="6690AC9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0.99</w:t>
            </w:r>
          </w:p>
        </w:tc>
        <w:tc>
          <w:tcPr>
            <w:tcW w:w="1593" w:type="dxa"/>
            <w:shd w:val="clear" w:color="auto" w:fill="auto"/>
          </w:tcPr>
          <w:p w14:paraId="573AF79F"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0.31</w:t>
            </w:r>
          </w:p>
        </w:tc>
        <w:tc>
          <w:tcPr>
            <w:tcW w:w="1678" w:type="dxa"/>
            <w:shd w:val="clear" w:color="auto" w:fill="auto"/>
          </w:tcPr>
          <w:p w14:paraId="0C3A80E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1067.32</w:t>
            </w:r>
          </w:p>
        </w:tc>
        <w:tc>
          <w:tcPr>
            <w:tcW w:w="1667" w:type="dxa"/>
            <w:shd w:val="clear" w:color="auto" w:fill="auto"/>
          </w:tcPr>
          <w:p w14:paraId="3B6F03B7"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2.99</w:t>
            </w:r>
          </w:p>
        </w:tc>
      </w:tr>
      <w:tr w:rsidR="00D821EF" w14:paraId="402553C6"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508D184E" w14:textId="77777777" w:rsidR="00D821EF" w:rsidRPr="007E2B4E" w:rsidRDefault="00D821EF" w:rsidP="00D821EF">
            <w:pPr>
              <w:spacing w:before="0" w:after="0"/>
              <w:rPr>
                <w:sz w:val="18"/>
                <w:szCs w:val="18"/>
              </w:rPr>
            </w:pPr>
            <w:r w:rsidRPr="007E2B4E">
              <w:rPr>
                <w:sz w:val="18"/>
                <w:szCs w:val="18"/>
              </w:rPr>
              <w:t>75</w:t>
            </w:r>
          </w:p>
        </w:tc>
        <w:tc>
          <w:tcPr>
            <w:tcW w:w="1764" w:type="dxa"/>
            <w:shd w:val="clear" w:color="auto" w:fill="auto"/>
          </w:tcPr>
          <w:p w14:paraId="4FEA3DF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0.12</w:t>
            </w:r>
          </w:p>
        </w:tc>
        <w:tc>
          <w:tcPr>
            <w:tcW w:w="1593" w:type="dxa"/>
            <w:shd w:val="clear" w:color="auto" w:fill="auto"/>
          </w:tcPr>
          <w:p w14:paraId="6858914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0.33</w:t>
            </w:r>
          </w:p>
        </w:tc>
        <w:tc>
          <w:tcPr>
            <w:tcW w:w="1678" w:type="dxa"/>
            <w:shd w:val="clear" w:color="auto" w:fill="auto"/>
          </w:tcPr>
          <w:p w14:paraId="28C9915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1002.08</w:t>
            </w:r>
          </w:p>
        </w:tc>
        <w:tc>
          <w:tcPr>
            <w:tcW w:w="1667" w:type="dxa"/>
            <w:shd w:val="clear" w:color="auto" w:fill="auto"/>
          </w:tcPr>
          <w:p w14:paraId="57D9231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2.82</w:t>
            </w:r>
          </w:p>
        </w:tc>
      </w:tr>
      <w:tr w:rsidR="00D821EF" w14:paraId="6651FE3A"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730BA1E7" w14:textId="77777777" w:rsidR="00D821EF" w:rsidRPr="007E2B4E" w:rsidRDefault="00D821EF" w:rsidP="00D821EF">
            <w:pPr>
              <w:spacing w:before="0" w:after="0"/>
              <w:rPr>
                <w:sz w:val="18"/>
                <w:szCs w:val="18"/>
              </w:rPr>
            </w:pPr>
            <w:r w:rsidRPr="007E2B4E">
              <w:rPr>
                <w:sz w:val="18"/>
                <w:szCs w:val="18"/>
              </w:rPr>
              <w:t>100</w:t>
            </w:r>
          </w:p>
        </w:tc>
        <w:tc>
          <w:tcPr>
            <w:tcW w:w="1764" w:type="dxa"/>
            <w:shd w:val="clear" w:color="auto" w:fill="auto"/>
          </w:tcPr>
          <w:p w14:paraId="204F05F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0.69</w:t>
            </w:r>
          </w:p>
        </w:tc>
        <w:tc>
          <w:tcPr>
            <w:tcW w:w="1593" w:type="dxa"/>
            <w:shd w:val="clear" w:color="auto" w:fill="auto"/>
          </w:tcPr>
          <w:p w14:paraId="12A5AA7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0.26</w:t>
            </w:r>
          </w:p>
        </w:tc>
        <w:tc>
          <w:tcPr>
            <w:tcW w:w="1678" w:type="dxa"/>
            <w:shd w:val="clear" w:color="auto" w:fill="auto"/>
          </w:tcPr>
          <w:p w14:paraId="7889F5E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1083.82</w:t>
            </w:r>
          </w:p>
        </w:tc>
        <w:tc>
          <w:tcPr>
            <w:tcW w:w="1667" w:type="dxa"/>
            <w:shd w:val="clear" w:color="auto" w:fill="auto"/>
          </w:tcPr>
          <w:p w14:paraId="5FAC0BE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3.04</w:t>
            </w:r>
          </w:p>
        </w:tc>
      </w:tr>
      <w:tr w:rsidR="00D821EF" w14:paraId="6AE8A8A6"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7292D853" w14:textId="77777777" w:rsidR="00D821EF" w:rsidRPr="007E2B4E" w:rsidRDefault="00D821EF" w:rsidP="00D821EF">
            <w:pPr>
              <w:spacing w:before="0" w:after="0"/>
              <w:rPr>
                <w:sz w:val="18"/>
                <w:szCs w:val="18"/>
              </w:rPr>
            </w:pPr>
            <w:r w:rsidRPr="007E2B4E">
              <w:rPr>
                <w:sz w:val="18"/>
                <w:szCs w:val="18"/>
              </w:rPr>
              <w:t>250</w:t>
            </w:r>
          </w:p>
        </w:tc>
        <w:tc>
          <w:tcPr>
            <w:tcW w:w="1764" w:type="dxa"/>
            <w:shd w:val="clear" w:color="auto" w:fill="auto"/>
          </w:tcPr>
          <w:p w14:paraId="0681DF8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0.39</w:t>
            </w:r>
          </w:p>
        </w:tc>
        <w:tc>
          <w:tcPr>
            <w:tcW w:w="1593" w:type="dxa"/>
            <w:shd w:val="clear" w:color="auto" w:fill="auto"/>
          </w:tcPr>
          <w:p w14:paraId="3F688C11"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0.29</w:t>
            </w:r>
          </w:p>
        </w:tc>
        <w:tc>
          <w:tcPr>
            <w:tcW w:w="1678" w:type="dxa"/>
            <w:shd w:val="clear" w:color="auto" w:fill="auto"/>
          </w:tcPr>
          <w:p w14:paraId="28D23C1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1010.34</w:t>
            </w:r>
          </w:p>
        </w:tc>
        <w:tc>
          <w:tcPr>
            <w:tcW w:w="1667" w:type="dxa"/>
            <w:shd w:val="clear" w:color="auto" w:fill="auto"/>
          </w:tcPr>
          <w:p w14:paraId="24584F5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2.84</w:t>
            </w:r>
          </w:p>
        </w:tc>
      </w:tr>
      <w:tr w:rsidR="00D821EF" w14:paraId="769FE68E"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7A9AE5A8" w14:textId="77777777" w:rsidR="00D821EF" w:rsidRPr="007E2B4E" w:rsidRDefault="00D821EF" w:rsidP="00D821EF">
            <w:pPr>
              <w:spacing w:before="0" w:after="0"/>
              <w:rPr>
                <w:sz w:val="18"/>
                <w:szCs w:val="18"/>
              </w:rPr>
            </w:pPr>
            <w:r w:rsidRPr="007E2B4E">
              <w:rPr>
                <w:sz w:val="18"/>
                <w:szCs w:val="18"/>
              </w:rPr>
              <w:t>500</w:t>
            </w:r>
          </w:p>
        </w:tc>
        <w:tc>
          <w:tcPr>
            <w:tcW w:w="1764" w:type="dxa"/>
            <w:shd w:val="clear" w:color="auto" w:fill="auto"/>
          </w:tcPr>
          <w:p w14:paraId="236959E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-0.19</w:t>
            </w:r>
          </w:p>
        </w:tc>
        <w:tc>
          <w:tcPr>
            <w:tcW w:w="1593" w:type="dxa"/>
            <w:shd w:val="clear" w:color="auto" w:fill="auto"/>
          </w:tcPr>
          <w:p w14:paraId="1BAA3D0C"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0.36</w:t>
            </w:r>
          </w:p>
        </w:tc>
        <w:tc>
          <w:tcPr>
            <w:tcW w:w="1678" w:type="dxa"/>
            <w:shd w:val="clear" w:color="auto" w:fill="auto"/>
          </w:tcPr>
          <w:p w14:paraId="6CF4B83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1066.38</w:t>
            </w:r>
          </w:p>
        </w:tc>
        <w:tc>
          <w:tcPr>
            <w:tcW w:w="1667" w:type="dxa"/>
            <w:shd w:val="clear" w:color="auto" w:fill="auto"/>
          </w:tcPr>
          <w:p w14:paraId="034B30E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3.00</w:t>
            </w:r>
          </w:p>
        </w:tc>
      </w:tr>
      <w:tr w:rsidR="00D821EF" w14:paraId="790BB592"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F5CD138" w14:textId="77777777" w:rsidR="00D821EF" w:rsidRPr="007E2B4E" w:rsidRDefault="00D821EF" w:rsidP="00D821EF">
            <w:pPr>
              <w:spacing w:before="0" w:after="0"/>
              <w:rPr>
                <w:sz w:val="18"/>
                <w:szCs w:val="18"/>
              </w:rPr>
            </w:pPr>
            <w:r>
              <w:rPr>
                <w:sz w:val="18"/>
                <w:szCs w:val="18"/>
              </w:rPr>
              <w:t>750</w:t>
            </w:r>
          </w:p>
        </w:tc>
        <w:tc>
          <w:tcPr>
            <w:tcW w:w="1764" w:type="dxa"/>
            <w:shd w:val="clear" w:color="auto" w:fill="auto"/>
          </w:tcPr>
          <w:p w14:paraId="56D3370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-1.31</w:t>
            </w:r>
          </w:p>
        </w:tc>
        <w:tc>
          <w:tcPr>
            <w:tcW w:w="1593" w:type="dxa"/>
            <w:shd w:val="clear" w:color="auto" w:fill="auto"/>
          </w:tcPr>
          <w:p w14:paraId="7FF2A76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0.45</w:t>
            </w:r>
          </w:p>
        </w:tc>
        <w:tc>
          <w:tcPr>
            <w:tcW w:w="1678" w:type="dxa"/>
            <w:shd w:val="clear" w:color="auto" w:fill="auto"/>
          </w:tcPr>
          <w:p w14:paraId="1B0C626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949.03</w:t>
            </w:r>
          </w:p>
        </w:tc>
        <w:tc>
          <w:tcPr>
            <w:tcW w:w="1667" w:type="dxa"/>
            <w:shd w:val="clear" w:color="auto" w:fill="auto"/>
          </w:tcPr>
          <w:p w14:paraId="4526B57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2.68</w:t>
            </w:r>
          </w:p>
        </w:tc>
      </w:tr>
      <w:tr w:rsidR="00D821EF" w14:paraId="045330EF"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5141961A" w14:textId="77777777" w:rsidR="00D821EF" w:rsidRPr="007E2B4E" w:rsidRDefault="00D821EF" w:rsidP="00D821EF">
            <w:pPr>
              <w:spacing w:before="0" w:after="0"/>
              <w:rPr>
                <w:sz w:val="18"/>
                <w:szCs w:val="18"/>
              </w:rPr>
            </w:pPr>
            <w:r>
              <w:rPr>
                <w:sz w:val="18"/>
                <w:szCs w:val="18"/>
              </w:rPr>
              <w:t>1000</w:t>
            </w:r>
          </w:p>
        </w:tc>
        <w:tc>
          <w:tcPr>
            <w:tcW w:w="1764" w:type="dxa"/>
            <w:shd w:val="clear" w:color="auto" w:fill="auto"/>
          </w:tcPr>
          <w:p w14:paraId="5C284B3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-1.71</w:t>
            </w:r>
          </w:p>
        </w:tc>
        <w:tc>
          <w:tcPr>
            <w:tcW w:w="1593" w:type="dxa"/>
            <w:shd w:val="clear" w:color="auto" w:fill="auto"/>
          </w:tcPr>
          <w:p w14:paraId="10DA932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0.65</w:t>
            </w:r>
          </w:p>
        </w:tc>
        <w:tc>
          <w:tcPr>
            <w:tcW w:w="1678" w:type="dxa"/>
            <w:shd w:val="clear" w:color="auto" w:fill="auto"/>
          </w:tcPr>
          <w:p w14:paraId="2C4B7FD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1094.78</w:t>
            </w:r>
          </w:p>
        </w:tc>
        <w:tc>
          <w:tcPr>
            <w:tcW w:w="1667" w:type="dxa"/>
            <w:shd w:val="clear" w:color="auto" w:fill="auto"/>
          </w:tcPr>
          <w:p w14:paraId="6774BBB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3.43</w:t>
            </w:r>
          </w:p>
        </w:tc>
      </w:tr>
    </w:tbl>
    <w:p w14:paraId="0688EA30" w14:textId="77777777" w:rsidR="00D821EF" w:rsidRDefault="00D821EF" w:rsidP="008C2B83">
      <w:pPr>
        <w:pStyle w:val="Caption"/>
        <w:keepNext/>
      </w:pPr>
    </w:p>
    <w:p w14:paraId="4D8CF11A"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24</w:t>
        </w:r>
      </w:fldSimple>
      <w:r>
        <w:t xml:space="preserve">. </w:t>
      </w:r>
      <w:r w:rsidR="00BB68F0">
        <w:t>Data values of 1 g/L lysozyme pH 7 in presence of various concentrations of methylamine hydrochloride</w:t>
      </w:r>
    </w:p>
    <w:tbl>
      <w:tblPr>
        <w:tblStyle w:val="LightShading"/>
        <w:tblW w:w="5000" w:type="pct"/>
        <w:tblLook w:val="04A0" w:firstRow="1" w:lastRow="0" w:firstColumn="1" w:lastColumn="0" w:noHBand="0" w:noVBand="1"/>
      </w:tblPr>
      <w:tblGrid>
        <w:gridCol w:w="2469"/>
        <w:gridCol w:w="2159"/>
        <w:gridCol w:w="2053"/>
        <w:gridCol w:w="2039"/>
      </w:tblGrid>
      <w:tr w:rsidR="00D821EF" w14:paraId="75C11EFC"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330A5F18" w14:textId="77777777" w:rsidR="00D821EF" w:rsidRPr="007E2B4E" w:rsidRDefault="00D821EF" w:rsidP="00D821EF">
            <w:pPr>
              <w:spacing w:before="0" w:after="0"/>
              <w:rPr>
                <w:sz w:val="18"/>
                <w:szCs w:val="18"/>
              </w:rPr>
            </w:pPr>
            <w:r w:rsidRPr="007E2B4E">
              <w:rPr>
                <w:sz w:val="18"/>
                <w:szCs w:val="18"/>
              </w:rPr>
              <w:t>Concentration (mM)</w:t>
            </w:r>
          </w:p>
        </w:tc>
        <w:tc>
          <w:tcPr>
            <w:tcW w:w="1238" w:type="pct"/>
            <w:shd w:val="clear" w:color="auto" w:fill="auto"/>
          </w:tcPr>
          <w:p w14:paraId="2FEEDDBB"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Pr>
                <w:sz w:val="18"/>
                <w:szCs w:val="18"/>
              </w:rPr>
              <w:t xml:space="preserve"> </w:t>
            </w:r>
            <w:r w:rsidRPr="007E2B4E">
              <w:rPr>
                <w:sz w:val="18"/>
                <w:szCs w:val="18"/>
              </w:rPr>
              <w:t xml:space="preserve"> (°C)</w:t>
            </w:r>
          </w:p>
        </w:tc>
        <w:tc>
          <w:tcPr>
            <w:tcW w:w="1177" w:type="pct"/>
            <w:shd w:val="clear" w:color="auto" w:fill="auto"/>
          </w:tcPr>
          <w:p w14:paraId="79BD29BE"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ΔH (kJ mol</w:t>
            </w:r>
            <w:r w:rsidRPr="007E2B4E">
              <w:rPr>
                <w:sz w:val="18"/>
                <w:szCs w:val="18"/>
                <w:vertAlign w:val="superscript"/>
              </w:rPr>
              <w:t>-1</w:t>
            </w:r>
            <w:r>
              <w:rPr>
                <w:sz w:val="18"/>
                <w:szCs w:val="18"/>
              </w:rPr>
              <w:t>)</w:t>
            </w:r>
          </w:p>
        </w:tc>
        <w:tc>
          <w:tcPr>
            <w:tcW w:w="1169" w:type="pct"/>
            <w:shd w:val="clear" w:color="auto" w:fill="auto"/>
          </w:tcPr>
          <w:p w14:paraId="68F763EB"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ΔS (kJ mol</w:t>
            </w:r>
            <w:r w:rsidRPr="007E2B4E">
              <w:rPr>
                <w:sz w:val="18"/>
                <w:szCs w:val="18"/>
                <w:vertAlign w:val="superscript"/>
              </w:rPr>
              <w:t>-1</w:t>
            </w:r>
            <w:r w:rsidRPr="007E2B4E">
              <w:rPr>
                <w:sz w:val="18"/>
                <w:szCs w:val="18"/>
              </w:rPr>
              <w:t xml:space="preserve"> K</w:t>
            </w:r>
            <w:r w:rsidRPr="007E2B4E">
              <w:rPr>
                <w:sz w:val="18"/>
                <w:szCs w:val="18"/>
                <w:vertAlign w:val="superscript"/>
              </w:rPr>
              <w:t>-1</w:t>
            </w:r>
            <w:r>
              <w:rPr>
                <w:sz w:val="18"/>
                <w:szCs w:val="18"/>
              </w:rPr>
              <w:t>)</w:t>
            </w:r>
          </w:p>
        </w:tc>
      </w:tr>
      <w:tr w:rsidR="00D821EF" w14:paraId="6DDA0AB3"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0CCEA9FA" w14:textId="77777777" w:rsidR="00D821EF" w:rsidRPr="007E2B4E" w:rsidRDefault="00D821EF" w:rsidP="00D821EF">
            <w:pPr>
              <w:spacing w:before="0" w:after="0"/>
              <w:rPr>
                <w:sz w:val="18"/>
                <w:szCs w:val="18"/>
              </w:rPr>
            </w:pPr>
            <w:r w:rsidRPr="007E2B4E">
              <w:rPr>
                <w:sz w:val="18"/>
                <w:szCs w:val="18"/>
              </w:rPr>
              <w:t>0.5</w:t>
            </w:r>
          </w:p>
        </w:tc>
        <w:tc>
          <w:tcPr>
            <w:tcW w:w="1238" w:type="pct"/>
            <w:shd w:val="clear" w:color="auto" w:fill="auto"/>
          </w:tcPr>
          <w:p w14:paraId="6F5B9C2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0.08</w:t>
            </w:r>
          </w:p>
        </w:tc>
        <w:tc>
          <w:tcPr>
            <w:tcW w:w="1177" w:type="pct"/>
            <w:shd w:val="clear" w:color="auto" w:fill="auto"/>
          </w:tcPr>
          <w:p w14:paraId="2883920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311.83</w:t>
            </w:r>
          </w:p>
        </w:tc>
        <w:tc>
          <w:tcPr>
            <w:tcW w:w="1169" w:type="pct"/>
            <w:shd w:val="clear" w:color="auto" w:fill="auto"/>
          </w:tcPr>
          <w:p w14:paraId="5A8650E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0.90</w:t>
            </w:r>
          </w:p>
        </w:tc>
      </w:tr>
      <w:tr w:rsidR="00D821EF" w14:paraId="14D438F6"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60D966FE" w14:textId="77777777" w:rsidR="00D821EF" w:rsidRPr="007E2B4E" w:rsidRDefault="00D821EF" w:rsidP="00D821EF">
            <w:pPr>
              <w:spacing w:before="0" w:after="0"/>
              <w:rPr>
                <w:sz w:val="18"/>
                <w:szCs w:val="18"/>
              </w:rPr>
            </w:pPr>
            <w:r w:rsidRPr="007E2B4E">
              <w:rPr>
                <w:sz w:val="18"/>
                <w:szCs w:val="18"/>
              </w:rPr>
              <w:t>1</w:t>
            </w:r>
          </w:p>
        </w:tc>
        <w:tc>
          <w:tcPr>
            <w:tcW w:w="1238" w:type="pct"/>
            <w:shd w:val="clear" w:color="auto" w:fill="auto"/>
          </w:tcPr>
          <w:p w14:paraId="0F5102C1"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0.44</w:t>
            </w:r>
          </w:p>
        </w:tc>
        <w:tc>
          <w:tcPr>
            <w:tcW w:w="1177" w:type="pct"/>
            <w:shd w:val="clear" w:color="auto" w:fill="auto"/>
          </w:tcPr>
          <w:p w14:paraId="31E36FD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320.31</w:t>
            </w:r>
          </w:p>
        </w:tc>
        <w:tc>
          <w:tcPr>
            <w:tcW w:w="1169" w:type="pct"/>
            <w:shd w:val="clear" w:color="auto" w:fill="auto"/>
          </w:tcPr>
          <w:p w14:paraId="7D46811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0.92</w:t>
            </w:r>
          </w:p>
        </w:tc>
      </w:tr>
      <w:tr w:rsidR="00D821EF" w14:paraId="372D6CB1"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2C99FFEC" w14:textId="77777777" w:rsidR="00D821EF" w:rsidRPr="007E2B4E" w:rsidRDefault="00D821EF" w:rsidP="00D821EF">
            <w:pPr>
              <w:spacing w:before="0" w:after="0"/>
              <w:rPr>
                <w:sz w:val="18"/>
                <w:szCs w:val="18"/>
              </w:rPr>
            </w:pPr>
            <w:r w:rsidRPr="007E2B4E">
              <w:rPr>
                <w:sz w:val="18"/>
                <w:szCs w:val="18"/>
              </w:rPr>
              <w:t>2.5</w:t>
            </w:r>
          </w:p>
        </w:tc>
        <w:tc>
          <w:tcPr>
            <w:tcW w:w="1238" w:type="pct"/>
            <w:shd w:val="clear" w:color="auto" w:fill="auto"/>
          </w:tcPr>
          <w:p w14:paraId="2AFBD04F"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0.28</w:t>
            </w:r>
          </w:p>
        </w:tc>
        <w:tc>
          <w:tcPr>
            <w:tcW w:w="1177" w:type="pct"/>
            <w:shd w:val="clear" w:color="auto" w:fill="auto"/>
          </w:tcPr>
          <w:p w14:paraId="19733CC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313.45</w:t>
            </w:r>
          </w:p>
        </w:tc>
        <w:tc>
          <w:tcPr>
            <w:tcW w:w="1169" w:type="pct"/>
            <w:shd w:val="clear" w:color="auto" w:fill="auto"/>
          </w:tcPr>
          <w:p w14:paraId="74F00645"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0.90</w:t>
            </w:r>
          </w:p>
        </w:tc>
      </w:tr>
      <w:tr w:rsidR="00D821EF" w14:paraId="3DE01FF1"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64AFA43B" w14:textId="77777777" w:rsidR="00D821EF" w:rsidRPr="007E2B4E" w:rsidRDefault="00D821EF" w:rsidP="00D821EF">
            <w:pPr>
              <w:spacing w:before="0" w:after="0"/>
              <w:rPr>
                <w:sz w:val="18"/>
                <w:szCs w:val="18"/>
              </w:rPr>
            </w:pPr>
            <w:r w:rsidRPr="007E2B4E">
              <w:rPr>
                <w:sz w:val="18"/>
                <w:szCs w:val="18"/>
              </w:rPr>
              <w:t>5</w:t>
            </w:r>
          </w:p>
        </w:tc>
        <w:tc>
          <w:tcPr>
            <w:tcW w:w="1238" w:type="pct"/>
            <w:shd w:val="clear" w:color="auto" w:fill="auto"/>
          </w:tcPr>
          <w:p w14:paraId="413C54C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0.15</w:t>
            </w:r>
          </w:p>
        </w:tc>
        <w:tc>
          <w:tcPr>
            <w:tcW w:w="1177" w:type="pct"/>
            <w:shd w:val="clear" w:color="auto" w:fill="auto"/>
          </w:tcPr>
          <w:p w14:paraId="428D655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312.06</w:t>
            </w:r>
          </w:p>
        </w:tc>
        <w:tc>
          <w:tcPr>
            <w:tcW w:w="1169" w:type="pct"/>
            <w:shd w:val="clear" w:color="auto" w:fill="auto"/>
          </w:tcPr>
          <w:p w14:paraId="45753E3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0.90</w:t>
            </w:r>
          </w:p>
        </w:tc>
      </w:tr>
      <w:tr w:rsidR="00D821EF" w14:paraId="11D9359A"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5A362C3A" w14:textId="77777777" w:rsidR="00D821EF" w:rsidRPr="007E2B4E" w:rsidRDefault="00D821EF" w:rsidP="00D821EF">
            <w:pPr>
              <w:spacing w:before="0" w:after="0"/>
              <w:rPr>
                <w:sz w:val="18"/>
                <w:szCs w:val="18"/>
              </w:rPr>
            </w:pPr>
            <w:r w:rsidRPr="007E2B4E">
              <w:rPr>
                <w:sz w:val="18"/>
                <w:szCs w:val="18"/>
              </w:rPr>
              <w:t>10</w:t>
            </w:r>
          </w:p>
        </w:tc>
        <w:tc>
          <w:tcPr>
            <w:tcW w:w="1238" w:type="pct"/>
            <w:shd w:val="clear" w:color="auto" w:fill="auto"/>
          </w:tcPr>
          <w:p w14:paraId="6B4B987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0.41</w:t>
            </w:r>
          </w:p>
        </w:tc>
        <w:tc>
          <w:tcPr>
            <w:tcW w:w="1177" w:type="pct"/>
            <w:shd w:val="clear" w:color="auto" w:fill="auto"/>
          </w:tcPr>
          <w:p w14:paraId="4E240C0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310.27</w:t>
            </w:r>
          </w:p>
        </w:tc>
        <w:tc>
          <w:tcPr>
            <w:tcW w:w="1169" w:type="pct"/>
            <w:shd w:val="clear" w:color="auto" w:fill="auto"/>
          </w:tcPr>
          <w:p w14:paraId="57EF493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0.89</w:t>
            </w:r>
          </w:p>
        </w:tc>
      </w:tr>
      <w:tr w:rsidR="00D821EF" w14:paraId="054A41A8"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54EA0E44" w14:textId="77777777" w:rsidR="00D821EF" w:rsidRPr="007E2B4E" w:rsidRDefault="00D821EF" w:rsidP="00D821EF">
            <w:pPr>
              <w:spacing w:before="0" w:after="0"/>
              <w:rPr>
                <w:sz w:val="18"/>
                <w:szCs w:val="18"/>
              </w:rPr>
            </w:pPr>
            <w:r w:rsidRPr="007E2B4E">
              <w:rPr>
                <w:sz w:val="18"/>
                <w:szCs w:val="18"/>
              </w:rPr>
              <w:t>25</w:t>
            </w:r>
          </w:p>
        </w:tc>
        <w:tc>
          <w:tcPr>
            <w:tcW w:w="1238" w:type="pct"/>
            <w:shd w:val="clear" w:color="auto" w:fill="auto"/>
          </w:tcPr>
          <w:p w14:paraId="32321ED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0.39</w:t>
            </w:r>
          </w:p>
        </w:tc>
        <w:tc>
          <w:tcPr>
            <w:tcW w:w="1177" w:type="pct"/>
            <w:shd w:val="clear" w:color="auto" w:fill="auto"/>
          </w:tcPr>
          <w:p w14:paraId="47D5292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306.51</w:t>
            </w:r>
          </w:p>
        </w:tc>
        <w:tc>
          <w:tcPr>
            <w:tcW w:w="1169" w:type="pct"/>
            <w:shd w:val="clear" w:color="auto" w:fill="auto"/>
          </w:tcPr>
          <w:p w14:paraId="5798358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0.88</w:t>
            </w:r>
          </w:p>
        </w:tc>
      </w:tr>
      <w:tr w:rsidR="00D821EF" w14:paraId="4000DE7E"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0CC573B2" w14:textId="77777777" w:rsidR="00D821EF" w:rsidRPr="007E2B4E" w:rsidRDefault="00D821EF" w:rsidP="00D821EF">
            <w:pPr>
              <w:spacing w:before="0" w:after="0"/>
              <w:rPr>
                <w:sz w:val="18"/>
                <w:szCs w:val="18"/>
              </w:rPr>
            </w:pPr>
            <w:r w:rsidRPr="007E2B4E">
              <w:rPr>
                <w:sz w:val="18"/>
                <w:szCs w:val="18"/>
              </w:rPr>
              <w:t>50</w:t>
            </w:r>
          </w:p>
        </w:tc>
        <w:tc>
          <w:tcPr>
            <w:tcW w:w="1238" w:type="pct"/>
            <w:shd w:val="clear" w:color="auto" w:fill="auto"/>
          </w:tcPr>
          <w:p w14:paraId="0DF426D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0.23</w:t>
            </w:r>
          </w:p>
        </w:tc>
        <w:tc>
          <w:tcPr>
            <w:tcW w:w="1177" w:type="pct"/>
            <w:shd w:val="clear" w:color="auto" w:fill="auto"/>
          </w:tcPr>
          <w:p w14:paraId="6A82E24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300.25</w:t>
            </w:r>
          </w:p>
        </w:tc>
        <w:tc>
          <w:tcPr>
            <w:tcW w:w="1169" w:type="pct"/>
            <w:shd w:val="clear" w:color="auto" w:fill="auto"/>
          </w:tcPr>
          <w:p w14:paraId="3A2F349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0.87</w:t>
            </w:r>
          </w:p>
        </w:tc>
      </w:tr>
      <w:tr w:rsidR="00D821EF" w14:paraId="283AFEA9"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7C64619C" w14:textId="77777777" w:rsidR="00D821EF" w:rsidRPr="007E2B4E" w:rsidRDefault="00D821EF" w:rsidP="00D821EF">
            <w:pPr>
              <w:spacing w:before="0" w:after="0"/>
              <w:rPr>
                <w:sz w:val="18"/>
                <w:szCs w:val="18"/>
              </w:rPr>
            </w:pPr>
            <w:r w:rsidRPr="007E2B4E">
              <w:rPr>
                <w:sz w:val="18"/>
                <w:szCs w:val="18"/>
              </w:rPr>
              <w:t>75</w:t>
            </w:r>
          </w:p>
        </w:tc>
        <w:tc>
          <w:tcPr>
            <w:tcW w:w="1238" w:type="pct"/>
            <w:shd w:val="clear" w:color="auto" w:fill="auto"/>
          </w:tcPr>
          <w:p w14:paraId="320195B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0.39</w:t>
            </w:r>
          </w:p>
        </w:tc>
        <w:tc>
          <w:tcPr>
            <w:tcW w:w="1177" w:type="pct"/>
            <w:shd w:val="clear" w:color="auto" w:fill="auto"/>
          </w:tcPr>
          <w:p w14:paraId="01D91A4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306.51</w:t>
            </w:r>
          </w:p>
        </w:tc>
        <w:tc>
          <w:tcPr>
            <w:tcW w:w="1169" w:type="pct"/>
            <w:shd w:val="clear" w:color="auto" w:fill="auto"/>
          </w:tcPr>
          <w:p w14:paraId="00D28B6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0.88</w:t>
            </w:r>
          </w:p>
        </w:tc>
      </w:tr>
      <w:tr w:rsidR="00D821EF" w14:paraId="6CB701AD"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7A4856C0" w14:textId="77777777" w:rsidR="00D821EF" w:rsidRPr="007E2B4E" w:rsidRDefault="00D821EF" w:rsidP="00D821EF">
            <w:pPr>
              <w:spacing w:before="0" w:after="0"/>
              <w:rPr>
                <w:sz w:val="18"/>
                <w:szCs w:val="18"/>
              </w:rPr>
            </w:pPr>
            <w:r w:rsidRPr="007E2B4E">
              <w:rPr>
                <w:sz w:val="18"/>
                <w:szCs w:val="18"/>
              </w:rPr>
              <w:t>100</w:t>
            </w:r>
          </w:p>
        </w:tc>
        <w:tc>
          <w:tcPr>
            <w:tcW w:w="1238" w:type="pct"/>
            <w:shd w:val="clear" w:color="auto" w:fill="auto"/>
          </w:tcPr>
          <w:p w14:paraId="44350E1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0.28</w:t>
            </w:r>
          </w:p>
        </w:tc>
        <w:tc>
          <w:tcPr>
            <w:tcW w:w="1177" w:type="pct"/>
            <w:shd w:val="clear" w:color="auto" w:fill="auto"/>
          </w:tcPr>
          <w:p w14:paraId="426AF7E7"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299.32</w:t>
            </w:r>
          </w:p>
        </w:tc>
        <w:tc>
          <w:tcPr>
            <w:tcW w:w="1169" w:type="pct"/>
            <w:shd w:val="clear" w:color="auto" w:fill="auto"/>
          </w:tcPr>
          <w:p w14:paraId="1CB5277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0.86</w:t>
            </w:r>
          </w:p>
        </w:tc>
      </w:tr>
      <w:tr w:rsidR="00D821EF" w14:paraId="16EDA618"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43C82BB4" w14:textId="77777777" w:rsidR="00D821EF" w:rsidRPr="007E2B4E" w:rsidRDefault="00D821EF" w:rsidP="00D821EF">
            <w:pPr>
              <w:spacing w:before="0" w:after="0"/>
              <w:rPr>
                <w:sz w:val="18"/>
                <w:szCs w:val="18"/>
              </w:rPr>
            </w:pPr>
            <w:r w:rsidRPr="007E2B4E">
              <w:rPr>
                <w:sz w:val="18"/>
                <w:szCs w:val="18"/>
              </w:rPr>
              <w:t>250</w:t>
            </w:r>
          </w:p>
        </w:tc>
        <w:tc>
          <w:tcPr>
            <w:tcW w:w="1238" w:type="pct"/>
            <w:shd w:val="clear" w:color="auto" w:fill="auto"/>
          </w:tcPr>
          <w:p w14:paraId="71417AEB"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0.31</w:t>
            </w:r>
          </w:p>
        </w:tc>
        <w:tc>
          <w:tcPr>
            <w:tcW w:w="1177" w:type="pct"/>
            <w:shd w:val="clear" w:color="auto" w:fill="auto"/>
          </w:tcPr>
          <w:p w14:paraId="7815841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301.78</w:t>
            </w:r>
          </w:p>
        </w:tc>
        <w:tc>
          <w:tcPr>
            <w:tcW w:w="1169" w:type="pct"/>
            <w:shd w:val="clear" w:color="auto" w:fill="auto"/>
          </w:tcPr>
          <w:p w14:paraId="6C79C7A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0.87</w:t>
            </w:r>
          </w:p>
        </w:tc>
      </w:tr>
      <w:tr w:rsidR="00D821EF" w14:paraId="0B611EAA"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36099866" w14:textId="77777777" w:rsidR="00D821EF" w:rsidRPr="007E2B4E" w:rsidRDefault="00D821EF" w:rsidP="00D821EF">
            <w:pPr>
              <w:spacing w:before="0" w:after="0"/>
              <w:rPr>
                <w:sz w:val="18"/>
                <w:szCs w:val="18"/>
              </w:rPr>
            </w:pPr>
            <w:r w:rsidRPr="007E2B4E">
              <w:rPr>
                <w:sz w:val="18"/>
                <w:szCs w:val="18"/>
              </w:rPr>
              <w:t>500</w:t>
            </w:r>
          </w:p>
        </w:tc>
        <w:tc>
          <w:tcPr>
            <w:tcW w:w="1238" w:type="pct"/>
            <w:shd w:val="clear" w:color="auto" w:fill="auto"/>
          </w:tcPr>
          <w:p w14:paraId="292844F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0.28</w:t>
            </w:r>
          </w:p>
        </w:tc>
        <w:tc>
          <w:tcPr>
            <w:tcW w:w="1177" w:type="pct"/>
            <w:shd w:val="clear" w:color="auto" w:fill="auto"/>
          </w:tcPr>
          <w:p w14:paraId="08E99AC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314.56</w:t>
            </w:r>
          </w:p>
        </w:tc>
        <w:tc>
          <w:tcPr>
            <w:tcW w:w="1169" w:type="pct"/>
            <w:shd w:val="clear" w:color="auto" w:fill="auto"/>
          </w:tcPr>
          <w:p w14:paraId="04E2C9B7"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0.91</w:t>
            </w:r>
          </w:p>
        </w:tc>
      </w:tr>
      <w:tr w:rsidR="00D821EF" w14:paraId="4F6723AE"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27E2278A" w14:textId="77777777" w:rsidR="00D821EF" w:rsidRPr="007E2B4E" w:rsidRDefault="00D821EF" w:rsidP="00D821EF">
            <w:pPr>
              <w:spacing w:before="0" w:after="0"/>
              <w:rPr>
                <w:sz w:val="18"/>
                <w:szCs w:val="18"/>
              </w:rPr>
            </w:pPr>
            <w:r>
              <w:rPr>
                <w:sz w:val="18"/>
                <w:szCs w:val="18"/>
              </w:rPr>
              <w:t>750</w:t>
            </w:r>
          </w:p>
        </w:tc>
        <w:tc>
          <w:tcPr>
            <w:tcW w:w="1238" w:type="pct"/>
            <w:shd w:val="clear" w:color="auto" w:fill="auto"/>
          </w:tcPr>
          <w:p w14:paraId="2A13B36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0.23</w:t>
            </w:r>
          </w:p>
        </w:tc>
        <w:tc>
          <w:tcPr>
            <w:tcW w:w="1177" w:type="pct"/>
            <w:shd w:val="clear" w:color="auto" w:fill="auto"/>
          </w:tcPr>
          <w:p w14:paraId="50D70B5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309.52</w:t>
            </w:r>
          </w:p>
        </w:tc>
        <w:tc>
          <w:tcPr>
            <w:tcW w:w="1169" w:type="pct"/>
            <w:shd w:val="clear" w:color="auto" w:fill="auto"/>
          </w:tcPr>
          <w:p w14:paraId="64DB62B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0.89</w:t>
            </w:r>
          </w:p>
        </w:tc>
      </w:tr>
      <w:tr w:rsidR="00D821EF" w14:paraId="752ECDCE"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42D0A732" w14:textId="77777777" w:rsidR="00D821EF" w:rsidRPr="007E2B4E" w:rsidRDefault="00D821EF" w:rsidP="00D821EF">
            <w:pPr>
              <w:spacing w:before="0" w:after="0"/>
              <w:rPr>
                <w:sz w:val="18"/>
                <w:szCs w:val="18"/>
              </w:rPr>
            </w:pPr>
            <w:r>
              <w:rPr>
                <w:sz w:val="18"/>
                <w:szCs w:val="18"/>
              </w:rPr>
              <w:t>1000</w:t>
            </w:r>
          </w:p>
        </w:tc>
        <w:tc>
          <w:tcPr>
            <w:tcW w:w="1238" w:type="pct"/>
            <w:shd w:val="clear" w:color="auto" w:fill="auto"/>
          </w:tcPr>
          <w:p w14:paraId="59AB12F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0.54</w:t>
            </w:r>
          </w:p>
        </w:tc>
        <w:tc>
          <w:tcPr>
            <w:tcW w:w="1177" w:type="pct"/>
            <w:shd w:val="clear" w:color="auto" w:fill="auto"/>
          </w:tcPr>
          <w:p w14:paraId="1303537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337.91</w:t>
            </w:r>
          </w:p>
        </w:tc>
        <w:tc>
          <w:tcPr>
            <w:tcW w:w="1169" w:type="pct"/>
            <w:shd w:val="clear" w:color="auto" w:fill="auto"/>
          </w:tcPr>
          <w:p w14:paraId="01A6C060"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0.97</w:t>
            </w:r>
          </w:p>
        </w:tc>
      </w:tr>
    </w:tbl>
    <w:p w14:paraId="1F9A5B1D" w14:textId="77777777" w:rsidR="00D821EF" w:rsidRDefault="00D821EF" w:rsidP="00FB0CA1">
      <w:pPr>
        <w:pStyle w:val="Caption"/>
        <w:keepNext/>
        <w:jc w:val="left"/>
      </w:pPr>
    </w:p>
    <w:p w14:paraId="7FA62F8A"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25</w:t>
        </w:r>
      </w:fldSimple>
      <w:r>
        <w:t xml:space="preserve">. </w:t>
      </w:r>
      <w:r w:rsidR="00FB0CA1">
        <w:t>Data</w:t>
      </w:r>
      <w:r>
        <w:t xml:space="preserve"> </w:t>
      </w:r>
      <w:r w:rsidR="00BB68F0">
        <w:t>values</w:t>
      </w:r>
      <w:r>
        <w:t xml:space="preserve">of 0.5 g/L myoglobin pH 8 </w:t>
      </w:r>
      <w:r w:rsidR="00BB68F0">
        <w:t>in presence of various concentrations of</w:t>
      </w:r>
      <w:r>
        <w:t xml:space="preserve"> methylamine hydrochloride</w:t>
      </w:r>
    </w:p>
    <w:tbl>
      <w:tblPr>
        <w:tblStyle w:val="LightShading"/>
        <w:tblW w:w="5000" w:type="pct"/>
        <w:tblLook w:val="04A0" w:firstRow="1" w:lastRow="0" w:firstColumn="1" w:lastColumn="0" w:noHBand="0" w:noVBand="1"/>
      </w:tblPr>
      <w:tblGrid>
        <w:gridCol w:w="2469"/>
        <w:gridCol w:w="2159"/>
        <w:gridCol w:w="2053"/>
        <w:gridCol w:w="2039"/>
      </w:tblGrid>
      <w:tr w:rsidR="00D821EF" w14:paraId="227C86E4"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257AB054" w14:textId="77777777" w:rsidR="00D821EF" w:rsidRPr="007E2B4E" w:rsidRDefault="00D821EF" w:rsidP="00D821EF">
            <w:pPr>
              <w:spacing w:before="0" w:after="0"/>
              <w:rPr>
                <w:sz w:val="18"/>
                <w:szCs w:val="18"/>
              </w:rPr>
            </w:pPr>
            <w:r w:rsidRPr="007E2B4E">
              <w:rPr>
                <w:sz w:val="18"/>
                <w:szCs w:val="18"/>
              </w:rPr>
              <w:t>Concentration (mM)</w:t>
            </w:r>
          </w:p>
        </w:tc>
        <w:tc>
          <w:tcPr>
            <w:tcW w:w="1238" w:type="pct"/>
            <w:shd w:val="clear" w:color="auto" w:fill="auto"/>
          </w:tcPr>
          <w:p w14:paraId="6ECB4F45"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Pr>
                <w:sz w:val="18"/>
                <w:szCs w:val="18"/>
              </w:rPr>
              <w:t xml:space="preserve"> </w:t>
            </w:r>
            <w:r w:rsidRPr="007E2B4E">
              <w:rPr>
                <w:sz w:val="18"/>
                <w:szCs w:val="18"/>
              </w:rPr>
              <w:t xml:space="preserve"> (°C)</w:t>
            </w:r>
          </w:p>
        </w:tc>
        <w:tc>
          <w:tcPr>
            <w:tcW w:w="1177" w:type="pct"/>
            <w:shd w:val="clear" w:color="auto" w:fill="auto"/>
          </w:tcPr>
          <w:p w14:paraId="08ACF238"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ΔH (kJ mol</w:t>
            </w:r>
            <w:r w:rsidRPr="007E2B4E">
              <w:rPr>
                <w:sz w:val="18"/>
                <w:szCs w:val="18"/>
                <w:vertAlign w:val="superscript"/>
              </w:rPr>
              <w:t>-1</w:t>
            </w:r>
            <w:r>
              <w:rPr>
                <w:sz w:val="18"/>
                <w:szCs w:val="18"/>
              </w:rPr>
              <w:t>)</w:t>
            </w:r>
          </w:p>
        </w:tc>
        <w:tc>
          <w:tcPr>
            <w:tcW w:w="1169" w:type="pct"/>
            <w:shd w:val="clear" w:color="auto" w:fill="auto"/>
          </w:tcPr>
          <w:p w14:paraId="6DD51466"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ΔS (kJ mol</w:t>
            </w:r>
            <w:r w:rsidRPr="007E2B4E">
              <w:rPr>
                <w:sz w:val="18"/>
                <w:szCs w:val="18"/>
                <w:vertAlign w:val="superscript"/>
              </w:rPr>
              <w:t>-1</w:t>
            </w:r>
            <w:r w:rsidRPr="007E2B4E">
              <w:rPr>
                <w:sz w:val="18"/>
                <w:szCs w:val="18"/>
              </w:rPr>
              <w:t xml:space="preserve"> K</w:t>
            </w:r>
            <w:r w:rsidRPr="007E2B4E">
              <w:rPr>
                <w:sz w:val="18"/>
                <w:szCs w:val="18"/>
                <w:vertAlign w:val="superscript"/>
              </w:rPr>
              <w:t>-1</w:t>
            </w:r>
            <w:r>
              <w:rPr>
                <w:sz w:val="18"/>
                <w:szCs w:val="18"/>
              </w:rPr>
              <w:t>)</w:t>
            </w:r>
          </w:p>
        </w:tc>
      </w:tr>
      <w:tr w:rsidR="00D821EF" w14:paraId="0A938AAC"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1E4F99CB" w14:textId="77777777" w:rsidR="00D821EF" w:rsidRPr="007E2B4E" w:rsidRDefault="00D821EF" w:rsidP="00D821EF">
            <w:pPr>
              <w:spacing w:before="0" w:after="0"/>
              <w:rPr>
                <w:sz w:val="18"/>
                <w:szCs w:val="18"/>
              </w:rPr>
            </w:pPr>
            <w:r w:rsidRPr="007E2B4E">
              <w:rPr>
                <w:sz w:val="18"/>
                <w:szCs w:val="18"/>
              </w:rPr>
              <w:t>0.5</w:t>
            </w:r>
          </w:p>
        </w:tc>
        <w:tc>
          <w:tcPr>
            <w:tcW w:w="1238" w:type="pct"/>
            <w:shd w:val="clear" w:color="auto" w:fill="auto"/>
          </w:tcPr>
          <w:p w14:paraId="6ECBC6B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-1.23</w:t>
            </w:r>
          </w:p>
        </w:tc>
        <w:tc>
          <w:tcPr>
            <w:tcW w:w="1177" w:type="pct"/>
            <w:shd w:val="clear" w:color="auto" w:fill="auto"/>
          </w:tcPr>
          <w:p w14:paraId="1A93C070"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947.66</w:t>
            </w:r>
          </w:p>
        </w:tc>
        <w:tc>
          <w:tcPr>
            <w:tcW w:w="1169" w:type="pct"/>
            <w:shd w:val="clear" w:color="auto" w:fill="auto"/>
          </w:tcPr>
          <w:p w14:paraId="314A4DB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2.68</w:t>
            </w:r>
          </w:p>
        </w:tc>
      </w:tr>
      <w:tr w:rsidR="00D821EF" w14:paraId="07BEAC7E"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593B9644" w14:textId="77777777" w:rsidR="00D821EF" w:rsidRPr="007E2B4E" w:rsidRDefault="00D821EF" w:rsidP="00D821EF">
            <w:pPr>
              <w:spacing w:before="0" w:after="0"/>
              <w:rPr>
                <w:sz w:val="18"/>
                <w:szCs w:val="18"/>
              </w:rPr>
            </w:pPr>
            <w:r w:rsidRPr="007E2B4E">
              <w:rPr>
                <w:sz w:val="18"/>
                <w:szCs w:val="18"/>
              </w:rPr>
              <w:t>1</w:t>
            </w:r>
          </w:p>
        </w:tc>
        <w:tc>
          <w:tcPr>
            <w:tcW w:w="1238" w:type="pct"/>
            <w:shd w:val="clear" w:color="auto" w:fill="auto"/>
          </w:tcPr>
          <w:p w14:paraId="5E0087D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-1.41</w:t>
            </w:r>
          </w:p>
        </w:tc>
        <w:tc>
          <w:tcPr>
            <w:tcW w:w="1177" w:type="pct"/>
            <w:shd w:val="clear" w:color="auto" w:fill="auto"/>
          </w:tcPr>
          <w:p w14:paraId="55692F5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972.16</w:t>
            </w:r>
          </w:p>
        </w:tc>
        <w:tc>
          <w:tcPr>
            <w:tcW w:w="1169" w:type="pct"/>
            <w:shd w:val="clear" w:color="auto" w:fill="auto"/>
          </w:tcPr>
          <w:p w14:paraId="3F49A7F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2.75</w:t>
            </w:r>
          </w:p>
        </w:tc>
      </w:tr>
      <w:tr w:rsidR="00D821EF" w14:paraId="71A4D7A9"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38EC22DC" w14:textId="77777777" w:rsidR="00D821EF" w:rsidRPr="007E2B4E" w:rsidRDefault="00D821EF" w:rsidP="00D821EF">
            <w:pPr>
              <w:spacing w:before="0" w:after="0"/>
              <w:rPr>
                <w:sz w:val="18"/>
                <w:szCs w:val="18"/>
              </w:rPr>
            </w:pPr>
            <w:r w:rsidRPr="007E2B4E">
              <w:rPr>
                <w:sz w:val="18"/>
                <w:szCs w:val="18"/>
              </w:rPr>
              <w:t>2.5</w:t>
            </w:r>
          </w:p>
        </w:tc>
        <w:tc>
          <w:tcPr>
            <w:tcW w:w="1238" w:type="pct"/>
            <w:shd w:val="clear" w:color="auto" w:fill="auto"/>
          </w:tcPr>
          <w:p w14:paraId="56021787"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-1.54</w:t>
            </w:r>
          </w:p>
        </w:tc>
        <w:tc>
          <w:tcPr>
            <w:tcW w:w="1177" w:type="pct"/>
            <w:shd w:val="clear" w:color="auto" w:fill="auto"/>
          </w:tcPr>
          <w:p w14:paraId="294D8C6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950.89</w:t>
            </w:r>
          </w:p>
        </w:tc>
        <w:tc>
          <w:tcPr>
            <w:tcW w:w="1169" w:type="pct"/>
            <w:shd w:val="clear" w:color="auto" w:fill="auto"/>
          </w:tcPr>
          <w:p w14:paraId="1F11318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2.69</w:t>
            </w:r>
          </w:p>
        </w:tc>
      </w:tr>
      <w:tr w:rsidR="00D821EF" w14:paraId="7F71C4D9"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5BF25844" w14:textId="77777777" w:rsidR="00D821EF" w:rsidRPr="007E2B4E" w:rsidRDefault="00D821EF" w:rsidP="00D821EF">
            <w:pPr>
              <w:spacing w:before="0" w:after="0"/>
              <w:rPr>
                <w:sz w:val="18"/>
                <w:szCs w:val="18"/>
              </w:rPr>
            </w:pPr>
            <w:r w:rsidRPr="007E2B4E">
              <w:rPr>
                <w:sz w:val="18"/>
                <w:szCs w:val="18"/>
              </w:rPr>
              <w:t>5</w:t>
            </w:r>
          </w:p>
        </w:tc>
        <w:tc>
          <w:tcPr>
            <w:tcW w:w="1238" w:type="pct"/>
            <w:shd w:val="clear" w:color="auto" w:fill="auto"/>
          </w:tcPr>
          <w:p w14:paraId="7B311BD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-1.36</w:t>
            </w:r>
          </w:p>
        </w:tc>
        <w:tc>
          <w:tcPr>
            <w:tcW w:w="1177" w:type="pct"/>
            <w:shd w:val="clear" w:color="auto" w:fill="auto"/>
          </w:tcPr>
          <w:p w14:paraId="2606F47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980.39</w:t>
            </w:r>
          </w:p>
        </w:tc>
        <w:tc>
          <w:tcPr>
            <w:tcW w:w="1169" w:type="pct"/>
            <w:shd w:val="clear" w:color="auto" w:fill="auto"/>
          </w:tcPr>
          <w:p w14:paraId="73DCFA0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2.77</w:t>
            </w:r>
          </w:p>
        </w:tc>
      </w:tr>
      <w:tr w:rsidR="00D821EF" w14:paraId="348B0C86"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4A99AA0C" w14:textId="77777777" w:rsidR="00D821EF" w:rsidRPr="007E2B4E" w:rsidRDefault="00D821EF" w:rsidP="00D821EF">
            <w:pPr>
              <w:spacing w:before="0" w:after="0"/>
              <w:rPr>
                <w:sz w:val="18"/>
                <w:szCs w:val="18"/>
              </w:rPr>
            </w:pPr>
            <w:r w:rsidRPr="007E2B4E">
              <w:rPr>
                <w:sz w:val="18"/>
                <w:szCs w:val="18"/>
              </w:rPr>
              <w:t>10</w:t>
            </w:r>
          </w:p>
        </w:tc>
        <w:tc>
          <w:tcPr>
            <w:tcW w:w="1238" w:type="pct"/>
            <w:shd w:val="clear" w:color="auto" w:fill="auto"/>
          </w:tcPr>
          <w:p w14:paraId="041D79E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-1.72</w:t>
            </w:r>
          </w:p>
        </w:tc>
        <w:tc>
          <w:tcPr>
            <w:tcW w:w="1177" w:type="pct"/>
            <w:shd w:val="clear" w:color="auto" w:fill="auto"/>
          </w:tcPr>
          <w:p w14:paraId="79D99FA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943.11</w:t>
            </w:r>
          </w:p>
        </w:tc>
        <w:tc>
          <w:tcPr>
            <w:tcW w:w="1169" w:type="pct"/>
            <w:shd w:val="clear" w:color="auto" w:fill="auto"/>
          </w:tcPr>
          <w:p w14:paraId="2CCFA21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2.67</w:t>
            </w:r>
          </w:p>
        </w:tc>
      </w:tr>
      <w:tr w:rsidR="00D821EF" w14:paraId="79396FB0"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556C504A" w14:textId="77777777" w:rsidR="00D821EF" w:rsidRPr="007E2B4E" w:rsidRDefault="00D821EF" w:rsidP="00D821EF">
            <w:pPr>
              <w:spacing w:before="0" w:after="0"/>
              <w:rPr>
                <w:sz w:val="18"/>
                <w:szCs w:val="18"/>
              </w:rPr>
            </w:pPr>
            <w:r w:rsidRPr="007E2B4E">
              <w:rPr>
                <w:sz w:val="18"/>
                <w:szCs w:val="18"/>
              </w:rPr>
              <w:t>25</w:t>
            </w:r>
          </w:p>
        </w:tc>
        <w:tc>
          <w:tcPr>
            <w:tcW w:w="1238" w:type="pct"/>
            <w:shd w:val="clear" w:color="auto" w:fill="auto"/>
          </w:tcPr>
          <w:p w14:paraId="3750F80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-2.08</w:t>
            </w:r>
          </w:p>
        </w:tc>
        <w:tc>
          <w:tcPr>
            <w:tcW w:w="1177" w:type="pct"/>
            <w:shd w:val="clear" w:color="auto" w:fill="auto"/>
          </w:tcPr>
          <w:p w14:paraId="384819E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920.50</w:t>
            </w:r>
          </w:p>
        </w:tc>
        <w:tc>
          <w:tcPr>
            <w:tcW w:w="1169" w:type="pct"/>
            <w:shd w:val="clear" w:color="auto" w:fill="auto"/>
          </w:tcPr>
          <w:p w14:paraId="4115B7D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2.61</w:t>
            </w:r>
          </w:p>
        </w:tc>
      </w:tr>
      <w:tr w:rsidR="00D821EF" w14:paraId="311D806E"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2B7EBDEE" w14:textId="77777777" w:rsidR="00D821EF" w:rsidRPr="007E2B4E" w:rsidRDefault="00D821EF" w:rsidP="00D821EF">
            <w:pPr>
              <w:spacing w:before="0" w:after="0"/>
              <w:rPr>
                <w:sz w:val="18"/>
                <w:szCs w:val="18"/>
              </w:rPr>
            </w:pPr>
            <w:r w:rsidRPr="007E2B4E">
              <w:rPr>
                <w:sz w:val="18"/>
                <w:szCs w:val="18"/>
              </w:rPr>
              <w:t>50</w:t>
            </w:r>
          </w:p>
        </w:tc>
        <w:tc>
          <w:tcPr>
            <w:tcW w:w="1238" w:type="pct"/>
            <w:shd w:val="clear" w:color="auto" w:fill="auto"/>
          </w:tcPr>
          <w:p w14:paraId="38492B3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-2.36</w:t>
            </w:r>
          </w:p>
        </w:tc>
        <w:tc>
          <w:tcPr>
            <w:tcW w:w="1177" w:type="pct"/>
            <w:shd w:val="clear" w:color="auto" w:fill="auto"/>
          </w:tcPr>
          <w:p w14:paraId="6A0B384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989.51</w:t>
            </w:r>
          </w:p>
        </w:tc>
        <w:tc>
          <w:tcPr>
            <w:tcW w:w="1169" w:type="pct"/>
            <w:shd w:val="clear" w:color="auto" w:fill="auto"/>
          </w:tcPr>
          <w:p w14:paraId="4B7A626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2.81</w:t>
            </w:r>
          </w:p>
        </w:tc>
      </w:tr>
      <w:tr w:rsidR="00D821EF" w14:paraId="7AE51782"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53D4B73A" w14:textId="77777777" w:rsidR="00D821EF" w:rsidRPr="007E2B4E" w:rsidRDefault="00D821EF" w:rsidP="00D821EF">
            <w:pPr>
              <w:spacing w:before="0" w:after="0"/>
              <w:rPr>
                <w:sz w:val="18"/>
                <w:szCs w:val="18"/>
              </w:rPr>
            </w:pPr>
            <w:r w:rsidRPr="007E2B4E">
              <w:rPr>
                <w:sz w:val="18"/>
                <w:szCs w:val="18"/>
              </w:rPr>
              <w:t>75</w:t>
            </w:r>
          </w:p>
        </w:tc>
        <w:tc>
          <w:tcPr>
            <w:tcW w:w="1238" w:type="pct"/>
            <w:shd w:val="clear" w:color="auto" w:fill="auto"/>
          </w:tcPr>
          <w:p w14:paraId="22861FE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-2.72</w:t>
            </w:r>
          </w:p>
        </w:tc>
        <w:tc>
          <w:tcPr>
            <w:tcW w:w="1177" w:type="pct"/>
            <w:shd w:val="clear" w:color="auto" w:fill="auto"/>
          </w:tcPr>
          <w:p w14:paraId="0E83007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964.85</w:t>
            </w:r>
          </w:p>
        </w:tc>
        <w:tc>
          <w:tcPr>
            <w:tcW w:w="1169" w:type="pct"/>
            <w:shd w:val="clear" w:color="auto" w:fill="auto"/>
          </w:tcPr>
          <w:p w14:paraId="52B4BDE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2.74</w:t>
            </w:r>
          </w:p>
        </w:tc>
      </w:tr>
      <w:tr w:rsidR="00D821EF" w14:paraId="0AD63038"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41C3CDF6" w14:textId="77777777" w:rsidR="00D821EF" w:rsidRPr="007E2B4E" w:rsidRDefault="00D821EF" w:rsidP="00D821EF">
            <w:pPr>
              <w:spacing w:before="0" w:after="0"/>
              <w:rPr>
                <w:sz w:val="18"/>
                <w:szCs w:val="18"/>
              </w:rPr>
            </w:pPr>
            <w:r w:rsidRPr="007E2B4E">
              <w:rPr>
                <w:sz w:val="18"/>
                <w:szCs w:val="18"/>
              </w:rPr>
              <w:t>100</w:t>
            </w:r>
          </w:p>
        </w:tc>
        <w:tc>
          <w:tcPr>
            <w:tcW w:w="1238" w:type="pct"/>
            <w:shd w:val="clear" w:color="auto" w:fill="auto"/>
          </w:tcPr>
          <w:p w14:paraId="0FC13A6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-3.16</w:t>
            </w:r>
          </w:p>
        </w:tc>
        <w:tc>
          <w:tcPr>
            <w:tcW w:w="1177" w:type="pct"/>
            <w:shd w:val="clear" w:color="auto" w:fill="auto"/>
          </w:tcPr>
          <w:p w14:paraId="02EA2157"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968.63</w:t>
            </w:r>
          </w:p>
        </w:tc>
        <w:tc>
          <w:tcPr>
            <w:tcW w:w="1169" w:type="pct"/>
            <w:shd w:val="clear" w:color="auto" w:fill="auto"/>
          </w:tcPr>
          <w:p w14:paraId="6B0DC89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2.75</w:t>
            </w:r>
          </w:p>
        </w:tc>
      </w:tr>
      <w:tr w:rsidR="00D821EF" w14:paraId="6F80FFE9"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56047E3A" w14:textId="77777777" w:rsidR="00D821EF" w:rsidRPr="007E2B4E" w:rsidRDefault="00D821EF" w:rsidP="00D821EF">
            <w:pPr>
              <w:spacing w:before="0" w:after="0"/>
              <w:rPr>
                <w:sz w:val="18"/>
                <w:szCs w:val="18"/>
              </w:rPr>
            </w:pPr>
            <w:r w:rsidRPr="007E2B4E">
              <w:rPr>
                <w:sz w:val="18"/>
                <w:szCs w:val="18"/>
              </w:rPr>
              <w:t>250</w:t>
            </w:r>
          </w:p>
        </w:tc>
        <w:tc>
          <w:tcPr>
            <w:tcW w:w="1238" w:type="pct"/>
            <w:shd w:val="clear" w:color="auto" w:fill="auto"/>
          </w:tcPr>
          <w:p w14:paraId="056B658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-5.22</w:t>
            </w:r>
          </w:p>
        </w:tc>
        <w:tc>
          <w:tcPr>
            <w:tcW w:w="1177" w:type="pct"/>
            <w:shd w:val="clear" w:color="auto" w:fill="auto"/>
          </w:tcPr>
          <w:p w14:paraId="042248C1"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943.03</w:t>
            </w:r>
          </w:p>
        </w:tc>
        <w:tc>
          <w:tcPr>
            <w:tcW w:w="1169" w:type="pct"/>
            <w:shd w:val="clear" w:color="auto" w:fill="auto"/>
          </w:tcPr>
          <w:p w14:paraId="324DD8C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2.70</w:t>
            </w:r>
          </w:p>
        </w:tc>
      </w:tr>
      <w:tr w:rsidR="00D821EF" w14:paraId="6D31B9C4"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42E67665" w14:textId="77777777" w:rsidR="00D821EF" w:rsidRPr="007E2B4E" w:rsidRDefault="00D821EF" w:rsidP="00D821EF">
            <w:pPr>
              <w:spacing w:before="0" w:after="0"/>
              <w:rPr>
                <w:sz w:val="18"/>
                <w:szCs w:val="18"/>
              </w:rPr>
            </w:pPr>
            <w:r w:rsidRPr="007E2B4E">
              <w:rPr>
                <w:sz w:val="18"/>
                <w:szCs w:val="18"/>
              </w:rPr>
              <w:t>500</w:t>
            </w:r>
          </w:p>
        </w:tc>
        <w:tc>
          <w:tcPr>
            <w:tcW w:w="1238" w:type="pct"/>
            <w:shd w:val="clear" w:color="auto" w:fill="auto"/>
          </w:tcPr>
          <w:p w14:paraId="1E58D82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-7.07</w:t>
            </w:r>
          </w:p>
        </w:tc>
        <w:tc>
          <w:tcPr>
            <w:tcW w:w="1177" w:type="pct"/>
            <w:shd w:val="clear" w:color="auto" w:fill="auto"/>
          </w:tcPr>
          <w:p w14:paraId="51686937"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940.37</w:t>
            </w:r>
          </w:p>
        </w:tc>
        <w:tc>
          <w:tcPr>
            <w:tcW w:w="1169" w:type="pct"/>
            <w:shd w:val="clear" w:color="auto" w:fill="auto"/>
          </w:tcPr>
          <w:p w14:paraId="2D994D2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2.70</w:t>
            </w:r>
          </w:p>
        </w:tc>
      </w:tr>
      <w:tr w:rsidR="00D821EF" w14:paraId="65468AA0"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27B083EC" w14:textId="77777777" w:rsidR="00D821EF" w:rsidRPr="007E2B4E" w:rsidRDefault="00D821EF" w:rsidP="00D821EF">
            <w:pPr>
              <w:spacing w:before="0" w:after="0"/>
              <w:rPr>
                <w:sz w:val="18"/>
                <w:szCs w:val="18"/>
              </w:rPr>
            </w:pPr>
            <w:r>
              <w:rPr>
                <w:sz w:val="18"/>
                <w:szCs w:val="18"/>
              </w:rPr>
              <w:t>750</w:t>
            </w:r>
          </w:p>
        </w:tc>
        <w:tc>
          <w:tcPr>
            <w:tcW w:w="1238" w:type="pct"/>
            <w:shd w:val="clear" w:color="auto" w:fill="auto"/>
          </w:tcPr>
          <w:p w14:paraId="39C1C7FB"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-8.72</w:t>
            </w:r>
          </w:p>
        </w:tc>
        <w:tc>
          <w:tcPr>
            <w:tcW w:w="1177" w:type="pct"/>
            <w:shd w:val="clear" w:color="auto" w:fill="auto"/>
          </w:tcPr>
          <w:p w14:paraId="5A21BA7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923.42</w:t>
            </w:r>
          </w:p>
        </w:tc>
        <w:tc>
          <w:tcPr>
            <w:tcW w:w="1169" w:type="pct"/>
            <w:shd w:val="clear" w:color="auto" w:fill="auto"/>
          </w:tcPr>
          <w:p w14:paraId="5AFADEE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2.67</w:t>
            </w:r>
          </w:p>
        </w:tc>
      </w:tr>
      <w:tr w:rsidR="00D821EF" w14:paraId="0565C435"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5E41113D" w14:textId="77777777" w:rsidR="00D821EF" w:rsidRPr="007E2B4E" w:rsidRDefault="00D821EF" w:rsidP="00D821EF">
            <w:pPr>
              <w:spacing w:before="0" w:after="0"/>
              <w:rPr>
                <w:sz w:val="18"/>
                <w:szCs w:val="18"/>
              </w:rPr>
            </w:pPr>
            <w:r>
              <w:rPr>
                <w:sz w:val="18"/>
                <w:szCs w:val="18"/>
              </w:rPr>
              <w:t>1000</w:t>
            </w:r>
          </w:p>
        </w:tc>
        <w:tc>
          <w:tcPr>
            <w:tcW w:w="1238" w:type="pct"/>
            <w:shd w:val="clear" w:color="auto" w:fill="auto"/>
          </w:tcPr>
          <w:p w14:paraId="013F2755"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-9.90</w:t>
            </w:r>
          </w:p>
        </w:tc>
        <w:tc>
          <w:tcPr>
            <w:tcW w:w="1177" w:type="pct"/>
            <w:shd w:val="clear" w:color="auto" w:fill="auto"/>
          </w:tcPr>
          <w:p w14:paraId="6ED4970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895.38</w:t>
            </w:r>
          </w:p>
        </w:tc>
        <w:tc>
          <w:tcPr>
            <w:tcW w:w="1169" w:type="pct"/>
            <w:shd w:val="clear" w:color="auto" w:fill="auto"/>
          </w:tcPr>
          <w:p w14:paraId="6CB20B3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2.59</w:t>
            </w:r>
          </w:p>
        </w:tc>
      </w:tr>
    </w:tbl>
    <w:p w14:paraId="2C24DCC7" w14:textId="77777777" w:rsidR="00D821EF" w:rsidRDefault="00D821EF" w:rsidP="008C2B83"/>
    <w:p w14:paraId="1D3688A0" w14:textId="77777777" w:rsidR="00D821EF" w:rsidRDefault="00184734" w:rsidP="00184734">
      <w:pPr>
        <w:pStyle w:val="Heading3"/>
        <w:numPr>
          <w:ilvl w:val="0"/>
          <w:numId w:val="0"/>
        </w:numPr>
        <w:ind w:left="720" w:hanging="720"/>
      </w:pPr>
      <w:bookmarkStart w:id="313" w:name="_Toc485712845"/>
      <w:r>
        <w:t xml:space="preserve">D.2 </w:t>
      </w:r>
      <w:r w:rsidR="00D821EF">
        <w:t>Histidine</w:t>
      </w:r>
      <w:bookmarkEnd w:id="313"/>
    </w:p>
    <w:p w14:paraId="50241CCB"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26</w:t>
        </w:r>
      </w:fldSimple>
      <w:r>
        <w:t xml:space="preserve">. </w:t>
      </w:r>
      <w:r w:rsidR="00BB68F0">
        <w:t>Data values of 1 g/L BSA 10 mM sodium octanoate pH 7 in presence of various concentrations of histidine n=3</w:t>
      </w:r>
    </w:p>
    <w:tbl>
      <w:tblPr>
        <w:tblStyle w:val="LightShading"/>
        <w:tblW w:w="0" w:type="auto"/>
        <w:tblLook w:val="04A0" w:firstRow="1" w:lastRow="0" w:firstColumn="1" w:lastColumn="0" w:noHBand="0" w:noVBand="1"/>
      </w:tblPr>
      <w:tblGrid>
        <w:gridCol w:w="2018"/>
        <w:gridCol w:w="1764"/>
        <w:gridCol w:w="1593"/>
        <w:gridCol w:w="1678"/>
        <w:gridCol w:w="1667"/>
      </w:tblGrid>
      <w:tr w:rsidR="00D821EF" w14:paraId="69B05343"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14717A34" w14:textId="77777777" w:rsidR="00D821EF" w:rsidRPr="007E2B4E" w:rsidRDefault="00D821EF" w:rsidP="00D821EF">
            <w:pPr>
              <w:spacing w:before="0" w:after="0"/>
              <w:rPr>
                <w:sz w:val="18"/>
                <w:szCs w:val="18"/>
              </w:rPr>
            </w:pPr>
            <w:r w:rsidRPr="007E2B4E">
              <w:rPr>
                <w:sz w:val="18"/>
                <w:szCs w:val="18"/>
              </w:rPr>
              <w:t>Concentration (mM)</w:t>
            </w:r>
          </w:p>
        </w:tc>
        <w:tc>
          <w:tcPr>
            <w:tcW w:w="1764" w:type="dxa"/>
            <w:shd w:val="clear" w:color="auto" w:fill="auto"/>
          </w:tcPr>
          <w:p w14:paraId="6069EA4A"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mean (°C)</w:t>
            </w:r>
          </w:p>
        </w:tc>
        <w:tc>
          <w:tcPr>
            <w:tcW w:w="1593" w:type="dxa"/>
            <w:shd w:val="clear" w:color="auto" w:fill="auto"/>
          </w:tcPr>
          <w:p w14:paraId="5A4E0B12"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SE</w:t>
            </w:r>
          </w:p>
        </w:tc>
        <w:tc>
          <w:tcPr>
            <w:tcW w:w="1678" w:type="dxa"/>
            <w:shd w:val="clear" w:color="auto" w:fill="auto"/>
          </w:tcPr>
          <w:p w14:paraId="7F0BAAD8"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ΔH (kJ mol</w:t>
            </w:r>
            <w:r w:rsidRPr="007E2B4E">
              <w:rPr>
                <w:sz w:val="18"/>
                <w:szCs w:val="18"/>
                <w:vertAlign w:val="superscript"/>
              </w:rPr>
              <w:t>-1</w:t>
            </w:r>
            <w:r w:rsidRPr="007E2B4E">
              <w:rPr>
                <w:sz w:val="18"/>
                <w:szCs w:val="18"/>
              </w:rPr>
              <w:t>) mean</w:t>
            </w:r>
          </w:p>
        </w:tc>
        <w:tc>
          <w:tcPr>
            <w:tcW w:w="1667" w:type="dxa"/>
            <w:shd w:val="clear" w:color="auto" w:fill="auto"/>
          </w:tcPr>
          <w:p w14:paraId="7DA62397"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ΔS (kJ mol</w:t>
            </w:r>
            <w:r w:rsidRPr="007E2B4E">
              <w:rPr>
                <w:sz w:val="18"/>
                <w:szCs w:val="18"/>
                <w:vertAlign w:val="superscript"/>
              </w:rPr>
              <w:t>-1</w:t>
            </w:r>
            <w:r w:rsidRPr="007E2B4E">
              <w:rPr>
                <w:sz w:val="18"/>
                <w:szCs w:val="18"/>
              </w:rPr>
              <w:t xml:space="preserve"> K</w:t>
            </w:r>
            <w:r w:rsidRPr="007E2B4E">
              <w:rPr>
                <w:sz w:val="18"/>
                <w:szCs w:val="18"/>
                <w:vertAlign w:val="superscript"/>
              </w:rPr>
              <w:t>-1</w:t>
            </w:r>
            <w:r w:rsidRPr="007E2B4E">
              <w:rPr>
                <w:sz w:val="18"/>
                <w:szCs w:val="18"/>
              </w:rPr>
              <w:t>) mean</w:t>
            </w:r>
          </w:p>
        </w:tc>
      </w:tr>
      <w:tr w:rsidR="00D821EF" w14:paraId="6ADF749F"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2C771179" w14:textId="77777777" w:rsidR="00D821EF" w:rsidRPr="007E2B4E" w:rsidRDefault="00D821EF" w:rsidP="00D821EF">
            <w:pPr>
              <w:spacing w:before="0" w:after="0"/>
              <w:rPr>
                <w:sz w:val="18"/>
                <w:szCs w:val="18"/>
              </w:rPr>
            </w:pPr>
            <w:r w:rsidRPr="007E2B4E">
              <w:rPr>
                <w:sz w:val="18"/>
                <w:szCs w:val="18"/>
              </w:rPr>
              <w:t>0.5</w:t>
            </w:r>
          </w:p>
        </w:tc>
        <w:tc>
          <w:tcPr>
            <w:tcW w:w="1764" w:type="dxa"/>
            <w:shd w:val="clear" w:color="auto" w:fill="auto"/>
          </w:tcPr>
          <w:p w14:paraId="6EE62A8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1.07</w:t>
            </w:r>
          </w:p>
        </w:tc>
        <w:tc>
          <w:tcPr>
            <w:tcW w:w="1593" w:type="dxa"/>
            <w:shd w:val="clear" w:color="auto" w:fill="auto"/>
          </w:tcPr>
          <w:p w14:paraId="0EFA08CF"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0.04</w:t>
            </w:r>
          </w:p>
        </w:tc>
        <w:tc>
          <w:tcPr>
            <w:tcW w:w="1678" w:type="dxa"/>
            <w:shd w:val="clear" w:color="auto" w:fill="auto"/>
          </w:tcPr>
          <w:p w14:paraId="2930B49C"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1180.49</w:t>
            </w:r>
          </w:p>
        </w:tc>
        <w:tc>
          <w:tcPr>
            <w:tcW w:w="1667" w:type="dxa"/>
            <w:shd w:val="clear" w:color="auto" w:fill="auto"/>
          </w:tcPr>
          <w:p w14:paraId="4C8D7C1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3.32</w:t>
            </w:r>
          </w:p>
        </w:tc>
      </w:tr>
      <w:tr w:rsidR="00D821EF" w14:paraId="0A1F3E30"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1989DCEB" w14:textId="77777777" w:rsidR="00D821EF" w:rsidRPr="007E2B4E" w:rsidRDefault="00D821EF" w:rsidP="00D821EF">
            <w:pPr>
              <w:spacing w:before="0" w:after="0"/>
              <w:rPr>
                <w:sz w:val="18"/>
                <w:szCs w:val="18"/>
              </w:rPr>
            </w:pPr>
            <w:r w:rsidRPr="007E2B4E">
              <w:rPr>
                <w:sz w:val="18"/>
                <w:szCs w:val="18"/>
              </w:rPr>
              <w:t>1</w:t>
            </w:r>
          </w:p>
        </w:tc>
        <w:tc>
          <w:tcPr>
            <w:tcW w:w="1764" w:type="dxa"/>
            <w:shd w:val="clear" w:color="auto" w:fill="auto"/>
          </w:tcPr>
          <w:p w14:paraId="58ECDF3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1.46</w:t>
            </w:r>
          </w:p>
        </w:tc>
        <w:tc>
          <w:tcPr>
            <w:tcW w:w="1593" w:type="dxa"/>
            <w:shd w:val="clear" w:color="auto" w:fill="auto"/>
          </w:tcPr>
          <w:p w14:paraId="123D060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0.03</w:t>
            </w:r>
          </w:p>
        </w:tc>
        <w:tc>
          <w:tcPr>
            <w:tcW w:w="1678" w:type="dxa"/>
            <w:shd w:val="clear" w:color="auto" w:fill="auto"/>
          </w:tcPr>
          <w:p w14:paraId="4A1CC60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1167.72</w:t>
            </w:r>
          </w:p>
        </w:tc>
        <w:tc>
          <w:tcPr>
            <w:tcW w:w="1667" w:type="dxa"/>
            <w:shd w:val="clear" w:color="auto" w:fill="auto"/>
          </w:tcPr>
          <w:p w14:paraId="4CE50C8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3.27</w:t>
            </w:r>
          </w:p>
        </w:tc>
      </w:tr>
      <w:tr w:rsidR="00D821EF" w14:paraId="7F52A5BA"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BA17D6B"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2D5564B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2.10</w:t>
            </w:r>
          </w:p>
        </w:tc>
        <w:tc>
          <w:tcPr>
            <w:tcW w:w="1593" w:type="dxa"/>
            <w:shd w:val="clear" w:color="auto" w:fill="auto"/>
          </w:tcPr>
          <w:p w14:paraId="40066BA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0.15</w:t>
            </w:r>
          </w:p>
        </w:tc>
        <w:tc>
          <w:tcPr>
            <w:tcW w:w="1678" w:type="dxa"/>
            <w:shd w:val="clear" w:color="auto" w:fill="auto"/>
          </w:tcPr>
          <w:p w14:paraId="515D6420"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1129.71</w:t>
            </w:r>
          </w:p>
        </w:tc>
        <w:tc>
          <w:tcPr>
            <w:tcW w:w="1667" w:type="dxa"/>
            <w:shd w:val="clear" w:color="auto" w:fill="auto"/>
          </w:tcPr>
          <w:p w14:paraId="06D6F3C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3.16</w:t>
            </w:r>
          </w:p>
        </w:tc>
      </w:tr>
      <w:tr w:rsidR="00D821EF" w14:paraId="4907DE61"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20ACD69F" w14:textId="77777777" w:rsidR="00D821EF" w:rsidRPr="007E2B4E" w:rsidRDefault="00D821EF" w:rsidP="00D821EF">
            <w:pPr>
              <w:spacing w:before="0" w:after="0"/>
              <w:rPr>
                <w:sz w:val="18"/>
                <w:szCs w:val="18"/>
              </w:rPr>
            </w:pPr>
            <w:r w:rsidRPr="007E2B4E">
              <w:rPr>
                <w:sz w:val="18"/>
                <w:szCs w:val="18"/>
              </w:rPr>
              <w:t>5</w:t>
            </w:r>
          </w:p>
        </w:tc>
        <w:tc>
          <w:tcPr>
            <w:tcW w:w="1764" w:type="dxa"/>
            <w:shd w:val="clear" w:color="auto" w:fill="auto"/>
          </w:tcPr>
          <w:p w14:paraId="21B24397"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2.61</w:t>
            </w:r>
          </w:p>
        </w:tc>
        <w:tc>
          <w:tcPr>
            <w:tcW w:w="1593" w:type="dxa"/>
            <w:shd w:val="clear" w:color="auto" w:fill="auto"/>
          </w:tcPr>
          <w:p w14:paraId="4ED7C9A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0.05</w:t>
            </w:r>
          </w:p>
        </w:tc>
        <w:tc>
          <w:tcPr>
            <w:tcW w:w="1678" w:type="dxa"/>
            <w:shd w:val="clear" w:color="auto" w:fill="auto"/>
          </w:tcPr>
          <w:p w14:paraId="4760D92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1197.69</w:t>
            </w:r>
          </w:p>
        </w:tc>
        <w:tc>
          <w:tcPr>
            <w:tcW w:w="1667" w:type="dxa"/>
            <w:shd w:val="clear" w:color="auto" w:fill="auto"/>
          </w:tcPr>
          <w:p w14:paraId="6978595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3.35</w:t>
            </w:r>
          </w:p>
        </w:tc>
      </w:tr>
      <w:tr w:rsidR="00D821EF" w14:paraId="3F48F1B9"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4DEB1A89" w14:textId="77777777" w:rsidR="00D821EF" w:rsidRPr="007E2B4E" w:rsidRDefault="00D821EF" w:rsidP="00D821EF">
            <w:pPr>
              <w:spacing w:before="0" w:after="0"/>
              <w:rPr>
                <w:sz w:val="18"/>
                <w:szCs w:val="18"/>
              </w:rPr>
            </w:pPr>
            <w:r w:rsidRPr="007E2B4E">
              <w:rPr>
                <w:sz w:val="18"/>
                <w:szCs w:val="18"/>
              </w:rPr>
              <w:t>10</w:t>
            </w:r>
          </w:p>
        </w:tc>
        <w:tc>
          <w:tcPr>
            <w:tcW w:w="1764" w:type="dxa"/>
            <w:shd w:val="clear" w:color="auto" w:fill="auto"/>
          </w:tcPr>
          <w:p w14:paraId="4F65D7C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3.09</w:t>
            </w:r>
          </w:p>
        </w:tc>
        <w:tc>
          <w:tcPr>
            <w:tcW w:w="1593" w:type="dxa"/>
            <w:shd w:val="clear" w:color="auto" w:fill="auto"/>
          </w:tcPr>
          <w:p w14:paraId="1114D21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0.16</w:t>
            </w:r>
          </w:p>
        </w:tc>
        <w:tc>
          <w:tcPr>
            <w:tcW w:w="1678" w:type="dxa"/>
            <w:shd w:val="clear" w:color="auto" w:fill="auto"/>
          </w:tcPr>
          <w:p w14:paraId="66CD083C"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1213.81</w:t>
            </w:r>
          </w:p>
        </w:tc>
        <w:tc>
          <w:tcPr>
            <w:tcW w:w="1667" w:type="dxa"/>
            <w:shd w:val="clear" w:color="auto" w:fill="auto"/>
          </w:tcPr>
          <w:p w14:paraId="62C1C900"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3.39</w:t>
            </w:r>
          </w:p>
        </w:tc>
      </w:tr>
      <w:tr w:rsidR="00D821EF" w14:paraId="546BF25E"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C6E0F2F"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55497B21"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3.57</w:t>
            </w:r>
          </w:p>
        </w:tc>
        <w:tc>
          <w:tcPr>
            <w:tcW w:w="1593" w:type="dxa"/>
            <w:shd w:val="clear" w:color="auto" w:fill="auto"/>
          </w:tcPr>
          <w:p w14:paraId="7F0580F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0.01</w:t>
            </w:r>
          </w:p>
        </w:tc>
        <w:tc>
          <w:tcPr>
            <w:tcW w:w="1678" w:type="dxa"/>
            <w:shd w:val="clear" w:color="auto" w:fill="auto"/>
          </w:tcPr>
          <w:p w14:paraId="11319E1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1151.38</w:t>
            </w:r>
          </w:p>
        </w:tc>
        <w:tc>
          <w:tcPr>
            <w:tcW w:w="1667" w:type="dxa"/>
            <w:shd w:val="clear" w:color="auto" w:fill="auto"/>
          </w:tcPr>
          <w:p w14:paraId="378A6C5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3.21</w:t>
            </w:r>
          </w:p>
        </w:tc>
      </w:tr>
      <w:tr w:rsidR="00D821EF" w14:paraId="79831710"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4C3DDE08" w14:textId="77777777" w:rsidR="00D821EF" w:rsidRPr="007E2B4E" w:rsidRDefault="00D821EF" w:rsidP="00D821EF">
            <w:pPr>
              <w:spacing w:before="0" w:after="0"/>
              <w:rPr>
                <w:sz w:val="18"/>
                <w:szCs w:val="18"/>
              </w:rPr>
            </w:pPr>
            <w:r w:rsidRPr="007E2B4E">
              <w:rPr>
                <w:sz w:val="18"/>
                <w:szCs w:val="18"/>
              </w:rPr>
              <w:t>50</w:t>
            </w:r>
          </w:p>
        </w:tc>
        <w:tc>
          <w:tcPr>
            <w:tcW w:w="1764" w:type="dxa"/>
            <w:shd w:val="clear" w:color="auto" w:fill="auto"/>
          </w:tcPr>
          <w:p w14:paraId="7C7BC99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3.61</w:t>
            </w:r>
          </w:p>
        </w:tc>
        <w:tc>
          <w:tcPr>
            <w:tcW w:w="1593" w:type="dxa"/>
            <w:shd w:val="clear" w:color="auto" w:fill="auto"/>
          </w:tcPr>
          <w:p w14:paraId="33F1D39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0.03</w:t>
            </w:r>
          </w:p>
        </w:tc>
        <w:tc>
          <w:tcPr>
            <w:tcW w:w="1678" w:type="dxa"/>
            <w:shd w:val="clear" w:color="auto" w:fill="auto"/>
          </w:tcPr>
          <w:p w14:paraId="5F501090"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1146.63</w:t>
            </w:r>
          </w:p>
        </w:tc>
        <w:tc>
          <w:tcPr>
            <w:tcW w:w="1667" w:type="dxa"/>
            <w:shd w:val="clear" w:color="auto" w:fill="auto"/>
          </w:tcPr>
          <w:p w14:paraId="1D985F0C"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3.19</w:t>
            </w:r>
          </w:p>
        </w:tc>
      </w:tr>
      <w:tr w:rsidR="00D821EF" w14:paraId="4CFCD8D9"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3518BA7F" w14:textId="77777777" w:rsidR="00D821EF" w:rsidRPr="007E2B4E" w:rsidRDefault="00D821EF" w:rsidP="00D821EF">
            <w:pPr>
              <w:spacing w:before="0" w:after="0"/>
              <w:rPr>
                <w:sz w:val="18"/>
                <w:szCs w:val="18"/>
              </w:rPr>
            </w:pPr>
            <w:r w:rsidRPr="007E2B4E">
              <w:rPr>
                <w:sz w:val="18"/>
                <w:szCs w:val="18"/>
              </w:rPr>
              <w:t>75</w:t>
            </w:r>
          </w:p>
        </w:tc>
        <w:tc>
          <w:tcPr>
            <w:tcW w:w="1764" w:type="dxa"/>
            <w:shd w:val="clear" w:color="auto" w:fill="auto"/>
          </w:tcPr>
          <w:p w14:paraId="10B77361"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3.70</w:t>
            </w:r>
          </w:p>
        </w:tc>
        <w:tc>
          <w:tcPr>
            <w:tcW w:w="1593" w:type="dxa"/>
            <w:shd w:val="clear" w:color="auto" w:fill="auto"/>
          </w:tcPr>
          <w:p w14:paraId="68D2108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0.01</w:t>
            </w:r>
          </w:p>
        </w:tc>
        <w:tc>
          <w:tcPr>
            <w:tcW w:w="1678" w:type="dxa"/>
            <w:shd w:val="clear" w:color="auto" w:fill="auto"/>
          </w:tcPr>
          <w:p w14:paraId="5DD0DF0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1149.74</w:t>
            </w:r>
          </w:p>
        </w:tc>
        <w:tc>
          <w:tcPr>
            <w:tcW w:w="1667" w:type="dxa"/>
            <w:shd w:val="clear" w:color="auto" w:fill="auto"/>
          </w:tcPr>
          <w:p w14:paraId="31094DD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3.20</w:t>
            </w:r>
          </w:p>
        </w:tc>
      </w:tr>
      <w:tr w:rsidR="00D821EF" w14:paraId="33CD6254"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1B17D433" w14:textId="77777777" w:rsidR="00D821EF" w:rsidRPr="007E2B4E" w:rsidRDefault="00D821EF" w:rsidP="00D821EF">
            <w:pPr>
              <w:spacing w:before="0" w:after="0"/>
              <w:rPr>
                <w:sz w:val="18"/>
                <w:szCs w:val="18"/>
              </w:rPr>
            </w:pPr>
            <w:r w:rsidRPr="007E2B4E">
              <w:rPr>
                <w:sz w:val="18"/>
                <w:szCs w:val="18"/>
              </w:rPr>
              <w:t>100</w:t>
            </w:r>
          </w:p>
        </w:tc>
        <w:tc>
          <w:tcPr>
            <w:tcW w:w="1764" w:type="dxa"/>
            <w:shd w:val="clear" w:color="auto" w:fill="auto"/>
          </w:tcPr>
          <w:p w14:paraId="7C347A6C"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3.63</w:t>
            </w:r>
          </w:p>
        </w:tc>
        <w:tc>
          <w:tcPr>
            <w:tcW w:w="1593" w:type="dxa"/>
            <w:shd w:val="clear" w:color="auto" w:fill="auto"/>
          </w:tcPr>
          <w:p w14:paraId="04496F8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0.03</w:t>
            </w:r>
          </w:p>
        </w:tc>
        <w:tc>
          <w:tcPr>
            <w:tcW w:w="1678" w:type="dxa"/>
            <w:shd w:val="clear" w:color="auto" w:fill="auto"/>
          </w:tcPr>
          <w:p w14:paraId="10487645"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1152.25</w:t>
            </w:r>
          </w:p>
        </w:tc>
        <w:tc>
          <w:tcPr>
            <w:tcW w:w="1667" w:type="dxa"/>
            <w:shd w:val="clear" w:color="auto" w:fill="auto"/>
          </w:tcPr>
          <w:p w14:paraId="46EE01F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3.21</w:t>
            </w:r>
          </w:p>
        </w:tc>
      </w:tr>
      <w:tr w:rsidR="00D821EF" w14:paraId="047922BF"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941F9F1" w14:textId="77777777" w:rsidR="00D821EF" w:rsidRPr="007E2B4E" w:rsidRDefault="00D821EF" w:rsidP="00D821EF">
            <w:pPr>
              <w:spacing w:before="0" w:after="0"/>
              <w:rPr>
                <w:sz w:val="18"/>
                <w:szCs w:val="18"/>
              </w:rPr>
            </w:pPr>
            <w:r>
              <w:rPr>
                <w:sz w:val="18"/>
                <w:szCs w:val="18"/>
              </w:rPr>
              <w:t>200</w:t>
            </w:r>
          </w:p>
        </w:tc>
        <w:tc>
          <w:tcPr>
            <w:tcW w:w="1764" w:type="dxa"/>
            <w:shd w:val="clear" w:color="auto" w:fill="auto"/>
          </w:tcPr>
          <w:p w14:paraId="231E930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3.45</w:t>
            </w:r>
          </w:p>
        </w:tc>
        <w:tc>
          <w:tcPr>
            <w:tcW w:w="1593" w:type="dxa"/>
            <w:shd w:val="clear" w:color="auto" w:fill="auto"/>
          </w:tcPr>
          <w:p w14:paraId="66FC474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0.26</w:t>
            </w:r>
          </w:p>
        </w:tc>
        <w:tc>
          <w:tcPr>
            <w:tcW w:w="1678" w:type="dxa"/>
            <w:shd w:val="clear" w:color="auto" w:fill="auto"/>
          </w:tcPr>
          <w:p w14:paraId="7746EAF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1190.14</w:t>
            </w:r>
          </w:p>
        </w:tc>
        <w:tc>
          <w:tcPr>
            <w:tcW w:w="1667" w:type="dxa"/>
            <w:shd w:val="clear" w:color="auto" w:fill="auto"/>
          </w:tcPr>
          <w:p w14:paraId="76B1222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3.32</w:t>
            </w:r>
          </w:p>
        </w:tc>
      </w:tr>
    </w:tbl>
    <w:p w14:paraId="36369962"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27</w:t>
        </w:r>
      </w:fldSimple>
      <w:r>
        <w:t xml:space="preserve">. </w:t>
      </w:r>
      <w:r w:rsidR="00BB68F0">
        <w:t>Data values of 1 g/L lysozyme pH 7 in presence of various concentrations of histidine n=3</w:t>
      </w:r>
    </w:p>
    <w:tbl>
      <w:tblPr>
        <w:tblStyle w:val="LightShading"/>
        <w:tblW w:w="0" w:type="auto"/>
        <w:tblLook w:val="04A0" w:firstRow="1" w:lastRow="0" w:firstColumn="1" w:lastColumn="0" w:noHBand="0" w:noVBand="1"/>
      </w:tblPr>
      <w:tblGrid>
        <w:gridCol w:w="2018"/>
        <w:gridCol w:w="1764"/>
        <w:gridCol w:w="1593"/>
        <w:gridCol w:w="1678"/>
        <w:gridCol w:w="1667"/>
      </w:tblGrid>
      <w:tr w:rsidR="00D821EF" w14:paraId="4D5B51AB"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7A70D94" w14:textId="77777777" w:rsidR="00D821EF" w:rsidRPr="007E2B4E" w:rsidRDefault="00D821EF" w:rsidP="00D821EF">
            <w:pPr>
              <w:spacing w:before="0" w:after="0"/>
              <w:rPr>
                <w:sz w:val="18"/>
                <w:szCs w:val="18"/>
              </w:rPr>
            </w:pPr>
            <w:r w:rsidRPr="007E2B4E">
              <w:rPr>
                <w:sz w:val="18"/>
                <w:szCs w:val="18"/>
              </w:rPr>
              <w:t>Concentration (mM)</w:t>
            </w:r>
          </w:p>
        </w:tc>
        <w:tc>
          <w:tcPr>
            <w:tcW w:w="1764" w:type="dxa"/>
            <w:shd w:val="clear" w:color="auto" w:fill="auto"/>
          </w:tcPr>
          <w:p w14:paraId="0EC0E3D3"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mean (°C)</w:t>
            </w:r>
          </w:p>
        </w:tc>
        <w:tc>
          <w:tcPr>
            <w:tcW w:w="1593" w:type="dxa"/>
            <w:shd w:val="clear" w:color="auto" w:fill="auto"/>
          </w:tcPr>
          <w:p w14:paraId="18F0CF33"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SE</w:t>
            </w:r>
          </w:p>
        </w:tc>
        <w:tc>
          <w:tcPr>
            <w:tcW w:w="1678" w:type="dxa"/>
            <w:shd w:val="clear" w:color="auto" w:fill="auto"/>
          </w:tcPr>
          <w:p w14:paraId="69499E2F"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ΔH (kJ mol</w:t>
            </w:r>
            <w:r w:rsidRPr="007E2B4E">
              <w:rPr>
                <w:sz w:val="18"/>
                <w:szCs w:val="18"/>
                <w:vertAlign w:val="superscript"/>
              </w:rPr>
              <w:t>-1</w:t>
            </w:r>
            <w:r w:rsidRPr="007E2B4E">
              <w:rPr>
                <w:sz w:val="18"/>
                <w:szCs w:val="18"/>
              </w:rPr>
              <w:t>) mean</w:t>
            </w:r>
          </w:p>
        </w:tc>
        <w:tc>
          <w:tcPr>
            <w:tcW w:w="1667" w:type="dxa"/>
            <w:shd w:val="clear" w:color="auto" w:fill="auto"/>
          </w:tcPr>
          <w:p w14:paraId="484655ED"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ΔS (kJ mol</w:t>
            </w:r>
            <w:r w:rsidRPr="007E2B4E">
              <w:rPr>
                <w:sz w:val="18"/>
                <w:szCs w:val="18"/>
                <w:vertAlign w:val="superscript"/>
              </w:rPr>
              <w:t>-1</w:t>
            </w:r>
            <w:r w:rsidRPr="007E2B4E">
              <w:rPr>
                <w:sz w:val="18"/>
                <w:szCs w:val="18"/>
              </w:rPr>
              <w:t xml:space="preserve"> K</w:t>
            </w:r>
            <w:r w:rsidRPr="007E2B4E">
              <w:rPr>
                <w:sz w:val="18"/>
                <w:szCs w:val="18"/>
                <w:vertAlign w:val="superscript"/>
              </w:rPr>
              <w:t>-1</w:t>
            </w:r>
            <w:r w:rsidRPr="007E2B4E">
              <w:rPr>
                <w:sz w:val="18"/>
                <w:szCs w:val="18"/>
              </w:rPr>
              <w:t>) mean</w:t>
            </w:r>
          </w:p>
        </w:tc>
      </w:tr>
      <w:tr w:rsidR="00D821EF" w14:paraId="01D5B42C"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4358EE87" w14:textId="77777777" w:rsidR="00D821EF" w:rsidRPr="007E2B4E" w:rsidRDefault="00D821EF" w:rsidP="00D821EF">
            <w:pPr>
              <w:spacing w:before="0" w:after="0"/>
              <w:rPr>
                <w:sz w:val="18"/>
                <w:szCs w:val="18"/>
              </w:rPr>
            </w:pPr>
            <w:r w:rsidRPr="007E2B4E">
              <w:rPr>
                <w:sz w:val="18"/>
                <w:szCs w:val="18"/>
              </w:rPr>
              <w:t>0.5</w:t>
            </w:r>
          </w:p>
        </w:tc>
        <w:tc>
          <w:tcPr>
            <w:tcW w:w="1764" w:type="dxa"/>
            <w:shd w:val="clear" w:color="auto" w:fill="auto"/>
          </w:tcPr>
          <w:p w14:paraId="45C38FF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0.73</w:t>
            </w:r>
          </w:p>
        </w:tc>
        <w:tc>
          <w:tcPr>
            <w:tcW w:w="1593" w:type="dxa"/>
            <w:shd w:val="clear" w:color="auto" w:fill="auto"/>
          </w:tcPr>
          <w:p w14:paraId="7A7748F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0.08</w:t>
            </w:r>
          </w:p>
        </w:tc>
        <w:tc>
          <w:tcPr>
            <w:tcW w:w="1678" w:type="dxa"/>
            <w:shd w:val="clear" w:color="auto" w:fill="auto"/>
          </w:tcPr>
          <w:p w14:paraId="4D3792E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445.20</w:t>
            </w:r>
          </w:p>
        </w:tc>
        <w:tc>
          <w:tcPr>
            <w:tcW w:w="1667" w:type="dxa"/>
            <w:shd w:val="clear" w:color="auto" w:fill="auto"/>
          </w:tcPr>
          <w:p w14:paraId="680ACFE0"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1.28</w:t>
            </w:r>
          </w:p>
        </w:tc>
      </w:tr>
      <w:tr w:rsidR="00D821EF" w14:paraId="475F9753"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7E6DAFC2" w14:textId="77777777" w:rsidR="00D821EF" w:rsidRPr="007E2B4E" w:rsidRDefault="00D821EF" w:rsidP="00D821EF">
            <w:pPr>
              <w:spacing w:before="0" w:after="0"/>
              <w:rPr>
                <w:sz w:val="18"/>
                <w:szCs w:val="18"/>
              </w:rPr>
            </w:pPr>
            <w:r w:rsidRPr="007E2B4E">
              <w:rPr>
                <w:sz w:val="18"/>
                <w:szCs w:val="18"/>
              </w:rPr>
              <w:t>1</w:t>
            </w:r>
          </w:p>
        </w:tc>
        <w:tc>
          <w:tcPr>
            <w:tcW w:w="1764" w:type="dxa"/>
            <w:shd w:val="clear" w:color="auto" w:fill="auto"/>
          </w:tcPr>
          <w:p w14:paraId="50FC930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0.74</w:t>
            </w:r>
          </w:p>
        </w:tc>
        <w:tc>
          <w:tcPr>
            <w:tcW w:w="1593" w:type="dxa"/>
            <w:shd w:val="clear" w:color="auto" w:fill="auto"/>
          </w:tcPr>
          <w:p w14:paraId="04A12D2B"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0.02</w:t>
            </w:r>
          </w:p>
        </w:tc>
        <w:tc>
          <w:tcPr>
            <w:tcW w:w="1678" w:type="dxa"/>
            <w:shd w:val="clear" w:color="auto" w:fill="auto"/>
          </w:tcPr>
          <w:p w14:paraId="364E71E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467.53</w:t>
            </w:r>
          </w:p>
        </w:tc>
        <w:tc>
          <w:tcPr>
            <w:tcW w:w="1667" w:type="dxa"/>
            <w:shd w:val="clear" w:color="auto" w:fill="auto"/>
          </w:tcPr>
          <w:p w14:paraId="7A73CBD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1.35</w:t>
            </w:r>
          </w:p>
        </w:tc>
      </w:tr>
      <w:tr w:rsidR="00D821EF" w14:paraId="296AC8CE"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393D2930"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7A61EEB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0.62</w:t>
            </w:r>
          </w:p>
        </w:tc>
        <w:tc>
          <w:tcPr>
            <w:tcW w:w="1593" w:type="dxa"/>
            <w:shd w:val="clear" w:color="auto" w:fill="auto"/>
          </w:tcPr>
          <w:p w14:paraId="1A0F482F"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0.05</w:t>
            </w:r>
          </w:p>
        </w:tc>
        <w:tc>
          <w:tcPr>
            <w:tcW w:w="1678" w:type="dxa"/>
            <w:shd w:val="clear" w:color="auto" w:fill="auto"/>
          </w:tcPr>
          <w:p w14:paraId="5750EFF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445.68</w:t>
            </w:r>
          </w:p>
        </w:tc>
        <w:tc>
          <w:tcPr>
            <w:tcW w:w="1667" w:type="dxa"/>
            <w:shd w:val="clear" w:color="auto" w:fill="auto"/>
          </w:tcPr>
          <w:p w14:paraId="5713B09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1.29</w:t>
            </w:r>
          </w:p>
        </w:tc>
      </w:tr>
      <w:tr w:rsidR="00D821EF" w14:paraId="716AC3C7"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00A65DE8" w14:textId="77777777" w:rsidR="00D821EF" w:rsidRPr="007E2B4E" w:rsidRDefault="00D821EF" w:rsidP="00D821EF">
            <w:pPr>
              <w:spacing w:before="0" w:after="0"/>
              <w:rPr>
                <w:sz w:val="18"/>
                <w:szCs w:val="18"/>
              </w:rPr>
            </w:pPr>
            <w:r w:rsidRPr="007E2B4E">
              <w:rPr>
                <w:sz w:val="18"/>
                <w:szCs w:val="18"/>
              </w:rPr>
              <w:t>5</w:t>
            </w:r>
          </w:p>
        </w:tc>
        <w:tc>
          <w:tcPr>
            <w:tcW w:w="1764" w:type="dxa"/>
            <w:shd w:val="clear" w:color="auto" w:fill="auto"/>
          </w:tcPr>
          <w:p w14:paraId="096D434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0.53</w:t>
            </w:r>
          </w:p>
        </w:tc>
        <w:tc>
          <w:tcPr>
            <w:tcW w:w="1593" w:type="dxa"/>
            <w:shd w:val="clear" w:color="auto" w:fill="auto"/>
          </w:tcPr>
          <w:p w14:paraId="3FBBDFC1"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0.02</w:t>
            </w:r>
          </w:p>
        </w:tc>
        <w:tc>
          <w:tcPr>
            <w:tcW w:w="1678" w:type="dxa"/>
            <w:shd w:val="clear" w:color="auto" w:fill="auto"/>
          </w:tcPr>
          <w:p w14:paraId="2583BAFB"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454.09</w:t>
            </w:r>
          </w:p>
        </w:tc>
        <w:tc>
          <w:tcPr>
            <w:tcW w:w="1667" w:type="dxa"/>
            <w:shd w:val="clear" w:color="auto" w:fill="auto"/>
          </w:tcPr>
          <w:p w14:paraId="49A8F27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1.31</w:t>
            </w:r>
          </w:p>
        </w:tc>
      </w:tr>
      <w:tr w:rsidR="00D821EF" w14:paraId="4628730B"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27E58F7F" w14:textId="77777777" w:rsidR="00D821EF" w:rsidRPr="007E2B4E" w:rsidRDefault="00D821EF" w:rsidP="00D821EF">
            <w:pPr>
              <w:spacing w:before="0" w:after="0"/>
              <w:rPr>
                <w:sz w:val="18"/>
                <w:szCs w:val="18"/>
              </w:rPr>
            </w:pPr>
            <w:r w:rsidRPr="007E2B4E">
              <w:rPr>
                <w:sz w:val="18"/>
                <w:szCs w:val="18"/>
              </w:rPr>
              <w:t>10</w:t>
            </w:r>
          </w:p>
        </w:tc>
        <w:tc>
          <w:tcPr>
            <w:tcW w:w="1764" w:type="dxa"/>
            <w:shd w:val="clear" w:color="auto" w:fill="auto"/>
          </w:tcPr>
          <w:p w14:paraId="2CBECBB0"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0.52</w:t>
            </w:r>
          </w:p>
        </w:tc>
        <w:tc>
          <w:tcPr>
            <w:tcW w:w="1593" w:type="dxa"/>
            <w:shd w:val="clear" w:color="auto" w:fill="auto"/>
          </w:tcPr>
          <w:p w14:paraId="2E98DC8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0.03</w:t>
            </w:r>
          </w:p>
        </w:tc>
        <w:tc>
          <w:tcPr>
            <w:tcW w:w="1678" w:type="dxa"/>
            <w:shd w:val="clear" w:color="auto" w:fill="auto"/>
          </w:tcPr>
          <w:p w14:paraId="39510CB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447.91</w:t>
            </w:r>
          </w:p>
        </w:tc>
        <w:tc>
          <w:tcPr>
            <w:tcW w:w="1667" w:type="dxa"/>
            <w:shd w:val="clear" w:color="auto" w:fill="auto"/>
          </w:tcPr>
          <w:p w14:paraId="7561DB5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1.29</w:t>
            </w:r>
          </w:p>
        </w:tc>
      </w:tr>
      <w:tr w:rsidR="00D821EF" w14:paraId="51093086"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18D25021"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5758C16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0.48</w:t>
            </w:r>
          </w:p>
        </w:tc>
        <w:tc>
          <w:tcPr>
            <w:tcW w:w="1593" w:type="dxa"/>
            <w:shd w:val="clear" w:color="auto" w:fill="auto"/>
          </w:tcPr>
          <w:p w14:paraId="02FF735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0.10</w:t>
            </w:r>
          </w:p>
        </w:tc>
        <w:tc>
          <w:tcPr>
            <w:tcW w:w="1678" w:type="dxa"/>
            <w:shd w:val="clear" w:color="auto" w:fill="auto"/>
          </w:tcPr>
          <w:p w14:paraId="1CF8A6E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451.61</w:t>
            </w:r>
          </w:p>
        </w:tc>
        <w:tc>
          <w:tcPr>
            <w:tcW w:w="1667" w:type="dxa"/>
            <w:shd w:val="clear" w:color="auto" w:fill="auto"/>
          </w:tcPr>
          <w:p w14:paraId="0A288F2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1.30</w:t>
            </w:r>
          </w:p>
        </w:tc>
      </w:tr>
      <w:tr w:rsidR="00D821EF" w14:paraId="26B4650B"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8975E97" w14:textId="77777777" w:rsidR="00D821EF" w:rsidRPr="007E2B4E" w:rsidRDefault="00D821EF" w:rsidP="00D821EF">
            <w:pPr>
              <w:spacing w:before="0" w:after="0"/>
              <w:rPr>
                <w:sz w:val="18"/>
                <w:szCs w:val="18"/>
              </w:rPr>
            </w:pPr>
            <w:r w:rsidRPr="007E2B4E">
              <w:rPr>
                <w:sz w:val="18"/>
                <w:szCs w:val="18"/>
              </w:rPr>
              <w:t>50</w:t>
            </w:r>
          </w:p>
        </w:tc>
        <w:tc>
          <w:tcPr>
            <w:tcW w:w="1764" w:type="dxa"/>
            <w:shd w:val="clear" w:color="auto" w:fill="auto"/>
          </w:tcPr>
          <w:p w14:paraId="1214C5D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0.27</w:t>
            </w:r>
          </w:p>
        </w:tc>
        <w:tc>
          <w:tcPr>
            <w:tcW w:w="1593" w:type="dxa"/>
            <w:shd w:val="clear" w:color="auto" w:fill="auto"/>
          </w:tcPr>
          <w:p w14:paraId="41F75E3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0.16</w:t>
            </w:r>
          </w:p>
        </w:tc>
        <w:tc>
          <w:tcPr>
            <w:tcW w:w="1678" w:type="dxa"/>
            <w:shd w:val="clear" w:color="auto" w:fill="auto"/>
          </w:tcPr>
          <w:p w14:paraId="49E54C6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441.21</w:t>
            </w:r>
          </w:p>
        </w:tc>
        <w:tc>
          <w:tcPr>
            <w:tcW w:w="1667" w:type="dxa"/>
            <w:shd w:val="clear" w:color="auto" w:fill="auto"/>
          </w:tcPr>
          <w:p w14:paraId="7CB0D3A5"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1.27</w:t>
            </w:r>
          </w:p>
        </w:tc>
      </w:tr>
      <w:tr w:rsidR="00D821EF" w14:paraId="3416C9F7"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71951376" w14:textId="77777777" w:rsidR="00D821EF" w:rsidRPr="007E2B4E" w:rsidRDefault="00D821EF" w:rsidP="00D821EF">
            <w:pPr>
              <w:spacing w:before="0" w:after="0"/>
              <w:rPr>
                <w:sz w:val="18"/>
                <w:szCs w:val="18"/>
              </w:rPr>
            </w:pPr>
            <w:r w:rsidRPr="007E2B4E">
              <w:rPr>
                <w:sz w:val="18"/>
                <w:szCs w:val="18"/>
              </w:rPr>
              <w:t>75</w:t>
            </w:r>
          </w:p>
        </w:tc>
        <w:tc>
          <w:tcPr>
            <w:tcW w:w="1764" w:type="dxa"/>
            <w:shd w:val="clear" w:color="auto" w:fill="auto"/>
          </w:tcPr>
          <w:p w14:paraId="7F18861B"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0.34</w:t>
            </w:r>
          </w:p>
        </w:tc>
        <w:tc>
          <w:tcPr>
            <w:tcW w:w="1593" w:type="dxa"/>
            <w:shd w:val="clear" w:color="auto" w:fill="auto"/>
          </w:tcPr>
          <w:p w14:paraId="6ADDBDE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0.21</w:t>
            </w:r>
          </w:p>
        </w:tc>
        <w:tc>
          <w:tcPr>
            <w:tcW w:w="1678" w:type="dxa"/>
            <w:shd w:val="clear" w:color="auto" w:fill="auto"/>
          </w:tcPr>
          <w:p w14:paraId="57CB501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442.11</w:t>
            </w:r>
          </w:p>
        </w:tc>
        <w:tc>
          <w:tcPr>
            <w:tcW w:w="1667" w:type="dxa"/>
            <w:shd w:val="clear" w:color="auto" w:fill="auto"/>
          </w:tcPr>
          <w:p w14:paraId="2DCD327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1.28</w:t>
            </w:r>
          </w:p>
        </w:tc>
      </w:tr>
      <w:tr w:rsidR="00D821EF" w14:paraId="5A470B95"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94ED96D" w14:textId="77777777" w:rsidR="00D821EF" w:rsidRPr="007E2B4E" w:rsidRDefault="00D821EF" w:rsidP="00D821EF">
            <w:pPr>
              <w:spacing w:before="0" w:after="0"/>
              <w:rPr>
                <w:sz w:val="18"/>
                <w:szCs w:val="18"/>
              </w:rPr>
            </w:pPr>
            <w:r w:rsidRPr="007E2B4E">
              <w:rPr>
                <w:sz w:val="18"/>
                <w:szCs w:val="18"/>
              </w:rPr>
              <w:t>100</w:t>
            </w:r>
          </w:p>
        </w:tc>
        <w:tc>
          <w:tcPr>
            <w:tcW w:w="1764" w:type="dxa"/>
            <w:shd w:val="clear" w:color="auto" w:fill="auto"/>
          </w:tcPr>
          <w:p w14:paraId="10F81C7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0.33</w:t>
            </w:r>
          </w:p>
        </w:tc>
        <w:tc>
          <w:tcPr>
            <w:tcW w:w="1593" w:type="dxa"/>
            <w:shd w:val="clear" w:color="auto" w:fill="auto"/>
          </w:tcPr>
          <w:p w14:paraId="1969C4D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0.30</w:t>
            </w:r>
          </w:p>
        </w:tc>
        <w:tc>
          <w:tcPr>
            <w:tcW w:w="1678" w:type="dxa"/>
            <w:shd w:val="clear" w:color="auto" w:fill="auto"/>
          </w:tcPr>
          <w:p w14:paraId="09B17FB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437.24</w:t>
            </w:r>
          </w:p>
        </w:tc>
        <w:tc>
          <w:tcPr>
            <w:tcW w:w="1667" w:type="dxa"/>
            <w:shd w:val="clear" w:color="auto" w:fill="auto"/>
          </w:tcPr>
          <w:p w14:paraId="797D62DF"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1.26</w:t>
            </w:r>
          </w:p>
        </w:tc>
      </w:tr>
      <w:tr w:rsidR="00D821EF" w14:paraId="1F0EA827"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729435A8" w14:textId="77777777" w:rsidR="00D821EF" w:rsidRPr="007E2B4E" w:rsidRDefault="00D821EF" w:rsidP="00D821EF">
            <w:pPr>
              <w:spacing w:before="0" w:after="0"/>
              <w:rPr>
                <w:sz w:val="18"/>
                <w:szCs w:val="18"/>
              </w:rPr>
            </w:pPr>
            <w:r>
              <w:rPr>
                <w:sz w:val="18"/>
                <w:szCs w:val="18"/>
              </w:rPr>
              <w:t>200</w:t>
            </w:r>
          </w:p>
        </w:tc>
        <w:tc>
          <w:tcPr>
            <w:tcW w:w="1764" w:type="dxa"/>
            <w:shd w:val="clear" w:color="auto" w:fill="auto"/>
          </w:tcPr>
          <w:p w14:paraId="3ADB68C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0.98</w:t>
            </w:r>
          </w:p>
        </w:tc>
        <w:tc>
          <w:tcPr>
            <w:tcW w:w="1593" w:type="dxa"/>
            <w:shd w:val="clear" w:color="auto" w:fill="auto"/>
          </w:tcPr>
          <w:p w14:paraId="0E4EEF1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0.17</w:t>
            </w:r>
          </w:p>
        </w:tc>
        <w:tc>
          <w:tcPr>
            <w:tcW w:w="1678" w:type="dxa"/>
            <w:shd w:val="clear" w:color="auto" w:fill="auto"/>
          </w:tcPr>
          <w:p w14:paraId="0535F3B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449.61</w:t>
            </w:r>
          </w:p>
        </w:tc>
        <w:tc>
          <w:tcPr>
            <w:tcW w:w="1667" w:type="dxa"/>
            <w:shd w:val="clear" w:color="auto" w:fill="auto"/>
          </w:tcPr>
          <w:p w14:paraId="01D337C1"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1.30</w:t>
            </w:r>
          </w:p>
        </w:tc>
      </w:tr>
    </w:tbl>
    <w:p w14:paraId="1055AD20" w14:textId="77777777" w:rsidR="00D821EF" w:rsidRDefault="00D821EF" w:rsidP="008C2B83">
      <w:pPr>
        <w:pStyle w:val="Caption"/>
        <w:keepNext/>
      </w:pPr>
    </w:p>
    <w:p w14:paraId="41DF5DA5"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28</w:t>
        </w:r>
      </w:fldSimple>
      <w:r>
        <w:t xml:space="preserve">. </w:t>
      </w:r>
      <w:r w:rsidR="00FB0CA1">
        <w:t>Data</w:t>
      </w:r>
      <w:r>
        <w:t xml:space="preserve"> </w:t>
      </w:r>
      <w:r w:rsidR="00BB68F0">
        <w:t>values</w:t>
      </w:r>
      <w:r>
        <w:t xml:space="preserve"> of 0.5 g/L myoglobin pH 8 </w:t>
      </w:r>
      <w:r w:rsidR="00BB68F0">
        <w:t>in presence of various concentrations of</w:t>
      </w:r>
      <w:r>
        <w:t xml:space="preserve"> histidine</w:t>
      </w:r>
    </w:p>
    <w:tbl>
      <w:tblPr>
        <w:tblStyle w:val="LightShading"/>
        <w:tblW w:w="5000" w:type="pct"/>
        <w:tblLook w:val="04A0" w:firstRow="1" w:lastRow="0" w:firstColumn="1" w:lastColumn="0" w:noHBand="0" w:noVBand="1"/>
      </w:tblPr>
      <w:tblGrid>
        <w:gridCol w:w="2469"/>
        <w:gridCol w:w="2159"/>
        <w:gridCol w:w="2053"/>
        <w:gridCol w:w="2039"/>
      </w:tblGrid>
      <w:tr w:rsidR="00D821EF" w14:paraId="470EF427"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3118658C" w14:textId="77777777" w:rsidR="00D821EF" w:rsidRPr="007E2B4E" w:rsidRDefault="00D821EF" w:rsidP="00D821EF">
            <w:pPr>
              <w:spacing w:before="0" w:after="0"/>
              <w:rPr>
                <w:sz w:val="18"/>
                <w:szCs w:val="18"/>
              </w:rPr>
            </w:pPr>
            <w:r w:rsidRPr="007E2B4E">
              <w:rPr>
                <w:sz w:val="18"/>
                <w:szCs w:val="18"/>
              </w:rPr>
              <w:t>Concentration (mM)</w:t>
            </w:r>
          </w:p>
        </w:tc>
        <w:tc>
          <w:tcPr>
            <w:tcW w:w="1238" w:type="pct"/>
            <w:shd w:val="clear" w:color="auto" w:fill="auto"/>
          </w:tcPr>
          <w:p w14:paraId="0FFC8733"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(°C)</w:t>
            </w:r>
          </w:p>
        </w:tc>
        <w:tc>
          <w:tcPr>
            <w:tcW w:w="1177" w:type="pct"/>
            <w:shd w:val="clear" w:color="auto" w:fill="auto"/>
          </w:tcPr>
          <w:p w14:paraId="65DB731C"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ΔH (kJ mol</w:t>
            </w:r>
            <w:r w:rsidRPr="007E2B4E">
              <w:rPr>
                <w:sz w:val="18"/>
                <w:szCs w:val="18"/>
                <w:vertAlign w:val="superscript"/>
              </w:rPr>
              <w:t>-1</w:t>
            </w:r>
            <w:r>
              <w:rPr>
                <w:sz w:val="18"/>
                <w:szCs w:val="18"/>
              </w:rPr>
              <w:t>)</w:t>
            </w:r>
          </w:p>
        </w:tc>
        <w:tc>
          <w:tcPr>
            <w:tcW w:w="1169" w:type="pct"/>
            <w:shd w:val="clear" w:color="auto" w:fill="auto"/>
          </w:tcPr>
          <w:p w14:paraId="2EDBF33B"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ΔS (kJ mol</w:t>
            </w:r>
            <w:r w:rsidRPr="007E2B4E">
              <w:rPr>
                <w:sz w:val="18"/>
                <w:szCs w:val="18"/>
                <w:vertAlign w:val="superscript"/>
              </w:rPr>
              <w:t>-1</w:t>
            </w:r>
            <w:r w:rsidRPr="007E2B4E">
              <w:rPr>
                <w:sz w:val="18"/>
                <w:szCs w:val="18"/>
              </w:rPr>
              <w:t xml:space="preserve"> K</w:t>
            </w:r>
            <w:r w:rsidRPr="007E2B4E">
              <w:rPr>
                <w:sz w:val="18"/>
                <w:szCs w:val="18"/>
                <w:vertAlign w:val="superscript"/>
              </w:rPr>
              <w:t>-1</w:t>
            </w:r>
            <w:r>
              <w:rPr>
                <w:sz w:val="18"/>
                <w:szCs w:val="18"/>
              </w:rPr>
              <w:t>)</w:t>
            </w:r>
          </w:p>
        </w:tc>
      </w:tr>
      <w:tr w:rsidR="00D821EF" w14:paraId="1C26D5F5"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23B94E37" w14:textId="77777777" w:rsidR="00D821EF" w:rsidRPr="007E2B4E" w:rsidRDefault="00D821EF" w:rsidP="00D821EF">
            <w:pPr>
              <w:spacing w:before="0" w:after="0"/>
              <w:rPr>
                <w:sz w:val="18"/>
                <w:szCs w:val="18"/>
              </w:rPr>
            </w:pPr>
            <w:r w:rsidRPr="007E2B4E">
              <w:rPr>
                <w:sz w:val="18"/>
                <w:szCs w:val="18"/>
              </w:rPr>
              <w:t>0.5</w:t>
            </w:r>
          </w:p>
        </w:tc>
        <w:tc>
          <w:tcPr>
            <w:tcW w:w="1238" w:type="pct"/>
            <w:shd w:val="clear" w:color="auto" w:fill="auto"/>
          </w:tcPr>
          <w:p w14:paraId="16FA69D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-2.08</w:t>
            </w:r>
          </w:p>
        </w:tc>
        <w:tc>
          <w:tcPr>
            <w:tcW w:w="1177" w:type="pct"/>
            <w:shd w:val="clear" w:color="auto" w:fill="auto"/>
          </w:tcPr>
          <w:p w14:paraId="1FBB89D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1183.95</w:t>
            </w:r>
          </w:p>
        </w:tc>
        <w:tc>
          <w:tcPr>
            <w:tcW w:w="1169" w:type="pct"/>
            <w:shd w:val="clear" w:color="auto" w:fill="auto"/>
          </w:tcPr>
          <w:p w14:paraId="78A2E48C"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3.35</w:t>
            </w:r>
          </w:p>
        </w:tc>
      </w:tr>
      <w:tr w:rsidR="00D821EF" w14:paraId="459A4994"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18EADEAA" w14:textId="77777777" w:rsidR="00D821EF" w:rsidRPr="007E2B4E" w:rsidRDefault="00D821EF" w:rsidP="00D821EF">
            <w:pPr>
              <w:spacing w:before="0" w:after="0"/>
              <w:rPr>
                <w:sz w:val="18"/>
                <w:szCs w:val="18"/>
              </w:rPr>
            </w:pPr>
            <w:r w:rsidRPr="007E2B4E">
              <w:rPr>
                <w:sz w:val="18"/>
                <w:szCs w:val="18"/>
              </w:rPr>
              <w:t>1</w:t>
            </w:r>
          </w:p>
        </w:tc>
        <w:tc>
          <w:tcPr>
            <w:tcW w:w="1238" w:type="pct"/>
            <w:shd w:val="clear" w:color="auto" w:fill="auto"/>
          </w:tcPr>
          <w:p w14:paraId="056CDE4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-2.08</w:t>
            </w:r>
          </w:p>
        </w:tc>
        <w:tc>
          <w:tcPr>
            <w:tcW w:w="1177" w:type="pct"/>
            <w:shd w:val="clear" w:color="auto" w:fill="auto"/>
          </w:tcPr>
          <w:p w14:paraId="3C97037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1225.39</w:t>
            </w:r>
          </w:p>
        </w:tc>
        <w:tc>
          <w:tcPr>
            <w:tcW w:w="1169" w:type="pct"/>
            <w:shd w:val="clear" w:color="auto" w:fill="auto"/>
          </w:tcPr>
          <w:p w14:paraId="086C80E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3.47</w:t>
            </w:r>
          </w:p>
        </w:tc>
      </w:tr>
      <w:tr w:rsidR="00D821EF" w14:paraId="5AEA3170"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4B0591ED" w14:textId="77777777" w:rsidR="00D821EF" w:rsidRPr="007E2B4E" w:rsidRDefault="00D821EF" w:rsidP="00D821EF">
            <w:pPr>
              <w:spacing w:before="0" w:after="0"/>
              <w:rPr>
                <w:sz w:val="18"/>
                <w:szCs w:val="18"/>
              </w:rPr>
            </w:pPr>
            <w:r w:rsidRPr="007E2B4E">
              <w:rPr>
                <w:sz w:val="18"/>
                <w:szCs w:val="18"/>
              </w:rPr>
              <w:t>2.5</w:t>
            </w:r>
          </w:p>
        </w:tc>
        <w:tc>
          <w:tcPr>
            <w:tcW w:w="1238" w:type="pct"/>
            <w:shd w:val="clear" w:color="auto" w:fill="auto"/>
          </w:tcPr>
          <w:p w14:paraId="2FBBFEC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-2.06</w:t>
            </w:r>
          </w:p>
        </w:tc>
        <w:tc>
          <w:tcPr>
            <w:tcW w:w="1177" w:type="pct"/>
            <w:shd w:val="clear" w:color="auto" w:fill="auto"/>
          </w:tcPr>
          <w:p w14:paraId="5A2ABFCF"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1215.57</w:t>
            </w:r>
          </w:p>
        </w:tc>
        <w:tc>
          <w:tcPr>
            <w:tcW w:w="1169" w:type="pct"/>
            <w:shd w:val="clear" w:color="auto" w:fill="auto"/>
          </w:tcPr>
          <w:p w14:paraId="350D510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3.44</w:t>
            </w:r>
          </w:p>
        </w:tc>
      </w:tr>
      <w:tr w:rsidR="00D821EF" w14:paraId="0F2EBA1E"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657782DB" w14:textId="77777777" w:rsidR="00D821EF" w:rsidRPr="007E2B4E" w:rsidRDefault="00D821EF" w:rsidP="00D821EF">
            <w:pPr>
              <w:spacing w:before="0" w:after="0"/>
              <w:rPr>
                <w:sz w:val="18"/>
                <w:szCs w:val="18"/>
              </w:rPr>
            </w:pPr>
            <w:r w:rsidRPr="007E2B4E">
              <w:rPr>
                <w:sz w:val="18"/>
                <w:szCs w:val="18"/>
              </w:rPr>
              <w:t>5</w:t>
            </w:r>
          </w:p>
        </w:tc>
        <w:tc>
          <w:tcPr>
            <w:tcW w:w="1238" w:type="pct"/>
            <w:shd w:val="clear" w:color="auto" w:fill="auto"/>
          </w:tcPr>
          <w:p w14:paraId="34E3FE5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-1.83</w:t>
            </w:r>
          </w:p>
        </w:tc>
        <w:tc>
          <w:tcPr>
            <w:tcW w:w="1177" w:type="pct"/>
            <w:shd w:val="clear" w:color="auto" w:fill="auto"/>
          </w:tcPr>
          <w:p w14:paraId="29A180A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1183.22</w:t>
            </w:r>
          </w:p>
        </w:tc>
        <w:tc>
          <w:tcPr>
            <w:tcW w:w="1169" w:type="pct"/>
            <w:shd w:val="clear" w:color="auto" w:fill="auto"/>
          </w:tcPr>
          <w:p w14:paraId="33D1B58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3.35</w:t>
            </w:r>
          </w:p>
        </w:tc>
      </w:tr>
      <w:tr w:rsidR="00D821EF" w14:paraId="46390440"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0EA6C6DA" w14:textId="77777777" w:rsidR="00D821EF" w:rsidRPr="007E2B4E" w:rsidRDefault="00D821EF" w:rsidP="00D821EF">
            <w:pPr>
              <w:spacing w:before="0" w:after="0"/>
              <w:rPr>
                <w:sz w:val="18"/>
                <w:szCs w:val="18"/>
              </w:rPr>
            </w:pPr>
            <w:r w:rsidRPr="007E2B4E">
              <w:rPr>
                <w:sz w:val="18"/>
                <w:szCs w:val="18"/>
              </w:rPr>
              <w:t>10</w:t>
            </w:r>
          </w:p>
        </w:tc>
        <w:tc>
          <w:tcPr>
            <w:tcW w:w="1238" w:type="pct"/>
            <w:shd w:val="clear" w:color="auto" w:fill="auto"/>
          </w:tcPr>
          <w:p w14:paraId="2F27444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-1.80</w:t>
            </w:r>
          </w:p>
        </w:tc>
        <w:tc>
          <w:tcPr>
            <w:tcW w:w="1177" w:type="pct"/>
            <w:shd w:val="clear" w:color="auto" w:fill="auto"/>
          </w:tcPr>
          <w:p w14:paraId="107342A5"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1211.44</w:t>
            </w:r>
          </w:p>
        </w:tc>
        <w:tc>
          <w:tcPr>
            <w:tcW w:w="1169" w:type="pct"/>
            <w:shd w:val="clear" w:color="auto" w:fill="auto"/>
          </w:tcPr>
          <w:p w14:paraId="30D0682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3.43</w:t>
            </w:r>
          </w:p>
        </w:tc>
      </w:tr>
      <w:tr w:rsidR="00D821EF" w14:paraId="119D731D"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1464E1CC" w14:textId="77777777" w:rsidR="00D821EF" w:rsidRPr="007E2B4E" w:rsidRDefault="00D821EF" w:rsidP="00D821EF">
            <w:pPr>
              <w:spacing w:before="0" w:after="0"/>
              <w:rPr>
                <w:sz w:val="18"/>
                <w:szCs w:val="18"/>
              </w:rPr>
            </w:pPr>
            <w:r w:rsidRPr="007E2B4E">
              <w:rPr>
                <w:sz w:val="18"/>
                <w:szCs w:val="18"/>
              </w:rPr>
              <w:t>25</w:t>
            </w:r>
          </w:p>
        </w:tc>
        <w:tc>
          <w:tcPr>
            <w:tcW w:w="1238" w:type="pct"/>
            <w:shd w:val="clear" w:color="auto" w:fill="auto"/>
          </w:tcPr>
          <w:p w14:paraId="7D36FAB7"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-1.90</w:t>
            </w:r>
          </w:p>
        </w:tc>
        <w:tc>
          <w:tcPr>
            <w:tcW w:w="1177" w:type="pct"/>
            <w:shd w:val="clear" w:color="auto" w:fill="auto"/>
          </w:tcPr>
          <w:p w14:paraId="413D33B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1190.57</w:t>
            </w:r>
          </w:p>
        </w:tc>
        <w:tc>
          <w:tcPr>
            <w:tcW w:w="1169" w:type="pct"/>
            <w:shd w:val="clear" w:color="auto" w:fill="auto"/>
          </w:tcPr>
          <w:p w14:paraId="63F6E43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3.37</w:t>
            </w:r>
          </w:p>
        </w:tc>
      </w:tr>
      <w:tr w:rsidR="00D821EF" w14:paraId="24F27425"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6055D94E" w14:textId="77777777" w:rsidR="00D821EF" w:rsidRPr="007E2B4E" w:rsidRDefault="00D821EF" w:rsidP="00D821EF">
            <w:pPr>
              <w:spacing w:before="0" w:after="0"/>
              <w:rPr>
                <w:sz w:val="18"/>
                <w:szCs w:val="18"/>
              </w:rPr>
            </w:pPr>
            <w:r w:rsidRPr="007E2B4E">
              <w:rPr>
                <w:sz w:val="18"/>
                <w:szCs w:val="18"/>
              </w:rPr>
              <w:t>50</w:t>
            </w:r>
          </w:p>
        </w:tc>
        <w:tc>
          <w:tcPr>
            <w:tcW w:w="1238" w:type="pct"/>
            <w:shd w:val="clear" w:color="auto" w:fill="auto"/>
          </w:tcPr>
          <w:p w14:paraId="587E60E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-1.98</w:t>
            </w:r>
          </w:p>
        </w:tc>
        <w:tc>
          <w:tcPr>
            <w:tcW w:w="1177" w:type="pct"/>
            <w:shd w:val="clear" w:color="auto" w:fill="auto"/>
          </w:tcPr>
          <w:p w14:paraId="0358300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1252.58</w:t>
            </w:r>
          </w:p>
        </w:tc>
        <w:tc>
          <w:tcPr>
            <w:tcW w:w="1169" w:type="pct"/>
            <w:shd w:val="clear" w:color="auto" w:fill="auto"/>
          </w:tcPr>
          <w:p w14:paraId="693803B0"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3.55</w:t>
            </w:r>
          </w:p>
        </w:tc>
      </w:tr>
      <w:tr w:rsidR="00D821EF" w14:paraId="6FD03D13"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045E76ED" w14:textId="77777777" w:rsidR="00D821EF" w:rsidRPr="007E2B4E" w:rsidRDefault="00D821EF" w:rsidP="00D821EF">
            <w:pPr>
              <w:spacing w:before="0" w:after="0"/>
              <w:rPr>
                <w:sz w:val="18"/>
                <w:szCs w:val="18"/>
              </w:rPr>
            </w:pPr>
            <w:r w:rsidRPr="007E2B4E">
              <w:rPr>
                <w:sz w:val="18"/>
                <w:szCs w:val="18"/>
              </w:rPr>
              <w:t>75</w:t>
            </w:r>
          </w:p>
        </w:tc>
        <w:tc>
          <w:tcPr>
            <w:tcW w:w="1238" w:type="pct"/>
            <w:shd w:val="clear" w:color="auto" w:fill="auto"/>
          </w:tcPr>
          <w:p w14:paraId="3705208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-1.98</w:t>
            </w:r>
          </w:p>
        </w:tc>
        <w:tc>
          <w:tcPr>
            <w:tcW w:w="1177" w:type="pct"/>
            <w:shd w:val="clear" w:color="auto" w:fill="auto"/>
          </w:tcPr>
          <w:p w14:paraId="5ABD2731"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1248.02</w:t>
            </w:r>
          </w:p>
        </w:tc>
        <w:tc>
          <w:tcPr>
            <w:tcW w:w="1169" w:type="pct"/>
            <w:shd w:val="clear" w:color="auto" w:fill="auto"/>
          </w:tcPr>
          <w:p w14:paraId="2595685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3.53</w:t>
            </w:r>
          </w:p>
        </w:tc>
      </w:tr>
      <w:tr w:rsidR="00D821EF" w14:paraId="07D3BC90"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22C3E496" w14:textId="77777777" w:rsidR="00D821EF" w:rsidRPr="007E2B4E" w:rsidRDefault="00D821EF" w:rsidP="00D821EF">
            <w:pPr>
              <w:spacing w:before="0" w:after="0"/>
              <w:rPr>
                <w:sz w:val="18"/>
                <w:szCs w:val="18"/>
              </w:rPr>
            </w:pPr>
            <w:r w:rsidRPr="007E2B4E">
              <w:rPr>
                <w:sz w:val="18"/>
                <w:szCs w:val="18"/>
              </w:rPr>
              <w:t>100</w:t>
            </w:r>
          </w:p>
        </w:tc>
        <w:tc>
          <w:tcPr>
            <w:tcW w:w="1238" w:type="pct"/>
            <w:shd w:val="clear" w:color="auto" w:fill="auto"/>
          </w:tcPr>
          <w:p w14:paraId="50250A8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-2.01</w:t>
            </w:r>
          </w:p>
        </w:tc>
        <w:tc>
          <w:tcPr>
            <w:tcW w:w="1177" w:type="pct"/>
            <w:shd w:val="clear" w:color="auto" w:fill="auto"/>
          </w:tcPr>
          <w:p w14:paraId="38110A0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1262.54</w:t>
            </w:r>
          </w:p>
        </w:tc>
        <w:tc>
          <w:tcPr>
            <w:tcW w:w="1169" w:type="pct"/>
            <w:shd w:val="clear" w:color="auto" w:fill="auto"/>
          </w:tcPr>
          <w:p w14:paraId="00BA582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3.58</w:t>
            </w:r>
          </w:p>
        </w:tc>
      </w:tr>
      <w:tr w:rsidR="00D821EF" w14:paraId="22AF7887"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60F59A3B" w14:textId="77777777" w:rsidR="00D821EF" w:rsidRPr="007E2B4E" w:rsidRDefault="00D821EF" w:rsidP="00D821EF">
            <w:pPr>
              <w:spacing w:before="0" w:after="0"/>
              <w:rPr>
                <w:sz w:val="18"/>
                <w:szCs w:val="18"/>
              </w:rPr>
            </w:pPr>
            <w:r>
              <w:rPr>
                <w:sz w:val="18"/>
                <w:szCs w:val="18"/>
              </w:rPr>
              <w:t>200</w:t>
            </w:r>
          </w:p>
        </w:tc>
        <w:tc>
          <w:tcPr>
            <w:tcW w:w="1238" w:type="pct"/>
            <w:shd w:val="clear" w:color="auto" w:fill="auto"/>
          </w:tcPr>
          <w:p w14:paraId="492ABE6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-2.16</w:t>
            </w:r>
          </w:p>
        </w:tc>
        <w:tc>
          <w:tcPr>
            <w:tcW w:w="1177" w:type="pct"/>
            <w:shd w:val="clear" w:color="auto" w:fill="auto"/>
          </w:tcPr>
          <w:p w14:paraId="07D8873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1241.82</w:t>
            </w:r>
          </w:p>
        </w:tc>
        <w:tc>
          <w:tcPr>
            <w:tcW w:w="1169" w:type="pct"/>
            <w:shd w:val="clear" w:color="auto" w:fill="auto"/>
          </w:tcPr>
          <w:p w14:paraId="18C6EE4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3.52</w:t>
            </w:r>
          </w:p>
        </w:tc>
      </w:tr>
    </w:tbl>
    <w:p w14:paraId="40AF9402" w14:textId="77777777" w:rsidR="00D821EF" w:rsidRDefault="00D821EF" w:rsidP="008C2B83">
      <w:pPr>
        <w:pStyle w:val="Caption"/>
        <w:keepNext/>
      </w:pPr>
    </w:p>
    <w:p w14:paraId="2ACDD6B6"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29</w:t>
        </w:r>
      </w:fldSimple>
      <w:r>
        <w:t xml:space="preserve">. </w:t>
      </w:r>
      <w:r w:rsidR="00BB68F0">
        <w:t>Data values of 1 g/L BSA 10 mM sodium octanoate pH 7 in presence of various concentrations of imidazole n=3</w:t>
      </w:r>
    </w:p>
    <w:tbl>
      <w:tblPr>
        <w:tblStyle w:val="LightShading"/>
        <w:tblW w:w="0" w:type="auto"/>
        <w:tblLook w:val="04A0" w:firstRow="1" w:lastRow="0" w:firstColumn="1" w:lastColumn="0" w:noHBand="0" w:noVBand="1"/>
      </w:tblPr>
      <w:tblGrid>
        <w:gridCol w:w="2018"/>
        <w:gridCol w:w="1764"/>
        <w:gridCol w:w="1593"/>
        <w:gridCol w:w="1678"/>
        <w:gridCol w:w="1667"/>
      </w:tblGrid>
      <w:tr w:rsidR="00D821EF" w14:paraId="295ED77A"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35B2D09F" w14:textId="77777777" w:rsidR="00D821EF" w:rsidRPr="007E2B4E" w:rsidRDefault="00D821EF" w:rsidP="00D821EF">
            <w:pPr>
              <w:spacing w:before="0" w:after="0"/>
              <w:rPr>
                <w:sz w:val="18"/>
                <w:szCs w:val="18"/>
              </w:rPr>
            </w:pPr>
            <w:r w:rsidRPr="007E2B4E">
              <w:rPr>
                <w:sz w:val="18"/>
                <w:szCs w:val="18"/>
              </w:rPr>
              <w:t>Concentration (mM)</w:t>
            </w:r>
          </w:p>
        </w:tc>
        <w:tc>
          <w:tcPr>
            <w:tcW w:w="1764" w:type="dxa"/>
            <w:shd w:val="clear" w:color="auto" w:fill="auto"/>
          </w:tcPr>
          <w:p w14:paraId="27FA28B3"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mean (°C)</w:t>
            </w:r>
          </w:p>
        </w:tc>
        <w:tc>
          <w:tcPr>
            <w:tcW w:w="1593" w:type="dxa"/>
            <w:shd w:val="clear" w:color="auto" w:fill="auto"/>
          </w:tcPr>
          <w:p w14:paraId="42F812B3"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SE</w:t>
            </w:r>
          </w:p>
        </w:tc>
        <w:tc>
          <w:tcPr>
            <w:tcW w:w="1678" w:type="dxa"/>
            <w:shd w:val="clear" w:color="auto" w:fill="auto"/>
          </w:tcPr>
          <w:p w14:paraId="41F2354B"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ΔH (kJ mol</w:t>
            </w:r>
            <w:r w:rsidRPr="007E2B4E">
              <w:rPr>
                <w:sz w:val="18"/>
                <w:szCs w:val="18"/>
                <w:vertAlign w:val="superscript"/>
              </w:rPr>
              <w:t>-1</w:t>
            </w:r>
            <w:r w:rsidRPr="007E2B4E">
              <w:rPr>
                <w:sz w:val="18"/>
                <w:szCs w:val="18"/>
              </w:rPr>
              <w:t>) mean</w:t>
            </w:r>
          </w:p>
        </w:tc>
        <w:tc>
          <w:tcPr>
            <w:tcW w:w="1667" w:type="dxa"/>
            <w:shd w:val="clear" w:color="auto" w:fill="auto"/>
          </w:tcPr>
          <w:p w14:paraId="03F3570A"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ΔS (kJ mol</w:t>
            </w:r>
            <w:r w:rsidRPr="007E2B4E">
              <w:rPr>
                <w:sz w:val="18"/>
                <w:szCs w:val="18"/>
                <w:vertAlign w:val="superscript"/>
              </w:rPr>
              <w:t>-1</w:t>
            </w:r>
            <w:r w:rsidRPr="007E2B4E">
              <w:rPr>
                <w:sz w:val="18"/>
                <w:szCs w:val="18"/>
              </w:rPr>
              <w:t xml:space="preserve"> K</w:t>
            </w:r>
            <w:r w:rsidRPr="007E2B4E">
              <w:rPr>
                <w:sz w:val="18"/>
                <w:szCs w:val="18"/>
                <w:vertAlign w:val="superscript"/>
              </w:rPr>
              <w:t>-1</w:t>
            </w:r>
            <w:r w:rsidRPr="007E2B4E">
              <w:rPr>
                <w:sz w:val="18"/>
                <w:szCs w:val="18"/>
              </w:rPr>
              <w:t>) mean</w:t>
            </w:r>
          </w:p>
        </w:tc>
      </w:tr>
      <w:tr w:rsidR="00D821EF" w14:paraId="2980262E"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367D29AE" w14:textId="77777777" w:rsidR="00D821EF" w:rsidRPr="007E2B4E" w:rsidRDefault="00D821EF" w:rsidP="00D821EF">
            <w:pPr>
              <w:spacing w:before="0" w:after="0"/>
              <w:rPr>
                <w:sz w:val="18"/>
                <w:szCs w:val="18"/>
              </w:rPr>
            </w:pPr>
            <w:r w:rsidRPr="007E2B4E">
              <w:rPr>
                <w:sz w:val="18"/>
                <w:szCs w:val="18"/>
              </w:rPr>
              <w:t>0.5</w:t>
            </w:r>
          </w:p>
        </w:tc>
        <w:tc>
          <w:tcPr>
            <w:tcW w:w="1764" w:type="dxa"/>
            <w:shd w:val="clear" w:color="auto" w:fill="auto"/>
          </w:tcPr>
          <w:p w14:paraId="7AB4C130"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1.60</w:t>
            </w:r>
          </w:p>
        </w:tc>
        <w:tc>
          <w:tcPr>
            <w:tcW w:w="1593" w:type="dxa"/>
            <w:shd w:val="clear" w:color="auto" w:fill="auto"/>
          </w:tcPr>
          <w:p w14:paraId="03644B7F"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0.64</w:t>
            </w:r>
          </w:p>
        </w:tc>
        <w:tc>
          <w:tcPr>
            <w:tcW w:w="1678" w:type="dxa"/>
            <w:shd w:val="clear" w:color="auto" w:fill="auto"/>
          </w:tcPr>
          <w:p w14:paraId="39B100C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1302.05</w:t>
            </w:r>
          </w:p>
        </w:tc>
        <w:tc>
          <w:tcPr>
            <w:tcW w:w="1667" w:type="dxa"/>
            <w:shd w:val="clear" w:color="auto" w:fill="auto"/>
          </w:tcPr>
          <w:p w14:paraId="5676E01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3.65</w:t>
            </w:r>
          </w:p>
        </w:tc>
      </w:tr>
      <w:tr w:rsidR="00D821EF" w14:paraId="7B237495"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3445794B" w14:textId="77777777" w:rsidR="00D821EF" w:rsidRPr="007E2B4E" w:rsidRDefault="00D821EF" w:rsidP="00D821EF">
            <w:pPr>
              <w:spacing w:before="0" w:after="0"/>
              <w:rPr>
                <w:sz w:val="18"/>
                <w:szCs w:val="18"/>
              </w:rPr>
            </w:pPr>
            <w:r w:rsidRPr="007E2B4E">
              <w:rPr>
                <w:sz w:val="18"/>
                <w:szCs w:val="18"/>
              </w:rPr>
              <w:t>1</w:t>
            </w:r>
          </w:p>
        </w:tc>
        <w:tc>
          <w:tcPr>
            <w:tcW w:w="1764" w:type="dxa"/>
            <w:shd w:val="clear" w:color="auto" w:fill="auto"/>
          </w:tcPr>
          <w:p w14:paraId="684B1021"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1.82</w:t>
            </w:r>
          </w:p>
        </w:tc>
        <w:tc>
          <w:tcPr>
            <w:tcW w:w="1593" w:type="dxa"/>
            <w:shd w:val="clear" w:color="auto" w:fill="auto"/>
          </w:tcPr>
          <w:p w14:paraId="22B6B2A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0.55</w:t>
            </w:r>
          </w:p>
        </w:tc>
        <w:tc>
          <w:tcPr>
            <w:tcW w:w="1678" w:type="dxa"/>
            <w:shd w:val="clear" w:color="auto" w:fill="auto"/>
          </w:tcPr>
          <w:p w14:paraId="55F19E3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1111.52</w:t>
            </w:r>
          </w:p>
        </w:tc>
        <w:tc>
          <w:tcPr>
            <w:tcW w:w="1667" w:type="dxa"/>
            <w:shd w:val="clear" w:color="auto" w:fill="auto"/>
          </w:tcPr>
          <w:p w14:paraId="315092FB"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3.11</w:t>
            </w:r>
          </w:p>
        </w:tc>
      </w:tr>
      <w:tr w:rsidR="00D821EF" w14:paraId="0BCBC811"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1A3C6A52"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1AC79EB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1.81</w:t>
            </w:r>
          </w:p>
        </w:tc>
        <w:tc>
          <w:tcPr>
            <w:tcW w:w="1593" w:type="dxa"/>
            <w:shd w:val="clear" w:color="auto" w:fill="auto"/>
          </w:tcPr>
          <w:p w14:paraId="77216F0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0.78</w:t>
            </w:r>
          </w:p>
        </w:tc>
        <w:tc>
          <w:tcPr>
            <w:tcW w:w="1678" w:type="dxa"/>
            <w:shd w:val="clear" w:color="auto" w:fill="auto"/>
          </w:tcPr>
          <w:p w14:paraId="58AE675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1365.43</w:t>
            </w:r>
          </w:p>
        </w:tc>
        <w:tc>
          <w:tcPr>
            <w:tcW w:w="1667" w:type="dxa"/>
            <w:shd w:val="clear" w:color="auto" w:fill="auto"/>
          </w:tcPr>
          <w:p w14:paraId="35BF6D2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3.82</w:t>
            </w:r>
          </w:p>
        </w:tc>
      </w:tr>
      <w:tr w:rsidR="00D821EF" w14:paraId="7DF1BD3A"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23C6E58E" w14:textId="77777777" w:rsidR="00D821EF" w:rsidRPr="007E2B4E" w:rsidRDefault="00D821EF" w:rsidP="00D821EF">
            <w:pPr>
              <w:spacing w:before="0" w:after="0"/>
              <w:rPr>
                <w:sz w:val="18"/>
                <w:szCs w:val="18"/>
              </w:rPr>
            </w:pPr>
            <w:r w:rsidRPr="007E2B4E">
              <w:rPr>
                <w:sz w:val="18"/>
                <w:szCs w:val="18"/>
              </w:rPr>
              <w:t>5</w:t>
            </w:r>
          </w:p>
        </w:tc>
        <w:tc>
          <w:tcPr>
            <w:tcW w:w="1764" w:type="dxa"/>
            <w:shd w:val="clear" w:color="auto" w:fill="auto"/>
          </w:tcPr>
          <w:p w14:paraId="206146F7"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2.64</w:t>
            </w:r>
          </w:p>
        </w:tc>
        <w:tc>
          <w:tcPr>
            <w:tcW w:w="1593" w:type="dxa"/>
            <w:shd w:val="clear" w:color="auto" w:fill="auto"/>
          </w:tcPr>
          <w:p w14:paraId="4EEC250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0.35</w:t>
            </w:r>
          </w:p>
        </w:tc>
        <w:tc>
          <w:tcPr>
            <w:tcW w:w="1678" w:type="dxa"/>
            <w:shd w:val="clear" w:color="auto" w:fill="auto"/>
          </w:tcPr>
          <w:p w14:paraId="5456742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1184.67</w:t>
            </w:r>
          </w:p>
        </w:tc>
        <w:tc>
          <w:tcPr>
            <w:tcW w:w="1667" w:type="dxa"/>
            <w:shd w:val="clear" w:color="auto" w:fill="auto"/>
          </w:tcPr>
          <w:p w14:paraId="13B410B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3.31</w:t>
            </w:r>
          </w:p>
        </w:tc>
      </w:tr>
      <w:tr w:rsidR="00D821EF" w14:paraId="7A7435F8"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3DF5533B" w14:textId="77777777" w:rsidR="00D821EF" w:rsidRPr="007E2B4E" w:rsidRDefault="00D821EF" w:rsidP="00D821EF">
            <w:pPr>
              <w:spacing w:before="0" w:after="0"/>
              <w:rPr>
                <w:sz w:val="18"/>
                <w:szCs w:val="18"/>
              </w:rPr>
            </w:pPr>
            <w:r w:rsidRPr="007E2B4E">
              <w:rPr>
                <w:sz w:val="18"/>
                <w:szCs w:val="18"/>
              </w:rPr>
              <w:t>10</w:t>
            </w:r>
          </w:p>
        </w:tc>
        <w:tc>
          <w:tcPr>
            <w:tcW w:w="1764" w:type="dxa"/>
            <w:shd w:val="clear" w:color="auto" w:fill="auto"/>
          </w:tcPr>
          <w:p w14:paraId="0786CD5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3.51</w:t>
            </w:r>
          </w:p>
        </w:tc>
        <w:tc>
          <w:tcPr>
            <w:tcW w:w="1593" w:type="dxa"/>
            <w:shd w:val="clear" w:color="auto" w:fill="auto"/>
          </w:tcPr>
          <w:p w14:paraId="598019F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0.14</w:t>
            </w:r>
          </w:p>
        </w:tc>
        <w:tc>
          <w:tcPr>
            <w:tcW w:w="1678" w:type="dxa"/>
            <w:shd w:val="clear" w:color="auto" w:fill="auto"/>
          </w:tcPr>
          <w:p w14:paraId="2271A5C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1245.25</w:t>
            </w:r>
          </w:p>
        </w:tc>
        <w:tc>
          <w:tcPr>
            <w:tcW w:w="1667" w:type="dxa"/>
            <w:shd w:val="clear" w:color="auto" w:fill="auto"/>
          </w:tcPr>
          <w:p w14:paraId="7CF2675C"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3.47</w:t>
            </w:r>
          </w:p>
        </w:tc>
      </w:tr>
      <w:tr w:rsidR="00D821EF" w14:paraId="598AC8ED"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57476D8B"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6A42507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2.61</w:t>
            </w:r>
          </w:p>
        </w:tc>
        <w:tc>
          <w:tcPr>
            <w:tcW w:w="1593" w:type="dxa"/>
            <w:shd w:val="clear" w:color="auto" w:fill="auto"/>
          </w:tcPr>
          <w:p w14:paraId="0D16302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0.42</w:t>
            </w:r>
          </w:p>
        </w:tc>
        <w:tc>
          <w:tcPr>
            <w:tcW w:w="1678" w:type="dxa"/>
            <w:shd w:val="clear" w:color="auto" w:fill="auto"/>
          </w:tcPr>
          <w:p w14:paraId="2741840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1505.16</w:t>
            </w:r>
          </w:p>
        </w:tc>
        <w:tc>
          <w:tcPr>
            <w:tcW w:w="1667" w:type="dxa"/>
            <w:shd w:val="clear" w:color="auto" w:fill="auto"/>
          </w:tcPr>
          <w:p w14:paraId="1774090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4.21</w:t>
            </w:r>
          </w:p>
        </w:tc>
      </w:tr>
      <w:tr w:rsidR="00D821EF" w14:paraId="5F1199DC"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3C4B0A35" w14:textId="77777777" w:rsidR="00D821EF" w:rsidRPr="007E2B4E" w:rsidRDefault="00D821EF" w:rsidP="00D821EF">
            <w:pPr>
              <w:spacing w:before="0" w:after="0"/>
              <w:rPr>
                <w:sz w:val="18"/>
                <w:szCs w:val="18"/>
              </w:rPr>
            </w:pPr>
            <w:r w:rsidRPr="007E2B4E">
              <w:rPr>
                <w:sz w:val="18"/>
                <w:szCs w:val="18"/>
              </w:rPr>
              <w:t>50</w:t>
            </w:r>
          </w:p>
        </w:tc>
        <w:tc>
          <w:tcPr>
            <w:tcW w:w="1764" w:type="dxa"/>
            <w:shd w:val="clear" w:color="auto" w:fill="auto"/>
          </w:tcPr>
          <w:p w14:paraId="25D3727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3.09</w:t>
            </w:r>
          </w:p>
        </w:tc>
        <w:tc>
          <w:tcPr>
            <w:tcW w:w="1593" w:type="dxa"/>
            <w:shd w:val="clear" w:color="auto" w:fill="auto"/>
          </w:tcPr>
          <w:p w14:paraId="3BDBFA1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0.08</w:t>
            </w:r>
          </w:p>
        </w:tc>
        <w:tc>
          <w:tcPr>
            <w:tcW w:w="1678" w:type="dxa"/>
            <w:shd w:val="clear" w:color="auto" w:fill="auto"/>
          </w:tcPr>
          <w:p w14:paraId="0115B4D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1198.43</w:t>
            </w:r>
          </w:p>
        </w:tc>
        <w:tc>
          <w:tcPr>
            <w:tcW w:w="1667" w:type="dxa"/>
            <w:shd w:val="clear" w:color="auto" w:fill="auto"/>
          </w:tcPr>
          <w:p w14:paraId="38C7ABA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3.35</w:t>
            </w:r>
          </w:p>
        </w:tc>
      </w:tr>
      <w:tr w:rsidR="00D821EF" w14:paraId="4AB7D6CF"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414870F4" w14:textId="77777777" w:rsidR="00D821EF" w:rsidRPr="007E2B4E" w:rsidRDefault="00D821EF" w:rsidP="00D821EF">
            <w:pPr>
              <w:spacing w:before="0" w:after="0"/>
              <w:rPr>
                <w:sz w:val="18"/>
                <w:szCs w:val="18"/>
              </w:rPr>
            </w:pPr>
            <w:r w:rsidRPr="007E2B4E">
              <w:rPr>
                <w:sz w:val="18"/>
                <w:szCs w:val="18"/>
              </w:rPr>
              <w:t>75</w:t>
            </w:r>
          </w:p>
        </w:tc>
        <w:tc>
          <w:tcPr>
            <w:tcW w:w="1764" w:type="dxa"/>
            <w:shd w:val="clear" w:color="auto" w:fill="auto"/>
          </w:tcPr>
          <w:p w14:paraId="132206E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2.28</w:t>
            </w:r>
          </w:p>
        </w:tc>
        <w:tc>
          <w:tcPr>
            <w:tcW w:w="1593" w:type="dxa"/>
            <w:shd w:val="clear" w:color="auto" w:fill="auto"/>
          </w:tcPr>
          <w:p w14:paraId="1B70741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0.22</w:t>
            </w:r>
          </w:p>
        </w:tc>
        <w:tc>
          <w:tcPr>
            <w:tcW w:w="1678" w:type="dxa"/>
            <w:shd w:val="clear" w:color="auto" w:fill="auto"/>
          </w:tcPr>
          <w:p w14:paraId="442330F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1639.91</w:t>
            </w:r>
          </w:p>
        </w:tc>
        <w:tc>
          <w:tcPr>
            <w:tcW w:w="1667" w:type="dxa"/>
            <w:shd w:val="clear" w:color="auto" w:fill="auto"/>
          </w:tcPr>
          <w:p w14:paraId="151B131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4.59</w:t>
            </w:r>
          </w:p>
        </w:tc>
      </w:tr>
      <w:tr w:rsidR="00D821EF" w14:paraId="437129C2"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09B8964C" w14:textId="77777777" w:rsidR="00D821EF" w:rsidRPr="007E2B4E" w:rsidRDefault="00D821EF" w:rsidP="00D821EF">
            <w:pPr>
              <w:spacing w:before="0" w:after="0"/>
              <w:rPr>
                <w:sz w:val="18"/>
                <w:szCs w:val="18"/>
              </w:rPr>
            </w:pPr>
            <w:r w:rsidRPr="007E2B4E">
              <w:rPr>
                <w:sz w:val="18"/>
                <w:szCs w:val="18"/>
              </w:rPr>
              <w:t>100</w:t>
            </w:r>
          </w:p>
        </w:tc>
        <w:tc>
          <w:tcPr>
            <w:tcW w:w="1764" w:type="dxa"/>
            <w:shd w:val="clear" w:color="auto" w:fill="auto"/>
          </w:tcPr>
          <w:p w14:paraId="096AA5F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2.45</w:t>
            </w:r>
          </w:p>
        </w:tc>
        <w:tc>
          <w:tcPr>
            <w:tcW w:w="1593" w:type="dxa"/>
            <w:shd w:val="clear" w:color="auto" w:fill="auto"/>
          </w:tcPr>
          <w:p w14:paraId="5B6D0190"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0.30</w:t>
            </w:r>
          </w:p>
        </w:tc>
        <w:tc>
          <w:tcPr>
            <w:tcW w:w="1678" w:type="dxa"/>
            <w:shd w:val="clear" w:color="auto" w:fill="auto"/>
          </w:tcPr>
          <w:p w14:paraId="7FE1EA8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1246.90</w:t>
            </w:r>
          </w:p>
        </w:tc>
        <w:tc>
          <w:tcPr>
            <w:tcW w:w="1667" w:type="dxa"/>
            <w:shd w:val="clear" w:color="auto" w:fill="auto"/>
          </w:tcPr>
          <w:p w14:paraId="18EFD2A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3.49</w:t>
            </w:r>
          </w:p>
        </w:tc>
      </w:tr>
      <w:tr w:rsidR="00D821EF" w14:paraId="13244D66"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75BD031" w14:textId="77777777" w:rsidR="00D821EF" w:rsidRPr="007E2B4E" w:rsidRDefault="00D821EF" w:rsidP="00D821EF">
            <w:pPr>
              <w:spacing w:before="0" w:after="0"/>
              <w:rPr>
                <w:sz w:val="18"/>
                <w:szCs w:val="18"/>
              </w:rPr>
            </w:pPr>
            <w:r w:rsidRPr="007E2B4E">
              <w:rPr>
                <w:sz w:val="18"/>
                <w:szCs w:val="18"/>
              </w:rPr>
              <w:t>250</w:t>
            </w:r>
          </w:p>
        </w:tc>
        <w:tc>
          <w:tcPr>
            <w:tcW w:w="1764" w:type="dxa"/>
            <w:shd w:val="clear" w:color="auto" w:fill="auto"/>
          </w:tcPr>
          <w:p w14:paraId="484EC40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0.01</w:t>
            </w:r>
          </w:p>
        </w:tc>
        <w:tc>
          <w:tcPr>
            <w:tcW w:w="1593" w:type="dxa"/>
            <w:shd w:val="clear" w:color="auto" w:fill="auto"/>
          </w:tcPr>
          <w:p w14:paraId="10C37E1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0.84</w:t>
            </w:r>
          </w:p>
        </w:tc>
        <w:tc>
          <w:tcPr>
            <w:tcW w:w="1678" w:type="dxa"/>
            <w:shd w:val="clear" w:color="auto" w:fill="auto"/>
          </w:tcPr>
          <w:p w14:paraId="36C9E72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1439.19</w:t>
            </w:r>
          </w:p>
        </w:tc>
        <w:tc>
          <w:tcPr>
            <w:tcW w:w="1667" w:type="dxa"/>
            <w:shd w:val="clear" w:color="auto" w:fill="auto"/>
          </w:tcPr>
          <w:p w14:paraId="7AB52A4A"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4.05</w:t>
            </w:r>
          </w:p>
        </w:tc>
      </w:tr>
      <w:tr w:rsidR="00D821EF" w14:paraId="318F265A"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72BA06E9" w14:textId="77777777" w:rsidR="00D821EF" w:rsidRPr="007E2B4E" w:rsidRDefault="00D821EF" w:rsidP="00D821EF">
            <w:pPr>
              <w:spacing w:before="0" w:after="0"/>
              <w:rPr>
                <w:sz w:val="18"/>
                <w:szCs w:val="18"/>
              </w:rPr>
            </w:pPr>
            <w:r w:rsidRPr="007E2B4E">
              <w:rPr>
                <w:sz w:val="18"/>
                <w:szCs w:val="18"/>
              </w:rPr>
              <w:t>500</w:t>
            </w:r>
          </w:p>
        </w:tc>
        <w:tc>
          <w:tcPr>
            <w:tcW w:w="1764" w:type="dxa"/>
            <w:shd w:val="clear" w:color="auto" w:fill="auto"/>
          </w:tcPr>
          <w:p w14:paraId="65A8161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-3.18</w:t>
            </w:r>
          </w:p>
        </w:tc>
        <w:tc>
          <w:tcPr>
            <w:tcW w:w="1593" w:type="dxa"/>
            <w:shd w:val="clear" w:color="auto" w:fill="auto"/>
          </w:tcPr>
          <w:p w14:paraId="7C63B36F"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0.31</w:t>
            </w:r>
          </w:p>
        </w:tc>
        <w:tc>
          <w:tcPr>
            <w:tcW w:w="1678" w:type="dxa"/>
            <w:shd w:val="clear" w:color="auto" w:fill="auto"/>
          </w:tcPr>
          <w:p w14:paraId="17E7B60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1037.30</w:t>
            </w:r>
          </w:p>
        </w:tc>
        <w:tc>
          <w:tcPr>
            <w:tcW w:w="1667" w:type="dxa"/>
            <w:shd w:val="clear" w:color="auto" w:fill="auto"/>
          </w:tcPr>
          <w:p w14:paraId="2F3F7C45"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2.95</w:t>
            </w:r>
          </w:p>
        </w:tc>
      </w:tr>
      <w:tr w:rsidR="00D821EF" w14:paraId="316E8C69"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5BBF28E1" w14:textId="77777777" w:rsidR="00D821EF" w:rsidRPr="007E2B4E" w:rsidRDefault="00D821EF" w:rsidP="00D821EF">
            <w:pPr>
              <w:spacing w:before="0" w:after="0"/>
              <w:rPr>
                <w:sz w:val="18"/>
                <w:szCs w:val="18"/>
              </w:rPr>
            </w:pPr>
            <w:r>
              <w:rPr>
                <w:sz w:val="18"/>
                <w:szCs w:val="18"/>
              </w:rPr>
              <w:t>750</w:t>
            </w:r>
          </w:p>
        </w:tc>
        <w:tc>
          <w:tcPr>
            <w:tcW w:w="1764" w:type="dxa"/>
            <w:shd w:val="clear" w:color="auto" w:fill="auto"/>
          </w:tcPr>
          <w:p w14:paraId="4F9025F1"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-6.89</w:t>
            </w:r>
          </w:p>
        </w:tc>
        <w:tc>
          <w:tcPr>
            <w:tcW w:w="1593" w:type="dxa"/>
            <w:shd w:val="clear" w:color="auto" w:fill="auto"/>
          </w:tcPr>
          <w:p w14:paraId="680C5F1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0.36</w:t>
            </w:r>
          </w:p>
        </w:tc>
        <w:tc>
          <w:tcPr>
            <w:tcW w:w="1678" w:type="dxa"/>
            <w:shd w:val="clear" w:color="auto" w:fill="auto"/>
          </w:tcPr>
          <w:p w14:paraId="3DA9260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1276.26</w:t>
            </w:r>
          </w:p>
        </w:tc>
        <w:tc>
          <w:tcPr>
            <w:tcW w:w="1667" w:type="dxa"/>
            <w:shd w:val="clear" w:color="auto" w:fill="auto"/>
          </w:tcPr>
          <w:p w14:paraId="1D250CF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3.67</w:t>
            </w:r>
          </w:p>
        </w:tc>
      </w:tr>
      <w:tr w:rsidR="00D821EF" w14:paraId="0D9642F6"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790D7294" w14:textId="77777777" w:rsidR="00D821EF" w:rsidRPr="007E2B4E" w:rsidRDefault="00D821EF" w:rsidP="00D821EF">
            <w:pPr>
              <w:spacing w:before="0" w:after="0"/>
              <w:rPr>
                <w:sz w:val="18"/>
                <w:szCs w:val="18"/>
              </w:rPr>
            </w:pPr>
            <w:r>
              <w:rPr>
                <w:sz w:val="18"/>
                <w:szCs w:val="18"/>
              </w:rPr>
              <w:t>1000</w:t>
            </w:r>
          </w:p>
        </w:tc>
        <w:tc>
          <w:tcPr>
            <w:tcW w:w="1764" w:type="dxa"/>
            <w:shd w:val="clear" w:color="auto" w:fill="auto"/>
          </w:tcPr>
          <w:p w14:paraId="13F1A130"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-9.85</w:t>
            </w:r>
          </w:p>
        </w:tc>
        <w:tc>
          <w:tcPr>
            <w:tcW w:w="1593" w:type="dxa"/>
            <w:shd w:val="clear" w:color="auto" w:fill="auto"/>
          </w:tcPr>
          <w:p w14:paraId="37C1670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0.55</w:t>
            </w:r>
          </w:p>
        </w:tc>
        <w:tc>
          <w:tcPr>
            <w:tcW w:w="1678" w:type="dxa"/>
            <w:shd w:val="clear" w:color="auto" w:fill="auto"/>
          </w:tcPr>
          <w:p w14:paraId="119996E3"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1083.77</w:t>
            </w:r>
          </w:p>
        </w:tc>
        <w:tc>
          <w:tcPr>
            <w:tcW w:w="1667" w:type="dxa"/>
            <w:shd w:val="clear" w:color="auto" w:fill="auto"/>
          </w:tcPr>
          <w:p w14:paraId="4C3E502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3.14</w:t>
            </w:r>
          </w:p>
        </w:tc>
      </w:tr>
    </w:tbl>
    <w:p w14:paraId="589399D4" w14:textId="77777777" w:rsidR="00D821EF" w:rsidRDefault="00D821EF" w:rsidP="008C2B83">
      <w:pPr>
        <w:pStyle w:val="Caption"/>
        <w:keepNext/>
      </w:pPr>
    </w:p>
    <w:p w14:paraId="31813847"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30</w:t>
        </w:r>
      </w:fldSimple>
      <w:r>
        <w:t xml:space="preserve">. </w:t>
      </w:r>
      <w:r w:rsidR="00BB68F0">
        <w:t>Data values of 1 g/L lysozyme pH 7 in presence of various concentrations of imidazole n=3</w:t>
      </w:r>
    </w:p>
    <w:tbl>
      <w:tblPr>
        <w:tblStyle w:val="LightShading"/>
        <w:tblW w:w="0" w:type="auto"/>
        <w:tblLook w:val="04A0" w:firstRow="1" w:lastRow="0" w:firstColumn="1" w:lastColumn="0" w:noHBand="0" w:noVBand="1"/>
      </w:tblPr>
      <w:tblGrid>
        <w:gridCol w:w="2018"/>
        <w:gridCol w:w="1764"/>
        <w:gridCol w:w="1593"/>
        <w:gridCol w:w="1678"/>
        <w:gridCol w:w="1667"/>
      </w:tblGrid>
      <w:tr w:rsidR="00D821EF" w14:paraId="3C68D2B7"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4558C29A" w14:textId="77777777" w:rsidR="00D821EF" w:rsidRPr="007E2B4E" w:rsidRDefault="00D821EF" w:rsidP="00D821EF">
            <w:pPr>
              <w:spacing w:before="0" w:after="0"/>
              <w:rPr>
                <w:sz w:val="18"/>
                <w:szCs w:val="18"/>
              </w:rPr>
            </w:pPr>
            <w:r w:rsidRPr="007E2B4E">
              <w:rPr>
                <w:sz w:val="18"/>
                <w:szCs w:val="18"/>
              </w:rPr>
              <w:t>Concentration (mM)</w:t>
            </w:r>
          </w:p>
        </w:tc>
        <w:tc>
          <w:tcPr>
            <w:tcW w:w="1764" w:type="dxa"/>
            <w:shd w:val="clear" w:color="auto" w:fill="auto"/>
          </w:tcPr>
          <w:p w14:paraId="792E5A5E"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mean (°C)</w:t>
            </w:r>
          </w:p>
        </w:tc>
        <w:tc>
          <w:tcPr>
            <w:tcW w:w="1593" w:type="dxa"/>
            <w:shd w:val="clear" w:color="auto" w:fill="auto"/>
          </w:tcPr>
          <w:p w14:paraId="024DD2D8"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sidRPr="007E2B4E">
              <w:rPr>
                <w:sz w:val="18"/>
                <w:szCs w:val="18"/>
              </w:rPr>
              <w:t xml:space="preserve"> SE</w:t>
            </w:r>
          </w:p>
        </w:tc>
        <w:tc>
          <w:tcPr>
            <w:tcW w:w="1678" w:type="dxa"/>
            <w:shd w:val="clear" w:color="auto" w:fill="auto"/>
          </w:tcPr>
          <w:p w14:paraId="7E9E6455"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ΔH (kJ mol</w:t>
            </w:r>
            <w:r w:rsidRPr="007E2B4E">
              <w:rPr>
                <w:sz w:val="18"/>
                <w:szCs w:val="18"/>
                <w:vertAlign w:val="superscript"/>
              </w:rPr>
              <w:t>-1</w:t>
            </w:r>
            <w:r w:rsidRPr="007E2B4E">
              <w:rPr>
                <w:sz w:val="18"/>
                <w:szCs w:val="18"/>
              </w:rPr>
              <w:t>) mean</w:t>
            </w:r>
          </w:p>
        </w:tc>
        <w:tc>
          <w:tcPr>
            <w:tcW w:w="1667" w:type="dxa"/>
            <w:shd w:val="clear" w:color="auto" w:fill="auto"/>
          </w:tcPr>
          <w:p w14:paraId="1D7C161B"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ΔS (kJ mol</w:t>
            </w:r>
            <w:r w:rsidRPr="007E2B4E">
              <w:rPr>
                <w:sz w:val="18"/>
                <w:szCs w:val="18"/>
                <w:vertAlign w:val="superscript"/>
              </w:rPr>
              <w:t>-1</w:t>
            </w:r>
            <w:r w:rsidRPr="007E2B4E">
              <w:rPr>
                <w:sz w:val="18"/>
                <w:szCs w:val="18"/>
              </w:rPr>
              <w:t xml:space="preserve"> K</w:t>
            </w:r>
            <w:r w:rsidRPr="007E2B4E">
              <w:rPr>
                <w:sz w:val="18"/>
                <w:szCs w:val="18"/>
                <w:vertAlign w:val="superscript"/>
              </w:rPr>
              <w:t>-1</w:t>
            </w:r>
            <w:r w:rsidRPr="007E2B4E">
              <w:rPr>
                <w:sz w:val="18"/>
                <w:szCs w:val="18"/>
              </w:rPr>
              <w:t>) mean</w:t>
            </w:r>
          </w:p>
        </w:tc>
      </w:tr>
      <w:tr w:rsidR="00D821EF" w14:paraId="0C843434"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1C688635" w14:textId="77777777" w:rsidR="00D821EF" w:rsidRPr="007E2B4E" w:rsidRDefault="00D821EF" w:rsidP="00D821EF">
            <w:pPr>
              <w:spacing w:before="0" w:after="0"/>
              <w:rPr>
                <w:sz w:val="18"/>
                <w:szCs w:val="18"/>
              </w:rPr>
            </w:pPr>
            <w:r w:rsidRPr="007E2B4E">
              <w:rPr>
                <w:sz w:val="18"/>
                <w:szCs w:val="18"/>
              </w:rPr>
              <w:t>0.5</w:t>
            </w:r>
          </w:p>
        </w:tc>
        <w:tc>
          <w:tcPr>
            <w:tcW w:w="1764" w:type="dxa"/>
            <w:shd w:val="clear" w:color="auto" w:fill="auto"/>
          </w:tcPr>
          <w:p w14:paraId="70F15CE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0.57</w:t>
            </w:r>
          </w:p>
        </w:tc>
        <w:tc>
          <w:tcPr>
            <w:tcW w:w="1593" w:type="dxa"/>
            <w:shd w:val="clear" w:color="auto" w:fill="auto"/>
          </w:tcPr>
          <w:p w14:paraId="7686900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0.13</w:t>
            </w:r>
          </w:p>
        </w:tc>
        <w:tc>
          <w:tcPr>
            <w:tcW w:w="1678" w:type="dxa"/>
            <w:shd w:val="clear" w:color="auto" w:fill="auto"/>
          </w:tcPr>
          <w:p w14:paraId="234FD1F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330.79</w:t>
            </w:r>
          </w:p>
        </w:tc>
        <w:tc>
          <w:tcPr>
            <w:tcW w:w="1667" w:type="dxa"/>
            <w:shd w:val="clear" w:color="auto" w:fill="auto"/>
          </w:tcPr>
          <w:p w14:paraId="48374CA5"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0.95</w:t>
            </w:r>
          </w:p>
        </w:tc>
      </w:tr>
      <w:tr w:rsidR="00D821EF" w14:paraId="5C3E7BE3"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46D375B3" w14:textId="77777777" w:rsidR="00D821EF" w:rsidRPr="007E2B4E" w:rsidRDefault="00D821EF" w:rsidP="00D821EF">
            <w:pPr>
              <w:spacing w:before="0" w:after="0"/>
              <w:rPr>
                <w:sz w:val="18"/>
                <w:szCs w:val="18"/>
              </w:rPr>
            </w:pPr>
            <w:r w:rsidRPr="007E2B4E">
              <w:rPr>
                <w:sz w:val="18"/>
                <w:szCs w:val="18"/>
              </w:rPr>
              <w:t>1</w:t>
            </w:r>
          </w:p>
        </w:tc>
        <w:tc>
          <w:tcPr>
            <w:tcW w:w="1764" w:type="dxa"/>
            <w:shd w:val="clear" w:color="auto" w:fill="auto"/>
          </w:tcPr>
          <w:p w14:paraId="3957207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0.45</w:t>
            </w:r>
          </w:p>
        </w:tc>
        <w:tc>
          <w:tcPr>
            <w:tcW w:w="1593" w:type="dxa"/>
            <w:shd w:val="clear" w:color="auto" w:fill="auto"/>
          </w:tcPr>
          <w:p w14:paraId="5E84E67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0.31</w:t>
            </w:r>
          </w:p>
        </w:tc>
        <w:tc>
          <w:tcPr>
            <w:tcW w:w="1678" w:type="dxa"/>
            <w:shd w:val="clear" w:color="auto" w:fill="auto"/>
          </w:tcPr>
          <w:p w14:paraId="2B8A6BC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354.86</w:t>
            </w:r>
          </w:p>
        </w:tc>
        <w:tc>
          <w:tcPr>
            <w:tcW w:w="1667" w:type="dxa"/>
            <w:shd w:val="clear" w:color="auto" w:fill="auto"/>
          </w:tcPr>
          <w:p w14:paraId="78547CA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1.02</w:t>
            </w:r>
          </w:p>
        </w:tc>
      </w:tr>
      <w:tr w:rsidR="00D821EF" w14:paraId="26D798CB"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423AB46"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476E8747"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0.51</w:t>
            </w:r>
          </w:p>
        </w:tc>
        <w:tc>
          <w:tcPr>
            <w:tcW w:w="1593" w:type="dxa"/>
            <w:shd w:val="clear" w:color="auto" w:fill="auto"/>
          </w:tcPr>
          <w:p w14:paraId="7648896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0.16</w:t>
            </w:r>
          </w:p>
        </w:tc>
        <w:tc>
          <w:tcPr>
            <w:tcW w:w="1678" w:type="dxa"/>
            <w:shd w:val="clear" w:color="auto" w:fill="auto"/>
          </w:tcPr>
          <w:p w14:paraId="57CB3F3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348.77</w:t>
            </w:r>
          </w:p>
        </w:tc>
        <w:tc>
          <w:tcPr>
            <w:tcW w:w="1667" w:type="dxa"/>
            <w:shd w:val="clear" w:color="auto" w:fill="auto"/>
          </w:tcPr>
          <w:p w14:paraId="2B4590F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1.01</w:t>
            </w:r>
          </w:p>
        </w:tc>
      </w:tr>
      <w:tr w:rsidR="00D821EF" w14:paraId="3FFBA26C"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380D72A5" w14:textId="77777777" w:rsidR="00D821EF" w:rsidRPr="007E2B4E" w:rsidRDefault="00D821EF" w:rsidP="00D821EF">
            <w:pPr>
              <w:spacing w:before="0" w:after="0"/>
              <w:rPr>
                <w:sz w:val="18"/>
                <w:szCs w:val="18"/>
              </w:rPr>
            </w:pPr>
            <w:r w:rsidRPr="007E2B4E">
              <w:rPr>
                <w:sz w:val="18"/>
                <w:szCs w:val="18"/>
              </w:rPr>
              <w:t>5</w:t>
            </w:r>
          </w:p>
        </w:tc>
        <w:tc>
          <w:tcPr>
            <w:tcW w:w="1764" w:type="dxa"/>
            <w:shd w:val="clear" w:color="auto" w:fill="auto"/>
          </w:tcPr>
          <w:p w14:paraId="76F4080B"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0.37</w:t>
            </w:r>
          </w:p>
        </w:tc>
        <w:tc>
          <w:tcPr>
            <w:tcW w:w="1593" w:type="dxa"/>
            <w:shd w:val="clear" w:color="auto" w:fill="auto"/>
          </w:tcPr>
          <w:p w14:paraId="0AE5819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0.25</w:t>
            </w:r>
          </w:p>
        </w:tc>
        <w:tc>
          <w:tcPr>
            <w:tcW w:w="1678" w:type="dxa"/>
            <w:shd w:val="clear" w:color="auto" w:fill="auto"/>
          </w:tcPr>
          <w:p w14:paraId="21AA2201"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350.48</w:t>
            </w:r>
          </w:p>
        </w:tc>
        <w:tc>
          <w:tcPr>
            <w:tcW w:w="1667" w:type="dxa"/>
            <w:shd w:val="clear" w:color="auto" w:fill="auto"/>
          </w:tcPr>
          <w:p w14:paraId="16E73C29"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1.01</w:t>
            </w:r>
          </w:p>
        </w:tc>
      </w:tr>
      <w:tr w:rsidR="00D821EF" w14:paraId="7A32C181"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3392E58C" w14:textId="77777777" w:rsidR="00D821EF" w:rsidRPr="007E2B4E" w:rsidRDefault="00D821EF" w:rsidP="00D821EF">
            <w:pPr>
              <w:spacing w:before="0" w:after="0"/>
              <w:rPr>
                <w:sz w:val="18"/>
                <w:szCs w:val="18"/>
              </w:rPr>
            </w:pPr>
            <w:r w:rsidRPr="007E2B4E">
              <w:rPr>
                <w:sz w:val="18"/>
                <w:szCs w:val="18"/>
              </w:rPr>
              <w:t>10</w:t>
            </w:r>
          </w:p>
        </w:tc>
        <w:tc>
          <w:tcPr>
            <w:tcW w:w="1764" w:type="dxa"/>
            <w:shd w:val="clear" w:color="auto" w:fill="auto"/>
          </w:tcPr>
          <w:p w14:paraId="257CFD4F"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0.47</w:t>
            </w:r>
          </w:p>
        </w:tc>
        <w:tc>
          <w:tcPr>
            <w:tcW w:w="1593" w:type="dxa"/>
            <w:shd w:val="clear" w:color="auto" w:fill="auto"/>
          </w:tcPr>
          <w:p w14:paraId="470E842F"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0.05</w:t>
            </w:r>
          </w:p>
        </w:tc>
        <w:tc>
          <w:tcPr>
            <w:tcW w:w="1678" w:type="dxa"/>
            <w:shd w:val="clear" w:color="auto" w:fill="auto"/>
          </w:tcPr>
          <w:p w14:paraId="12F1D9AA"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338.29</w:t>
            </w:r>
          </w:p>
        </w:tc>
        <w:tc>
          <w:tcPr>
            <w:tcW w:w="1667" w:type="dxa"/>
            <w:shd w:val="clear" w:color="auto" w:fill="auto"/>
          </w:tcPr>
          <w:p w14:paraId="6338196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0.98</w:t>
            </w:r>
          </w:p>
        </w:tc>
      </w:tr>
      <w:tr w:rsidR="00D821EF" w14:paraId="2766484E"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08366A34" w14:textId="77777777" w:rsidR="00D821EF" w:rsidRPr="007E2B4E" w:rsidRDefault="00D821EF" w:rsidP="00D821EF">
            <w:pPr>
              <w:spacing w:before="0" w:after="0"/>
              <w:rPr>
                <w:sz w:val="18"/>
                <w:szCs w:val="18"/>
              </w:rPr>
            </w:pPr>
            <w:r w:rsidRPr="007E2B4E">
              <w:rPr>
                <w:sz w:val="18"/>
                <w:szCs w:val="18"/>
              </w:rPr>
              <w:t>25</w:t>
            </w:r>
          </w:p>
        </w:tc>
        <w:tc>
          <w:tcPr>
            <w:tcW w:w="1764" w:type="dxa"/>
            <w:shd w:val="clear" w:color="auto" w:fill="auto"/>
          </w:tcPr>
          <w:p w14:paraId="2A94F59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0.38</w:t>
            </w:r>
          </w:p>
        </w:tc>
        <w:tc>
          <w:tcPr>
            <w:tcW w:w="1593" w:type="dxa"/>
            <w:shd w:val="clear" w:color="auto" w:fill="auto"/>
          </w:tcPr>
          <w:p w14:paraId="2F9DFA7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0.06</w:t>
            </w:r>
          </w:p>
        </w:tc>
        <w:tc>
          <w:tcPr>
            <w:tcW w:w="1678" w:type="dxa"/>
            <w:shd w:val="clear" w:color="auto" w:fill="auto"/>
          </w:tcPr>
          <w:p w14:paraId="5A9DAC6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348.25</w:t>
            </w:r>
          </w:p>
        </w:tc>
        <w:tc>
          <w:tcPr>
            <w:tcW w:w="1667" w:type="dxa"/>
            <w:shd w:val="clear" w:color="auto" w:fill="auto"/>
          </w:tcPr>
          <w:p w14:paraId="6DEC903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1.01</w:t>
            </w:r>
          </w:p>
        </w:tc>
      </w:tr>
      <w:tr w:rsidR="00D821EF" w14:paraId="686DDD69"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19F0B194" w14:textId="77777777" w:rsidR="00D821EF" w:rsidRPr="007E2B4E" w:rsidRDefault="00D821EF" w:rsidP="00D821EF">
            <w:pPr>
              <w:spacing w:before="0" w:after="0"/>
              <w:rPr>
                <w:sz w:val="18"/>
                <w:szCs w:val="18"/>
              </w:rPr>
            </w:pPr>
            <w:r w:rsidRPr="007E2B4E">
              <w:rPr>
                <w:sz w:val="18"/>
                <w:szCs w:val="18"/>
              </w:rPr>
              <w:t>50</w:t>
            </w:r>
          </w:p>
        </w:tc>
        <w:tc>
          <w:tcPr>
            <w:tcW w:w="1764" w:type="dxa"/>
            <w:shd w:val="clear" w:color="auto" w:fill="auto"/>
          </w:tcPr>
          <w:p w14:paraId="41D93B0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0.21</w:t>
            </w:r>
          </w:p>
        </w:tc>
        <w:tc>
          <w:tcPr>
            <w:tcW w:w="1593" w:type="dxa"/>
            <w:shd w:val="clear" w:color="auto" w:fill="auto"/>
          </w:tcPr>
          <w:p w14:paraId="45BB5C15"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0.08</w:t>
            </w:r>
          </w:p>
        </w:tc>
        <w:tc>
          <w:tcPr>
            <w:tcW w:w="1678" w:type="dxa"/>
            <w:shd w:val="clear" w:color="auto" w:fill="auto"/>
          </w:tcPr>
          <w:p w14:paraId="3FC85CD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348.47</w:t>
            </w:r>
          </w:p>
        </w:tc>
        <w:tc>
          <w:tcPr>
            <w:tcW w:w="1667" w:type="dxa"/>
            <w:shd w:val="clear" w:color="auto" w:fill="auto"/>
          </w:tcPr>
          <w:p w14:paraId="049F257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0.97</w:t>
            </w:r>
          </w:p>
        </w:tc>
      </w:tr>
      <w:tr w:rsidR="00D821EF" w14:paraId="7BBE5021"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59D3FD67" w14:textId="77777777" w:rsidR="00D821EF" w:rsidRPr="007E2B4E" w:rsidRDefault="00D821EF" w:rsidP="00D821EF">
            <w:pPr>
              <w:spacing w:before="0" w:after="0"/>
              <w:rPr>
                <w:sz w:val="18"/>
                <w:szCs w:val="18"/>
              </w:rPr>
            </w:pPr>
            <w:r w:rsidRPr="007E2B4E">
              <w:rPr>
                <w:sz w:val="18"/>
                <w:szCs w:val="18"/>
              </w:rPr>
              <w:t>75</w:t>
            </w:r>
          </w:p>
        </w:tc>
        <w:tc>
          <w:tcPr>
            <w:tcW w:w="1764" w:type="dxa"/>
            <w:shd w:val="clear" w:color="auto" w:fill="auto"/>
          </w:tcPr>
          <w:p w14:paraId="34AD46B7"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-0.03</w:t>
            </w:r>
          </w:p>
        </w:tc>
        <w:tc>
          <w:tcPr>
            <w:tcW w:w="1593" w:type="dxa"/>
            <w:shd w:val="clear" w:color="auto" w:fill="auto"/>
          </w:tcPr>
          <w:p w14:paraId="767E9C57"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0.09</w:t>
            </w:r>
          </w:p>
        </w:tc>
        <w:tc>
          <w:tcPr>
            <w:tcW w:w="1678" w:type="dxa"/>
            <w:shd w:val="clear" w:color="auto" w:fill="auto"/>
          </w:tcPr>
          <w:p w14:paraId="7240A8D8"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368.09</w:t>
            </w:r>
          </w:p>
        </w:tc>
        <w:tc>
          <w:tcPr>
            <w:tcW w:w="1667" w:type="dxa"/>
            <w:shd w:val="clear" w:color="auto" w:fill="auto"/>
          </w:tcPr>
          <w:p w14:paraId="359A4E6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1.06</w:t>
            </w:r>
          </w:p>
        </w:tc>
      </w:tr>
      <w:tr w:rsidR="00D821EF" w14:paraId="2C58F4FA"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4F150137" w14:textId="77777777" w:rsidR="00D821EF" w:rsidRPr="007E2B4E" w:rsidRDefault="00D821EF" w:rsidP="00D821EF">
            <w:pPr>
              <w:spacing w:before="0" w:after="0"/>
              <w:rPr>
                <w:sz w:val="18"/>
                <w:szCs w:val="18"/>
              </w:rPr>
            </w:pPr>
            <w:r w:rsidRPr="007E2B4E">
              <w:rPr>
                <w:sz w:val="18"/>
                <w:szCs w:val="18"/>
              </w:rPr>
              <w:t>100</w:t>
            </w:r>
          </w:p>
        </w:tc>
        <w:tc>
          <w:tcPr>
            <w:tcW w:w="1764" w:type="dxa"/>
            <w:shd w:val="clear" w:color="auto" w:fill="auto"/>
          </w:tcPr>
          <w:p w14:paraId="73DC854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-0.27</w:t>
            </w:r>
          </w:p>
        </w:tc>
        <w:tc>
          <w:tcPr>
            <w:tcW w:w="1593" w:type="dxa"/>
            <w:shd w:val="clear" w:color="auto" w:fill="auto"/>
          </w:tcPr>
          <w:p w14:paraId="6DF2D18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0.01</w:t>
            </w:r>
          </w:p>
        </w:tc>
        <w:tc>
          <w:tcPr>
            <w:tcW w:w="1678" w:type="dxa"/>
            <w:shd w:val="clear" w:color="auto" w:fill="auto"/>
          </w:tcPr>
          <w:p w14:paraId="175C4FD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357.35</w:t>
            </w:r>
          </w:p>
        </w:tc>
        <w:tc>
          <w:tcPr>
            <w:tcW w:w="1667" w:type="dxa"/>
            <w:shd w:val="clear" w:color="auto" w:fill="auto"/>
          </w:tcPr>
          <w:p w14:paraId="4B704020"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1.03</w:t>
            </w:r>
          </w:p>
        </w:tc>
      </w:tr>
      <w:tr w:rsidR="00D821EF" w14:paraId="39D2EABB"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BBADD21" w14:textId="77777777" w:rsidR="00D821EF" w:rsidRPr="007E2B4E" w:rsidRDefault="00D821EF" w:rsidP="00D821EF">
            <w:pPr>
              <w:spacing w:before="0" w:after="0"/>
              <w:rPr>
                <w:sz w:val="18"/>
                <w:szCs w:val="18"/>
              </w:rPr>
            </w:pPr>
            <w:r w:rsidRPr="007E2B4E">
              <w:rPr>
                <w:sz w:val="18"/>
                <w:szCs w:val="18"/>
              </w:rPr>
              <w:t>250</w:t>
            </w:r>
          </w:p>
        </w:tc>
        <w:tc>
          <w:tcPr>
            <w:tcW w:w="1764" w:type="dxa"/>
            <w:shd w:val="clear" w:color="auto" w:fill="auto"/>
          </w:tcPr>
          <w:p w14:paraId="7AC231AC"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-1.68</w:t>
            </w:r>
          </w:p>
        </w:tc>
        <w:tc>
          <w:tcPr>
            <w:tcW w:w="1593" w:type="dxa"/>
            <w:shd w:val="clear" w:color="auto" w:fill="auto"/>
          </w:tcPr>
          <w:p w14:paraId="06F888E7"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0.05</w:t>
            </w:r>
          </w:p>
        </w:tc>
        <w:tc>
          <w:tcPr>
            <w:tcW w:w="1678" w:type="dxa"/>
            <w:shd w:val="clear" w:color="auto" w:fill="auto"/>
          </w:tcPr>
          <w:p w14:paraId="07A8AB5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351.20</w:t>
            </w:r>
          </w:p>
        </w:tc>
        <w:tc>
          <w:tcPr>
            <w:tcW w:w="1667" w:type="dxa"/>
            <w:shd w:val="clear" w:color="auto" w:fill="auto"/>
          </w:tcPr>
          <w:p w14:paraId="6CC0C1A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1.02</w:t>
            </w:r>
          </w:p>
        </w:tc>
      </w:tr>
      <w:tr w:rsidR="00D821EF" w14:paraId="2EDF15EF"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6B83DC86" w14:textId="77777777" w:rsidR="00D821EF" w:rsidRPr="007E2B4E" w:rsidRDefault="00D821EF" w:rsidP="00D821EF">
            <w:pPr>
              <w:spacing w:before="0" w:after="0"/>
              <w:rPr>
                <w:sz w:val="18"/>
                <w:szCs w:val="18"/>
              </w:rPr>
            </w:pPr>
            <w:r w:rsidRPr="007E2B4E">
              <w:rPr>
                <w:sz w:val="18"/>
                <w:szCs w:val="18"/>
              </w:rPr>
              <w:t>500</w:t>
            </w:r>
          </w:p>
        </w:tc>
        <w:tc>
          <w:tcPr>
            <w:tcW w:w="1764" w:type="dxa"/>
            <w:shd w:val="clear" w:color="auto" w:fill="auto"/>
          </w:tcPr>
          <w:p w14:paraId="3CB003A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-3.78</w:t>
            </w:r>
          </w:p>
        </w:tc>
        <w:tc>
          <w:tcPr>
            <w:tcW w:w="1593" w:type="dxa"/>
            <w:shd w:val="clear" w:color="auto" w:fill="auto"/>
          </w:tcPr>
          <w:p w14:paraId="47890AF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0.05</w:t>
            </w:r>
          </w:p>
        </w:tc>
        <w:tc>
          <w:tcPr>
            <w:tcW w:w="1678" w:type="dxa"/>
            <w:shd w:val="clear" w:color="auto" w:fill="auto"/>
          </w:tcPr>
          <w:p w14:paraId="6F776645"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389.33</w:t>
            </w:r>
          </w:p>
        </w:tc>
        <w:tc>
          <w:tcPr>
            <w:tcW w:w="1667" w:type="dxa"/>
            <w:shd w:val="clear" w:color="auto" w:fill="auto"/>
          </w:tcPr>
          <w:p w14:paraId="529B678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1.14</w:t>
            </w:r>
          </w:p>
        </w:tc>
      </w:tr>
      <w:tr w:rsidR="00D821EF" w14:paraId="0B5ACAEB" w14:textId="77777777" w:rsidTr="00DB3655">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3F5949A4" w14:textId="77777777" w:rsidR="00D821EF" w:rsidRPr="007E2B4E" w:rsidRDefault="00D821EF" w:rsidP="00D821EF">
            <w:pPr>
              <w:spacing w:before="0" w:after="0"/>
              <w:rPr>
                <w:sz w:val="18"/>
                <w:szCs w:val="18"/>
              </w:rPr>
            </w:pPr>
            <w:r>
              <w:rPr>
                <w:sz w:val="18"/>
                <w:szCs w:val="18"/>
              </w:rPr>
              <w:t>750</w:t>
            </w:r>
          </w:p>
        </w:tc>
        <w:tc>
          <w:tcPr>
            <w:tcW w:w="1764" w:type="dxa"/>
            <w:shd w:val="clear" w:color="auto" w:fill="auto"/>
          </w:tcPr>
          <w:p w14:paraId="5F6AEDEB"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-5.76</w:t>
            </w:r>
          </w:p>
        </w:tc>
        <w:tc>
          <w:tcPr>
            <w:tcW w:w="1593" w:type="dxa"/>
            <w:shd w:val="clear" w:color="auto" w:fill="auto"/>
          </w:tcPr>
          <w:p w14:paraId="24364C4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0.07</w:t>
            </w:r>
          </w:p>
        </w:tc>
        <w:tc>
          <w:tcPr>
            <w:tcW w:w="1678" w:type="dxa"/>
            <w:shd w:val="clear" w:color="auto" w:fill="auto"/>
          </w:tcPr>
          <w:p w14:paraId="521A107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374.08</w:t>
            </w:r>
          </w:p>
        </w:tc>
        <w:tc>
          <w:tcPr>
            <w:tcW w:w="1667" w:type="dxa"/>
            <w:shd w:val="clear" w:color="auto" w:fill="auto"/>
          </w:tcPr>
          <w:p w14:paraId="4CF5C38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1.10</w:t>
            </w:r>
          </w:p>
        </w:tc>
      </w:tr>
      <w:tr w:rsidR="00D821EF" w14:paraId="401E4D3A"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shd w:val="clear" w:color="auto" w:fill="auto"/>
          </w:tcPr>
          <w:p w14:paraId="352747AE" w14:textId="77777777" w:rsidR="00D821EF" w:rsidRPr="007E2B4E" w:rsidRDefault="00D821EF" w:rsidP="00D821EF">
            <w:pPr>
              <w:spacing w:before="0" w:after="0"/>
              <w:rPr>
                <w:sz w:val="18"/>
                <w:szCs w:val="18"/>
              </w:rPr>
            </w:pPr>
            <w:r>
              <w:rPr>
                <w:sz w:val="18"/>
                <w:szCs w:val="18"/>
              </w:rPr>
              <w:t>1000</w:t>
            </w:r>
          </w:p>
        </w:tc>
        <w:tc>
          <w:tcPr>
            <w:tcW w:w="1764" w:type="dxa"/>
            <w:shd w:val="clear" w:color="auto" w:fill="auto"/>
          </w:tcPr>
          <w:p w14:paraId="3EF59B6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-7.65</w:t>
            </w:r>
          </w:p>
        </w:tc>
        <w:tc>
          <w:tcPr>
            <w:tcW w:w="1593" w:type="dxa"/>
            <w:shd w:val="clear" w:color="auto" w:fill="auto"/>
          </w:tcPr>
          <w:p w14:paraId="6F588DCB"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0.05</w:t>
            </w:r>
          </w:p>
        </w:tc>
        <w:tc>
          <w:tcPr>
            <w:tcW w:w="1678" w:type="dxa"/>
            <w:shd w:val="clear" w:color="auto" w:fill="auto"/>
          </w:tcPr>
          <w:p w14:paraId="3344A5D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357.25</w:t>
            </w:r>
          </w:p>
        </w:tc>
        <w:tc>
          <w:tcPr>
            <w:tcW w:w="1667" w:type="dxa"/>
            <w:shd w:val="clear" w:color="auto" w:fill="auto"/>
          </w:tcPr>
          <w:p w14:paraId="6B9B4E7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1.06</w:t>
            </w:r>
          </w:p>
        </w:tc>
      </w:tr>
    </w:tbl>
    <w:p w14:paraId="658578D1" w14:textId="77777777" w:rsidR="00D821EF" w:rsidRDefault="00D821EF" w:rsidP="008C2B83">
      <w:pPr>
        <w:pStyle w:val="Caption"/>
        <w:keepNext/>
      </w:pPr>
    </w:p>
    <w:p w14:paraId="4C78E675" w14:textId="77777777" w:rsidR="00D821EF" w:rsidRDefault="00D821EF" w:rsidP="00FB0CA1">
      <w:pPr>
        <w:pStyle w:val="Caption"/>
        <w:keepNext/>
        <w:jc w:val="left"/>
      </w:pPr>
      <w:r>
        <w:t xml:space="preserve">Table </w:t>
      </w:r>
      <w:fldSimple w:instr=" STYLEREF 1 \s ">
        <w:r w:rsidR="00AA6926">
          <w:rPr>
            <w:noProof/>
          </w:rPr>
          <w:t>8</w:t>
        </w:r>
      </w:fldSimple>
      <w:r>
        <w:noBreakHyphen/>
      </w:r>
      <w:fldSimple w:instr=" SEQ Table \* ARABIC \s 1 ">
        <w:r w:rsidR="00AA6926">
          <w:rPr>
            <w:noProof/>
          </w:rPr>
          <w:t>31</w:t>
        </w:r>
      </w:fldSimple>
      <w:r>
        <w:t xml:space="preserve">. </w:t>
      </w:r>
      <w:r w:rsidR="00FB0CA1">
        <w:t>Data</w:t>
      </w:r>
      <w:r>
        <w:t xml:space="preserve"> </w:t>
      </w:r>
      <w:r w:rsidR="00BB68F0">
        <w:t>values</w:t>
      </w:r>
      <w:r>
        <w:t xml:space="preserve"> of 0.5 g/L myoglobin pH 8 </w:t>
      </w:r>
      <w:r w:rsidR="00BB68F0">
        <w:t>in presence of various concentrations of</w:t>
      </w:r>
      <w:r>
        <w:t xml:space="preserve"> imidazole</w:t>
      </w:r>
    </w:p>
    <w:tbl>
      <w:tblPr>
        <w:tblStyle w:val="LightShading"/>
        <w:tblW w:w="5000" w:type="pct"/>
        <w:tblLook w:val="04A0" w:firstRow="1" w:lastRow="0" w:firstColumn="1" w:lastColumn="0" w:noHBand="0" w:noVBand="1"/>
      </w:tblPr>
      <w:tblGrid>
        <w:gridCol w:w="2469"/>
        <w:gridCol w:w="2159"/>
        <w:gridCol w:w="2053"/>
        <w:gridCol w:w="2039"/>
      </w:tblGrid>
      <w:tr w:rsidR="00D821EF" w14:paraId="1D182324"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552DEBFF" w14:textId="77777777" w:rsidR="00D821EF" w:rsidRPr="007E2B4E" w:rsidRDefault="00D821EF" w:rsidP="00D821EF">
            <w:pPr>
              <w:spacing w:before="0" w:after="0"/>
              <w:rPr>
                <w:sz w:val="18"/>
                <w:szCs w:val="18"/>
              </w:rPr>
            </w:pPr>
            <w:r w:rsidRPr="007E2B4E">
              <w:rPr>
                <w:sz w:val="18"/>
                <w:szCs w:val="18"/>
              </w:rPr>
              <w:t>Concentration (mM)</w:t>
            </w:r>
          </w:p>
        </w:tc>
        <w:tc>
          <w:tcPr>
            <w:tcW w:w="1238" w:type="pct"/>
            <w:shd w:val="clear" w:color="auto" w:fill="auto"/>
          </w:tcPr>
          <w:p w14:paraId="5DC37924"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w:t>
            </w:r>
            <w:r w:rsidRPr="007E2B4E">
              <w:rPr>
                <w:i/>
                <w:sz w:val="18"/>
                <w:szCs w:val="18"/>
              </w:rPr>
              <w:t>T</w:t>
            </w:r>
            <w:r w:rsidRPr="007E2B4E">
              <w:rPr>
                <w:sz w:val="18"/>
                <w:szCs w:val="18"/>
                <w:vertAlign w:val="subscript"/>
              </w:rPr>
              <w:t>m</w:t>
            </w:r>
            <w:r>
              <w:rPr>
                <w:sz w:val="18"/>
                <w:szCs w:val="18"/>
              </w:rPr>
              <w:t xml:space="preserve"> </w:t>
            </w:r>
            <w:r w:rsidRPr="007E2B4E">
              <w:rPr>
                <w:sz w:val="18"/>
                <w:szCs w:val="18"/>
              </w:rPr>
              <w:t xml:space="preserve"> (°C)</w:t>
            </w:r>
          </w:p>
        </w:tc>
        <w:tc>
          <w:tcPr>
            <w:tcW w:w="1177" w:type="pct"/>
            <w:shd w:val="clear" w:color="auto" w:fill="auto"/>
          </w:tcPr>
          <w:p w14:paraId="2F0B3C4F"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ΔH (kJ mol</w:t>
            </w:r>
            <w:r w:rsidRPr="007E2B4E">
              <w:rPr>
                <w:sz w:val="18"/>
                <w:szCs w:val="18"/>
                <w:vertAlign w:val="superscript"/>
              </w:rPr>
              <w:t>-1</w:t>
            </w:r>
            <w:r>
              <w:rPr>
                <w:sz w:val="18"/>
                <w:szCs w:val="18"/>
              </w:rPr>
              <w:t>)</w:t>
            </w:r>
          </w:p>
        </w:tc>
        <w:tc>
          <w:tcPr>
            <w:tcW w:w="1169" w:type="pct"/>
            <w:shd w:val="clear" w:color="auto" w:fill="auto"/>
          </w:tcPr>
          <w:p w14:paraId="5D15818F" w14:textId="77777777" w:rsidR="00D821EF" w:rsidRPr="007E2B4E" w:rsidRDefault="00D821EF" w:rsidP="00D821EF">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E2B4E">
              <w:rPr>
                <w:sz w:val="18"/>
                <w:szCs w:val="18"/>
              </w:rPr>
              <w:t>ΔS (kJ mol</w:t>
            </w:r>
            <w:r w:rsidRPr="007E2B4E">
              <w:rPr>
                <w:sz w:val="18"/>
                <w:szCs w:val="18"/>
                <w:vertAlign w:val="superscript"/>
              </w:rPr>
              <w:t>-1</w:t>
            </w:r>
            <w:r w:rsidRPr="007E2B4E">
              <w:rPr>
                <w:sz w:val="18"/>
                <w:szCs w:val="18"/>
              </w:rPr>
              <w:t xml:space="preserve"> K</w:t>
            </w:r>
            <w:r w:rsidRPr="007E2B4E">
              <w:rPr>
                <w:sz w:val="18"/>
                <w:szCs w:val="18"/>
                <w:vertAlign w:val="superscript"/>
              </w:rPr>
              <w:t>-1</w:t>
            </w:r>
            <w:r>
              <w:rPr>
                <w:sz w:val="18"/>
                <w:szCs w:val="18"/>
              </w:rPr>
              <w:t>)</w:t>
            </w:r>
          </w:p>
        </w:tc>
      </w:tr>
      <w:tr w:rsidR="00D821EF" w14:paraId="1A425BD1"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4208EDE6" w14:textId="77777777" w:rsidR="00D821EF" w:rsidRPr="007E2B4E" w:rsidRDefault="00D821EF" w:rsidP="00D821EF">
            <w:pPr>
              <w:spacing w:before="0" w:after="0"/>
              <w:rPr>
                <w:sz w:val="18"/>
                <w:szCs w:val="18"/>
              </w:rPr>
            </w:pPr>
            <w:r w:rsidRPr="007E2B4E">
              <w:rPr>
                <w:sz w:val="18"/>
                <w:szCs w:val="18"/>
              </w:rPr>
              <w:t>0.5</w:t>
            </w:r>
          </w:p>
        </w:tc>
        <w:tc>
          <w:tcPr>
            <w:tcW w:w="1238" w:type="pct"/>
            <w:shd w:val="clear" w:color="auto" w:fill="auto"/>
          </w:tcPr>
          <w:p w14:paraId="6B9B77E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-0.77</w:t>
            </w:r>
          </w:p>
        </w:tc>
        <w:tc>
          <w:tcPr>
            <w:tcW w:w="1177" w:type="pct"/>
            <w:shd w:val="clear" w:color="auto" w:fill="auto"/>
          </w:tcPr>
          <w:p w14:paraId="4652DF1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1176.44</w:t>
            </w:r>
          </w:p>
        </w:tc>
        <w:tc>
          <w:tcPr>
            <w:tcW w:w="1169" w:type="pct"/>
            <w:shd w:val="clear" w:color="auto" w:fill="auto"/>
          </w:tcPr>
          <w:p w14:paraId="74451BA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3.32</w:t>
            </w:r>
          </w:p>
        </w:tc>
      </w:tr>
      <w:tr w:rsidR="00D821EF" w14:paraId="75F49362"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7EC91080" w14:textId="77777777" w:rsidR="00D821EF" w:rsidRPr="007E2B4E" w:rsidRDefault="00D821EF" w:rsidP="00D821EF">
            <w:pPr>
              <w:spacing w:before="0" w:after="0"/>
              <w:rPr>
                <w:sz w:val="18"/>
                <w:szCs w:val="18"/>
              </w:rPr>
            </w:pPr>
            <w:r w:rsidRPr="007E2B4E">
              <w:rPr>
                <w:sz w:val="18"/>
                <w:szCs w:val="18"/>
              </w:rPr>
              <w:t>1</w:t>
            </w:r>
          </w:p>
        </w:tc>
        <w:tc>
          <w:tcPr>
            <w:tcW w:w="1238" w:type="pct"/>
            <w:shd w:val="clear" w:color="auto" w:fill="auto"/>
          </w:tcPr>
          <w:p w14:paraId="028B0BD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-1.16</w:t>
            </w:r>
          </w:p>
        </w:tc>
        <w:tc>
          <w:tcPr>
            <w:tcW w:w="1177" w:type="pct"/>
            <w:shd w:val="clear" w:color="auto" w:fill="auto"/>
          </w:tcPr>
          <w:p w14:paraId="2B511A9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1093.89</w:t>
            </w:r>
          </w:p>
        </w:tc>
        <w:tc>
          <w:tcPr>
            <w:tcW w:w="1169" w:type="pct"/>
            <w:shd w:val="clear" w:color="auto" w:fill="auto"/>
          </w:tcPr>
          <w:p w14:paraId="61758EC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3.10</w:t>
            </w:r>
          </w:p>
        </w:tc>
      </w:tr>
      <w:tr w:rsidR="00D821EF" w14:paraId="3A7FD093"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42C6FDEE" w14:textId="77777777" w:rsidR="00D821EF" w:rsidRPr="007E2B4E" w:rsidRDefault="00D821EF" w:rsidP="00D821EF">
            <w:pPr>
              <w:spacing w:before="0" w:after="0"/>
              <w:rPr>
                <w:sz w:val="18"/>
                <w:szCs w:val="18"/>
              </w:rPr>
            </w:pPr>
            <w:r w:rsidRPr="007E2B4E">
              <w:rPr>
                <w:sz w:val="18"/>
                <w:szCs w:val="18"/>
              </w:rPr>
              <w:t>2.5</w:t>
            </w:r>
          </w:p>
        </w:tc>
        <w:tc>
          <w:tcPr>
            <w:tcW w:w="1238" w:type="pct"/>
            <w:shd w:val="clear" w:color="auto" w:fill="auto"/>
          </w:tcPr>
          <w:p w14:paraId="67085984"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-0.93</w:t>
            </w:r>
          </w:p>
        </w:tc>
        <w:tc>
          <w:tcPr>
            <w:tcW w:w="1177" w:type="pct"/>
            <w:shd w:val="clear" w:color="auto" w:fill="auto"/>
          </w:tcPr>
          <w:p w14:paraId="465F16C9"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1293.56</w:t>
            </w:r>
          </w:p>
        </w:tc>
        <w:tc>
          <w:tcPr>
            <w:tcW w:w="1169" w:type="pct"/>
            <w:shd w:val="clear" w:color="auto" w:fill="auto"/>
          </w:tcPr>
          <w:p w14:paraId="48FA043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3.66</w:t>
            </w:r>
          </w:p>
        </w:tc>
      </w:tr>
      <w:tr w:rsidR="00D821EF" w14:paraId="09887F3A"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54716C25" w14:textId="77777777" w:rsidR="00D821EF" w:rsidRPr="007E2B4E" w:rsidRDefault="00D821EF" w:rsidP="00D821EF">
            <w:pPr>
              <w:spacing w:before="0" w:after="0"/>
              <w:rPr>
                <w:sz w:val="18"/>
                <w:szCs w:val="18"/>
              </w:rPr>
            </w:pPr>
            <w:r w:rsidRPr="007E2B4E">
              <w:rPr>
                <w:sz w:val="18"/>
                <w:szCs w:val="18"/>
              </w:rPr>
              <w:t>5</w:t>
            </w:r>
          </w:p>
        </w:tc>
        <w:tc>
          <w:tcPr>
            <w:tcW w:w="1238" w:type="pct"/>
            <w:shd w:val="clear" w:color="auto" w:fill="auto"/>
          </w:tcPr>
          <w:p w14:paraId="1E4EB1F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-0.69</w:t>
            </w:r>
          </w:p>
        </w:tc>
        <w:tc>
          <w:tcPr>
            <w:tcW w:w="1177" w:type="pct"/>
            <w:shd w:val="clear" w:color="auto" w:fill="auto"/>
          </w:tcPr>
          <w:p w14:paraId="4C0F1BF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1199.90</w:t>
            </w:r>
          </w:p>
        </w:tc>
        <w:tc>
          <w:tcPr>
            <w:tcW w:w="1169" w:type="pct"/>
            <w:shd w:val="clear" w:color="auto" w:fill="auto"/>
          </w:tcPr>
          <w:p w14:paraId="7AB19405"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3.39</w:t>
            </w:r>
          </w:p>
        </w:tc>
      </w:tr>
      <w:tr w:rsidR="00D821EF" w14:paraId="5F27F6FD"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54858DD7" w14:textId="77777777" w:rsidR="00D821EF" w:rsidRPr="007E2B4E" w:rsidRDefault="00D821EF" w:rsidP="00D821EF">
            <w:pPr>
              <w:spacing w:before="0" w:after="0"/>
              <w:rPr>
                <w:sz w:val="18"/>
                <w:szCs w:val="18"/>
              </w:rPr>
            </w:pPr>
            <w:r w:rsidRPr="007E2B4E">
              <w:rPr>
                <w:sz w:val="18"/>
                <w:szCs w:val="18"/>
              </w:rPr>
              <w:t>10</w:t>
            </w:r>
          </w:p>
        </w:tc>
        <w:tc>
          <w:tcPr>
            <w:tcW w:w="1238" w:type="pct"/>
            <w:shd w:val="clear" w:color="auto" w:fill="auto"/>
          </w:tcPr>
          <w:p w14:paraId="229F4CAC"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-0.39</w:t>
            </w:r>
          </w:p>
        </w:tc>
        <w:tc>
          <w:tcPr>
            <w:tcW w:w="1177" w:type="pct"/>
            <w:shd w:val="clear" w:color="auto" w:fill="auto"/>
          </w:tcPr>
          <w:p w14:paraId="544D149C"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1127.30</w:t>
            </w:r>
          </w:p>
        </w:tc>
        <w:tc>
          <w:tcPr>
            <w:tcW w:w="1169" w:type="pct"/>
            <w:shd w:val="clear" w:color="auto" w:fill="auto"/>
          </w:tcPr>
          <w:p w14:paraId="2C1C925E"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3.18</w:t>
            </w:r>
          </w:p>
        </w:tc>
      </w:tr>
      <w:tr w:rsidR="00D821EF" w14:paraId="27EFBBF9"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1B3B35C2" w14:textId="77777777" w:rsidR="00D821EF" w:rsidRPr="007E2B4E" w:rsidRDefault="00D821EF" w:rsidP="00D821EF">
            <w:pPr>
              <w:spacing w:before="0" w:after="0"/>
              <w:rPr>
                <w:sz w:val="18"/>
                <w:szCs w:val="18"/>
              </w:rPr>
            </w:pPr>
            <w:r w:rsidRPr="007E2B4E">
              <w:rPr>
                <w:sz w:val="18"/>
                <w:szCs w:val="18"/>
              </w:rPr>
              <w:t>25</w:t>
            </w:r>
          </w:p>
        </w:tc>
        <w:tc>
          <w:tcPr>
            <w:tcW w:w="1238" w:type="pct"/>
            <w:shd w:val="clear" w:color="auto" w:fill="auto"/>
          </w:tcPr>
          <w:p w14:paraId="498A11E4"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0.51</w:t>
            </w:r>
          </w:p>
        </w:tc>
        <w:tc>
          <w:tcPr>
            <w:tcW w:w="1177" w:type="pct"/>
            <w:shd w:val="clear" w:color="auto" w:fill="auto"/>
          </w:tcPr>
          <w:p w14:paraId="50DD3D6E"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1285.47</w:t>
            </w:r>
          </w:p>
        </w:tc>
        <w:tc>
          <w:tcPr>
            <w:tcW w:w="1169" w:type="pct"/>
            <w:shd w:val="clear" w:color="auto" w:fill="auto"/>
          </w:tcPr>
          <w:p w14:paraId="528A8A7D"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3.62</w:t>
            </w:r>
          </w:p>
        </w:tc>
      </w:tr>
      <w:tr w:rsidR="00D821EF" w14:paraId="7F86125B"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330AFBC7" w14:textId="77777777" w:rsidR="00D821EF" w:rsidRPr="007E2B4E" w:rsidRDefault="00D821EF" w:rsidP="00D821EF">
            <w:pPr>
              <w:spacing w:before="0" w:after="0"/>
              <w:rPr>
                <w:sz w:val="18"/>
                <w:szCs w:val="18"/>
              </w:rPr>
            </w:pPr>
            <w:r w:rsidRPr="007E2B4E">
              <w:rPr>
                <w:sz w:val="18"/>
                <w:szCs w:val="18"/>
              </w:rPr>
              <w:t>50</w:t>
            </w:r>
          </w:p>
        </w:tc>
        <w:tc>
          <w:tcPr>
            <w:tcW w:w="1238" w:type="pct"/>
            <w:shd w:val="clear" w:color="auto" w:fill="auto"/>
          </w:tcPr>
          <w:p w14:paraId="4769BD3C"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-0.39</w:t>
            </w:r>
          </w:p>
        </w:tc>
        <w:tc>
          <w:tcPr>
            <w:tcW w:w="1177" w:type="pct"/>
            <w:shd w:val="clear" w:color="auto" w:fill="auto"/>
          </w:tcPr>
          <w:p w14:paraId="3E8D8CA0"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1147.85</w:t>
            </w:r>
          </w:p>
        </w:tc>
        <w:tc>
          <w:tcPr>
            <w:tcW w:w="1169" w:type="pct"/>
            <w:shd w:val="clear" w:color="auto" w:fill="auto"/>
          </w:tcPr>
          <w:p w14:paraId="5758AA32"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3.24</w:t>
            </w:r>
          </w:p>
        </w:tc>
      </w:tr>
      <w:tr w:rsidR="00D821EF" w14:paraId="7C8FDB36"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557B373A" w14:textId="77777777" w:rsidR="00D821EF" w:rsidRPr="007E2B4E" w:rsidRDefault="00D821EF" w:rsidP="00D821EF">
            <w:pPr>
              <w:spacing w:before="0" w:after="0"/>
              <w:rPr>
                <w:sz w:val="18"/>
                <w:szCs w:val="18"/>
              </w:rPr>
            </w:pPr>
            <w:r w:rsidRPr="007E2B4E">
              <w:rPr>
                <w:sz w:val="18"/>
                <w:szCs w:val="18"/>
              </w:rPr>
              <w:t>75</w:t>
            </w:r>
          </w:p>
        </w:tc>
        <w:tc>
          <w:tcPr>
            <w:tcW w:w="1238" w:type="pct"/>
            <w:shd w:val="clear" w:color="auto" w:fill="auto"/>
          </w:tcPr>
          <w:p w14:paraId="730283C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-0.64</w:t>
            </w:r>
          </w:p>
        </w:tc>
        <w:tc>
          <w:tcPr>
            <w:tcW w:w="1177" w:type="pct"/>
            <w:shd w:val="clear" w:color="auto" w:fill="auto"/>
          </w:tcPr>
          <w:p w14:paraId="428790F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1190.41</w:t>
            </w:r>
          </w:p>
        </w:tc>
        <w:tc>
          <w:tcPr>
            <w:tcW w:w="1169" w:type="pct"/>
            <w:shd w:val="clear" w:color="auto" w:fill="auto"/>
          </w:tcPr>
          <w:p w14:paraId="65D0210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3.36</w:t>
            </w:r>
          </w:p>
        </w:tc>
      </w:tr>
      <w:tr w:rsidR="00D821EF" w14:paraId="77EB4221"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35D9A65F" w14:textId="77777777" w:rsidR="00D821EF" w:rsidRPr="007E2B4E" w:rsidRDefault="00D821EF" w:rsidP="00D821EF">
            <w:pPr>
              <w:spacing w:before="0" w:after="0"/>
              <w:rPr>
                <w:sz w:val="18"/>
                <w:szCs w:val="18"/>
              </w:rPr>
            </w:pPr>
            <w:r w:rsidRPr="007E2B4E">
              <w:rPr>
                <w:sz w:val="18"/>
                <w:szCs w:val="18"/>
              </w:rPr>
              <w:t>100</w:t>
            </w:r>
          </w:p>
        </w:tc>
        <w:tc>
          <w:tcPr>
            <w:tcW w:w="1238" w:type="pct"/>
            <w:shd w:val="clear" w:color="auto" w:fill="auto"/>
          </w:tcPr>
          <w:p w14:paraId="79D058CF"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-0.80</w:t>
            </w:r>
          </w:p>
        </w:tc>
        <w:tc>
          <w:tcPr>
            <w:tcW w:w="1177" w:type="pct"/>
            <w:shd w:val="clear" w:color="auto" w:fill="auto"/>
          </w:tcPr>
          <w:p w14:paraId="48EBF648"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1103.69</w:t>
            </w:r>
          </w:p>
        </w:tc>
        <w:tc>
          <w:tcPr>
            <w:tcW w:w="1169" w:type="pct"/>
            <w:shd w:val="clear" w:color="auto" w:fill="auto"/>
          </w:tcPr>
          <w:p w14:paraId="1F541661"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3.12</w:t>
            </w:r>
          </w:p>
        </w:tc>
      </w:tr>
      <w:tr w:rsidR="00D821EF" w14:paraId="0379E45E"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1754E35A" w14:textId="77777777" w:rsidR="00D821EF" w:rsidRPr="007E2B4E" w:rsidRDefault="00D821EF" w:rsidP="00D821EF">
            <w:pPr>
              <w:spacing w:before="0" w:after="0"/>
              <w:rPr>
                <w:sz w:val="18"/>
                <w:szCs w:val="18"/>
              </w:rPr>
            </w:pPr>
            <w:r w:rsidRPr="007E2B4E">
              <w:rPr>
                <w:sz w:val="18"/>
                <w:szCs w:val="18"/>
              </w:rPr>
              <w:t>250</w:t>
            </w:r>
          </w:p>
        </w:tc>
        <w:tc>
          <w:tcPr>
            <w:tcW w:w="1238" w:type="pct"/>
            <w:shd w:val="clear" w:color="auto" w:fill="auto"/>
          </w:tcPr>
          <w:p w14:paraId="2EA2B4C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-3.80</w:t>
            </w:r>
          </w:p>
        </w:tc>
        <w:tc>
          <w:tcPr>
            <w:tcW w:w="1177" w:type="pct"/>
            <w:shd w:val="clear" w:color="auto" w:fill="auto"/>
          </w:tcPr>
          <w:p w14:paraId="32FF3D1F"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1007.84</w:t>
            </w:r>
          </w:p>
        </w:tc>
        <w:tc>
          <w:tcPr>
            <w:tcW w:w="1169" w:type="pct"/>
            <w:shd w:val="clear" w:color="auto" w:fill="auto"/>
          </w:tcPr>
          <w:p w14:paraId="04D89286"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2.87</w:t>
            </w:r>
          </w:p>
        </w:tc>
      </w:tr>
      <w:tr w:rsidR="00D821EF" w14:paraId="43BA664D"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763A9AC6" w14:textId="77777777" w:rsidR="00D821EF" w:rsidRPr="007E2B4E" w:rsidRDefault="00D821EF" w:rsidP="00D821EF">
            <w:pPr>
              <w:spacing w:before="0" w:after="0"/>
              <w:rPr>
                <w:sz w:val="18"/>
                <w:szCs w:val="18"/>
              </w:rPr>
            </w:pPr>
            <w:r w:rsidRPr="007E2B4E">
              <w:rPr>
                <w:sz w:val="18"/>
                <w:szCs w:val="18"/>
              </w:rPr>
              <w:t>500</w:t>
            </w:r>
          </w:p>
        </w:tc>
        <w:tc>
          <w:tcPr>
            <w:tcW w:w="1238" w:type="pct"/>
            <w:shd w:val="clear" w:color="auto" w:fill="auto"/>
          </w:tcPr>
          <w:p w14:paraId="415099B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-9.95</w:t>
            </w:r>
          </w:p>
        </w:tc>
        <w:tc>
          <w:tcPr>
            <w:tcW w:w="1177" w:type="pct"/>
            <w:shd w:val="clear" w:color="auto" w:fill="auto"/>
          </w:tcPr>
          <w:p w14:paraId="4C25B7A7"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936.12</w:t>
            </w:r>
          </w:p>
        </w:tc>
        <w:tc>
          <w:tcPr>
            <w:tcW w:w="1169" w:type="pct"/>
            <w:shd w:val="clear" w:color="auto" w:fill="auto"/>
          </w:tcPr>
          <w:p w14:paraId="5E036805"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2.72</w:t>
            </w:r>
          </w:p>
        </w:tc>
      </w:tr>
      <w:tr w:rsidR="00D821EF" w14:paraId="0199B18E" w14:textId="77777777" w:rsidTr="00DB3655">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60F373AF" w14:textId="77777777" w:rsidR="00D821EF" w:rsidRPr="007E2B4E" w:rsidRDefault="00D821EF" w:rsidP="00D821EF">
            <w:pPr>
              <w:spacing w:before="0" w:after="0"/>
              <w:rPr>
                <w:sz w:val="18"/>
                <w:szCs w:val="18"/>
              </w:rPr>
            </w:pPr>
            <w:r>
              <w:rPr>
                <w:sz w:val="18"/>
                <w:szCs w:val="18"/>
              </w:rPr>
              <w:t>750</w:t>
            </w:r>
          </w:p>
        </w:tc>
        <w:tc>
          <w:tcPr>
            <w:tcW w:w="1238" w:type="pct"/>
            <w:shd w:val="clear" w:color="auto" w:fill="auto"/>
          </w:tcPr>
          <w:p w14:paraId="76A9E700"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-16.89</w:t>
            </w:r>
          </w:p>
        </w:tc>
        <w:tc>
          <w:tcPr>
            <w:tcW w:w="1177" w:type="pct"/>
            <w:shd w:val="clear" w:color="auto" w:fill="auto"/>
          </w:tcPr>
          <w:p w14:paraId="6F0FD073"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796.82</w:t>
            </w:r>
          </w:p>
        </w:tc>
        <w:tc>
          <w:tcPr>
            <w:tcW w:w="1169" w:type="pct"/>
            <w:shd w:val="clear" w:color="auto" w:fill="auto"/>
          </w:tcPr>
          <w:p w14:paraId="4CBCC9E2" w14:textId="77777777" w:rsidR="00D821EF" w:rsidRPr="007E2B4E" w:rsidRDefault="00D821EF" w:rsidP="00D821EF">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2.36</w:t>
            </w:r>
          </w:p>
        </w:tc>
      </w:tr>
      <w:tr w:rsidR="00D821EF" w14:paraId="7BBBD347"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shd w:val="clear" w:color="auto" w:fill="auto"/>
          </w:tcPr>
          <w:p w14:paraId="003D4EE2" w14:textId="77777777" w:rsidR="00D821EF" w:rsidRPr="007E2B4E" w:rsidRDefault="00D821EF" w:rsidP="00D821EF">
            <w:pPr>
              <w:spacing w:before="0" w:after="0"/>
              <w:rPr>
                <w:sz w:val="18"/>
                <w:szCs w:val="18"/>
              </w:rPr>
            </w:pPr>
            <w:r>
              <w:rPr>
                <w:sz w:val="18"/>
                <w:szCs w:val="18"/>
              </w:rPr>
              <w:t>1000</w:t>
            </w:r>
          </w:p>
        </w:tc>
        <w:tc>
          <w:tcPr>
            <w:tcW w:w="1238" w:type="pct"/>
            <w:shd w:val="clear" w:color="auto" w:fill="auto"/>
          </w:tcPr>
          <w:p w14:paraId="4B07F3B7"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-23.86</w:t>
            </w:r>
          </w:p>
        </w:tc>
        <w:tc>
          <w:tcPr>
            <w:tcW w:w="1177" w:type="pct"/>
            <w:shd w:val="clear" w:color="auto" w:fill="auto"/>
          </w:tcPr>
          <w:p w14:paraId="0B1DA0FD"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704.43</w:t>
            </w:r>
          </w:p>
        </w:tc>
        <w:tc>
          <w:tcPr>
            <w:tcW w:w="1169" w:type="pct"/>
            <w:shd w:val="clear" w:color="auto" w:fill="auto"/>
          </w:tcPr>
          <w:p w14:paraId="0AB5CE66" w14:textId="77777777" w:rsidR="00D821EF" w:rsidRPr="007E2B4E" w:rsidRDefault="00D821EF" w:rsidP="00D821EF">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2.13</w:t>
            </w:r>
          </w:p>
        </w:tc>
      </w:tr>
    </w:tbl>
    <w:p w14:paraId="6FA53BC8" w14:textId="77777777" w:rsidR="00BA082C" w:rsidRDefault="00D821EF" w:rsidP="00BA082C">
      <w:pPr>
        <w:keepNext/>
        <w:framePr w:w="9130" w:hSpace="180" w:wrap="around" w:vAnchor="text" w:hAnchor="text" w:x="1" w:y="1"/>
      </w:pPr>
      <w:r>
        <w:object w:dxaOrig="11175" w:dyaOrig="13291" w14:anchorId="6410BB7B">
          <v:shape id="_x0000_i1078" type="#_x0000_t75" style="width:456.75pt;height:543pt" o:ole="">
            <v:imagedata r:id="rId127" o:title=""/>
          </v:shape>
          <o:OLEObject Type="Embed" ProgID="SigmaPlotGraphicObject.12" ShapeID="_x0000_i1078" DrawAspect="Content" ObjectID="_1559454732" r:id="rId128"/>
        </w:object>
      </w:r>
    </w:p>
    <w:p w14:paraId="30F36490" w14:textId="77777777" w:rsidR="00D821EF" w:rsidRDefault="00BA082C" w:rsidP="00BA082C">
      <w:pPr>
        <w:pStyle w:val="Caption"/>
        <w:framePr w:w="9130" w:hSpace="180" w:wrap="around" w:vAnchor="text" w:hAnchor="text" w:x="1" w:y="1"/>
        <w:jc w:val="left"/>
      </w:pPr>
      <w:bookmarkStart w:id="314" w:name="_Toc482633218"/>
      <w:r>
        <w:t xml:space="preserve">Figure </w:t>
      </w:r>
      <w:fldSimple w:instr=" STYLEREF 1 \s ">
        <w:r w:rsidR="00AA6926">
          <w:rPr>
            <w:noProof/>
          </w:rPr>
          <w:t>8</w:t>
        </w:r>
      </w:fldSimple>
      <w:r>
        <w:noBreakHyphen/>
      </w:r>
      <w:fldSimple w:instr=" SEQ Figure \* ARABIC \s 1 ">
        <w:r w:rsidR="00AA6926">
          <w:rPr>
            <w:noProof/>
          </w:rPr>
          <w:t>11</w:t>
        </w:r>
      </w:fldSimple>
      <w:r>
        <w:t xml:space="preserve">. </w:t>
      </w:r>
      <w:r w:rsidR="009E04C5">
        <w:t>DSC thermograms</w:t>
      </w:r>
      <w:r>
        <w:t xml:space="preserve"> of 1 g/L BSA pH 7</w:t>
      </w:r>
      <w:r w:rsidR="009E04C5">
        <w:t xml:space="preserve"> (top panels)</w:t>
      </w:r>
      <w:r>
        <w:t xml:space="preserve">, 0.5 g/L myoglobin pH 8 </w:t>
      </w:r>
      <w:r w:rsidR="009E04C5">
        <w:t xml:space="preserve">(middle panels) </w:t>
      </w:r>
      <w:r>
        <w:t xml:space="preserve">and 1 g/L lysozyme pH 7 </w:t>
      </w:r>
      <w:r w:rsidR="009E04C5">
        <w:t xml:space="preserve">(lower panels) </w:t>
      </w:r>
      <w:r>
        <w:t xml:space="preserve">with low medium and high concentrations of histidine </w:t>
      </w:r>
      <w:r w:rsidR="009E04C5">
        <w:t xml:space="preserve">(left panels) </w:t>
      </w:r>
      <w:r>
        <w:t>and imidazole</w:t>
      </w:r>
      <w:r w:rsidR="009E04C5">
        <w:t xml:space="preserve"> (right panels)</w:t>
      </w:r>
      <w:r>
        <w:t>. Zero cosolute heat capacity scans are shown in each graph for reference</w:t>
      </w:r>
      <w:bookmarkEnd w:id="314"/>
    </w:p>
    <w:p w14:paraId="23DD07BF" w14:textId="2BB52290" w:rsidR="00CE68A3" w:rsidRPr="006024D2" w:rsidRDefault="00CE68A3" w:rsidP="00C643FE">
      <w:pPr>
        <w:spacing w:before="0" w:after="200" w:line="276" w:lineRule="auto"/>
      </w:pPr>
    </w:p>
    <w:sectPr w:rsidR="00CE68A3" w:rsidRPr="006024D2" w:rsidSect="0000277A">
      <w:footerReference w:type="default" r:id="rId129"/>
      <w:pgSz w:w="11906" w:h="16838"/>
      <w:pgMar w:top="1440" w:right="1134" w:bottom="1440" w:left="2268" w:header="709" w:footer="709" w:gutter="0"/>
      <w:pgNumType w:fmt="lowerRoman"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7" w:author="UOS" w:date="2017-04-23T11:28:00Z" w:initials="U">
    <w:p w14:paraId="13504E83" w14:textId="77777777" w:rsidR="0004653F" w:rsidRDefault="0004653F">
      <w:pPr>
        <w:pStyle w:val="CommentText"/>
      </w:pPr>
      <w:r>
        <w:rPr>
          <w:rStyle w:val="CommentReference"/>
        </w:rPr>
        <w:annotationRef/>
      </w:r>
      <w:r>
        <w:t>Sentence structure altered</w:t>
      </w:r>
    </w:p>
  </w:comment>
  <w:comment w:id="26" w:author="UOS" w:date="2017-04-23T11:33:00Z" w:initials="U">
    <w:p w14:paraId="6831FB4B" w14:textId="77777777" w:rsidR="0004653F" w:rsidRDefault="0004653F">
      <w:pPr>
        <w:pStyle w:val="CommentText"/>
      </w:pPr>
      <w:r>
        <w:rPr>
          <w:rStyle w:val="CommentReference"/>
        </w:rPr>
        <w:annotationRef/>
      </w:r>
      <w:r>
        <w:t>Changed to single figure rather than two</w:t>
      </w:r>
    </w:p>
  </w:comment>
  <w:comment w:id="31" w:author="UOS" w:date="2017-04-23T11:34:00Z" w:initials="U">
    <w:p w14:paraId="608260E8" w14:textId="77777777" w:rsidR="0004653F" w:rsidRDefault="0004653F">
      <w:pPr>
        <w:pStyle w:val="CommentText"/>
      </w:pPr>
      <w:r>
        <w:rPr>
          <w:rStyle w:val="CommentReference"/>
        </w:rPr>
        <w:annotationRef/>
      </w:r>
      <w:r>
        <w:t>Punctuation added</w:t>
      </w:r>
    </w:p>
  </w:comment>
  <w:comment w:id="33" w:author="UOS" w:date="2017-04-23T11:36:00Z" w:initials="U">
    <w:p w14:paraId="04CC9D5F" w14:textId="77777777" w:rsidR="0004653F" w:rsidRDefault="0004653F">
      <w:pPr>
        <w:pStyle w:val="CommentText"/>
      </w:pPr>
      <w:r>
        <w:rPr>
          <w:rStyle w:val="CommentReference"/>
        </w:rPr>
        <w:annotationRef/>
      </w:r>
      <w:r>
        <w:t>Changed reference</w:t>
      </w:r>
    </w:p>
  </w:comment>
  <w:comment w:id="39" w:author="Lauren Platts" w:date="2017-05-11T17:55:00Z" w:initials="LP">
    <w:p w14:paraId="3C109B87" w14:textId="70F117C5" w:rsidR="0004653F" w:rsidRDefault="0004653F">
      <w:pPr>
        <w:pStyle w:val="CommentText"/>
      </w:pPr>
      <w:r>
        <w:rPr>
          <w:rStyle w:val="CommentReference"/>
        </w:rPr>
        <w:annotationRef/>
      </w:r>
      <w:r>
        <w:t>Figure reformatted and reorganised to improve organisation</w:t>
      </w:r>
    </w:p>
  </w:comment>
  <w:comment w:id="44" w:author="UOS" w:date="2017-04-23T11:41:00Z" w:initials="U">
    <w:p w14:paraId="38BDE701" w14:textId="77777777" w:rsidR="0004653F" w:rsidRDefault="0004653F">
      <w:pPr>
        <w:pStyle w:val="CommentText"/>
      </w:pPr>
      <w:r>
        <w:rPr>
          <w:rStyle w:val="CommentReference"/>
        </w:rPr>
        <w:annotationRef/>
      </w:r>
      <w:r>
        <w:t>‘Big’ changed to something more academic</w:t>
      </w:r>
    </w:p>
  </w:comment>
  <w:comment w:id="68" w:author="Lauren Platts" w:date="2017-05-11T18:11:00Z" w:initials="LP">
    <w:p w14:paraId="61BD4EFA" w14:textId="1F527BA4" w:rsidR="0004653F" w:rsidRDefault="0004653F">
      <w:pPr>
        <w:pStyle w:val="CommentText"/>
      </w:pPr>
      <w:r>
        <w:rPr>
          <w:rStyle w:val="CommentReference"/>
        </w:rPr>
        <w:annotationRef/>
      </w:r>
      <w:r>
        <w:t>Figure reformatted to remove space above and below. Figure legend includes reference now.</w:t>
      </w:r>
    </w:p>
  </w:comment>
  <w:comment w:id="77" w:author="Lauren Platts" w:date="2017-05-11T18:20:00Z" w:initials="LP">
    <w:p w14:paraId="5B7CEC42" w14:textId="5471BDB5" w:rsidR="0004653F" w:rsidRDefault="0004653F">
      <w:pPr>
        <w:pStyle w:val="CommentText"/>
      </w:pPr>
      <w:r>
        <w:rPr>
          <w:rStyle w:val="CommentReference"/>
        </w:rPr>
        <w:annotationRef/>
      </w:r>
      <w:r>
        <w:t>White space removed from top and bottom of image. Font improved to be more readable.</w:t>
      </w:r>
    </w:p>
  </w:comment>
  <w:comment w:id="87" w:author="UOS" w:date="2017-04-23T11:49:00Z" w:initials="U">
    <w:p w14:paraId="5521B585" w14:textId="6478F1F4" w:rsidR="0004653F" w:rsidRDefault="0004653F">
      <w:pPr>
        <w:pStyle w:val="CommentText"/>
      </w:pPr>
      <w:r>
        <w:rPr>
          <w:rStyle w:val="CommentReference"/>
        </w:rPr>
        <w:annotationRef/>
      </w:r>
      <w:r>
        <w:t>Formatting error corrected: section 0 to section 1.3.3</w:t>
      </w:r>
    </w:p>
  </w:comment>
  <w:comment w:id="96" w:author="UOS" w:date="2017-04-23T11:48:00Z" w:initials="U">
    <w:p w14:paraId="3128930A" w14:textId="5FCF59C2" w:rsidR="0004653F" w:rsidRDefault="0004653F">
      <w:pPr>
        <w:pStyle w:val="CommentText"/>
      </w:pPr>
      <w:r>
        <w:rPr>
          <w:rStyle w:val="CommentReference"/>
        </w:rPr>
        <w:annotationRef/>
      </w:r>
      <w:r>
        <w:t>Reference style altered</w:t>
      </w:r>
    </w:p>
  </w:comment>
  <w:comment w:id="100" w:author="UOS" w:date="2017-04-23T11:52:00Z" w:initials="U">
    <w:p w14:paraId="2CCD6B8C" w14:textId="31C458C6" w:rsidR="0004653F" w:rsidRDefault="0004653F">
      <w:pPr>
        <w:pStyle w:val="CommentText"/>
      </w:pPr>
      <w:r>
        <w:rPr>
          <w:rStyle w:val="CommentReference"/>
        </w:rPr>
        <w:annotationRef/>
      </w:r>
      <w:r>
        <w:t>Reference is correct: There are multiple papers from 2011 with Singh, Poddar &amp; Dar, hence why 4 author names have been listed.</w:t>
      </w:r>
    </w:p>
  </w:comment>
  <w:comment w:id="102" w:author="Lauren Platts" w:date="2017-05-15T17:24:00Z" w:initials="LP">
    <w:p w14:paraId="140DC1A2" w14:textId="017412AE" w:rsidR="0004653F" w:rsidRDefault="0004653F">
      <w:pPr>
        <w:pStyle w:val="CommentText"/>
      </w:pPr>
      <w:r>
        <w:rPr>
          <w:rStyle w:val="CommentReference"/>
        </w:rPr>
        <w:annotationRef/>
      </w:r>
      <w:r>
        <w:t>section 0 corrected to appropriate section</w:t>
      </w:r>
    </w:p>
  </w:comment>
  <w:comment w:id="106" w:author="UOS" w:date="2017-04-23T11:54:00Z" w:initials="U">
    <w:p w14:paraId="16FDF37D" w14:textId="7CCDB316" w:rsidR="0004653F" w:rsidRDefault="0004653F">
      <w:pPr>
        <w:pStyle w:val="CommentText"/>
      </w:pPr>
      <w:r>
        <w:rPr>
          <w:rStyle w:val="CommentReference"/>
        </w:rPr>
        <w:annotationRef/>
      </w:r>
      <w:r>
        <w:t>‘Also’ removed from start of sentence</w:t>
      </w:r>
    </w:p>
  </w:comment>
  <w:comment w:id="123" w:author="Lauren Platts" w:date="2017-05-15T17:24:00Z" w:initials="LP">
    <w:p w14:paraId="5F6BF1B1" w14:textId="3C0E1298" w:rsidR="0004653F" w:rsidRDefault="0004653F">
      <w:pPr>
        <w:pStyle w:val="CommentText"/>
      </w:pPr>
      <w:r>
        <w:rPr>
          <w:rStyle w:val="CommentReference"/>
        </w:rPr>
        <w:annotationRef/>
      </w:r>
      <w:r>
        <w:t>section 0 corrected to correct section</w:t>
      </w:r>
    </w:p>
  </w:comment>
  <w:comment w:id="130" w:author="Lauren Platts" w:date="2017-05-15T17:25:00Z" w:initials="LP">
    <w:p w14:paraId="71BFE2F8" w14:textId="066065BD" w:rsidR="0004653F" w:rsidRDefault="0004653F">
      <w:pPr>
        <w:pStyle w:val="CommentText"/>
      </w:pPr>
      <w:r>
        <w:rPr>
          <w:rStyle w:val="CommentReference"/>
        </w:rPr>
        <w:annotationRef/>
      </w:r>
      <w:r>
        <w:t>section 0 corrected to appropriate section</w:t>
      </w:r>
    </w:p>
  </w:comment>
  <w:comment w:id="152" w:author="UOS" w:date="2017-04-23T11:57:00Z" w:initials="U">
    <w:p w14:paraId="6BF58433" w14:textId="2F1A6E7F" w:rsidR="0004653F" w:rsidRDefault="0004653F">
      <w:pPr>
        <w:pStyle w:val="CommentText"/>
      </w:pPr>
      <w:r>
        <w:rPr>
          <w:rStyle w:val="CommentReference"/>
        </w:rPr>
        <w:annotationRef/>
      </w:r>
      <w:r>
        <w:t>Equation title altered to match notation in equation</w:t>
      </w:r>
    </w:p>
  </w:comment>
  <w:comment w:id="153" w:author="Lauren Platts" w:date="2017-05-11T18:31:00Z" w:initials="LP">
    <w:p w14:paraId="3532C52A" w14:textId="021602AD" w:rsidR="0004653F" w:rsidRDefault="0004653F">
      <w:pPr>
        <w:pStyle w:val="CommentText"/>
      </w:pPr>
      <w:r>
        <w:rPr>
          <w:rStyle w:val="CommentReference"/>
        </w:rPr>
        <w:annotationRef/>
      </w:r>
      <w:r>
        <w:t>Aggregation signal inidicated in figure and sentence added to figure legend to reference this.</w:t>
      </w:r>
    </w:p>
  </w:comment>
  <w:comment w:id="157" w:author="Lauren Platts" w:date="2017-05-11T18:56:00Z" w:initials="LP">
    <w:p w14:paraId="346BB988" w14:textId="1C58EF75" w:rsidR="0004653F" w:rsidRDefault="0004653F">
      <w:pPr>
        <w:pStyle w:val="CommentText"/>
      </w:pPr>
      <w:r>
        <w:rPr>
          <w:rStyle w:val="CommentReference"/>
        </w:rPr>
        <w:annotationRef/>
      </w:r>
      <w:r>
        <w:t>Tables 2-1, 2-2 &amp; 2-3 merged and data altered to show averages and SE rather than individual data points</w:t>
      </w:r>
    </w:p>
  </w:comment>
  <w:comment w:id="166" w:author="Lauren Platts" w:date="2017-05-11T19:00:00Z" w:initials="LP">
    <w:p w14:paraId="3A1F458A" w14:textId="23869E87" w:rsidR="0004653F" w:rsidRDefault="0004653F">
      <w:pPr>
        <w:pStyle w:val="CommentText"/>
      </w:pPr>
      <w:r>
        <w:rPr>
          <w:rStyle w:val="CommentReference"/>
        </w:rPr>
        <w:annotationRef/>
      </w:r>
      <w:r>
        <w:t>Equation improved</w:t>
      </w:r>
    </w:p>
  </w:comment>
  <w:comment w:id="168" w:author="UOS" w:date="2017-04-23T12:02:00Z" w:initials="U">
    <w:p w14:paraId="25D24E13" w14:textId="07EE6A8C" w:rsidR="0004653F" w:rsidRDefault="0004653F">
      <w:pPr>
        <w:pStyle w:val="CommentText"/>
      </w:pPr>
      <w:r>
        <w:rPr>
          <w:rStyle w:val="CommentReference"/>
        </w:rPr>
        <w:annotationRef/>
      </w:r>
      <w:r>
        <w:t>Formatting of equation altered so ‘t’ is subscript</w:t>
      </w:r>
    </w:p>
  </w:comment>
  <w:comment w:id="178" w:author="UOS" w:date="2017-04-23T12:04:00Z" w:initials="U">
    <w:p w14:paraId="109EC8A6" w14:textId="2D384E3A" w:rsidR="0004653F" w:rsidRDefault="0004653F">
      <w:pPr>
        <w:pStyle w:val="CommentText"/>
      </w:pPr>
      <w:r>
        <w:rPr>
          <w:rStyle w:val="CommentReference"/>
        </w:rPr>
        <w:annotationRef/>
      </w:r>
      <w:r>
        <w:t>Reference formatting altered</w:t>
      </w:r>
    </w:p>
  </w:comment>
  <w:comment w:id="214" w:author="UOS" w:date="2017-04-23T12:06:00Z" w:initials="U">
    <w:p w14:paraId="25022609" w14:textId="28CF35DE" w:rsidR="0004653F" w:rsidRDefault="0004653F">
      <w:pPr>
        <w:pStyle w:val="CommentText"/>
      </w:pPr>
      <w:r>
        <w:rPr>
          <w:rStyle w:val="CommentReference"/>
        </w:rPr>
        <w:annotationRef/>
      </w:r>
      <w:r>
        <w:t>Sentence structure altered to improve grammar</w:t>
      </w:r>
    </w:p>
  </w:comment>
  <w:comment w:id="223" w:author="UOS" w:date="2017-04-23T12:07:00Z" w:initials="U">
    <w:p w14:paraId="081F80A2" w14:textId="64FAF093" w:rsidR="0004653F" w:rsidRDefault="0004653F">
      <w:pPr>
        <w:pStyle w:val="CommentText"/>
      </w:pPr>
      <w:r>
        <w:rPr>
          <w:rStyle w:val="CommentReference"/>
        </w:rPr>
        <w:annotationRef/>
      </w:r>
      <w:r>
        <w:t>‘put’ changed to altered</w:t>
      </w:r>
    </w:p>
  </w:comment>
  <w:comment w:id="230" w:author="UOS" w:date="2017-04-23T12:10:00Z" w:initials="U">
    <w:p w14:paraId="6416FFF2" w14:textId="7B356D1C" w:rsidR="0004653F" w:rsidRDefault="0004653F">
      <w:pPr>
        <w:pStyle w:val="CommentText"/>
      </w:pPr>
      <w:r>
        <w:rPr>
          <w:rStyle w:val="CommentReference"/>
        </w:rPr>
        <w:annotationRef/>
      </w:r>
      <w:r>
        <w:t>Reference 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504E83" w15:done="0"/>
  <w15:commentEx w15:paraId="0AE0ABF8" w15:paraIdParent="13504E83" w15:done="0"/>
  <w15:commentEx w15:paraId="6831FB4B" w15:done="0"/>
  <w15:commentEx w15:paraId="608260E8" w15:done="0"/>
  <w15:commentEx w15:paraId="04CC9D5F" w15:done="0"/>
  <w15:commentEx w15:paraId="38BDE701" w15:done="0"/>
  <w15:commentEx w15:paraId="5521B585" w15:done="0"/>
  <w15:commentEx w15:paraId="3128930A" w15:done="0"/>
  <w15:commentEx w15:paraId="2CCD6B8C" w15:done="0"/>
  <w15:commentEx w15:paraId="16FDF37D" w15:done="0"/>
  <w15:commentEx w15:paraId="6BF58433" w15:done="0"/>
  <w15:commentEx w15:paraId="25D24E13" w15:done="0"/>
  <w15:commentEx w15:paraId="109EC8A6" w15:done="0"/>
  <w15:commentEx w15:paraId="25022609" w15:done="0"/>
  <w15:commentEx w15:paraId="081F80A2" w15:done="0"/>
  <w15:commentEx w15:paraId="6416FFF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7447AE" w14:textId="77777777" w:rsidR="0004653F" w:rsidRDefault="0004653F" w:rsidP="004224F5">
      <w:pPr>
        <w:spacing w:before="0" w:after="0" w:line="240" w:lineRule="auto"/>
      </w:pPr>
      <w:r>
        <w:separator/>
      </w:r>
    </w:p>
  </w:endnote>
  <w:endnote w:type="continuationSeparator" w:id="0">
    <w:p w14:paraId="09099411" w14:textId="77777777" w:rsidR="0004653F" w:rsidRDefault="0004653F" w:rsidP="004224F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6473C" w14:textId="77777777" w:rsidR="0004653F" w:rsidRDefault="0004653F">
    <w:pPr>
      <w:pStyle w:val="Footer"/>
      <w:jc w:val="right"/>
    </w:pPr>
  </w:p>
  <w:p w14:paraId="51C79260" w14:textId="77777777" w:rsidR="0004653F" w:rsidRDefault="000465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2D394" w14:textId="77777777" w:rsidR="0004653F" w:rsidRDefault="0004653F">
    <w:pPr>
      <w:pStyle w:val="Footer"/>
      <w:jc w:val="right"/>
    </w:pPr>
  </w:p>
  <w:p w14:paraId="4ACBC4C8" w14:textId="77777777" w:rsidR="0004653F" w:rsidRDefault="000465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6105975"/>
      <w:docPartObj>
        <w:docPartGallery w:val="Page Numbers (Bottom of Page)"/>
        <w:docPartUnique/>
      </w:docPartObj>
    </w:sdtPr>
    <w:sdtEndPr>
      <w:rPr>
        <w:noProof/>
      </w:rPr>
    </w:sdtEndPr>
    <w:sdtContent>
      <w:p w14:paraId="3DBB6315" w14:textId="512DC8D7" w:rsidR="0004653F" w:rsidRDefault="0004653F">
        <w:pPr>
          <w:pStyle w:val="Footer"/>
          <w:jc w:val="right"/>
        </w:pPr>
        <w:r>
          <w:fldChar w:fldCharType="begin"/>
        </w:r>
        <w:r>
          <w:instrText xml:space="preserve"> PAGE   \* MERGEFORMAT </w:instrText>
        </w:r>
        <w:r>
          <w:fldChar w:fldCharType="separate"/>
        </w:r>
        <w:r w:rsidR="00C643FE">
          <w:rPr>
            <w:noProof/>
          </w:rPr>
          <w:t>224</w:t>
        </w:r>
        <w:r>
          <w:rPr>
            <w:noProof/>
          </w:rPr>
          <w:fldChar w:fldCharType="end"/>
        </w:r>
      </w:p>
    </w:sdtContent>
  </w:sdt>
  <w:p w14:paraId="58D4E289" w14:textId="77777777" w:rsidR="0004653F" w:rsidRDefault="0004653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517319"/>
      <w:docPartObj>
        <w:docPartGallery w:val="Page Numbers (Bottom of Page)"/>
        <w:docPartUnique/>
      </w:docPartObj>
    </w:sdtPr>
    <w:sdtEndPr>
      <w:rPr>
        <w:noProof/>
      </w:rPr>
    </w:sdtEndPr>
    <w:sdtContent>
      <w:p w14:paraId="755EA22C" w14:textId="755FE732" w:rsidR="0004653F" w:rsidRDefault="0004653F">
        <w:pPr>
          <w:pStyle w:val="Footer"/>
          <w:jc w:val="right"/>
        </w:pPr>
        <w:r>
          <w:fldChar w:fldCharType="begin"/>
        </w:r>
        <w:r>
          <w:instrText xml:space="preserve"> PAGE   \* MERGEFORMAT </w:instrText>
        </w:r>
        <w:r>
          <w:fldChar w:fldCharType="separate"/>
        </w:r>
        <w:r w:rsidR="00C643FE">
          <w:rPr>
            <w:noProof/>
          </w:rPr>
          <w:t>xxix</w:t>
        </w:r>
        <w:r>
          <w:rPr>
            <w:noProof/>
          </w:rPr>
          <w:fldChar w:fldCharType="end"/>
        </w:r>
      </w:p>
    </w:sdtContent>
  </w:sdt>
  <w:p w14:paraId="4A807615" w14:textId="77777777" w:rsidR="0004653F" w:rsidRDefault="000465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8165C" w14:textId="77777777" w:rsidR="0004653F" w:rsidRDefault="0004653F" w:rsidP="004224F5">
      <w:pPr>
        <w:spacing w:before="0" w:after="0" w:line="240" w:lineRule="auto"/>
      </w:pPr>
      <w:r>
        <w:separator/>
      </w:r>
    </w:p>
  </w:footnote>
  <w:footnote w:type="continuationSeparator" w:id="0">
    <w:p w14:paraId="44BDBA6F" w14:textId="77777777" w:rsidR="0004653F" w:rsidRDefault="0004653F" w:rsidP="004224F5">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C12F0"/>
    <w:multiLevelType w:val="hybridMultilevel"/>
    <w:tmpl w:val="6D5A831E"/>
    <w:lvl w:ilvl="0" w:tplc="20FCB1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CA56CBD"/>
    <w:multiLevelType w:val="hybridMultilevel"/>
    <w:tmpl w:val="E7543BF6"/>
    <w:lvl w:ilvl="0" w:tplc="CC0467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DF41B51"/>
    <w:multiLevelType w:val="multilevel"/>
    <w:tmpl w:val="938CF06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nsid w:val="491F7DAE"/>
    <w:multiLevelType w:val="hybridMultilevel"/>
    <w:tmpl w:val="C1A08BD8"/>
    <w:lvl w:ilvl="0" w:tplc="A32C6C0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99E3229"/>
    <w:multiLevelType w:val="hybridMultilevel"/>
    <w:tmpl w:val="FBD4B554"/>
    <w:lvl w:ilvl="0" w:tplc="0D385BA4">
      <w:start w:val="1"/>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5BF6010"/>
    <w:multiLevelType w:val="hybridMultilevel"/>
    <w:tmpl w:val="28186332"/>
    <w:lvl w:ilvl="0" w:tplc="362A5D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94E72E1"/>
    <w:multiLevelType w:val="hybridMultilevel"/>
    <w:tmpl w:val="45F89F8A"/>
    <w:lvl w:ilvl="0" w:tplc="7B2E1D3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4"/>
  </w:num>
  <w:num w:numId="8">
    <w:abstractNumId w:val="5"/>
  </w:num>
  <w:num w:numId="9">
    <w:abstractNumId w:val="2"/>
    <w:lvlOverride w:ilvl="0">
      <w:lvl w:ilvl="0">
        <w:start w:val="1"/>
        <w:numFmt w:val="decimal"/>
        <w:pStyle w:val="Heading1"/>
        <w:lvlText w:val="%1"/>
        <w:lvlJc w:val="left"/>
        <w:pPr>
          <w:ind w:left="432" w:hanging="432"/>
        </w:pPr>
        <w:rPr>
          <w:rFonts w:hint="default"/>
        </w:rPr>
      </w:lvl>
    </w:lvlOverride>
    <w:lvlOverride w:ilvl="1">
      <w:lvl w:ilvl="1">
        <w:start w:val="1"/>
        <w:numFmt w:val="upperRoman"/>
        <w:pStyle w:val="Heading2"/>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0">
    <w:abstractNumId w:val="2"/>
    <w:lvlOverride w:ilvl="0">
      <w:lvl w:ilvl="0">
        <w:start w:val="1"/>
        <w:numFmt w:val="decimal"/>
        <w:pStyle w:val="Heading1"/>
        <w:lvlText w:val="%1"/>
        <w:lvlJc w:val="left"/>
        <w:pPr>
          <w:ind w:left="432" w:hanging="432"/>
        </w:pPr>
        <w:rPr>
          <w:rFonts w:hint="default"/>
        </w:rPr>
      </w:lvl>
    </w:lvlOverride>
    <w:lvlOverride w:ilvl="1">
      <w:lvl w:ilvl="1">
        <w:start w:val="1"/>
        <w:numFmt w:val="upperRoman"/>
        <w:pStyle w:val="Heading2"/>
        <w:lvlText w:val="%1.%2"/>
        <w:lvlJc w:val="left"/>
        <w:pPr>
          <w:ind w:left="576" w:hanging="576"/>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OS">
    <w15:presenceInfo w15:providerId="None" w15:userId="UO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comments="0" w:insDel="0" w:formatting="0" w:inkAnnotation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BCD"/>
    <w:rsid w:val="00000C7B"/>
    <w:rsid w:val="0000268D"/>
    <w:rsid w:val="0000277A"/>
    <w:rsid w:val="00005396"/>
    <w:rsid w:val="00005943"/>
    <w:rsid w:val="00005ADD"/>
    <w:rsid w:val="0001325E"/>
    <w:rsid w:val="00013830"/>
    <w:rsid w:val="00021B71"/>
    <w:rsid w:val="00023DC1"/>
    <w:rsid w:val="00024BE5"/>
    <w:rsid w:val="00026178"/>
    <w:rsid w:val="00027A99"/>
    <w:rsid w:val="0003398A"/>
    <w:rsid w:val="00033D75"/>
    <w:rsid w:val="000364D0"/>
    <w:rsid w:val="000415AF"/>
    <w:rsid w:val="0004326A"/>
    <w:rsid w:val="0004478E"/>
    <w:rsid w:val="0004653F"/>
    <w:rsid w:val="0005028A"/>
    <w:rsid w:val="00053A8C"/>
    <w:rsid w:val="00054313"/>
    <w:rsid w:val="00054AAB"/>
    <w:rsid w:val="00056BFE"/>
    <w:rsid w:val="000608E2"/>
    <w:rsid w:val="000614D0"/>
    <w:rsid w:val="00061DC1"/>
    <w:rsid w:val="000629E2"/>
    <w:rsid w:val="000678EF"/>
    <w:rsid w:val="00071A29"/>
    <w:rsid w:val="0007417B"/>
    <w:rsid w:val="00074E4E"/>
    <w:rsid w:val="00075877"/>
    <w:rsid w:val="00075B3D"/>
    <w:rsid w:val="00076F1A"/>
    <w:rsid w:val="00082D15"/>
    <w:rsid w:val="00082D18"/>
    <w:rsid w:val="000A0AAC"/>
    <w:rsid w:val="000A1818"/>
    <w:rsid w:val="000A263E"/>
    <w:rsid w:val="000A3469"/>
    <w:rsid w:val="000A47F9"/>
    <w:rsid w:val="000A75DC"/>
    <w:rsid w:val="000B0AE8"/>
    <w:rsid w:val="000B11D9"/>
    <w:rsid w:val="000B11EF"/>
    <w:rsid w:val="000B1254"/>
    <w:rsid w:val="000B3968"/>
    <w:rsid w:val="000B3A06"/>
    <w:rsid w:val="000B6289"/>
    <w:rsid w:val="000C1A43"/>
    <w:rsid w:val="000C5D06"/>
    <w:rsid w:val="000C6FE0"/>
    <w:rsid w:val="000D0B5C"/>
    <w:rsid w:val="000D0C74"/>
    <w:rsid w:val="000D1F75"/>
    <w:rsid w:val="000D32AC"/>
    <w:rsid w:val="000D4791"/>
    <w:rsid w:val="000D5119"/>
    <w:rsid w:val="000E5486"/>
    <w:rsid w:val="000E5F16"/>
    <w:rsid w:val="000E6004"/>
    <w:rsid w:val="000F0ACB"/>
    <w:rsid w:val="000F101B"/>
    <w:rsid w:val="000F17AA"/>
    <w:rsid w:val="000F1D0A"/>
    <w:rsid w:val="000F2A51"/>
    <w:rsid w:val="000F6450"/>
    <w:rsid w:val="00103FA4"/>
    <w:rsid w:val="001046E0"/>
    <w:rsid w:val="00107A4A"/>
    <w:rsid w:val="00110243"/>
    <w:rsid w:val="00113476"/>
    <w:rsid w:val="0012096E"/>
    <w:rsid w:val="00120B0E"/>
    <w:rsid w:val="00125398"/>
    <w:rsid w:val="00127886"/>
    <w:rsid w:val="00141006"/>
    <w:rsid w:val="00146647"/>
    <w:rsid w:val="00150C9A"/>
    <w:rsid w:val="00153383"/>
    <w:rsid w:val="001559B0"/>
    <w:rsid w:val="0015644E"/>
    <w:rsid w:val="001620A9"/>
    <w:rsid w:val="00166FB5"/>
    <w:rsid w:val="00167A09"/>
    <w:rsid w:val="00170F43"/>
    <w:rsid w:val="00174B30"/>
    <w:rsid w:val="0017672B"/>
    <w:rsid w:val="00184734"/>
    <w:rsid w:val="00187F27"/>
    <w:rsid w:val="001907D5"/>
    <w:rsid w:val="00194A3A"/>
    <w:rsid w:val="00196C13"/>
    <w:rsid w:val="001A1048"/>
    <w:rsid w:val="001B047F"/>
    <w:rsid w:val="001B07C7"/>
    <w:rsid w:val="001B3939"/>
    <w:rsid w:val="001B53FD"/>
    <w:rsid w:val="001B6429"/>
    <w:rsid w:val="001B6B15"/>
    <w:rsid w:val="001C16EC"/>
    <w:rsid w:val="001C1906"/>
    <w:rsid w:val="001C4BE7"/>
    <w:rsid w:val="001D14E5"/>
    <w:rsid w:val="001D299A"/>
    <w:rsid w:val="001D3B13"/>
    <w:rsid w:val="001D6102"/>
    <w:rsid w:val="001E2FFB"/>
    <w:rsid w:val="001E3676"/>
    <w:rsid w:val="001E3B17"/>
    <w:rsid w:val="001E779B"/>
    <w:rsid w:val="001F523C"/>
    <w:rsid w:val="001F657B"/>
    <w:rsid w:val="00202C15"/>
    <w:rsid w:val="00206E29"/>
    <w:rsid w:val="00211B2C"/>
    <w:rsid w:val="00211E6A"/>
    <w:rsid w:val="00211FBB"/>
    <w:rsid w:val="0022096D"/>
    <w:rsid w:val="00221BAC"/>
    <w:rsid w:val="00222FDD"/>
    <w:rsid w:val="00225AF9"/>
    <w:rsid w:val="0022796D"/>
    <w:rsid w:val="0023008D"/>
    <w:rsid w:val="00231623"/>
    <w:rsid w:val="002338F9"/>
    <w:rsid w:val="00235AE3"/>
    <w:rsid w:val="00241768"/>
    <w:rsid w:val="0024255E"/>
    <w:rsid w:val="00245558"/>
    <w:rsid w:val="00253CAE"/>
    <w:rsid w:val="002566EF"/>
    <w:rsid w:val="002567AC"/>
    <w:rsid w:val="00260B1A"/>
    <w:rsid w:val="00262557"/>
    <w:rsid w:val="002651BF"/>
    <w:rsid w:val="002676DC"/>
    <w:rsid w:val="002744B2"/>
    <w:rsid w:val="00275071"/>
    <w:rsid w:val="002764B5"/>
    <w:rsid w:val="00276A24"/>
    <w:rsid w:val="0027741C"/>
    <w:rsid w:val="00277E7E"/>
    <w:rsid w:val="0028167E"/>
    <w:rsid w:val="00284190"/>
    <w:rsid w:val="00285F4D"/>
    <w:rsid w:val="002864CA"/>
    <w:rsid w:val="0028683B"/>
    <w:rsid w:val="002910B8"/>
    <w:rsid w:val="002913D1"/>
    <w:rsid w:val="00291414"/>
    <w:rsid w:val="00294515"/>
    <w:rsid w:val="002A226E"/>
    <w:rsid w:val="002A2F64"/>
    <w:rsid w:val="002A3028"/>
    <w:rsid w:val="002A541F"/>
    <w:rsid w:val="002A7584"/>
    <w:rsid w:val="002C202E"/>
    <w:rsid w:val="002D6225"/>
    <w:rsid w:val="002D6864"/>
    <w:rsid w:val="002D78EA"/>
    <w:rsid w:val="002E1ADD"/>
    <w:rsid w:val="002E22AC"/>
    <w:rsid w:val="002F3D53"/>
    <w:rsid w:val="002F73DD"/>
    <w:rsid w:val="002F7AA9"/>
    <w:rsid w:val="003000CA"/>
    <w:rsid w:val="00302825"/>
    <w:rsid w:val="003039D1"/>
    <w:rsid w:val="00303D9A"/>
    <w:rsid w:val="00310CDF"/>
    <w:rsid w:val="00313AAA"/>
    <w:rsid w:val="0032070C"/>
    <w:rsid w:val="0032413F"/>
    <w:rsid w:val="0033053C"/>
    <w:rsid w:val="003309D3"/>
    <w:rsid w:val="0033449D"/>
    <w:rsid w:val="0033738B"/>
    <w:rsid w:val="003373EC"/>
    <w:rsid w:val="00341DA1"/>
    <w:rsid w:val="0034217E"/>
    <w:rsid w:val="00342B2B"/>
    <w:rsid w:val="003466A3"/>
    <w:rsid w:val="00357A81"/>
    <w:rsid w:val="00367E59"/>
    <w:rsid w:val="00373089"/>
    <w:rsid w:val="00374721"/>
    <w:rsid w:val="00375060"/>
    <w:rsid w:val="00381B2D"/>
    <w:rsid w:val="0038589C"/>
    <w:rsid w:val="00386E02"/>
    <w:rsid w:val="00392AE2"/>
    <w:rsid w:val="00394DBB"/>
    <w:rsid w:val="00395AF6"/>
    <w:rsid w:val="003960A1"/>
    <w:rsid w:val="003A025A"/>
    <w:rsid w:val="003A7477"/>
    <w:rsid w:val="003B60E1"/>
    <w:rsid w:val="003B6732"/>
    <w:rsid w:val="003C3871"/>
    <w:rsid w:val="003C4F70"/>
    <w:rsid w:val="003C6119"/>
    <w:rsid w:val="003C67A9"/>
    <w:rsid w:val="003C6DD1"/>
    <w:rsid w:val="003D0A59"/>
    <w:rsid w:val="003D2462"/>
    <w:rsid w:val="003D343C"/>
    <w:rsid w:val="003D50D8"/>
    <w:rsid w:val="003D518F"/>
    <w:rsid w:val="003E2B77"/>
    <w:rsid w:val="003E2D7E"/>
    <w:rsid w:val="003E658B"/>
    <w:rsid w:val="003F083E"/>
    <w:rsid w:val="003F2BCD"/>
    <w:rsid w:val="003F684C"/>
    <w:rsid w:val="003F6DDF"/>
    <w:rsid w:val="0041345C"/>
    <w:rsid w:val="00417DB4"/>
    <w:rsid w:val="00420203"/>
    <w:rsid w:val="00421862"/>
    <w:rsid w:val="004224F5"/>
    <w:rsid w:val="00422ABA"/>
    <w:rsid w:val="00426FC7"/>
    <w:rsid w:val="0043601D"/>
    <w:rsid w:val="00441C4C"/>
    <w:rsid w:val="00451200"/>
    <w:rsid w:val="0045129C"/>
    <w:rsid w:val="004519BA"/>
    <w:rsid w:val="004605F2"/>
    <w:rsid w:val="00460837"/>
    <w:rsid w:val="004616B6"/>
    <w:rsid w:val="00462F31"/>
    <w:rsid w:val="00466B07"/>
    <w:rsid w:val="0046749A"/>
    <w:rsid w:val="004722D8"/>
    <w:rsid w:val="00477992"/>
    <w:rsid w:val="00480D2A"/>
    <w:rsid w:val="00480FF6"/>
    <w:rsid w:val="00483A6A"/>
    <w:rsid w:val="00486227"/>
    <w:rsid w:val="004914C0"/>
    <w:rsid w:val="0049213A"/>
    <w:rsid w:val="00496121"/>
    <w:rsid w:val="004A074F"/>
    <w:rsid w:val="004A0D5E"/>
    <w:rsid w:val="004A0F97"/>
    <w:rsid w:val="004A1680"/>
    <w:rsid w:val="004B0D88"/>
    <w:rsid w:val="004B1860"/>
    <w:rsid w:val="004B1F1D"/>
    <w:rsid w:val="004B30E6"/>
    <w:rsid w:val="004B5253"/>
    <w:rsid w:val="004C4975"/>
    <w:rsid w:val="004C5B03"/>
    <w:rsid w:val="004D0A58"/>
    <w:rsid w:val="004D2FDB"/>
    <w:rsid w:val="004D3DE5"/>
    <w:rsid w:val="004D567B"/>
    <w:rsid w:val="004D58E8"/>
    <w:rsid w:val="004D6216"/>
    <w:rsid w:val="004D71B1"/>
    <w:rsid w:val="004D759F"/>
    <w:rsid w:val="004E1A14"/>
    <w:rsid w:val="004E20A1"/>
    <w:rsid w:val="004E4C38"/>
    <w:rsid w:val="004E586E"/>
    <w:rsid w:val="004F305D"/>
    <w:rsid w:val="004F6B4E"/>
    <w:rsid w:val="004F77AA"/>
    <w:rsid w:val="004F7E3B"/>
    <w:rsid w:val="00500DEB"/>
    <w:rsid w:val="00504F3A"/>
    <w:rsid w:val="005079B6"/>
    <w:rsid w:val="0051330F"/>
    <w:rsid w:val="00514BE2"/>
    <w:rsid w:val="005173D5"/>
    <w:rsid w:val="00520214"/>
    <w:rsid w:val="005211BC"/>
    <w:rsid w:val="005247D3"/>
    <w:rsid w:val="00527278"/>
    <w:rsid w:val="00527C94"/>
    <w:rsid w:val="005350CC"/>
    <w:rsid w:val="00537F0F"/>
    <w:rsid w:val="005421C2"/>
    <w:rsid w:val="0054404D"/>
    <w:rsid w:val="0054540A"/>
    <w:rsid w:val="005507C8"/>
    <w:rsid w:val="0055137D"/>
    <w:rsid w:val="00551911"/>
    <w:rsid w:val="00553AF6"/>
    <w:rsid w:val="00554F45"/>
    <w:rsid w:val="00557131"/>
    <w:rsid w:val="005573DE"/>
    <w:rsid w:val="0056161D"/>
    <w:rsid w:val="00563954"/>
    <w:rsid w:val="00563AAA"/>
    <w:rsid w:val="005644BD"/>
    <w:rsid w:val="005650AE"/>
    <w:rsid w:val="00567098"/>
    <w:rsid w:val="00570275"/>
    <w:rsid w:val="00571397"/>
    <w:rsid w:val="00572B37"/>
    <w:rsid w:val="005808FE"/>
    <w:rsid w:val="00580AB1"/>
    <w:rsid w:val="00581169"/>
    <w:rsid w:val="00582E57"/>
    <w:rsid w:val="0058301C"/>
    <w:rsid w:val="00583BAB"/>
    <w:rsid w:val="00585CA3"/>
    <w:rsid w:val="00587FB7"/>
    <w:rsid w:val="005907F7"/>
    <w:rsid w:val="00592C28"/>
    <w:rsid w:val="0059728D"/>
    <w:rsid w:val="005A05D5"/>
    <w:rsid w:val="005A468D"/>
    <w:rsid w:val="005A69D8"/>
    <w:rsid w:val="005A7FE8"/>
    <w:rsid w:val="005B09CF"/>
    <w:rsid w:val="005B7ECF"/>
    <w:rsid w:val="005C0ACC"/>
    <w:rsid w:val="005C40A2"/>
    <w:rsid w:val="005C43BA"/>
    <w:rsid w:val="005C4C50"/>
    <w:rsid w:val="005D05B6"/>
    <w:rsid w:val="005D098F"/>
    <w:rsid w:val="005D3CE3"/>
    <w:rsid w:val="005D4A6A"/>
    <w:rsid w:val="005D53FD"/>
    <w:rsid w:val="005D56D5"/>
    <w:rsid w:val="005E0630"/>
    <w:rsid w:val="005E1F9D"/>
    <w:rsid w:val="005E5CAE"/>
    <w:rsid w:val="005F10D1"/>
    <w:rsid w:val="005F2976"/>
    <w:rsid w:val="005F4D80"/>
    <w:rsid w:val="005F4F0D"/>
    <w:rsid w:val="006004E5"/>
    <w:rsid w:val="006024D2"/>
    <w:rsid w:val="00603AF1"/>
    <w:rsid w:val="00610FA8"/>
    <w:rsid w:val="006131D0"/>
    <w:rsid w:val="00615BEB"/>
    <w:rsid w:val="006203D2"/>
    <w:rsid w:val="00622439"/>
    <w:rsid w:val="0062398A"/>
    <w:rsid w:val="00624EF5"/>
    <w:rsid w:val="006260BE"/>
    <w:rsid w:val="006261D4"/>
    <w:rsid w:val="006269B7"/>
    <w:rsid w:val="00627C4B"/>
    <w:rsid w:val="00631395"/>
    <w:rsid w:val="00634AD9"/>
    <w:rsid w:val="00636A1C"/>
    <w:rsid w:val="00636A7C"/>
    <w:rsid w:val="00640B90"/>
    <w:rsid w:val="00641447"/>
    <w:rsid w:val="0064215D"/>
    <w:rsid w:val="0064368A"/>
    <w:rsid w:val="00645023"/>
    <w:rsid w:val="006457FF"/>
    <w:rsid w:val="006460B1"/>
    <w:rsid w:val="00647B38"/>
    <w:rsid w:val="006501D8"/>
    <w:rsid w:val="00652E6C"/>
    <w:rsid w:val="00653FED"/>
    <w:rsid w:val="00654F8D"/>
    <w:rsid w:val="0065734F"/>
    <w:rsid w:val="00657474"/>
    <w:rsid w:val="0066333C"/>
    <w:rsid w:val="00663DFF"/>
    <w:rsid w:val="00665EC3"/>
    <w:rsid w:val="0067083D"/>
    <w:rsid w:val="00672FCD"/>
    <w:rsid w:val="0067647F"/>
    <w:rsid w:val="00676FD7"/>
    <w:rsid w:val="0068436D"/>
    <w:rsid w:val="00685D5A"/>
    <w:rsid w:val="006861C2"/>
    <w:rsid w:val="00690A5A"/>
    <w:rsid w:val="006972D3"/>
    <w:rsid w:val="006A09FF"/>
    <w:rsid w:val="006A27DA"/>
    <w:rsid w:val="006A38B4"/>
    <w:rsid w:val="006A5EEB"/>
    <w:rsid w:val="006A7946"/>
    <w:rsid w:val="006B1414"/>
    <w:rsid w:val="006B257F"/>
    <w:rsid w:val="006B6C92"/>
    <w:rsid w:val="006B7D09"/>
    <w:rsid w:val="006B7D90"/>
    <w:rsid w:val="006C4973"/>
    <w:rsid w:val="006C4F3F"/>
    <w:rsid w:val="006C64CD"/>
    <w:rsid w:val="006C6558"/>
    <w:rsid w:val="006C6FF2"/>
    <w:rsid w:val="006C7CAF"/>
    <w:rsid w:val="006D5696"/>
    <w:rsid w:val="006D59B8"/>
    <w:rsid w:val="006E4B01"/>
    <w:rsid w:val="006E5F95"/>
    <w:rsid w:val="006E6305"/>
    <w:rsid w:val="006F41CC"/>
    <w:rsid w:val="006F62FB"/>
    <w:rsid w:val="007010F3"/>
    <w:rsid w:val="00701BEA"/>
    <w:rsid w:val="0070266F"/>
    <w:rsid w:val="00705331"/>
    <w:rsid w:val="00707078"/>
    <w:rsid w:val="00707100"/>
    <w:rsid w:val="0070715A"/>
    <w:rsid w:val="0071199A"/>
    <w:rsid w:val="00712B68"/>
    <w:rsid w:val="00714D3D"/>
    <w:rsid w:val="00717CAC"/>
    <w:rsid w:val="007228DB"/>
    <w:rsid w:val="0072300B"/>
    <w:rsid w:val="00723AFC"/>
    <w:rsid w:val="007302D9"/>
    <w:rsid w:val="00731A59"/>
    <w:rsid w:val="0073226A"/>
    <w:rsid w:val="00732C90"/>
    <w:rsid w:val="00733449"/>
    <w:rsid w:val="0073464B"/>
    <w:rsid w:val="00743D9B"/>
    <w:rsid w:val="007455EA"/>
    <w:rsid w:val="00745B20"/>
    <w:rsid w:val="007473B9"/>
    <w:rsid w:val="00752C4D"/>
    <w:rsid w:val="007544E3"/>
    <w:rsid w:val="0075511A"/>
    <w:rsid w:val="00763207"/>
    <w:rsid w:val="00770D84"/>
    <w:rsid w:val="00774E58"/>
    <w:rsid w:val="00775716"/>
    <w:rsid w:val="00777DBE"/>
    <w:rsid w:val="00781D82"/>
    <w:rsid w:val="0078301D"/>
    <w:rsid w:val="00784E97"/>
    <w:rsid w:val="007855B3"/>
    <w:rsid w:val="00785920"/>
    <w:rsid w:val="007863C2"/>
    <w:rsid w:val="00786C19"/>
    <w:rsid w:val="00787036"/>
    <w:rsid w:val="0078715C"/>
    <w:rsid w:val="00790B0C"/>
    <w:rsid w:val="00791067"/>
    <w:rsid w:val="007922FD"/>
    <w:rsid w:val="00795119"/>
    <w:rsid w:val="0079575A"/>
    <w:rsid w:val="007958E7"/>
    <w:rsid w:val="007965D2"/>
    <w:rsid w:val="007A0A12"/>
    <w:rsid w:val="007A345A"/>
    <w:rsid w:val="007A46CA"/>
    <w:rsid w:val="007A5C73"/>
    <w:rsid w:val="007A5CD3"/>
    <w:rsid w:val="007B1AA9"/>
    <w:rsid w:val="007B2306"/>
    <w:rsid w:val="007C668E"/>
    <w:rsid w:val="007D4480"/>
    <w:rsid w:val="007D509A"/>
    <w:rsid w:val="007D54F7"/>
    <w:rsid w:val="007D79D5"/>
    <w:rsid w:val="007E02D3"/>
    <w:rsid w:val="007E1DDC"/>
    <w:rsid w:val="007E4DC3"/>
    <w:rsid w:val="007F0FF0"/>
    <w:rsid w:val="007F1998"/>
    <w:rsid w:val="007F4B6D"/>
    <w:rsid w:val="007F571F"/>
    <w:rsid w:val="007F7D6F"/>
    <w:rsid w:val="007F7E1A"/>
    <w:rsid w:val="00800F11"/>
    <w:rsid w:val="0080367E"/>
    <w:rsid w:val="00804E96"/>
    <w:rsid w:val="00805048"/>
    <w:rsid w:val="00805093"/>
    <w:rsid w:val="008133E2"/>
    <w:rsid w:val="0081459B"/>
    <w:rsid w:val="00814E44"/>
    <w:rsid w:val="00815ED5"/>
    <w:rsid w:val="00816A08"/>
    <w:rsid w:val="00821C15"/>
    <w:rsid w:val="00822D71"/>
    <w:rsid w:val="00824696"/>
    <w:rsid w:val="00826691"/>
    <w:rsid w:val="00827DFB"/>
    <w:rsid w:val="00830587"/>
    <w:rsid w:val="00833AF5"/>
    <w:rsid w:val="008370B9"/>
    <w:rsid w:val="00842116"/>
    <w:rsid w:val="008425B8"/>
    <w:rsid w:val="00842E53"/>
    <w:rsid w:val="00852101"/>
    <w:rsid w:val="00852ACB"/>
    <w:rsid w:val="00852D5D"/>
    <w:rsid w:val="00856980"/>
    <w:rsid w:val="00857013"/>
    <w:rsid w:val="00857C66"/>
    <w:rsid w:val="00861DA7"/>
    <w:rsid w:val="00863365"/>
    <w:rsid w:val="00865C97"/>
    <w:rsid w:val="008778E9"/>
    <w:rsid w:val="00880873"/>
    <w:rsid w:val="00882E4A"/>
    <w:rsid w:val="00884E43"/>
    <w:rsid w:val="0088666B"/>
    <w:rsid w:val="00886999"/>
    <w:rsid w:val="008904C7"/>
    <w:rsid w:val="008925CC"/>
    <w:rsid w:val="008927E7"/>
    <w:rsid w:val="0089372F"/>
    <w:rsid w:val="008952E1"/>
    <w:rsid w:val="008A147F"/>
    <w:rsid w:val="008A2DF5"/>
    <w:rsid w:val="008A6382"/>
    <w:rsid w:val="008C2B83"/>
    <w:rsid w:val="008C3841"/>
    <w:rsid w:val="008C498C"/>
    <w:rsid w:val="008D2C58"/>
    <w:rsid w:val="008D5285"/>
    <w:rsid w:val="008D5309"/>
    <w:rsid w:val="008D6ED0"/>
    <w:rsid w:val="008D7A06"/>
    <w:rsid w:val="008D7C34"/>
    <w:rsid w:val="008E0B28"/>
    <w:rsid w:val="008E34D2"/>
    <w:rsid w:val="008E7EA4"/>
    <w:rsid w:val="008F3618"/>
    <w:rsid w:val="008F52B0"/>
    <w:rsid w:val="0090028F"/>
    <w:rsid w:val="00900F8D"/>
    <w:rsid w:val="009019AC"/>
    <w:rsid w:val="0090578D"/>
    <w:rsid w:val="00913C6A"/>
    <w:rsid w:val="00924827"/>
    <w:rsid w:val="00925E75"/>
    <w:rsid w:val="00926853"/>
    <w:rsid w:val="009276AD"/>
    <w:rsid w:val="00927F73"/>
    <w:rsid w:val="009324C7"/>
    <w:rsid w:val="00935276"/>
    <w:rsid w:val="00936DEB"/>
    <w:rsid w:val="00940024"/>
    <w:rsid w:val="00942A45"/>
    <w:rsid w:val="009451CB"/>
    <w:rsid w:val="009473BE"/>
    <w:rsid w:val="0095179A"/>
    <w:rsid w:val="009524CA"/>
    <w:rsid w:val="00957A05"/>
    <w:rsid w:val="009608B8"/>
    <w:rsid w:val="00960BF3"/>
    <w:rsid w:val="00962C9B"/>
    <w:rsid w:val="00964704"/>
    <w:rsid w:val="009758EB"/>
    <w:rsid w:val="009762F1"/>
    <w:rsid w:val="009773FF"/>
    <w:rsid w:val="00980453"/>
    <w:rsid w:val="009863DE"/>
    <w:rsid w:val="00992362"/>
    <w:rsid w:val="00992549"/>
    <w:rsid w:val="00993C55"/>
    <w:rsid w:val="009A47D0"/>
    <w:rsid w:val="009B02CC"/>
    <w:rsid w:val="009B0772"/>
    <w:rsid w:val="009B163C"/>
    <w:rsid w:val="009B74EF"/>
    <w:rsid w:val="009C0B9E"/>
    <w:rsid w:val="009C0ECF"/>
    <w:rsid w:val="009C5444"/>
    <w:rsid w:val="009C5B3E"/>
    <w:rsid w:val="009C5E6B"/>
    <w:rsid w:val="009C61A8"/>
    <w:rsid w:val="009C78EC"/>
    <w:rsid w:val="009D2B9C"/>
    <w:rsid w:val="009D4034"/>
    <w:rsid w:val="009D78ED"/>
    <w:rsid w:val="009E04C5"/>
    <w:rsid w:val="009E3161"/>
    <w:rsid w:val="009E321F"/>
    <w:rsid w:val="009E3229"/>
    <w:rsid w:val="009E38CB"/>
    <w:rsid w:val="009E3D3A"/>
    <w:rsid w:val="009E560A"/>
    <w:rsid w:val="009F3880"/>
    <w:rsid w:val="009F7F67"/>
    <w:rsid w:val="00A00806"/>
    <w:rsid w:val="00A01A3E"/>
    <w:rsid w:val="00A0442C"/>
    <w:rsid w:val="00A065CB"/>
    <w:rsid w:val="00A14580"/>
    <w:rsid w:val="00A20A7D"/>
    <w:rsid w:val="00A23856"/>
    <w:rsid w:val="00A34DDE"/>
    <w:rsid w:val="00A357DC"/>
    <w:rsid w:val="00A40F83"/>
    <w:rsid w:val="00A44724"/>
    <w:rsid w:val="00A4499B"/>
    <w:rsid w:val="00A47DDD"/>
    <w:rsid w:val="00A5147E"/>
    <w:rsid w:val="00A539CF"/>
    <w:rsid w:val="00A57418"/>
    <w:rsid w:val="00A617CE"/>
    <w:rsid w:val="00A6541B"/>
    <w:rsid w:val="00A66998"/>
    <w:rsid w:val="00A67C63"/>
    <w:rsid w:val="00A7434A"/>
    <w:rsid w:val="00A76235"/>
    <w:rsid w:val="00A76BBE"/>
    <w:rsid w:val="00A8130B"/>
    <w:rsid w:val="00A828E1"/>
    <w:rsid w:val="00A83AD6"/>
    <w:rsid w:val="00A83CBF"/>
    <w:rsid w:val="00A9241E"/>
    <w:rsid w:val="00A92868"/>
    <w:rsid w:val="00A93427"/>
    <w:rsid w:val="00A953B4"/>
    <w:rsid w:val="00A9658B"/>
    <w:rsid w:val="00A96D00"/>
    <w:rsid w:val="00AA6926"/>
    <w:rsid w:val="00AA6FBD"/>
    <w:rsid w:val="00AB6BCC"/>
    <w:rsid w:val="00AC4B57"/>
    <w:rsid w:val="00AE232E"/>
    <w:rsid w:val="00AE3795"/>
    <w:rsid w:val="00AE3A49"/>
    <w:rsid w:val="00AE4EBB"/>
    <w:rsid w:val="00AE68C1"/>
    <w:rsid w:val="00AF3AE1"/>
    <w:rsid w:val="00AF500E"/>
    <w:rsid w:val="00B00492"/>
    <w:rsid w:val="00B04D22"/>
    <w:rsid w:val="00B05299"/>
    <w:rsid w:val="00B1129D"/>
    <w:rsid w:val="00B122E5"/>
    <w:rsid w:val="00B13D5E"/>
    <w:rsid w:val="00B14604"/>
    <w:rsid w:val="00B17BE7"/>
    <w:rsid w:val="00B2218D"/>
    <w:rsid w:val="00B24491"/>
    <w:rsid w:val="00B24D6E"/>
    <w:rsid w:val="00B262A1"/>
    <w:rsid w:val="00B30A02"/>
    <w:rsid w:val="00B33C34"/>
    <w:rsid w:val="00B35329"/>
    <w:rsid w:val="00B365A7"/>
    <w:rsid w:val="00B372E9"/>
    <w:rsid w:val="00B4219E"/>
    <w:rsid w:val="00B45DC0"/>
    <w:rsid w:val="00B50EA5"/>
    <w:rsid w:val="00B613A2"/>
    <w:rsid w:val="00B614F7"/>
    <w:rsid w:val="00B61C28"/>
    <w:rsid w:val="00B624C5"/>
    <w:rsid w:val="00B63756"/>
    <w:rsid w:val="00B71FE9"/>
    <w:rsid w:val="00B73832"/>
    <w:rsid w:val="00B74578"/>
    <w:rsid w:val="00B7549D"/>
    <w:rsid w:val="00B80559"/>
    <w:rsid w:val="00B80E18"/>
    <w:rsid w:val="00B865C8"/>
    <w:rsid w:val="00B92046"/>
    <w:rsid w:val="00B934CD"/>
    <w:rsid w:val="00B95B15"/>
    <w:rsid w:val="00B9638C"/>
    <w:rsid w:val="00B9708D"/>
    <w:rsid w:val="00B979C0"/>
    <w:rsid w:val="00BA082C"/>
    <w:rsid w:val="00BA23C0"/>
    <w:rsid w:val="00BA2CA9"/>
    <w:rsid w:val="00BA3226"/>
    <w:rsid w:val="00BA5E35"/>
    <w:rsid w:val="00BA7232"/>
    <w:rsid w:val="00BB312D"/>
    <w:rsid w:val="00BB3E3F"/>
    <w:rsid w:val="00BB68F0"/>
    <w:rsid w:val="00BC3E95"/>
    <w:rsid w:val="00BC6672"/>
    <w:rsid w:val="00BC73CA"/>
    <w:rsid w:val="00BD0BC0"/>
    <w:rsid w:val="00BD0D85"/>
    <w:rsid w:val="00BD2BFF"/>
    <w:rsid w:val="00BE1239"/>
    <w:rsid w:val="00BE24D4"/>
    <w:rsid w:val="00BE2703"/>
    <w:rsid w:val="00BE506C"/>
    <w:rsid w:val="00BF4DEE"/>
    <w:rsid w:val="00BF71A6"/>
    <w:rsid w:val="00C00AEE"/>
    <w:rsid w:val="00C10D17"/>
    <w:rsid w:val="00C11513"/>
    <w:rsid w:val="00C1496B"/>
    <w:rsid w:val="00C1684C"/>
    <w:rsid w:val="00C16875"/>
    <w:rsid w:val="00C20775"/>
    <w:rsid w:val="00C212D0"/>
    <w:rsid w:val="00C24332"/>
    <w:rsid w:val="00C24BAD"/>
    <w:rsid w:val="00C27149"/>
    <w:rsid w:val="00C27D8D"/>
    <w:rsid w:val="00C31B71"/>
    <w:rsid w:val="00C323A6"/>
    <w:rsid w:val="00C36544"/>
    <w:rsid w:val="00C3720B"/>
    <w:rsid w:val="00C4039A"/>
    <w:rsid w:val="00C42D6A"/>
    <w:rsid w:val="00C431E8"/>
    <w:rsid w:val="00C46033"/>
    <w:rsid w:val="00C461B0"/>
    <w:rsid w:val="00C46546"/>
    <w:rsid w:val="00C466F7"/>
    <w:rsid w:val="00C52966"/>
    <w:rsid w:val="00C552F2"/>
    <w:rsid w:val="00C559A0"/>
    <w:rsid w:val="00C55BA1"/>
    <w:rsid w:val="00C55FEF"/>
    <w:rsid w:val="00C56CFB"/>
    <w:rsid w:val="00C572EF"/>
    <w:rsid w:val="00C5732F"/>
    <w:rsid w:val="00C6283B"/>
    <w:rsid w:val="00C643FE"/>
    <w:rsid w:val="00C679EA"/>
    <w:rsid w:val="00C71589"/>
    <w:rsid w:val="00C71C8A"/>
    <w:rsid w:val="00C739CC"/>
    <w:rsid w:val="00C745FC"/>
    <w:rsid w:val="00C74BE0"/>
    <w:rsid w:val="00C74F3E"/>
    <w:rsid w:val="00C75A48"/>
    <w:rsid w:val="00C76959"/>
    <w:rsid w:val="00C80101"/>
    <w:rsid w:val="00C81DE2"/>
    <w:rsid w:val="00C82B9F"/>
    <w:rsid w:val="00C83ABC"/>
    <w:rsid w:val="00C83E57"/>
    <w:rsid w:val="00C8652B"/>
    <w:rsid w:val="00C95218"/>
    <w:rsid w:val="00C97AAF"/>
    <w:rsid w:val="00CA07B6"/>
    <w:rsid w:val="00CA3BA9"/>
    <w:rsid w:val="00CA530A"/>
    <w:rsid w:val="00CA628E"/>
    <w:rsid w:val="00CA6BDC"/>
    <w:rsid w:val="00CB5C15"/>
    <w:rsid w:val="00CC0F20"/>
    <w:rsid w:val="00CC4296"/>
    <w:rsid w:val="00CC6F1F"/>
    <w:rsid w:val="00CC6F52"/>
    <w:rsid w:val="00CC7881"/>
    <w:rsid w:val="00CD3659"/>
    <w:rsid w:val="00CD44F1"/>
    <w:rsid w:val="00CD5BBB"/>
    <w:rsid w:val="00CD62C4"/>
    <w:rsid w:val="00CE0F1E"/>
    <w:rsid w:val="00CE1FFE"/>
    <w:rsid w:val="00CE4036"/>
    <w:rsid w:val="00CE68A3"/>
    <w:rsid w:val="00CE70BC"/>
    <w:rsid w:val="00CF025A"/>
    <w:rsid w:val="00CF21DC"/>
    <w:rsid w:val="00CF5AA3"/>
    <w:rsid w:val="00D0093F"/>
    <w:rsid w:val="00D01D31"/>
    <w:rsid w:val="00D05263"/>
    <w:rsid w:val="00D07280"/>
    <w:rsid w:val="00D1209E"/>
    <w:rsid w:val="00D14F73"/>
    <w:rsid w:val="00D17EFA"/>
    <w:rsid w:val="00D23AF6"/>
    <w:rsid w:val="00D256C1"/>
    <w:rsid w:val="00D26C60"/>
    <w:rsid w:val="00D31066"/>
    <w:rsid w:val="00D31E36"/>
    <w:rsid w:val="00D366A7"/>
    <w:rsid w:val="00D36930"/>
    <w:rsid w:val="00D371AE"/>
    <w:rsid w:val="00D52B71"/>
    <w:rsid w:val="00D530A5"/>
    <w:rsid w:val="00D53414"/>
    <w:rsid w:val="00D550D2"/>
    <w:rsid w:val="00D61988"/>
    <w:rsid w:val="00D631B2"/>
    <w:rsid w:val="00D65023"/>
    <w:rsid w:val="00D65072"/>
    <w:rsid w:val="00D6574D"/>
    <w:rsid w:val="00D67A02"/>
    <w:rsid w:val="00D7282A"/>
    <w:rsid w:val="00D74CCF"/>
    <w:rsid w:val="00D769A3"/>
    <w:rsid w:val="00D76ED1"/>
    <w:rsid w:val="00D80D74"/>
    <w:rsid w:val="00D821EF"/>
    <w:rsid w:val="00D825E3"/>
    <w:rsid w:val="00DA0B0D"/>
    <w:rsid w:val="00DA1119"/>
    <w:rsid w:val="00DA1DFF"/>
    <w:rsid w:val="00DA312E"/>
    <w:rsid w:val="00DA3973"/>
    <w:rsid w:val="00DA3B16"/>
    <w:rsid w:val="00DA584C"/>
    <w:rsid w:val="00DB3655"/>
    <w:rsid w:val="00DB61AF"/>
    <w:rsid w:val="00DC24F2"/>
    <w:rsid w:val="00DC3BE1"/>
    <w:rsid w:val="00DD18CB"/>
    <w:rsid w:val="00DD2BEA"/>
    <w:rsid w:val="00DD59B6"/>
    <w:rsid w:val="00DD5FB0"/>
    <w:rsid w:val="00DD6047"/>
    <w:rsid w:val="00DE0AFF"/>
    <w:rsid w:val="00DE263C"/>
    <w:rsid w:val="00DE41C8"/>
    <w:rsid w:val="00DE5A56"/>
    <w:rsid w:val="00DE5CC3"/>
    <w:rsid w:val="00DF2236"/>
    <w:rsid w:val="00DF5586"/>
    <w:rsid w:val="00DF7252"/>
    <w:rsid w:val="00E02F5D"/>
    <w:rsid w:val="00E11A8E"/>
    <w:rsid w:val="00E11F61"/>
    <w:rsid w:val="00E13DB2"/>
    <w:rsid w:val="00E1468D"/>
    <w:rsid w:val="00E205A3"/>
    <w:rsid w:val="00E32171"/>
    <w:rsid w:val="00E32612"/>
    <w:rsid w:val="00E3274E"/>
    <w:rsid w:val="00E34FF7"/>
    <w:rsid w:val="00E42BE8"/>
    <w:rsid w:val="00E43778"/>
    <w:rsid w:val="00E446D0"/>
    <w:rsid w:val="00E44A28"/>
    <w:rsid w:val="00E47AE5"/>
    <w:rsid w:val="00E521B5"/>
    <w:rsid w:val="00E568C9"/>
    <w:rsid w:val="00E60F72"/>
    <w:rsid w:val="00E63AF0"/>
    <w:rsid w:val="00E678BB"/>
    <w:rsid w:val="00E73C59"/>
    <w:rsid w:val="00E76F2D"/>
    <w:rsid w:val="00E77E13"/>
    <w:rsid w:val="00E81CB1"/>
    <w:rsid w:val="00E83975"/>
    <w:rsid w:val="00E96F30"/>
    <w:rsid w:val="00EA3787"/>
    <w:rsid w:val="00EA74F0"/>
    <w:rsid w:val="00EB25C9"/>
    <w:rsid w:val="00EB2BCF"/>
    <w:rsid w:val="00EB6004"/>
    <w:rsid w:val="00EC1E35"/>
    <w:rsid w:val="00EC34CC"/>
    <w:rsid w:val="00EC4DC9"/>
    <w:rsid w:val="00EC55F7"/>
    <w:rsid w:val="00EC782B"/>
    <w:rsid w:val="00ED1D6E"/>
    <w:rsid w:val="00ED2E8B"/>
    <w:rsid w:val="00ED3BE9"/>
    <w:rsid w:val="00ED6786"/>
    <w:rsid w:val="00EE1296"/>
    <w:rsid w:val="00EE2095"/>
    <w:rsid w:val="00EE471E"/>
    <w:rsid w:val="00EF5689"/>
    <w:rsid w:val="00EF57DD"/>
    <w:rsid w:val="00EF63EE"/>
    <w:rsid w:val="00F05F3E"/>
    <w:rsid w:val="00F07CCA"/>
    <w:rsid w:val="00F126C8"/>
    <w:rsid w:val="00F13BEB"/>
    <w:rsid w:val="00F14F27"/>
    <w:rsid w:val="00F15EE4"/>
    <w:rsid w:val="00F16B50"/>
    <w:rsid w:val="00F2188A"/>
    <w:rsid w:val="00F22AC2"/>
    <w:rsid w:val="00F2599B"/>
    <w:rsid w:val="00F25AEB"/>
    <w:rsid w:val="00F26571"/>
    <w:rsid w:val="00F267E1"/>
    <w:rsid w:val="00F26B45"/>
    <w:rsid w:val="00F3090F"/>
    <w:rsid w:val="00F30AC3"/>
    <w:rsid w:val="00F32B9C"/>
    <w:rsid w:val="00F348A6"/>
    <w:rsid w:val="00F360E2"/>
    <w:rsid w:val="00F37B19"/>
    <w:rsid w:val="00F4021F"/>
    <w:rsid w:val="00F410EB"/>
    <w:rsid w:val="00F45F7A"/>
    <w:rsid w:val="00F45FAF"/>
    <w:rsid w:val="00F465EE"/>
    <w:rsid w:val="00F476FB"/>
    <w:rsid w:val="00F50256"/>
    <w:rsid w:val="00F5265D"/>
    <w:rsid w:val="00F57BCE"/>
    <w:rsid w:val="00F609B2"/>
    <w:rsid w:val="00F660DC"/>
    <w:rsid w:val="00F66625"/>
    <w:rsid w:val="00F66861"/>
    <w:rsid w:val="00F70AD5"/>
    <w:rsid w:val="00F71153"/>
    <w:rsid w:val="00F7615C"/>
    <w:rsid w:val="00F85587"/>
    <w:rsid w:val="00F866E7"/>
    <w:rsid w:val="00F87DF7"/>
    <w:rsid w:val="00F92288"/>
    <w:rsid w:val="00F9500C"/>
    <w:rsid w:val="00F959DD"/>
    <w:rsid w:val="00F96E1A"/>
    <w:rsid w:val="00FA5727"/>
    <w:rsid w:val="00FB05AC"/>
    <w:rsid w:val="00FB0CA1"/>
    <w:rsid w:val="00FB12E7"/>
    <w:rsid w:val="00FC2576"/>
    <w:rsid w:val="00FC44F8"/>
    <w:rsid w:val="00FD13D2"/>
    <w:rsid w:val="00FD2A79"/>
    <w:rsid w:val="00FD33B5"/>
    <w:rsid w:val="00FD3781"/>
    <w:rsid w:val="00FD3C80"/>
    <w:rsid w:val="00FD7C28"/>
    <w:rsid w:val="00FD7FE0"/>
    <w:rsid w:val="00FE029C"/>
    <w:rsid w:val="00FE21B2"/>
    <w:rsid w:val="00FE37EB"/>
    <w:rsid w:val="00FE5536"/>
    <w:rsid w:val="00FE7370"/>
    <w:rsid w:val="00FF2414"/>
    <w:rsid w:val="00FF401B"/>
    <w:rsid w:val="00FF4829"/>
    <w:rsid w:val="00FF6FB8"/>
    <w:rsid w:val="00FF6F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AB27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F0F"/>
    <w:pPr>
      <w:spacing w:before="240" w:after="440" w:line="360" w:lineRule="auto"/>
    </w:pPr>
    <w:rPr>
      <w:sz w:val="24"/>
    </w:rPr>
  </w:style>
  <w:style w:type="paragraph" w:styleId="Heading1">
    <w:name w:val="heading 1"/>
    <w:basedOn w:val="Normal"/>
    <w:next w:val="Normal"/>
    <w:link w:val="Heading1Char"/>
    <w:autoRedefine/>
    <w:uiPriority w:val="9"/>
    <w:qFormat/>
    <w:rsid w:val="0033449D"/>
    <w:pPr>
      <w:keepNext/>
      <w:keepLines/>
      <w:pageBreakBefore/>
      <w:numPr>
        <w:numId w:val="3"/>
      </w:numPr>
      <w:spacing w:before="480" w:after="0"/>
      <w:jc w:val="center"/>
      <w:outlineLvl w:val="0"/>
    </w:pPr>
    <w:rPr>
      <w:rFonts w:cstheme="majorBidi"/>
      <w:b/>
      <w:bCs/>
      <w:sz w:val="48"/>
      <w:szCs w:val="28"/>
    </w:rPr>
  </w:style>
  <w:style w:type="paragraph" w:styleId="Heading2">
    <w:name w:val="heading 2"/>
    <w:basedOn w:val="Normal"/>
    <w:next w:val="Normal"/>
    <w:link w:val="Heading2Char"/>
    <w:uiPriority w:val="9"/>
    <w:unhideWhenUsed/>
    <w:qFormat/>
    <w:rsid w:val="000A3469"/>
    <w:pPr>
      <w:keepNext/>
      <w:keepLines/>
      <w:numPr>
        <w:ilvl w:val="1"/>
        <w:numId w:val="3"/>
      </w:numPr>
      <w:spacing w:before="440" w:after="24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4F6B4E"/>
    <w:pPr>
      <w:keepNext/>
      <w:keepLines/>
      <w:numPr>
        <w:ilvl w:val="2"/>
        <w:numId w:val="3"/>
      </w:numPr>
      <w:spacing w:after="240"/>
      <w:outlineLvl w:val="2"/>
    </w:pPr>
    <w:rPr>
      <w:rFonts w:eastAsiaTheme="majorEastAsia" w:cstheme="majorBidi"/>
      <w:b/>
      <w:bCs/>
      <w:sz w:val="28"/>
    </w:rPr>
  </w:style>
  <w:style w:type="paragraph" w:styleId="Heading4">
    <w:name w:val="heading 4"/>
    <w:basedOn w:val="Normal"/>
    <w:next w:val="Normal"/>
    <w:link w:val="Heading4Char"/>
    <w:autoRedefine/>
    <w:uiPriority w:val="9"/>
    <w:unhideWhenUsed/>
    <w:qFormat/>
    <w:rsid w:val="00302825"/>
    <w:pPr>
      <w:keepNext/>
      <w:keepLines/>
      <w:numPr>
        <w:ilvl w:val="3"/>
        <w:numId w:val="3"/>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0A3469"/>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A3469"/>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A3469"/>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3469"/>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3469"/>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49D"/>
    <w:rPr>
      <w:rFonts w:cstheme="majorBidi"/>
      <w:b/>
      <w:bCs/>
      <w:sz w:val="48"/>
      <w:szCs w:val="28"/>
    </w:rPr>
  </w:style>
  <w:style w:type="character" w:customStyle="1" w:styleId="Heading2Char">
    <w:name w:val="Heading 2 Char"/>
    <w:basedOn w:val="DefaultParagraphFont"/>
    <w:link w:val="Heading2"/>
    <w:uiPriority w:val="9"/>
    <w:rsid w:val="000A3469"/>
    <w:rPr>
      <w:rFonts w:eastAsiaTheme="majorEastAsia" w:cstheme="majorBidi"/>
      <w:b/>
      <w:bCs/>
      <w:sz w:val="32"/>
      <w:szCs w:val="26"/>
    </w:rPr>
  </w:style>
  <w:style w:type="character" w:customStyle="1" w:styleId="Heading3Char">
    <w:name w:val="Heading 3 Char"/>
    <w:basedOn w:val="DefaultParagraphFont"/>
    <w:link w:val="Heading3"/>
    <w:uiPriority w:val="9"/>
    <w:rsid w:val="004F6B4E"/>
    <w:rPr>
      <w:rFonts w:eastAsiaTheme="majorEastAsia" w:cstheme="majorBidi"/>
      <w:b/>
      <w:bCs/>
      <w:sz w:val="28"/>
    </w:rPr>
  </w:style>
  <w:style w:type="character" w:customStyle="1" w:styleId="Heading4Char">
    <w:name w:val="Heading 4 Char"/>
    <w:basedOn w:val="DefaultParagraphFont"/>
    <w:link w:val="Heading4"/>
    <w:uiPriority w:val="9"/>
    <w:rsid w:val="00302825"/>
    <w:rPr>
      <w:rFonts w:asciiTheme="majorHAnsi" w:eastAsiaTheme="majorEastAsia" w:hAnsiTheme="majorHAnsi" w:cstheme="majorBidi"/>
      <w:b/>
      <w:bCs/>
      <w:i/>
      <w:iCs/>
      <w:sz w:val="24"/>
    </w:rPr>
  </w:style>
  <w:style w:type="character" w:customStyle="1" w:styleId="Heading5Char">
    <w:name w:val="Heading 5 Char"/>
    <w:basedOn w:val="DefaultParagraphFont"/>
    <w:link w:val="Heading5"/>
    <w:uiPriority w:val="9"/>
    <w:semiHidden/>
    <w:rsid w:val="000A3469"/>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0A3469"/>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0A3469"/>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0A346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3469"/>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821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C15"/>
    <w:rPr>
      <w:rFonts w:ascii="Tahoma" w:hAnsi="Tahoma" w:cs="Tahoma"/>
      <w:sz w:val="16"/>
      <w:szCs w:val="16"/>
    </w:rPr>
  </w:style>
  <w:style w:type="paragraph" w:styleId="NormalWeb">
    <w:name w:val="Normal (Web)"/>
    <w:basedOn w:val="Normal"/>
    <w:uiPriority w:val="99"/>
    <w:semiHidden/>
    <w:unhideWhenUsed/>
    <w:rsid w:val="00821C15"/>
    <w:pPr>
      <w:spacing w:before="100" w:beforeAutospacing="1" w:after="100" w:afterAutospacing="1" w:line="240" w:lineRule="auto"/>
    </w:pPr>
    <w:rPr>
      <w:rFonts w:ascii="Times New Roman" w:eastAsiaTheme="minorEastAsia" w:hAnsi="Times New Roman" w:cs="Times New Roman"/>
      <w:szCs w:val="24"/>
      <w:lang w:eastAsia="en-GB"/>
    </w:rPr>
  </w:style>
  <w:style w:type="character" w:styleId="PlaceholderText">
    <w:name w:val="Placeholder Text"/>
    <w:basedOn w:val="DefaultParagraphFont"/>
    <w:uiPriority w:val="99"/>
    <w:semiHidden/>
    <w:rsid w:val="001B6B15"/>
    <w:rPr>
      <w:color w:val="808080"/>
    </w:rPr>
  </w:style>
  <w:style w:type="paragraph" w:styleId="Caption">
    <w:name w:val="caption"/>
    <w:basedOn w:val="Normal"/>
    <w:next w:val="Normal"/>
    <w:uiPriority w:val="35"/>
    <w:unhideWhenUsed/>
    <w:qFormat/>
    <w:rsid w:val="002A7584"/>
    <w:pPr>
      <w:spacing w:line="240" w:lineRule="auto"/>
      <w:jc w:val="center"/>
    </w:pPr>
    <w:rPr>
      <w:b/>
      <w:bCs/>
      <w:sz w:val="20"/>
      <w:szCs w:val="18"/>
    </w:rPr>
  </w:style>
  <w:style w:type="table" w:styleId="TableGrid">
    <w:name w:val="Table Grid"/>
    <w:basedOn w:val="TableNormal"/>
    <w:uiPriority w:val="59"/>
    <w:rsid w:val="00F26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267E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8A2DF5"/>
    <w:pPr>
      <w:ind w:left="720"/>
      <w:contextualSpacing/>
    </w:pPr>
  </w:style>
  <w:style w:type="character" w:customStyle="1" w:styleId="company">
    <w:name w:val="company"/>
    <w:basedOn w:val="DefaultParagraphFont"/>
    <w:rsid w:val="00C56CFB"/>
  </w:style>
  <w:style w:type="paragraph" w:styleId="Header">
    <w:name w:val="header"/>
    <w:basedOn w:val="Normal"/>
    <w:link w:val="HeaderChar"/>
    <w:uiPriority w:val="99"/>
    <w:unhideWhenUsed/>
    <w:rsid w:val="004224F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224F5"/>
    <w:rPr>
      <w:sz w:val="24"/>
    </w:rPr>
  </w:style>
  <w:style w:type="paragraph" w:styleId="Footer">
    <w:name w:val="footer"/>
    <w:basedOn w:val="Normal"/>
    <w:link w:val="FooterChar"/>
    <w:uiPriority w:val="99"/>
    <w:unhideWhenUsed/>
    <w:rsid w:val="004224F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224F5"/>
    <w:rPr>
      <w:sz w:val="24"/>
    </w:rPr>
  </w:style>
  <w:style w:type="paragraph" w:styleId="TOCHeading">
    <w:name w:val="TOC Heading"/>
    <w:basedOn w:val="Heading1"/>
    <w:next w:val="Normal"/>
    <w:uiPriority w:val="39"/>
    <w:semiHidden/>
    <w:unhideWhenUsed/>
    <w:qFormat/>
    <w:rsid w:val="00827DFB"/>
    <w:pPr>
      <w:pageBreakBefore w:val="0"/>
      <w:numPr>
        <w:numId w:val="0"/>
      </w:numPr>
      <w:spacing w:line="276" w:lineRule="auto"/>
      <w:jc w:val="left"/>
      <w:outlineLvl w:val="9"/>
    </w:pPr>
    <w:rPr>
      <w:rFonts w:asciiTheme="majorHAnsi" w:eastAsiaTheme="majorEastAsia" w:hAnsiTheme="majorHAnsi"/>
      <w:color w:val="365F91" w:themeColor="accent1" w:themeShade="BF"/>
      <w:sz w:val="28"/>
      <w:lang w:val="en-US" w:eastAsia="ja-JP"/>
    </w:rPr>
  </w:style>
  <w:style w:type="paragraph" w:styleId="TOC1">
    <w:name w:val="toc 1"/>
    <w:basedOn w:val="Normal"/>
    <w:next w:val="Normal"/>
    <w:autoRedefine/>
    <w:uiPriority w:val="39"/>
    <w:unhideWhenUsed/>
    <w:rsid w:val="00827DFB"/>
    <w:pPr>
      <w:spacing w:after="100"/>
    </w:pPr>
  </w:style>
  <w:style w:type="paragraph" w:styleId="TOC2">
    <w:name w:val="toc 2"/>
    <w:basedOn w:val="Normal"/>
    <w:next w:val="Normal"/>
    <w:autoRedefine/>
    <w:uiPriority w:val="39"/>
    <w:unhideWhenUsed/>
    <w:rsid w:val="00827DFB"/>
    <w:pPr>
      <w:spacing w:after="100"/>
      <w:ind w:left="240"/>
    </w:pPr>
  </w:style>
  <w:style w:type="paragraph" w:styleId="TOC3">
    <w:name w:val="toc 3"/>
    <w:basedOn w:val="Normal"/>
    <w:next w:val="Normal"/>
    <w:autoRedefine/>
    <w:uiPriority w:val="39"/>
    <w:unhideWhenUsed/>
    <w:rsid w:val="00827DFB"/>
    <w:pPr>
      <w:spacing w:after="100"/>
      <w:ind w:left="480"/>
    </w:pPr>
  </w:style>
  <w:style w:type="paragraph" w:styleId="TableofFigures">
    <w:name w:val="table of figures"/>
    <w:basedOn w:val="Normal"/>
    <w:next w:val="Normal"/>
    <w:uiPriority w:val="99"/>
    <w:unhideWhenUsed/>
    <w:rsid w:val="009C61A8"/>
    <w:pPr>
      <w:spacing w:after="0"/>
    </w:pPr>
  </w:style>
  <w:style w:type="character" w:styleId="Hyperlink">
    <w:name w:val="Hyperlink"/>
    <w:basedOn w:val="DefaultParagraphFont"/>
    <w:uiPriority w:val="99"/>
    <w:unhideWhenUsed/>
    <w:rsid w:val="00827DFB"/>
    <w:rPr>
      <w:color w:val="0000FF" w:themeColor="hyperlink"/>
      <w:u w:val="single"/>
    </w:rPr>
  </w:style>
  <w:style w:type="paragraph" w:styleId="TOC4">
    <w:name w:val="toc 4"/>
    <w:basedOn w:val="Normal"/>
    <w:next w:val="Normal"/>
    <w:autoRedefine/>
    <w:uiPriority w:val="39"/>
    <w:unhideWhenUsed/>
    <w:rsid w:val="00A44724"/>
    <w:pPr>
      <w:spacing w:before="0" w:after="100" w:line="276" w:lineRule="auto"/>
      <w:ind w:left="660"/>
    </w:pPr>
    <w:rPr>
      <w:rFonts w:eastAsiaTheme="minorEastAsia"/>
      <w:sz w:val="22"/>
      <w:lang w:eastAsia="en-GB"/>
    </w:rPr>
  </w:style>
  <w:style w:type="paragraph" w:styleId="TOC5">
    <w:name w:val="toc 5"/>
    <w:basedOn w:val="Normal"/>
    <w:next w:val="Normal"/>
    <w:autoRedefine/>
    <w:uiPriority w:val="39"/>
    <w:unhideWhenUsed/>
    <w:rsid w:val="00A44724"/>
    <w:pPr>
      <w:spacing w:before="0" w:after="100" w:line="276" w:lineRule="auto"/>
      <w:ind w:left="880"/>
    </w:pPr>
    <w:rPr>
      <w:rFonts w:eastAsiaTheme="minorEastAsia"/>
      <w:sz w:val="22"/>
      <w:lang w:eastAsia="en-GB"/>
    </w:rPr>
  </w:style>
  <w:style w:type="paragraph" w:styleId="TOC6">
    <w:name w:val="toc 6"/>
    <w:basedOn w:val="Normal"/>
    <w:next w:val="Normal"/>
    <w:autoRedefine/>
    <w:uiPriority w:val="39"/>
    <w:unhideWhenUsed/>
    <w:rsid w:val="00A44724"/>
    <w:pPr>
      <w:spacing w:before="0" w:after="100" w:line="276" w:lineRule="auto"/>
      <w:ind w:left="1100"/>
    </w:pPr>
    <w:rPr>
      <w:rFonts w:eastAsiaTheme="minorEastAsia"/>
      <w:sz w:val="22"/>
      <w:lang w:eastAsia="en-GB"/>
    </w:rPr>
  </w:style>
  <w:style w:type="paragraph" w:styleId="TOC7">
    <w:name w:val="toc 7"/>
    <w:basedOn w:val="Normal"/>
    <w:next w:val="Normal"/>
    <w:autoRedefine/>
    <w:uiPriority w:val="39"/>
    <w:unhideWhenUsed/>
    <w:rsid w:val="00A44724"/>
    <w:pPr>
      <w:spacing w:before="0" w:after="100" w:line="276" w:lineRule="auto"/>
      <w:ind w:left="1320"/>
    </w:pPr>
    <w:rPr>
      <w:rFonts w:eastAsiaTheme="minorEastAsia"/>
      <w:sz w:val="22"/>
      <w:lang w:eastAsia="en-GB"/>
    </w:rPr>
  </w:style>
  <w:style w:type="paragraph" w:styleId="TOC8">
    <w:name w:val="toc 8"/>
    <w:basedOn w:val="Normal"/>
    <w:next w:val="Normal"/>
    <w:autoRedefine/>
    <w:uiPriority w:val="39"/>
    <w:unhideWhenUsed/>
    <w:rsid w:val="00A44724"/>
    <w:pPr>
      <w:spacing w:before="0" w:after="100" w:line="276" w:lineRule="auto"/>
      <w:ind w:left="1540"/>
    </w:pPr>
    <w:rPr>
      <w:rFonts w:eastAsiaTheme="minorEastAsia"/>
      <w:sz w:val="22"/>
      <w:lang w:eastAsia="en-GB"/>
    </w:rPr>
  </w:style>
  <w:style w:type="paragraph" w:styleId="TOC9">
    <w:name w:val="toc 9"/>
    <w:basedOn w:val="Normal"/>
    <w:next w:val="Normal"/>
    <w:autoRedefine/>
    <w:uiPriority w:val="39"/>
    <w:unhideWhenUsed/>
    <w:rsid w:val="00A44724"/>
    <w:pPr>
      <w:spacing w:before="0" w:after="100" w:line="276" w:lineRule="auto"/>
      <w:ind w:left="1760"/>
    </w:pPr>
    <w:rPr>
      <w:rFonts w:eastAsiaTheme="minorEastAsia"/>
      <w:sz w:val="22"/>
      <w:lang w:eastAsia="en-GB"/>
    </w:rPr>
  </w:style>
  <w:style w:type="character" w:styleId="CommentReference">
    <w:name w:val="annotation reference"/>
    <w:basedOn w:val="DefaultParagraphFont"/>
    <w:uiPriority w:val="99"/>
    <w:semiHidden/>
    <w:unhideWhenUsed/>
    <w:rsid w:val="007302D9"/>
    <w:rPr>
      <w:sz w:val="16"/>
      <w:szCs w:val="16"/>
    </w:rPr>
  </w:style>
  <w:style w:type="paragraph" w:styleId="CommentText">
    <w:name w:val="annotation text"/>
    <w:basedOn w:val="Normal"/>
    <w:link w:val="CommentTextChar"/>
    <w:uiPriority w:val="99"/>
    <w:semiHidden/>
    <w:unhideWhenUsed/>
    <w:rsid w:val="007302D9"/>
    <w:pPr>
      <w:spacing w:line="240" w:lineRule="auto"/>
    </w:pPr>
    <w:rPr>
      <w:sz w:val="20"/>
      <w:szCs w:val="20"/>
    </w:rPr>
  </w:style>
  <w:style w:type="character" w:customStyle="1" w:styleId="CommentTextChar">
    <w:name w:val="Comment Text Char"/>
    <w:basedOn w:val="DefaultParagraphFont"/>
    <w:link w:val="CommentText"/>
    <w:uiPriority w:val="99"/>
    <w:semiHidden/>
    <w:rsid w:val="007302D9"/>
    <w:rPr>
      <w:sz w:val="20"/>
      <w:szCs w:val="20"/>
    </w:rPr>
  </w:style>
  <w:style w:type="paragraph" w:styleId="CommentSubject">
    <w:name w:val="annotation subject"/>
    <w:basedOn w:val="CommentText"/>
    <w:next w:val="CommentText"/>
    <w:link w:val="CommentSubjectChar"/>
    <w:uiPriority w:val="99"/>
    <w:semiHidden/>
    <w:unhideWhenUsed/>
    <w:rsid w:val="007302D9"/>
    <w:rPr>
      <w:b/>
      <w:bCs/>
    </w:rPr>
  </w:style>
  <w:style w:type="character" w:customStyle="1" w:styleId="CommentSubjectChar">
    <w:name w:val="Comment Subject Char"/>
    <w:basedOn w:val="CommentTextChar"/>
    <w:link w:val="CommentSubject"/>
    <w:uiPriority w:val="99"/>
    <w:semiHidden/>
    <w:rsid w:val="007302D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F0F"/>
    <w:pPr>
      <w:spacing w:before="240" w:after="440" w:line="360" w:lineRule="auto"/>
    </w:pPr>
    <w:rPr>
      <w:sz w:val="24"/>
    </w:rPr>
  </w:style>
  <w:style w:type="paragraph" w:styleId="Heading1">
    <w:name w:val="heading 1"/>
    <w:basedOn w:val="Normal"/>
    <w:next w:val="Normal"/>
    <w:link w:val="Heading1Char"/>
    <w:autoRedefine/>
    <w:uiPriority w:val="9"/>
    <w:qFormat/>
    <w:rsid w:val="0033449D"/>
    <w:pPr>
      <w:keepNext/>
      <w:keepLines/>
      <w:pageBreakBefore/>
      <w:numPr>
        <w:numId w:val="3"/>
      </w:numPr>
      <w:spacing w:before="480" w:after="0"/>
      <w:jc w:val="center"/>
      <w:outlineLvl w:val="0"/>
    </w:pPr>
    <w:rPr>
      <w:rFonts w:cstheme="majorBidi"/>
      <w:b/>
      <w:bCs/>
      <w:sz w:val="48"/>
      <w:szCs w:val="28"/>
    </w:rPr>
  </w:style>
  <w:style w:type="paragraph" w:styleId="Heading2">
    <w:name w:val="heading 2"/>
    <w:basedOn w:val="Normal"/>
    <w:next w:val="Normal"/>
    <w:link w:val="Heading2Char"/>
    <w:uiPriority w:val="9"/>
    <w:unhideWhenUsed/>
    <w:qFormat/>
    <w:rsid w:val="000A3469"/>
    <w:pPr>
      <w:keepNext/>
      <w:keepLines/>
      <w:numPr>
        <w:ilvl w:val="1"/>
        <w:numId w:val="3"/>
      </w:numPr>
      <w:spacing w:before="440" w:after="24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4F6B4E"/>
    <w:pPr>
      <w:keepNext/>
      <w:keepLines/>
      <w:numPr>
        <w:ilvl w:val="2"/>
        <w:numId w:val="3"/>
      </w:numPr>
      <w:spacing w:after="240"/>
      <w:outlineLvl w:val="2"/>
    </w:pPr>
    <w:rPr>
      <w:rFonts w:eastAsiaTheme="majorEastAsia" w:cstheme="majorBidi"/>
      <w:b/>
      <w:bCs/>
      <w:sz w:val="28"/>
    </w:rPr>
  </w:style>
  <w:style w:type="paragraph" w:styleId="Heading4">
    <w:name w:val="heading 4"/>
    <w:basedOn w:val="Normal"/>
    <w:next w:val="Normal"/>
    <w:link w:val="Heading4Char"/>
    <w:autoRedefine/>
    <w:uiPriority w:val="9"/>
    <w:unhideWhenUsed/>
    <w:qFormat/>
    <w:rsid w:val="00302825"/>
    <w:pPr>
      <w:keepNext/>
      <w:keepLines/>
      <w:numPr>
        <w:ilvl w:val="3"/>
        <w:numId w:val="3"/>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0A3469"/>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A3469"/>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A3469"/>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3469"/>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3469"/>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49D"/>
    <w:rPr>
      <w:rFonts w:cstheme="majorBidi"/>
      <w:b/>
      <w:bCs/>
      <w:sz w:val="48"/>
      <w:szCs w:val="28"/>
    </w:rPr>
  </w:style>
  <w:style w:type="character" w:customStyle="1" w:styleId="Heading2Char">
    <w:name w:val="Heading 2 Char"/>
    <w:basedOn w:val="DefaultParagraphFont"/>
    <w:link w:val="Heading2"/>
    <w:uiPriority w:val="9"/>
    <w:rsid w:val="000A3469"/>
    <w:rPr>
      <w:rFonts w:eastAsiaTheme="majorEastAsia" w:cstheme="majorBidi"/>
      <w:b/>
      <w:bCs/>
      <w:sz w:val="32"/>
      <w:szCs w:val="26"/>
    </w:rPr>
  </w:style>
  <w:style w:type="character" w:customStyle="1" w:styleId="Heading3Char">
    <w:name w:val="Heading 3 Char"/>
    <w:basedOn w:val="DefaultParagraphFont"/>
    <w:link w:val="Heading3"/>
    <w:uiPriority w:val="9"/>
    <w:rsid w:val="004F6B4E"/>
    <w:rPr>
      <w:rFonts w:eastAsiaTheme="majorEastAsia" w:cstheme="majorBidi"/>
      <w:b/>
      <w:bCs/>
      <w:sz w:val="28"/>
    </w:rPr>
  </w:style>
  <w:style w:type="character" w:customStyle="1" w:styleId="Heading4Char">
    <w:name w:val="Heading 4 Char"/>
    <w:basedOn w:val="DefaultParagraphFont"/>
    <w:link w:val="Heading4"/>
    <w:uiPriority w:val="9"/>
    <w:rsid w:val="00302825"/>
    <w:rPr>
      <w:rFonts w:asciiTheme="majorHAnsi" w:eastAsiaTheme="majorEastAsia" w:hAnsiTheme="majorHAnsi" w:cstheme="majorBidi"/>
      <w:b/>
      <w:bCs/>
      <w:i/>
      <w:iCs/>
      <w:sz w:val="24"/>
    </w:rPr>
  </w:style>
  <w:style w:type="character" w:customStyle="1" w:styleId="Heading5Char">
    <w:name w:val="Heading 5 Char"/>
    <w:basedOn w:val="DefaultParagraphFont"/>
    <w:link w:val="Heading5"/>
    <w:uiPriority w:val="9"/>
    <w:semiHidden/>
    <w:rsid w:val="000A3469"/>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0A3469"/>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0A3469"/>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0A346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3469"/>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821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C15"/>
    <w:rPr>
      <w:rFonts w:ascii="Tahoma" w:hAnsi="Tahoma" w:cs="Tahoma"/>
      <w:sz w:val="16"/>
      <w:szCs w:val="16"/>
    </w:rPr>
  </w:style>
  <w:style w:type="paragraph" w:styleId="NormalWeb">
    <w:name w:val="Normal (Web)"/>
    <w:basedOn w:val="Normal"/>
    <w:uiPriority w:val="99"/>
    <w:semiHidden/>
    <w:unhideWhenUsed/>
    <w:rsid w:val="00821C15"/>
    <w:pPr>
      <w:spacing w:before="100" w:beforeAutospacing="1" w:after="100" w:afterAutospacing="1" w:line="240" w:lineRule="auto"/>
    </w:pPr>
    <w:rPr>
      <w:rFonts w:ascii="Times New Roman" w:eastAsiaTheme="minorEastAsia" w:hAnsi="Times New Roman" w:cs="Times New Roman"/>
      <w:szCs w:val="24"/>
      <w:lang w:eastAsia="en-GB"/>
    </w:rPr>
  </w:style>
  <w:style w:type="character" w:styleId="PlaceholderText">
    <w:name w:val="Placeholder Text"/>
    <w:basedOn w:val="DefaultParagraphFont"/>
    <w:uiPriority w:val="99"/>
    <w:semiHidden/>
    <w:rsid w:val="001B6B15"/>
    <w:rPr>
      <w:color w:val="808080"/>
    </w:rPr>
  </w:style>
  <w:style w:type="paragraph" w:styleId="Caption">
    <w:name w:val="caption"/>
    <w:basedOn w:val="Normal"/>
    <w:next w:val="Normal"/>
    <w:uiPriority w:val="35"/>
    <w:unhideWhenUsed/>
    <w:qFormat/>
    <w:rsid w:val="002A7584"/>
    <w:pPr>
      <w:spacing w:line="240" w:lineRule="auto"/>
      <w:jc w:val="center"/>
    </w:pPr>
    <w:rPr>
      <w:b/>
      <w:bCs/>
      <w:sz w:val="20"/>
      <w:szCs w:val="18"/>
    </w:rPr>
  </w:style>
  <w:style w:type="table" w:styleId="TableGrid">
    <w:name w:val="Table Grid"/>
    <w:basedOn w:val="TableNormal"/>
    <w:uiPriority w:val="59"/>
    <w:rsid w:val="00F26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267E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8A2DF5"/>
    <w:pPr>
      <w:ind w:left="720"/>
      <w:contextualSpacing/>
    </w:pPr>
  </w:style>
  <w:style w:type="character" w:customStyle="1" w:styleId="company">
    <w:name w:val="company"/>
    <w:basedOn w:val="DefaultParagraphFont"/>
    <w:rsid w:val="00C56CFB"/>
  </w:style>
  <w:style w:type="paragraph" w:styleId="Header">
    <w:name w:val="header"/>
    <w:basedOn w:val="Normal"/>
    <w:link w:val="HeaderChar"/>
    <w:uiPriority w:val="99"/>
    <w:unhideWhenUsed/>
    <w:rsid w:val="004224F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224F5"/>
    <w:rPr>
      <w:sz w:val="24"/>
    </w:rPr>
  </w:style>
  <w:style w:type="paragraph" w:styleId="Footer">
    <w:name w:val="footer"/>
    <w:basedOn w:val="Normal"/>
    <w:link w:val="FooterChar"/>
    <w:uiPriority w:val="99"/>
    <w:unhideWhenUsed/>
    <w:rsid w:val="004224F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224F5"/>
    <w:rPr>
      <w:sz w:val="24"/>
    </w:rPr>
  </w:style>
  <w:style w:type="paragraph" w:styleId="TOCHeading">
    <w:name w:val="TOC Heading"/>
    <w:basedOn w:val="Heading1"/>
    <w:next w:val="Normal"/>
    <w:uiPriority w:val="39"/>
    <w:semiHidden/>
    <w:unhideWhenUsed/>
    <w:qFormat/>
    <w:rsid w:val="00827DFB"/>
    <w:pPr>
      <w:pageBreakBefore w:val="0"/>
      <w:numPr>
        <w:numId w:val="0"/>
      </w:numPr>
      <w:spacing w:line="276" w:lineRule="auto"/>
      <w:jc w:val="left"/>
      <w:outlineLvl w:val="9"/>
    </w:pPr>
    <w:rPr>
      <w:rFonts w:asciiTheme="majorHAnsi" w:eastAsiaTheme="majorEastAsia" w:hAnsiTheme="majorHAnsi"/>
      <w:color w:val="365F91" w:themeColor="accent1" w:themeShade="BF"/>
      <w:sz w:val="28"/>
      <w:lang w:val="en-US" w:eastAsia="ja-JP"/>
    </w:rPr>
  </w:style>
  <w:style w:type="paragraph" w:styleId="TOC1">
    <w:name w:val="toc 1"/>
    <w:basedOn w:val="Normal"/>
    <w:next w:val="Normal"/>
    <w:autoRedefine/>
    <w:uiPriority w:val="39"/>
    <w:unhideWhenUsed/>
    <w:rsid w:val="00827DFB"/>
    <w:pPr>
      <w:spacing w:after="100"/>
    </w:pPr>
  </w:style>
  <w:style w:type="paragraph" w:styleId="TOC2">
    <w:name w:val="toc 2"/>
    <w:basedOn w:val="Normal"/>
    <w:next w:val="Normal"/>
    <w:autoRedefine/>
    <w:uiPriority w:val="39"/>
    <w:unhideWhenUsed/>
    <w:rsid w:val="00827DFB"/>
    <w:pPr>
      <w:spacing w:after="100"/>
      <w:ind w:left="240"/>
    </w:pPr>
  </w:style>
  <w:style w:type="paragraph" w:styleId="TOC3">
    <w:name w:val="toc 3"/>
    <w:basedOn w:val="Normal"/>
    <w:next w:val="Normal"/>
    <w:autoRedefine/>
    <w:uiPriority w:val="39"/>
    <w:unhideWhenUsed/>
    <w:rsid w:val="00827DFB"/>
    <w:pPr>
      <w:spacing w:after="100"/>
      <w:ind w:left="480"/>
    </w:pPr>
  </w:style>
  <w:style w:type="paragraph" w:styleId="TableofFigures">
    <w:name w:val="table of figures"/>
    <w:basedOn w:val="Normal"/>
    <w:next w:val="Normal"/>
    <w:uiPriority w:val="99"/>
    <w:unhideWhenUsed/>
    <w:rsid w:val="009C61A8"/>
    <w:pPr>
      <w:spacing w:after="0"/>
    </w:pPr>
  </w:style>
  <w:style w:type="character" w:styleId="Hyperlink">
    <w:name w:val="Hyperlink"/>
    <w:basedOn w:val="DefaultParagraphFont"/>
    <w:uiPriority w:val="99"/>
    <w:unhideWhenUsed/>
    <w:rsid w:val="00827DFB"/>
    <w:rPr>
      <w:color w:val="0000FF" w:themeColor="hyperlink"/>
      <w:u w:val="single"/>
    </w:rPr>
  </w:style>
  <w:style w:type="paragraph" w:styleId="TOC4">
    <w:name w:val="toc 4"/>
    <w:basedOn w:val="Normal"/>
    <w:next w:val="Normal"/>
    <w:autoRedefine/>
    <w:uiPriority w:val="39"/>
    <w:unhideWhenUsed/>
    <w:rsid w:val="00A44724"/>
    <w:pPr>
      <w:spacing w:before="0" w:after="100" w:line="276" w:lineRule="auto"/>
      <w:ind w:left="660"/>
    </w:pPr>
    <w:rPr>
      <w:rFonts w:eastAsiaTheme="minorEastAsia"/>
      <w:sz w:val="22"/>
      <w:lang w:eastAsia="en-GB"/>
    </w:rPr>
  </w:style>
  <w:style w:type="paragraph" w:styleId="TOC5">
    <w:name w:val="toc 5"/>
    <w:basedOn w:val="Normal"/>
    <w:next w:val="Normal"/>
    <w:autoRedefine/>
    <w:uiPriority w:val="39"/>
    <w:unhideWhenUsed/>
    <w:rsid w:val="00A44724"/>
    <w:pPr>
      <w:spacing w:before="0" w:after="100" w:line="276" w:lineRule="auto"/>
      <w:ind w:left="880"/>
    </w:pPr>
    <w:rPr>
      <w:rFonts w:eastAsiaTheme="minorEastAsia"/>
      <w:sz w:val="22"/>
      <w:lang w:eastAsia="en-GB"/>
    </w:rPr>
  </w:style>
  <w:style w:type="paragraph" w:styleId="TOC6">
    <w:name w:val="toc 6"/>
    <w:basedOn w:val="Normal"/>
    <w:next w:val="Normal"/>
    <w:autoRedefine/>
    <w:uiPriority w:val="39"/>
    <w:unhideWhenUsed/>
    <w:rsid w:val="00A44724"/>
    <w:pPr>
      <w:spacing w:before="0" w:after="100" w:line="276" w:lineRule="auto"/>
      <w:ind w:left="1100"/>
    </w:pPr>
    <w:rPr>
      <w:rFonts w:eastAsiaTheme="minorEastAsia"/>
      <w:sz w:val="22"/>
      <w:lang w:eastAsia="en-GB"/>
    </w:rPr>
  </w:style>
  <w:style w:type="paragraph" w:styleId="TOC7">
    <w:name w:val="toc 7"/>
    <w:basedOn w:val="Normal"/>
    <w:next w:val="Normal"/>
    <w:autoRedefine/>
    <w:uiPriority w:val="39"/>
    <w:unhideWhenUsed/>
    <w:rsid w:val="00A44724"/>
    <w:pPr>
      <w:spacing w:before="0" w:after="100" w:line="276" w:lineRule="auto"/>
      <w:ind w:left="1320"/>
    </w:pPr>
    <w:rPr>
      <w:rFonts w:eastAsiaTheme="minorEastAsia"/>
      <w:sz w:val="22"/>
      <w:lang w:eastAsia="en-GB"/>
    </w:rPr>
  </w:style>
  <w:style w:type="paragraph" w:styleId="TOC8">
    <w:name w:val="toc 8"/>
    <w:basedOn w:val="Normal"/>
    <w:next w:val="Normal"/>
    <w:autoRedefine/>
    <w:uiPriority w:val="39"/>
    <w:unhideWhenUsed/>
    <w:rsid w:val="00A44724"/>
    <w:pPr>
      <w:spacing w:before="0" w:after="100" w:line="276" w:lineRule="auto"/>
      <w:ind w:left="1540"/>
    </w:pPr>
    <w:rPr>
      <w:rFonts w:eastAsiaTheme="minorEastAsia"/>
      <w:sz w:val="22"/>
      <w:lang w:eastAsia="en-GB"/>
    </w:rPr>
  </w:style>
  <w:style w:type="paragraph" w:styleId="TOC9">
    <w:name w:val="toc 9"/>
    <w:basedOn w:val="Normal"/>
    <w:next w:val="Normal"/>
    <w:autoRedefine/>
    <w:uiPriority w:val="39"/>
    <w:unhideWhenUsed/>
    <w:rsid w:val="00A44724"/>
    <w:pPr>
      <w:spacing w:before="0" w:after="100" w:line="276" w:lineRule="auto"/>
      <w:ind w:left="1760"/>
    </w:pPr>
    <w:rPr>
      <w:rFonts w:eastAsiaTheme="minorEastAsia"/>
      <w:sz w:val="22"/>
      <w:lang w:eastAsia="en-GB"/>
    </w:rPr>
  </w:style>
  <w:style w:type="character" w:styleId="CommentReference">
    <w:name w:val="annotation reference"/>
    <w:basedOn w:val="DefaultParagraphFont"/>
    <w:uiPriority w:val="99"/>
    <w:semiHidden/>
    <w:unhideWhenUsed/>
    <w:rsid w:val="007302D9"/>
    <w:rPr>
      <w:sz w:val="16"/>
      <w:szCs w:val="16"/>
    </w:rPr>
  </w:style>
  <w:style w:type="paragraph" w:styleId="CommentText">
    <w:name w:val="annotation text"/>
    <w:basedOn w:val="Normal"/>
    <w:link w:val="CommentTextChar"/>
    <w:uiPriority w:val="99"/>
    <w:semiHidden/>
    <w:unhideWhenUsed/>
    <w:rsid w:val="007302D9"/>
    <w:pPr>
      <w:spacing w:line="240" w:lineRule="auto"/>
    </w:pPr>
    <w:rPr>
      <w:sz w:val="20"/>
      <w:szCs w:val="20"/>
    </w:rPr>
  </w:style>
  <w:style w:type="character" w:customStyle="1" w:styleId="CommentTextChar">
    <w:name w:val="Comment Text Char"/>
    <w:basedOn w:val="DefaultParagraphFont"/>
    <w:link w:val="CommentText"/>
    <w:uiPriority w:val="99"/>
    <w:semiHidden/>
    <w:rsid w:val="007302D9"/>
    <w:rPr>
      <w:sz w:val="20"/>
      <w:szCs w:val="20"/>
    </w:rPr>
  </w:style>
  <w:style w:type="paragraph" w:styleId="CommentSubject">
    <w:name w:val="annotation subject"/>
    <w:basedOn w:val="CommentText"/>
    <w:next w:val="CommentText"/>
    <w:link w:val="CommentSubjectChar"/>
    <w:uiPriority w:val="99"/>
    <w:semiHidden/>
    <w:unhideWhenUsed/>
    <w:rsid w:val="007302D9"/>
    <w:rPr>
      <w:b/>
      <w:bCs/>
    </w:rPr>
  </w:style>
  <w:style w:type="character" w:customStyle="1" w:styleId="CommentSubjectChar">
    <w:name w:val="Comment Subject Char"/>
    <w:basedOn w:val="CommentTextChar"/>
    <w:link w:val="CommentSubject"/>
    <w:uiPriority w:val="99"/>
    <w:semiHidden/>
    <w:rsid w:val="007302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703186">
      <w:bodyDiv w:val="1"/>
      <w:marLeft w:val="0"/>
      <w:marRight w:val="0"/>
      <w:marTop w:val="0"/>
      <w:marBottom w:val="0"/>
      <w:divBdr>
        <w:top w:val="none" w:sz="0" w:space="0" w:color="auto"/>
        <w:left w:val="none" w:sz="0" w:space="0" w:color="auto"/>
        <w:bottom w:val="none" w:sz="0" w:space="0" w:color="auto"/>
        <w:right w:val="none" w:sz="0" w:space="0" w:color="auto"/>
      </w:divBdr>
    </w:div>
    <w:div w:id="179667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57.emf"/><Relationship Id="rId21" Type="http://schemas.openxmlformats.org/officeDocument/2006/relationships/image" Target="media/image6.jpg"/><Relationship Id="rId42" Type="http://schemas.openxmlformats.org/officeDocument/2006/relationships/image" Target="media/image19.emf"/><Relationship Id="rId47" Type="http://schemas.openxmlformats.org/officeDocument/2006/relationships/package" Target="embeddings/Microsoft_PowerPoint_Presentation9.pptx"/><Relationship Id="rId63" Type="http://schemas.openxmlformats.org/officeDocument/2006/relationships/oleObject" Target="embeddings/oleObject12.bin"/><Relationship Id="rId68" Type="http://schemas.openxmlformats.org/officeDocument/2006/relationships/image" Target="media/image32.emf"/><Relationship Id="rId84" Type="http://schemas.openxmlformats.org/officeDocument/2006/relationships/image" Target="media/image40.emf"/><Relationship Id="rId89" Type="http://schemas.openxmlformats.org/officeDocument/2006/relationships/image" Target="media/image43.jpg"/><Relationship Id="rId112" Type="http://schemas.openxmlformats.org/officeDocument/2006/relationships/oleObject" Target="embeddings/oleObject35.bin"/><Relationship Id="rId16" Type="http://schemas.openxmlformats.org/officeDocument/2006/relationships/comments" Target="comments.xml"/><Relationship Id="rId107" Type="http://schemas.openxmlformats.org/officeDocument/2006/relationships/image" Target="media/image52.emf"/><Relationship Id="rId11" Type="http://schemas.openxmlformats.org/officeDocument/2006/relationships/footer" Target="footer2.xml"/><Relationship Id="rId32" Type="http://schemas.openxmlformats.org/officeDocument/2006/relationships/image" Target="media/image13.emf"/><Relationship Id="rId37" Type="http://schemas.openxmlformats.org/officeDocument/2006/relationships/package" Target="embeddings/Microsoft_Word_Document4.docx"/><Relationship Id="rId53" Type="http://schemas.openxmlformats.org/officeDocument/2006/relationships/oleObject" Target="embeddings/oleObject8.bin"/><Relationship Id="rId58" Type="http://schemas.openxmlformats.org/officeDocument/2006/relationships/image" Target="media/image27.emf"/><Relationship Id="rId74" Type="http://schemas.openxmlformats.org/officeDocument/2006/relationships/image" Target="media/image35.emf"/><Relationship Id="rId79" Type="http://schemas.openxmlformats.org/officeDocument/2006/relationships/oleObject" Target="embeddings/oleObject20.bin"/><Relationship Id="rId102" Type="http://schemas.openxmlformats.org/officeDocument/2006/relationships/image" Target="media/image50.emf"/><Relationship Id="rId123" Type="http://schemas.openxmlformats.org/officeDocument/2006/relationships/image" Target="media/image60.emf"/><Relationship Id="rId128" Type="http://schemas.openxmlformats.org/officeDocument/2006/relationships/oleObject" Target="embeddings/oleObject43.bin"/><Relationship Id="rId5" Type="http://schemas.openxmlformats.org/officeDocument/2006/relationships/settings" Target="settings.xml"/><Relationship Id="rId90" Type="http://schemas.openxmlformats.org/officeDocument/2006/relationships/image" Target="media/image44.emf"/><Relationship Id="rId95" Type="http://schemas.openxmlformats.org/officeDocument/2006/relationships/oleObject" Target="embeddings/oleObject27.bin"/><Relationship Id="rId14" Type="http://schemas.openxmlformats.org/officeDocument/2006/relationships/image" Target="media/image3.emf"/><Relationship Id="rId22" Type="http://schemas.openxmlformats.org/officeDocument/2006/relationships/image" Target="media/image7.jpg"/><Relationship Id="rId27" Type="http://schemas.openxmlformats.org/officeDocument/2006/relationships/image" Target="media/image10.emf"/><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package" Target="embeddings/Microsoft_PowerPoint_Presentation7.pptx"/><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oleObject" Target="embeddings/oleObject15.bin"/><Relationship Id="rId77" Type="http://schemas.openxmlformats.org/officeDocument/2006/relationships/oleObject" Target="embeddings/oleObject19.bin"/><Relationship Id="rId100" Type="http://schemas.openxmlformats.org/officeDocument/2006/relationships/image" Target="media/image49.emf"/><Relationship Id="rId105" Type="http://schemas.openxmlformats.org/officeDocument/2006/relationships/oleObject" Target="embeddings/oleObject32.bin"/><Relationship Id="rId113" Type="http://schemas.openxmlformats.org/officeDocument/2006/relationships/image" Target="media/image55.emf"/><Relationship Id="rId118" Type="http://schemas.openxmlformats.org/officeDocument/2006/relationships/oleObject" Target="embeddings/oleObject38.bin"/><Relationship Id="rId126" Type="http://schemas.openxmlformats.org/officeDocument/2006/relationships/oleObject" Target="embeddings/oleObject42.bin"/><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oleObject" Target="embeddings/oleObject23.bin"/><Relationship Id="rId93" Type="http://schemas.openxmlformats.org/officeDocument/2006/relationships/oleObject" Target="embeddings/oleObject26.bin"/><Relationship Id="rId98" Type="http://schemas.openxmlformats.org/officeDocument/2006/relationships/image" Target="media/image48.emf"/><Relationship Id="rId121" Type="http://schemas.openxmlformats.org/officeDocument/2006/relationships/image" Target="media/image59.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oleObject" Target="embeddings/oleObject6.bin"/><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package" Target="embeddings/Microsoft_PowerPoint_Presentation11.pptx"/><Relationship Id="rId67" Type="http://schemas.openxmlformats.org/officeDocument/2006/relationships/oleObject" Target="embeddings/oleObject14.bin"/><Relationship Id="rId103" Type="http://schemas.openxmlformats.org/officeDocument/2006/relationships/oleObject" Target="embeddings/oleObject31.bin"/><Relationship Id="rId108" Type="http://schemas.openxmlformats.org/officeDocument/2006/relationships/oleObject" Target="embeddings/oleObject33.bin"/><Relationship Id="rId116" Type="http://schemas.openxmlformats.org/officeDocument/2006/relationships/oleObject" Target="embeddings/oleObject37.bin"/><Relationship Id="rId124" Type="http://schemas.openxmlformats.org/officeDocument/2006/relationships/oleObject" Target="embeddings/oleObject41.bin"/><Relationship Id="rId129" Type="http://schemas.openxmlformats.org/officeDocument/2006/relationships/footer" Target="footer4.xml"/><Relationship Id="rId158" Type="http://schemas.microsoft.com/office/2011/relationships/people" Target="people.xml"/><Relationship Id="rId20" Type="http://schemas.openxmlformats.org/officeDocument/2006/relationships/package" Target="embeddings/Microsoft_PowerPoint_Presentation1.pptx"/><Relationship Id="rId41" Type="http://schemas.openxmlformats.org/officeDocument/2006/relationships/package" Target="embeddings/Microsoft_PowerPoint_Presentation6.ppt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oleObject" Target="embeddings/oleObject18.bin"/><Relationship Id="rId83" Type="http://schemas.openxmlformats.org/officeDocument/2006/relationships/oleObject" Target="embeddings/oleObject22.bin"/><Relationship Id="rId88" Type="http://schemas.openxmlformats.org/officeDocument/2006/relationships/image" Target="media/image42.jpg"/><Relationship Id="rId91" Type="http://schemas.openxmlformats.org/officeDocument/2006/relationships/oleObject" Target="embeddings/oleObject25.bin"/><Relationship Id="rId96" Type="http://schemas.openxmlformats.org/officeDocument/2006/relationships/image" Target="media/image47.emf"/><Relationship Id="rId111"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emf"/><Relationship Id="rId28" Type="http://schemas.openxmlformats.org/officeDocument/2006/relationships/package" Target="embeddings/Microsoft_PowerPoint_Presentation3.pptx"/><Relationship Id="rId36" Type="http://schemas.openxmlformats.org/officeDocument/2006/relationships/image" Target="media/image16.emf"/><Relationship Id="rId49" Type="http://schemas.openxmlformats.org/officeDocument/2006/relationships/package" Target="embeddings/Microsoft_PowerPoint_Presentation10.pptx"/><Relationship Id="rId57" Type="http://schemas.openxmlformats.org/officeDocument/2006/relationships/oleObject" Target="embeddings/oleObject10.bin"/><Relationship Id="rId106" Type="http://schemas.openxmlformats.org/officeDocument/2006/relationships/footer" Target="footer3.xml"/><Relationship Id="rId114" Type="http://schemas.openxmlformats.org/officeDocument/2006/relationships/oleObject" Target="embeddings/oleObject36.bin"/><Relationship Id="rId119" Type="http://schemas.openxmlformats.org/officeDocument/2006/relationships/image" Target="media/image58.emf"/><Relationship Id="rId127" Type="http://schemas.openxmlformats.org/officeDocument/2006/relationships/image" Target="media/image62.emf"/><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image" Target="media/image37.emf"/><Relationship Id="rId81" Type="http://schemas.openxmlformats.org/officeDocument/2006/relationships/oleObject" Target="embeddings/oleObject21.bin"/><Relationship Id="rId86" Type="http://schemas.openxmlformats.org/officeDocument/2006/relationships/image" Target="media/image41.emf"/><Relationship Id="rId94" Type="http://schemas.openxmlformats.org/officeDocument/2006/relationships/image" Target="media/image46.emf"/><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oleObject" Target="embeddings/oleObject40.bin"/><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package" Target="embeddings/Microsoft_PowerPoint_Presentation5.pptx"/><Relationship Id="rId109" Type="http://schemas.openxmlformats.org/officeDocument/2006/relationships/image" Target="media/image53.emf"/><Relationship Id="rId34" Type="http://schemas.openxmlformats.org/officeDocument/2006/relationships/image" Target="media/image14.emf"/><Relationship Id="rId50" Type="http://schemas.openxmlformats.org/officeDocument/2006/relationships/image" Target="media/image23.emf"/><Relationship Id="rId55" Type="http://schemas.openxmlformats.org/officeDocument/2006/relationships/oleObject" Target="embeddings/oleObject9.bin"/><Relationship Id="rId76" Type="http://schemas.openxmlformats.org/officeDocument/2006/relationships/image" Target="media/image36.emf"/><Relationship Id="rId97" Type="http://schemas.openxmlformats.org/officeDocument/2006/relationships/oleObject" Target="embeddings/oleObject28.bin"/><Relationship Id="rId104" Type="http://schemas.openxmlformats.org/officeDocument/2006/relationships/image" Target="media/image51.emf"/><Relationship Id="rId120" Type="http://schemas.openxmlformats.org/officeDocument/2006/relationships/oleObject" Target="embeddings/oleObject39.bin"/><Relationship Id="rId125" Type="http://schemas.openxmlformats.org/officeDocument/2006/relationships/image" Target="media/image61.emf"/><Relationship Id="rId7" Type="http://schemas.openxmlformats.org/officeDocument/2006/relationships/footnotes" Target="footnotes.xml"/><Relationship Id="rId71" Type="http://schemas.openxmlformats.org/officeDocument/2006/relationships/oleObject" Target="embeddings/oleObject16.bin"/><Relationship Id="rId92" Type="http://schemas.openxmlformats.org/officeDocument/2006/relationships/image" Target="media/image45.emf"/><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package" Target="embeddings/Microsoft_PowerPoint_Presentation2.pptx"/><Relationship Id="rId40" Type="http://schemas.openxmlformats.org/officeDocument/2006/relationships/image" Target="media/image18.emf"/><Relationship Id="rId45" Type="http://schemas.openxmlformats.org/officeDocument/2006/relationships/package" Target="embeddings/Microsoft_PowerPoint_Presentation8.pptx"/><Relationship Id="rId66" Type="http://schemas.openxmlformats.org/officeDocument/2006/relationships/image" Target="media/image31.emf"/><Relationship Id="rId87" Type="http://schemas.openxmlformats.org/officeDocument/2006/relationships/oleObject" Target="embeddings/oleObject24.bin"/><Relationship Id="rId110" Type="http://schemas.openxmlformats.org/officeDocument/2006/relationships/oleObject" Target="embeddings/oleObject34.bin"/><Relationship Id="rId115" Type="http://schemas.openxmlformats.org/officeDocument/2006/relationships/image" Target="media/image56.emf"/><Relationship Id="rId131" Type="http://schemas.openxmlformats.org/officeDocument/2006/relationships/theme" Target="theme/theme1.xml"/><Relationship Id="rId157" Type="http://schemas.microsoft.com/office/2011/relationships/commentsExtended" Target="commentsExtended.xml"/><Relationship Id="rId61" Type="http://schemas.openxmlformats.org/officeDocument/2006/relationships/oleObject" Target="embeddings/oleObject11.bin"/><Relationship Id="rId82" Type="http://schemas.openxmlformats.org/officeDocument/2006/relationships/image" Target="media/image39.emf"/><Relationship Id="rId1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47E49-5A3E-4096-9B1D-1D9D61AF0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274</Pages>
  <Words>320903</Words>
  <Characters>1829150</Characters>
  <Application>Microsoft Office Word</Application>
  <DocSecurity>0</DocSecurity>
  <Lines>15242</Lines>
  <Paragraphs>4291</Paragraphs>
  <ScaleCrop>false</ScaleCrop>
  <HeadingPairs>
    <vt:vector size="2" baseType="variant">
      <vt:variant>
        <vt:lpstr>Title</vt:lpstr>
      </vt:variant>
      <vt:variant>
        <vt:i4>1</vt:i4>
      </vt:variant>
    </vt:vector>
  </HeadingPairs>
  <TitlesOfParts>
    <vt:vector size="1" baseType="lpstr">
      <vt:lpstr/>
    </vt:vector>
  </TitlesOfParts>
  <Company>Sheffield Hallam University</Company>
  <LinksUpToDate>false</LinksUpToDate>
  <CharactersWithSpaces>2145762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dc:creator>
  <cp:lastModifiedBy>Lauren Platts</cp:lastModifiedBy>
  <cp:revision>17</cp:revision>
  <cp:lastPrinted>2017-05-15T16:42:00Z</cp:lastPrinted>
  <dcterms:created xsi:type="dcterms:W3CDTF">2017-05-11T16:55:00Z</dcterms:created>
  <dcterms:modified xsi:type="dcterms:W3CDTF">2017-06-20T08:03:00Z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boa08lp@shef.ac.uk@www.mendeley.com</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http://www.zotero.org/styles/international-journal-of-pharmaceutics</vt:lpwstr>
  </property>
  <property fmtid="{D5CDD505-2E9C-101B-9397-08002B2CF9AE}" pid="16" name="Mendeley Recent Style Name 5_1">
    <vt:lpwstr>International Journal of Pharmaceutics</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http://www.zotero.org/styles/national-library-of-medicine</vt:lpwstr>
  </property>
  <property fmtid="{D5CDD505-2E9C-101B-9397-08002B2CF9AE}" pid="22" name="Mendeley Recent Style Name 8_1">
    <vt:lpwstr>National Library of Medicine</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