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ajorBidi" w:hAnsiTheme="majorBidi" w:cstheme="majorBidi"/>
          <w:sz w:val="24"/>
          <w:szCs w:val="24"/>
        </w:rPr>
        <w:id w:val="1266340716"/>
        <w:docPartObj>
          <w:docPartGallery w:val="Cover Pages"/>
          <w:docPartUnique/>
        </w:docPartObj>
      </w:sdtPr>
      <w:sdtEndPr>
        <w:rPr>
          <w:rFonts w:ascii="Times New Roman" w:eastAsia="Times New Roman" w:hAnsi="Times New Roman" w:cs="Times New Roman"/>
          <w:bCs/>
          <w:sz w:val="36"/>
          <w:szCs w:val="20"/>
          <w:lang w:eastAsia="en-US"/>
        </w:rPr>
      </w:sdtEndPr>
      <w:sdtContent>
        <w:p w14:paraId="700BB610" w14:textId="7A979F0A" w:rsidR="006537DB" w:rsidRDefault="006537DB" w:rsidP="00F52EC2">
          <w:pPr>
            <w:autoSpaceDE w:val="0"/>
            <w:autoSpaceDN w:val="0"/>
            <w:adjustRightInd w:val="0"/>
            <w:spacing w:after="0" w:line="240" w:lineRule="auto"/>
            <w:ind w:firstLine="0"/>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59264" behindDoc="0" locked="0" layoutInCell="1" allowOverlap="1" wp14:anchorId="11607DA3" wp14:editId="3DC09993">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0C54667F"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1CECD228"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44470EF7"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7515E9AD"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64B28AC8"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3082FB17"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2BE7726E"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691DADF7"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32A7CBED"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6A470BDA"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429E9259" w14:textId="45A95521" w:rsidR="006537DB" w:rsidRPr="001D3BF3" w:rsidRDefault="008A11DC" w:rsidP="00E561C9">
          <w:pPr>
            <w:autoSpaceDE w:val="0"/>
            <w:autoSpaceDN w:val="0"/>
            <w:adjustRightInd w:val="0"/>
            <w:spacing w:after="0" w:line="240" w:lineRule="auto"/>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Glass Melting Using Concentrated Solar H</w:t>
          </w:r>
          <w:r w:rsidR="006537DB" w:rsidRPr="00C629F4">
            <w:rPr>
              <w:rFonts w:asciiTheme="majorBidi" w:hAnsiTheme="majorBidi" w:cstheme="majorBidi"/>
              <w:b/>
              <w:bCs/>
              <w:color w:val="222222"/>
              <w:sz w:val="28"/>
              <w:szCs w:val="28"/>
              <w:shd w:val="clear" w:color="auto" w:fill="FFFFFF"/>
            </w:rPr>
            <w:t>eat</w:t>
          </w:r>
          <w:r w:rsidR="006537DB" w:rsidRPr="001D3BF3">
            <w:rPr>
              <w:rFonts w:asciiTheme="majorBidi" w:hAnsiTheme="majorBidi" w:cstheme="majorBidi"/>
              <w:b/>
              <w:bCs/>
              <w:color w:val="222222"/>
              <w:sz w:val="28"/>
              <w:szCs w:val="28"/>
            </w:rPr>
            <w:br/>
          </w:r>
          <w:r w:rsidR="006537DB" w:rsidRPr="001D3BF3">
            <w:rPr>
              <w:rFonts w:asciiTheme="majorBidi" w:hAnsiTheme="majorBidi" w:cstheme="majorBidi"/>
              <w:b/>
              <w:bCs/>
              <w:color w:val="222222"/>
              <w:sz w:val="28"/>
              <w:szCs w:val="28"/>
            </w:rPr>
            <w:br/>
          </w:r>
        </w:p>
        <w:p w14:paraId="5861263D" w14:textId="77777777" w:rsidR="006537DB" w:rsidRDefault="006537DB" w:rsidP="00D85950">
          <w:pPr>
            <w:autoSpaceDE w:val="0"/>
            <w:autoSpaceDN w:val="0"/>
            <w:adjustRightInd w:val="0"/>
            <w:spacing w:after="0" w:line="240" w:lineRule="auto"/>
            <w:rPr>
              <w:rFonts w:asciiTheme="majorBidi" w:hAnsiTheme="majorBidi" w:cstheme="majorBidi"/>
              <w:sz w:val="24"/>
              <w:szCs w:val="24"/>
            </w:rPr>
          </w:pPr>
        </w:p>
        <w:p w14:paraId="2204DE0F"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2FC7AE81" w14:textId="77777777" w:rsidR="006537DB"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1A7E6887" w14:textId="77777777" w:rsidR="006537DB" w:rsidRPr="00FB352E" w:rsidRDefault="006537DB" w:rsidP="00D535FE">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7E7CB877" w14:textId="77777777" w:rsidR="006537DB" w:rsidRPr="00177AB6" w:rsidRDefault="006537DB" w:rsidP="00D535FE">
          <w:pPr>
            <w:autoSpaceDE w:val="0"/>
            <w:autoSpaceDN w:val="0"/>
            <w:adjustRightInd w:val="0"/>
            <w:spacing w:after="0" w:line="240" w:lineRule="auto"/>
            <w:jc w:val="center"/>
            <w:rPr>
              <w:rFonts w:asciiTheme="majorBidi" w:hAnsiTheme="majorBidi" w:cstheme="majorBidi"/>
              <w:sz w:val="24"/>
              <w:szCs w:val="24"/>
            </w:rPr>
          </w:pPr>
        </w:p>
        <w:p w14:paraId="11BD9AA1" w14:textId="77777777" w:rsidR="006537DB" w:rsidRPr="00FB352E" w:rsidRDefault="006537DB" w:rsidP="00D535FE">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Syed Qasid Safeer Ahmad</w:t>
          </w:r>
        </w:p>
        <w:p w14:paraId="31E1CD75" w14:textId="77777777" w:rsidR="006537DB" w:rsidRPr="00177AB6" w:rsidRDefault="006537DB" w:rsidP="00D535FE">
          <w:pPr>
            <w:autoSpaceDE w:val="0"/>
            <w:autoSpaceDN w:val="0"/>
            <w:adjustRightInd w:val="0"/>
            <w:spacing w:after="0" w:line="240" w:lineRule="auto"/>
            <w:rPr>
              <w:rFonts w:asciiTheme="majorBidi" w:hAnsiTheme="majorBidi" w:cstheme="majorBidi"/>
              <w:sz w:val="28"/>
              <w:szCs w:val="28"/>
            </w:rPr>
          </w:pPr>
        </w:p>
        <w:p w14:paraId="3E93D978"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490AB3E0"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3AA365B4" w14:textId="77777777" w:rsidR="006537DB" w:rsidRDefault="006537DB" w:rsidP="00D535FE">
          <w:pPr>
            <w:autoSpaceDE w:val="0"/>
            <w:autoSpaceDN w:val="0"/>
            <w:adjustRightInd w:val="0"/>
            <w:spacing w:after="0" w:line="240" w:lineRule="auto"/>
            <w:rPr>
              <w:rFonts w:asciiTheme="majorBidi" w:hAnsiTheme="majorBidi" w:cstheme="majorBidi"/>
              <w:sz w:val="24"/>
              <w:szCs w:val="24"/>
            </w:rPr>
          </w:pPr>
        </w:p>
        <w:p w14:paraId="29816F40" w14:textId="77777777" w:rsidR="006537DB" w:rsidRPr="00D535FE" w:rsidRDefault="006537DB" w:rsidP="001E7C75">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6595C151" w14:textId="77777777" w:rsidR="006537DB" w:rsidRDefault="006537DB" w:rsidP="00D87252">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3D261CD0" w14:textId="77777777" w:rsidR="006537DB" w:rsidRDefault="006537DB" w:rsidP="00D535FE">
          <w:pPr>
            <w:jc w:val="center"/>
            <w:rPr>
              <w:rFonts w:asciiTheme="majorBidi" w:hAnsiTheme="majorBidi" w:cstheme="majorBidi"/>
              <w:sz w:val="24"/>
              <w:szCs w:val="24"/>
            </w:rPr>
          </w:pPr>
        </w:p>
        <w:p w14:paraId="7A2C2FFA" w14:textId="77777777" w:rsidR="006537DB" w:rsidRDefault="006537DB" w:rsidP="00D535FE">
          <w:pPr>
            <w:jc w:val="center"/>
            <w:rPr>
              <w:rFonts w:asciiTheme="majorBidi" w:hAnsiTheme="majorBidi" w:cstheme="majorBidi"/>
              <w:sz w:val="24"/>
              <w:szCs w:val="24"/>
            </w:rPr>
          </w:pPr>
        </w:p>
        <w:p w14:paraId="0C39708D" w14:textId="77777777" w:rsidR="006537DB" w:rsidRDefault="006537DB" w:rsidP="00D535FE">
          <w:pPr>
            <w:jc w:val="center"/>
            <w:rPr>
              <w:rFonts w:asciiTheme="majorBidi" w:hAnsiTheme="majorBidi" w:cstheme="majorBidi"/>
              <w:sz w:val="24"/>
              <w:szCs w:val="24"/>
            </w:rPr>
          </w:pPr>
        </w:p>
        <w:p w14:paraId="129F85E6" w14:textId="77777777" w:rsidR="006537DB" w:rsidRPr="00D535FE" w:rsidRDefault="006537DB" w:rsidP="00DD4E40">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0CE096A2" w14:textId="77777777" w:rsidR="006537DB" w:rsidRPr="00D535FE" w:rsidRDefault="006537DB" w:rsidP="001F36AE">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Engineering</w:t>
          </w:r>
        </w:p>
        <w:p w14:paraId="1EFF82AB" w14:textId="77777777" w:rsidR="006537DB" w:rsidRDefault="006537DB" w:rsidP="001F36AE">
          <w:pPr>
            <w:jc w:val="center"/>
            <w:rPr>
              <w:rFonts w:asciiTheme="majorBidi" w:hAnsiTheme="majorBidi" w:cstheme="majorBidi"/>
              <w:sz w:val="24"/>
              <w:szCs w:val="24"/>
            </w:rPr>
          </w:pPr>
          <w:r>
            <w:rPr>
              <w:rFonts w:asciiTheme="majorBidi" w:hAnsiTheme="majorBidi" w:cstheme="majorBidi"/>
              <w:sz w:val="24"/>
              <w:szCs w:val="24"/>
            </w:rPr>
            <w:t>Department</w:t>
          </w:r>
          <w:r w:rsidRPr="00D535FE">
            <w:rPr>
              <w:rFonts w:asciiTheme="majorBidi" w:hAnsiTheme="majorBidi" w:cstheme="majorBidi"/>
              <w:sz w:val="24"/>
              <w:szCs w:val="24"/>
            </w:rPr>
            <w:t xml:space="preserve"> of </w:t>
          </w:r>
          <w:r w:rsidRPr="00C629F4">
            <w:rPr>
              <w:rFonts w:asciiTheme="majorBidi" w:hAnsiTheme="majorBidi" w:cstheme="majorBidi"/>
              <w:sz w:val="24"/>
              <w:szCs w:val="24"/>
            </w:rPr>
            <w:t>Chemical and Biological Engineering</w:t>
          </w:r>
        </w:p>
        <w:p w14:paraId="4B44AE57" w14:textId="77777777" w:rsidR="006537DB" w:rsidRDefault="006537DB" w:rsidP="00D535FE">
          <w:pPr>
            <w:jc w:val="center"/>
            <w:rPr>
              <w:rFonts w:asciiTheme="majorBidi" w:hAnsiTheme="majorBidi" w:cstheme="majorBidi"/>
              <w:sz w:val="24"/>
              <w:szCs w:val="24"/>
            </w:rPr>
          </w:pPr>
        </w:p>
        <w:p w14:paraId="24E11FBE" w14:textId="77777777" w:rsidR="006537DB" w:rsidRDefault="006537DB" w:rsidP="00D535FE">
          <w:pPr>
            <w:jc w:val="center"/>
            <w:rPr>
              <w:rFonts w:asciiTheme="majorBidi" w:hAnsiTheme="majorBidi" w:cstheme="majorBidi"/>
              <w:sz w:val="24"/>
              <w:szCs w:val="24"/>
            </w:rPr>
          </w:pPr>
          <w:r>
            <w:rPr>
              <w:rFonts w:asciiTheme="majorBidi" w:hAnsiTheme="majorBidi" w:cstheme="majorBidi"/>
              <w:sz w:val="24"/>
              <w:szCs w:val="24"/>
            </w:rPr>
            <w:t xml:space="preserve"> </w:t>
          </w:r>
        </w:p>
        <w:p w14:paraId="6B8B7138" w14:textId="77777777" w:rsidR="006537DB" w:rsidRDefault="006537DB" w:rsidP="00EF1DD3">
          <w:pPr>
            <w:jc w:val="left"/>
            <w:rPr>
              <w:rFonts w:asciiTheme="majorBidi" w:hAnsiTheme="majorBidi" w:cstheme="majorBidi"/>
              <w:sz w:val="24"/>
              <w:szCs w:val="24"/>
            </w:rPr>
          </w:pPr>
        </w:p>
        <w:p w14:paraId="5F837032" w14:textId="77777777" w:rsidR="006537DB" w:rsidRDefault="006537DB" w:rsidP="00D535FE">
          <w:pPr>
            <w:jc w:val="center"/>
            <w:rPr>
              <w:rFonts w:asciiTheme="majorBidi" w:hAnsiTheme="majorBidi" w:cstheme="majorBidi"/>
              <w:sz w:val="24"/>
              <w:szCs w:val="24"/>
            </w:rPr>
          </w:pPr>
        </w:p>
        <w:p w14:paraId="7025AA85" w14:textId="491E6411" w:rsidR="006537DB" w:rsidRPr="006537DB" w:rsidRDefault="00307280" w:rsidP="006537DB">
          <w:pPr>
            <w:jc w:val="center"/>
            <w:rPr>
              <w:rFonts w:asciiTheme="majorBidi" w:hAnsiTheme="majorBidi" w:cstheme="majorBidi"/>
              <w:sz w:val="24"/>
              <w:szCs w:val="24"/>
            </w:rPr>
          </w:pPr>
          <w:r>
            <w:rPr>
              <w:rFonts w:asciiTheme="majorBidi" w:hAnsiTheme="majorBidi" w:cstheme="majorBidi"/>
              <w:sz w:val="24"/>
              <w:szCs w:val="24"/>
            </w:rPr>
            <w:t xml:space="preserve">March </w:t>
          </w:r>
          <w:r w:rsidR="004548F5">
            <w:rPr>
              <w:rFonts w:asciiTheme="majorBidi" w:hAnsiTheme="majorBidi" w:cstheme="majorBidi"/>
              <w:sz w:val="24"/>
              <w:szCs w:val="24"/>
            </w:rPr>
            <w:t>201</w:t>
          </w:r>
          <w:r>
            <w:rPr>
              <w:rFonts w:asciiTheme="majorBidi" w:hAnsiTheme="majorBidi" w:cstheme="majorBidi"/>
              <w:sz w:val="24"/>
              <w:szCs w:val="24"/>
            </w:rPr>
            <w:t>7</w:t>
          </w:r>
        </w:p>
      </w:sdtContent>
    </w:sdt>
    <w:p w14:paraId="262EEBA2" w14:textId="77777777" w:rsidR="003610C6" w:rsidRDefault="003610C6">
      <w:pPr>
        <w:spacing w:line="276" w:lineRule="auto"/>
        <w:ind w:firstLine="0"/>
        <w:contextualSpacing w:val="0"/>
        <w:jc w:val="left"/>
        <w:rPr>
          <w:rFonts w:eastAsia="Times New Roman" w:cs="Times New Roman"/>
          <w:bCs/>
          <w:sz w:val="36"/>
          <w:szCs w:val="20"/>
          <w:lang w:eastAsia="en-US"/>
        </w:rPr>
      </w:pPr>
      <w:r>
        <w:rPr>
          <w:rFonts w:eastAsia="Times New Roman" w:cs="Times New Roman"/>
          <w:bCs/>
          <w:sz w:val="36"/>
          <w:szCs w:val="20"/>
          <w:lang w:eastAsia="en-US"/>
        </w:rPr>
        <w:br w:type="page"/>
      </w:r>
    </w:p>
    <w:p w14:paraId="55959DBF" w14:textId="2BB6FDAF" w:rsidR="004438A9" w:rsidRDefault="004438A9" w:rsidP="00270BFB">
      <w:pPr>
        <w:spacing w:line="240" w:lineRule="auto"/>
        <w:ind w:firstLine="0"/>
        <w:jc w:val="left"/>
        <w:rPr>
          <w:rFonts w:eastAsia="Times New Roman" w:cs="Times New Roman"/>
          <w:bCs/>
          <w:sz w:val="36"/>
          <w:szCs w:val="20"/>
          <w:lang w:eastAsia="en-US"/>
        </w:rPr>
      </w:pPr>
      <w:r w:rsidRPr="00BA3C65">
        <w:rPr>
          <w:rFonts w:eastAsia="Times New Roman" w:cs="Times New Roman"/>
          <w:bCs/>
          <w:sz w:val="36"/>
          <w:szCs w:val="20"/>
          <w:lang w:eastAsia="en-US"/>
        </w:rPr>
        <w:lastRenderedPageBreak/>
        <w:t>Acknowledgements</w:t>
      </w:r>
    </w:p>
    <w:p w14:paraId="3CE8B82F" w14:textId="77777777" w:rsidR="00270BFB" w:rsidRPr="00BA3C65" w:rsidRDefault="00270BFB" w:rsidP="00BA3C65">
      <w:pPr>
        <w:spacing w:line="240" w:lineRule="auto"/>
        <w:ind w:firstLine="0"/>
        <w:jc w:val="center"/>
        <w:rPr>
          <w:rFonts w:eastAsia="Times New Roman" w:cs="Times New Roman"/>
          <w:bCs/>
          <w:sz w:val="36"/>
          <w:szCs w:val="20"/>
          <w:lang w:eastAsia="en-US"/>
        </w:rPr>
      </w:pPr>
    </w:p>
    <w:p w14:paraId="67D179D5" w14:textId="3EAEF1F0" w:rsidR="004438A9" w:rsidRDefault="004438A9" w:rsidP="00BA3C65">
      <w:r>
        <w:t>First and foremost, I must thank Professor Russell Hand (University of Sheffield, Department of Material Science and Engineering)  as he was the</w:t>
      </w:r>
      <w:r w:rsidR="00C06F69">
        <w:t xml:space="preserve"> single</w:t>
      </w:r>
      <w:r>
        <w:t xml:space="preserve"> greatest contributor throughout this project (after myself of course!). It was a pleasure working with him. </w:t>
      </w:r>
    </w:p>
    <w:p w14:paraId="6A3BCB39" w14:textId="77777777" w:rsidR="004438A9" w:rsidRDefault="004438A9" w:rsidP="00BA3C65">
      <w:r>
        <w:t xml:space="preserve">I thank my PhD project supervisors Dr Rachael Rothman and Dr Alan Dunbar (University of Sheffield, Department if Chemical and Biological Engineering) for their guidance, support and contributions; Christian </w:t>
      </w:r>
      <w:r w:rsidRPr="00F7113C">
        <w:t>Wieckert</w:t>
      </w:r>
      <w:r>
        <w:t xml:space="preserve">, </w:t>
      </w:r>
      <w:r w:rsidRPr="0053338F">
        <w:t>Daniel Wuillemin, Yvonne Baeuerle</w:t>
      </w:r>
      <w:r>
        <w:t>,</w:t>
      </w:r>
      <w:r w:rsidRPr="0053338F">
        <w:t xml:space="preserve"> Valentin Schnetzler</w:t>
      </w:r>
      <w:r>
        <w:t xml:space="preserve"> and Michelle Locher</w:t>
      </w:r>
      <w:r w:rsidRPr="0053338F">
        <w:t xml:space="preserve"> for their </w:t>
      </w:r>
      <w:r>
        <w:t xml:space="preserve">advice and </w:t>
      </w:r>
      <w:r w:rsidRPr="0053338F">
        <w:t xml:space="preserve">technical support at </w:t>
      </w:r>
      <w:r>
        <w:t>the Paul Scherrer Institut</w:t>
      </w:r>
      <w:r w:rsidRPr="009C2136">
        <w:t>, High Flux Solar Simulator</w:t>
      </w:r>
      <w:r w:rsidRPr="0053338F">
        <w:t xml:space="preserve"> facility</w:t>
      </w:r>
      <w:r>
        <w:t xml:space="preserve">; Laurence Keen and Roger Pauli from Apollo furnace Ltd for their technical advice regarding furnace designs; Joseph Moore for the design and fabrication of much of the equipment used in this project; Dr Lisa Hollands, Ian Watts, Kyle Arnold, Andrew Mould Frank Fletcher at the University of Sheffield, Department of Material Science and Engineering, for their technical support throughout the project; Mark Taylor and David Hill at Roman Glassmakers for their advice regarding  the glass making process; Matthew Little at Renewable Energy Innovation for his support with electrical designs; and Dr Neil Lowrie for his administrative support at the University of Sheffield, E-Futures </w:t>
      </w:r>
      <w:r w:rsidRPr="002B1610">
        <w:t>Doctoral Training Centre</w:t>
      </w:r>
      <w:r>
        <w:t>. I am also grateful to many others for all their support and contributions.</w:t>
      </w:r>
    </w:p>
    <w:p w14:paraId="12F04AA9" w14:textId="77777777" w:rsidR="004438A9" w:rsidRDefault="004438A9" w:rsidP="00BA3C65">
      <w:r w:rsidRPr="002B1610">
        <w:t>Use of the HFSS facility was funded by the EU as part of the Solar Facilities for European Research Area project</w:t>
      </w:r>
      <w:r>
        <w:t xml:space="preserve"> (SFERA, Grant Agreement 228296 and SFERA II, </w:t>
      </w:r>
      <w:r w:rsidRPr="00F52891">
        <w:t xml:space="preserve">Grant Agreement </w:t>
      </w:r>
      <w:r>
        <w:t>312643)</w:t>
      </w:r>
      <w:r w:rsidRPr="002B1610">
        <w:t xml:space="preserve">. </w:t>
      </w:r>
      <w:r>
        <w:t>This PhD project was funded by the</w:t>
      </w:r>
      <w:r w:rsidRPr="002B1610">
        <w:t xml:space="preserve"> EPSRC, UK via the E-Futures Doctoral Training Centre under grant reference EP/G037477/1.</w:t>
      </w:r>
    </w:p>
    <w:p w14:paraId="5B393B49" w14:textId="2826A163" w:rsidR="004438A9" w:rsidRDefault="004438A9" w:rsidP="00BA3C65">
      <w:r>
        <w:br w:type="page"/>
      </w:r>
    </w:p>
    <w:p w14:paraId="7ED63C1E" w14:textId="77777777" w:rsidR="004438A9" w:rsidRDefault="004438A9" w:rsidP="00270BFB">
      <w:pPr>
        <w:spacing w:line="240" w:lineRule="auto"/>
        <w:ind w:firstLine="0"/>
        <w:jc w:val="left"/>
        <w:rPr>
          <w:rStyle w:val="Strong"/>
        </w:rPr>
      </w:pPr>
      <w:r w:rsidRPr="00BA3C65">
        <w:rPr>
          <w:rStyle w:val="Strong"/>
        </w:rPr>
        <w:lastRenderedPageBreak/>
        <w:t>Abstract</w:t>
      </w:r>
    </w:p>
    <w:p w14:paraId="46EEB2F3" w14:textId="77777777" w:rsidR="00270BFB" w:rsidRPr="00BA3C65" w:rsidRDefault="00270BFB" w:rsidP="00BA3C65">
      <w:pPr>
        <w:spacing w:line="240" w:lineRule="auto"/>
        <w:ind w:firstLine="0"/>
        <w:jc w:val="center"/>
        <w:rPr>
          <w:rStyle w:val="Strong"/>
        </w:rPr>
      </w:pPr>
    </w:p>
    <w:p w14:paraId="4B8E3202" w14:textId="2C1A3CA4" w:rsidR="00544E25" w:rsidRDefault="004438A9" w:rsidP="00544E25">
      <w:r>
        <w:t>Glass production is an energy intensive process, primarily requiring high temperature (≈1500</w:t>
      </w:r>
      <w:r>
        <w:rPr>
          <w:vertAlign w:val="superscript"/>
        </w:rPr>
        <w:t>o</w:t>
      </w:r>
      <w:r>
        <w:t>C) heat, usually provided by combustion of fossil fuels.  Concerns about the future depletion of fossil fuels and the emissions due to their combustion have driven a shift towards the use of alternative energy sources. Concentrated solar radiation is the only form of renewable energy which could directly provide the high temperature process heat required for glass production</w:t>
      </w:r>
      <w:r w:rsidR="00693469">
        <w:t>,</w:t>
      </w:r>
      <w:r>
        <w:t xml:space="preserve"> without the otherwise necessary intermediate conversion to electricity and thereby avoiding the associated efficiency and capital costs. The technology for concentrating solar radiation using fields of heliostat mirrors to collectively generate a high intensity beam at a central focal point, is already well developed. However, the ability to use of such a solar beam to effect a viable glass making process </w:t>
      </w:r>
      <w:r w:rsidR="00693469">
        <w:t xml:space="preserve">involves </w:t>
      </w:r>
      <w:r>
        <w:t>significant challenges</w:t>
      </w:r>
      <w:r w:rsidR="00693469">
        <w:t xml:space="preserve"> associated with</w:t>
      </w:r>
      <w:r w:rsidR="00544E25">
        <w:t xml:space="preserve"> the fact that glass furnaces typically require continuous and consistent process heat smoothly distributed, over large areas</w:t>
      </w:r>
      <w:r w:rsidR="00693469">
        <w:t xml:space="preserve"> </w:t>
      </w:r>
      <w:r w:rsidR="00544E25">
        <w:t xml:space="preserve">while </w:t>
      </w:r>
      <w:r w:rsidR="00693469">
        <w:t xml:space="preserve">concentrated solar radiation </w:t>
      </w:r>
      <w:r w:rsidR="00544E25">
        <w:t xml:space="preserve">is </w:t>
      </w:r>
      <w:r w:rsidR="00693469">
        <w:t xml:space="preserve">only intermittently available </w:t>
      </w:r>
      <w:r w:rsidR="00544E25">
        <w:t>and provides heat over relatively small areas with steep intensity gradients</w:t>
      </w:r>
      <w:r>
        <w:t xml:space="preserve">. </w:t>
      </w:r>
    </w:p>
    <w:p w14:paraId="0F1FE6AD" w14:textId="0FCEEA8C" w:rsidR="004438A9" w:rsidRDefault="004438A9" w:rsidP="00BA3C65">
      <w:r>
        <w:t xml:space="preserve">In this project, experiments were conducted to incrementally develop and investigate the feasibility of an efficient and scalable process for manufacturing useful glasses with the primary process heat demand provided by a realistic concentrated solar beam. A High Flux Solar Simulator (HFSS) consisting of an array of xenon arc lamps, each coupled with an ellipsoidal reflector, was used to generate an artificial, controllable ‘solar’ beam. </w:t>
      </w:r>
    </w:p>
    <w:p w14:paraId="55E1391D" w14:textId="518C2CEC" w:rsidR="004438A9" w:rsidRDefault="004438A9" w:rsidP="00BA3C65">
      <w:r>
        <w:t>First, the HFSS beam was used to directly irradiate pure silica and soda-lime-silica</w:t>
      </w:r>
      <w:r w:rsidR="008B27BE">
        <w:t xml:space="preserve"> </w:t>
      </w:r>
      <w:r>
        <w:t>glass forming batches contained inside insulated, refractory crucibles and directly irradiated by a realistic solar beam (intensity &lt; 2000 kW/m</w:t>
      </w:r>
      <w:r>
        <w:rPr>
          <w:vertAlign w:val="superscript"/>
        </w:rPr>
        <w:t>2</w:t>
      </w:r>
      <w:r>
        <w:t>). All silicate batches</w:t>
      </w:r>
      <w:r w:rsidRPr="00AF1CCB">
        <w:t xml:space="preserve"> </w:t>
      </w:r>
      <w:r>
        <w:t xml:space="preserve">generated complete melt pools with full conversion from crystalline raw materials, to x-ray amorphous </w:t>
      </w:r>
      <w:r w:rsidR="008B27BE">
        <w:t xml:space="preserve">glasses </w:t>
      </w:r>
      <w:r>
        <w:t xml:space="preserve">but only soda-lime-silica batches would generate melts with sufficient fluidity to homogenise and remove entrained </w:t>
      </w:r>
      <w:r w:rsidR="00945C75">
        <w:t>gases</w:t>
      </w:r>
      <w:r>
        <w:t xml:space="preserve"> (</w:t>
      </w:r>
      <w:r w:rsidRPr="00562E5D">
        <w:rPr>
          <w:i/>
        </w:rPr>
        <w:t>fining</w:t>
      </w:r>
      <w:r>
        <w:t xml:space="preserve">) and thereby produce transparent glasses. </w:t>
      </w:r>
    </w:p>
    <w:p w14:paraId="3C58E534" w14:textId="1A02EF91" w:rsidR="004438A9" w:rsidRDefault="004438A9">
      <w:r>
        <w:t xml:space="preserve">Next, </w:t>
      </w:r>
      <w:r w:rsidR="008B27BE">
        <w:t>a series of experiments were conducted to investigate factors affecting the continuity of the process. G</w:t>
      </w:r>
      <w:r>
        <w:t>lass forming batch</w:t>
      </w:r>
      <w:r w:rsidR="00AC662C">
        <w:t xml:space="preserve">, directly irradiated by a </w:t>
      </w:r>
      <w:r w:rsidR="00B10697">
        <w:t>vertical</w:t>
      </w:r>
      <w:r w:rsidR="00AC662C">
        <w:t xml:space="preserve"> HFSS beam, was </w:t>
      </w:r>
      <w:r>
        <w:t xml:space="preserve">contained inside </w:t>
      </w:r>
      <w:r w:rsidR="008B27BE">
        <w:t xml:space="preserve">a </w:t>
      </w:r>
      <w:r>
        <w:t>modified</w:t>
      </w:r>
      <w:r w:rsidR="008B27BE">
        <w:t xml:space="preserve"> </w:t>
      </w:r>
      <w:r w:rsidR="00B10697">
        <w:t>apparatus</w:t>
      </w:r>
      <w:r>
        <w:t xml:space="preserve"> </w:t>
      </w:r>
      <w:r w:rsidR="008B27BE">
        <w:t>which</w:t>
      </w:r>
      <w:r>
        <w:t xml:space="preserve"> enable</w:t>
      </w:r>
      <w:r w:rsidR="008B27BE">
        <w:t>d</w:t>
      </w:r>
      <w:r>
        <w:t xml:space="preserve"> the melt produced to</w:t>
      </w:r>
      <w:r w:rsidR="008B27BE">
        <w:t xml:space="preserve"> sustain a </w:t>
      </w:r>
      <w:r w:rsidR="00B10697">
        <w:t>continuous</w:t>
      </w:r>
      <w:r>
        <w:t xml:space="preserve"> flow </w:t>
      </w:r>
      <w:r w:rsidR="00AC662C">
        <w:t>. A specially made batch feeder enabled</w:t>
      </w:r>
      <w:r w:rsidR="008B27BE">
        <w:t xml:space="preserve"> additional r</w:t>
      </w:r>
      <w:r>
        <w:t xml:space="preserve">aw materials </w:t>
      </w:r>
      <w:r w:rsidR="00AC662C">
        <w:t xml:space="preserve">to be intermittently </w:t>
      </w:r>
      <w:r>
        <w:t xml:space="preserve">fed into the melting zone while the beam was still </w:t>
      </w:r>
      <w:r w:rsidR="00AC662C">
        <w:t>on</w:t>
      </w:r>
      <w:r>
        <w:t>. It was demonstrated that a semi-continuous glass melting process could be realised using primarily concentrated solar heat</w:t>
      </w:r>
      <w:r w:rsidR="00AC662C">
        <w:t>. However,</w:t>
      </w:r>
      <w:r>
        <w:t xml:space="preserve"> secondary heating was necessary to sustain the flow beyond the focal spot of the beam while avoiding fracture of the crucible due to thermal gradients induced by the beam. Also, the efficiency of this process was very poor (3-4%) and the throughput was very low</w:t>
      </w:r>
      <w:r w:rsidR="00AC662C">
        <w:t xml:space="preserve">. This was </w:t>
      </w:r>
      <w:r>
        <w:t xml:space="preserve">mainly due small size </w:t>
      </w:r>
      <w:r>
        <w:lastRenderedPageBreak/>
        <w:t xml:space="preserve">of the melt limited by the area of focal spot (~6 cm dia) of the beam and the radiative heat losses from the exposed surface of the glass forming melt. </w:t>
      </w:r>
    </w:p>
    <w:p w14:paraId="395DC34C" w14:textId="5946F09B" w:rsidR="004438A9" w:rsidRDefault="004438A9" w:rsidP="00BA3C65">
      <w:r>
        <w:t xml:space="preserve">Finally, a scaled-up solar-heated glass furnace was designed, built and tested, to address the remaining issues of efficiency, throughput, secondary heating demands, intermittent solar radiation availability and glass quality. </w:t>
      </w:r>
      <w:r w:rsidR="001855AF">
        <w:t xml:space="preserve">The furnace was essentially </w:t>
      </w:r>
      <w:r>
        <w:t>an insulated box</w:t>
      </w:r>
      <w:r w:rsidR="0071327F">
        <w:t>,</w:t>
      </w:r>
      <w:r w:rsidR="001855AF">
        <w:t xml:space="preserve"> containing the glass forming melt</w:t>
      </w:r>
      <w:r w:rsidR="0071327F">
        <w:t xml:space="preserve"> with a</w:t>
      </w:r>
      <w:r>
        <w:t>n aperture</w:t>
      </w:r>
      <w:r w:rsidR="00D75429">
        <w:t xml:space="preserve"> in the roof</w:t>
      </w:r>
      <w:r w:rsidR="0071327F">
        <w:t xml:space="preserve"> </w:t>
      </w:r>
      <w:r>
        <w:t xml:space="preserve">for </w:t>
      </w:r>
      <w:r w:rsidR="00D75429">
        <w:t>the</w:t>
      </w:r>
      <w:r>
        <w:t xml:space="preserve"> vertical HFSS beam and raw material inlet</w:t>
      </w:r>
      <w:r w:rsidR="001855AF">
        <w:t>.</w:t>
      </w:r>
      <w:r>
        <w:t xml:space="preserve"> </w:t>
      </w:r>
      <w:r w:rsidR="0071327F">
        <w:t>Integrated e</w:t>
      </w:r>
      <w:r>
        <w:t>lectrical resistance heating elements</w:t>
      </w:r>
      <w:r w:rsidR="0071327F">
        <w:t xml:space="preserve"> </w:t>
      </w:r>
      <w:r>
        <w:t xml:space="preserve">provided the secondary heating required to sustain continuity of the process by minimising thermal gradients </w:t>
      </w:r>
      <w:r w:rsidR="0071327F">
        <w:t>during</w:t>
      </w:r>
      <w:r>
        <w:t xml:space="preserve"> periods were solar radiation was unavailable. The HFSS beam converged </w:t>
      </w:r>
      <w:r w:rsidR="00AC662C">
        <w:t>at</w:t>
      </w:r>
      <w:r>
        <w:t xml:space="preserve"> the inlet aperture and then diverged inside the insulated cavity to irradiate the  surface of the glass </w:t>
      </w:r>
      <w:r w:rsidR="00AC662C">
        <w:t>forming melt. This</w:t>
      </w:r>
      <w:r>
        <w:t xml:space="preserve"> </w:t>
      </w:r>
      <w:r w:rsidR="00EB5F44">
        <w:t>provided</w:t>
      </w:r>
      <w:r>
        <w:t xml:space="preserve"> a </w:t>
      </w:r>
      <w:r w:rsidR="00EB5F44">
        <w:t xml:space="preserve">much </w:t>
      </w:r>
      <w:r>
        <w:t>large</w:t>
      </w:r>
      <w:r w:rsidR="00EB5F44">
        <w:t>r</w:t>
      </w:r>
      <w:r>
        <w:t xml:space="preserve"> </w:t>
      </w:r>
      <w:r w:rsidR="00EB5F44">
        <w:t xml:space="preserve">surface </w:t>
      </w:r>
      <w:r>
        <w:t xml:space="preserve">area for </w:t>
      </w:r>
      <w:r w:rsidR="00EB5F44">
        <w:t xml:space="preserve">glass </w:t>
      </w:r>
      <w:r>
        <w:t xml:space="preserve">melting </w:t>
      </w:r>
      <w:r w:rsidR="00EB5F44">
        <w:t xml:space="preserve">relative to </w:t>
      </w:r>
      <w:r>
        <w:t>the focal spot of the beam</w:t>
      </w:r>
      <w:r w:rsidR="00EB5F44">
        <w:t>. This resulted in both greatly reducing</w:t>
      </w:r>
      <w:r>
        <w:t xml:space="preserve"> re-radiation heat losses</w:t>
      </w:r>
      <w:r w:rsidR="00EB5F44">
        <w:t xml:space="preserve"> and increasing the productivity</w:t>
      </w:r>
      <w:r>
        <w:t xml:space="preserve"> compared to the previous experiments in which the beam was directly focussed at the glass melting surface. Also, a specially made flow control system was developed, enabling the glass melt to accumulate in the crucible until fully melted and fined before and then extracted to demonstrated production of pressed glassware. With 5.26 kW of radiation from the HFSS beam entering the beam inlet aperture of this solar-heated glass furnace, 300 g of soda-lime-silica glass forming batch was periodically fed, requiring 16 minutes between consecutive feeding cycles required to fully melt the batch and recover the glass melt temperature to 1460</w:t>
      </w:r>
      <w:r>
        <w:rPr>
          <w:vertAlign w:val="superscript"/>
        </w:rPr>
        <w:t>o</w:t>
      </w:r>
      <w:r>
        <w:t xml:space="preserve">C, which corresponded to a thermal efficiency of 16 %. It was shown that complete melting and fining of melt pools with surface areas an order of magnitude larger than the focal point of a solar beam could be sustained without any secondary heating. Also, beam power was switched off intermittently during melting and overnight which simulated realistic operation as per natural solar radiation availability and during these periods, the secondary electrical heating automatically provided sufficient power to avoid thermal shock. Analysis of the performance of the scaled-up solar-heated glass furnace suggested that it could not directly compete with conventional large scale (~300 </w:t>
      </w:r>
      <w:r w:rsidR="00B371A0">
        <w:t>tonnes/day</w:t>
      </w:r>
      <w:r>
        <w:t xml:space="preserve">), continuous glass tank furnaces. However, in markets where conventional glass manufacturing </w:t>
      </w:r>
      <w:r w:rsidR="00B371A0">
        <w:t>is</w:t>
      </w:r>
      <w:r>
        <w:t xml:space="preserve"> infeasible due to insufficient local demand, a solar-heated glass furnace appear</w:t>
      </w:r>
      <w:r w:rsidR="00B371A0">
        <w:t>s</w:t>
      </w:r>
      <w:r>
        <w:t xml:space="preserve"> more commercially attractive to meet smaller local demands. For example,  it is estimated, that with realistically achievable improvements expected on commercial scale up (30% glass melting efficiency), a </w:t>
      </w:r>
      <w:r w:rsidR="00D2659F">
        <w:t>4</w:t>
      </w:r>
      <w:r>
        <w:t xml:space="preserve"> </w:t>
      </w:r>
      <w:r w:rsidR="00B371A0">
        <w:t xml:space="preserve">tonnes/day </w:t>
      </w:r>
      <w:r>
        <w:t>solar-heated glass furnace, requiring a total initial capital investment of $1</w:t>
      </w:r>
      <w:r w:rsidR="00D2659F">
        <w:t>3M</w:t>
      </w:r>
      <w:r>
        <w:t xml:space="preserve"> and a land area of 2 hectares, would </w:t>
      </w:r>
      <w:r w:rsidR="00D2659F">
        <w:t>have</w:t>
      </w:r>
      <w:r w:rsidR="00B371A0">
        <w:t xml:space="preserve"> a</w:t>
      </w:r>
      <w:r>
        <w:t xml:space="preserve"> payback period of </w:t>
      </w:r>
      <w:r w:rsidR="00D2659F">
        <w:t xml:space="preserve">6 </w:t>
      </w:r>
      <w:r>
        <w:t xml:space="preserve">years for oil at </w:t>
      </w:r>
      <w:r w:rsidR="00D2659F">
        <w:t>5</w:t>
      </w:r>
      <w:r>
        <w:t>0-</w:t>
      </w:r>
      <w:r w:rsidR="00D2659F">
        <w:t>6</w:t>
      </w:r>
      <w:r>
        <w:t>0 $/barrel.</w:t>
      </w:r>
    </w:p>
    <w:p w14:paraId="6D0A169F" w14:textId="5D1A186B" w:rsidR="004438A9" w:rsidRDefault="004438A9" w:rsidP="00BA3C65">
      <w:r>
        <w:br w:type="page"/>
      </w:r>
    </w:p>
    <w:p w14:paraId="7548B33D" w14:textId="77777777" w:rsidR="004438A9" w:rsidRDefault="004438A9" w:rsidP="00270BFB">
      <w:pPr>
        <w:ind w:firstLine="0"/>
        <w:jc w:val="left"/>
        <w:rPr>
          <w:rStyle w:val="Strong"/>
        </w:rPr>
      </w:pPr>
      <w:r w:rsidRPr="00EE74FC">
        <w:rPr>
          <w:rStyle w:val="Strong"/>
        </w:rPr>
        <w:lastRenderedPageBreak/>
        <w:t>Publications and Presentations</w:t>
      </w:r>
    </w:p>
    <w:p w14:paraId="4E53DFE1" w14:textId="77777777" w:rsidR="00270BFB" w:rsidRPr="00EE74FC" w:rsidRDefault="00270BFB" w:rsidP="00EE74FC">
      <w:pPr>
        <w:ind w:firstLine="0"/>
        <w:jc w:val="center"/>
        <w:rPr>
          <w:rStyle w:val="Strong"/>
        </w:rPr>
      </w:pPr>
    </w:p>
    <w:p w14:paraId="699D1CF2" w14:textId="77777777" w:rsidR="00270BFB" w:rsidRDefault="004438A9" w:rsidP="00270BFB">
      <w:pPr>
        <w:ind w:firstLine="0"/>
        <w:jc w:val="left"/>
      </w:pPr>
      <w:r>
        <w:t>Part of this thesis was published in the follow</w:t>
      </w:r>
      <w:r w:rsidR="00821F16">
        <w:t xml:space="preserve">ing peer reviewed journal paper: </w:t>
      </w:r>
    </w:p>
    <w:p w14:paraId="0A04489C" w14:textId="4B6C663A" w:rsidR="00821F16" w:rsidRDefault="004438A9" w:rsidP="00270BFB">
      <w:pPr>
        <w:ind w:firstLine="0"/>
        <w:jc w:val="left"/>
      </w:pPr>
      <w:r w:rsidRPr="00FE7C21">
        <w:t>Ahmad, S.Q.S., Hand, R.J. &amp; Wieckert, C., 2014. Use of concentrated radiation for solar powered glass melting experiments. Solar Energy,</w:t>
      </w:r>
      <w:r>
        <w:t xml:space="preserve"> 109, pp.174–182. Available at: </w:t>
      </w:r>
      <w:hyperlink r:id="rId9" w:history="1">
        <w:r w:rsidRPr="00FE7C21">
          <w:t>http://dx.doi.org/10.1016/j.solener.2014.08.007</w:t>
        </w:r>
      </w:hyperlink>
    </w:p>
    <w:p w14:paraId="77C5E345" w14:textId="77777777" w:rsidR="00270BFB" w:rsidRDefault="00270BFB" w:rsidP="00270BFB">
      <w:pPr>
        <w:ind w:firstLine="0"/>
        <w:jc w:val="left"/>
      </w:pPr>
    </w:p>
    <w:p w14:paraId="616232C8" w14:textId="283E4FE8" w:rsidR="004438A9" w:rsidRDefault="004438A9" w:rsidP="00270BFB">
      <w:pPr>
        <w:ind w:firstLine="0"/>
        <w:jc w:val="left"/>
      </w:pPr>
      <w:r>
        <w:t>Also, part of the research described in this thesis was presented by the author at the 12</w:t>
      </w:r>
      <w:r w:rsidRPr="0099488C">
        <w:rPr>
          <w:vertAlign w:val="superscript"/>
        </w:rPr>
        <w:t>th</w:t>
      </w:r>
      <w:r>
        <w:t xml:space="preserve"> European Society of Glass (ESG) Conference, </w:t>
      </w:r>
      <w:r w:rsidR="009A023A" w:rsidRPr="0099488C">
        <w:t>21-24</w:t>
      </w:r>
      <w:r w:rsidR="009A023A">
        <w:t xml:space="preserve"> </w:t>
      </w:r>
      <w:r w:rsidRPr="0099488C">
        <w:t>September</w:t>
      </w:r>
      <w:r>
        <w:t xml:space="preserve"> 2014, Parma, Italy.</w:t>
      </w:r>
    </w:p>
    <w:p w14:paraId="7DACCF64" w14:textId="77777777" w:rsidR="00270BFB" w:rsidRDefault="00270BFB" w:rsidP="00270BFB">
      <w:pPr>
        <w:ind w:firstLine="0"/>
        <w:jc w:val="left"/>
      </w:pPr>
    </w:p>
    <w:p w14:paraId="0F430B26" w14:textId="70F3AEB9" w:rsidR="004438A9" w:rsidRPr="00D376AC" w:rsidRDefault="004438A9" w:rsidP="00270BFB">
      <w:pPr>
        <w:ind w:firstLine="0"/>
        <w:jc w:val="left"/>
        <w:rPr>
          <w:rFonts w:ascii="Arial" w:eastAsia="Times New Roman" w:hAnsi="Arial" w:cs="Arial"/>
          <w:color w:val="222222"/>
          <w:sz w:val="19"/>
          <w:szCs w:val="19"/>
        </w:rPr>
      </w:pPr>
      <w:r>
        <w:t>Furthermore, the author presented this work at the 8</w:t>
      </w:r>
      <w:r w:rsidRPr="00C5435F">
        <w:rPr>
          <w:vertAlign w:val="superscript"/>
        </w:rPr>
        <w:t>th</w:t>
      </w:r>
      <w:r>
        <w:t xml:space="preserve"> expert meeting of the International Energy </w:t>
      </w:r>
      <w:r w:rsidR="009A023A">
        <w:t xml:space="preserve">Agency </w:t>
      </w:r>
      <w:r>
        <w:t>(</w:t>
      </w:r>
      <w:r w:rsidR="009A023A">
        <w:t>IEA</w:t>
      </w:r>
      <w:r>
        <w:t>), Solar Heating and Cooling (SHC) programme, Task 49/IV (</w:t>
      </w:r>
      <w:r w:rsidRPr="008E12D9">
        <w:t>Solar Heat for Industrial Processes (SHIP)</w:t>
      </w:r>
      <w:r>
        <w:t xml:space="preserve">), </w:t>
      </w:r>
      <w:r w:rsidR="009A023A">
        <w:t xml:space="preserve">16-17 March 2015, </w:t>
      </w:r>
      <w:r>
        <w:t xml:space="preserve">Montpellier, France. As part of this working group, the author contributed part of the research described in this thesis </w:t>
      </w:r>
      <w:r w:rsidR="000E566A">
        <w:t>to</w:t>
      </w:r>
      <w:r>
        <w:t xml:space="preserve"> </w:t>
      </w:r>
      <w:r w:rsidRPr="00F52EC2">
        <w:rPr>
          <w:i/>
        </w:rPr>
        <w:t xml:space="preserve">Deliverable B5 </w:t>
      </w:r>
      <w:r w:rsidR="000E566A" w:rsidRPr="00F52EC2">
        <w:rPr>
          <w:i/>
        </w:rPr>
        <w:t xml:space="preserve">- </w:t>
      </w:r>
      <w:r w:rsidRPr="00F52EC2">
        <w:rPr>
          <w:i/>
        </w:rPr>
        <w:t>Potential Enhancement of Solar Process Heat by Emerging Technologies</w:t>
      </w:r>
      <w:r w:rsidR="001168ED">
        <w:t xml:space="preserve"> </w:t>
      </w:r>
      <w:r>
        <w:t xml:space="preserve">which </w:t>
      </w:r>
      <w:r w:rsidR="000E566A">
        <w:t xml:space="preserve">is </w:t>
      </w:r>
      <w:r>
        <w:t xml:space="preserve">available at: </w:t>
      </w:r>
      <w:hyperlink r:id="rId10" w:history="1">
        <w:r w:rsidRPr="00C5435F">
          <w:t>http://task49.iea-shc.org/publications</w:t>
        </w:r>
      </w:hyperlink>
      <w:r>
        <w:t>.</w:t>
      </w:r>
      <w:r w:rsidRPr="00D376AC">
        <w:rPr>
          <w:rFonts w:ascii="Arial" w:eastAsia="Times New Roman" w:hAnsi="Arial" w:cs="Arial"/>
          <w:b/>
          <w:bCs/>
          <w:color w:val="222222"/>
          <w:sz w:val="19"/>
          <w:szCs w:val="19"/>
        </w:rPr>
        <w:br/>
      </w:r>
    </w:p>
    <w:p w14:paraId="1A0F5C91" w14:textId="02EEAD27" w:rsidR="004438A9" w:rsidRDefault="004548F5" w:rsidP="00F52EC2">
      <w:pPr>
        <w:ind w:firstLine="0"/>
      </w:pPr>
      <w:r>
        <w:t>Also, Professor Russell Hand, presented part of this work at the 24</w:t>
      </w:r>
      <w:r w:rsidRPr="00F52EC2">
        <w:rPr>
          <w:vertAlign w:val="superscript"/>
        </w:rPr>
        <w:t>th</w:t>
      </w:r>
      <w:r>
        <w:t xml:space="preserve"> International Congress of Glass (ICG)</w:t>
      </w:r>
      <w:r w:rsidR="009A023A">
        <w:t>, 7-11 April 2016,</w:t>
      </w:r>
      <w:r>
        <w:t xml:space="preserve"> Shanghai, China</w:t>
      </w:r>
      <w:r w:rsidR="009A023A">
        <w:t>.</w:t>
      </w:r>
      <w:r>
        <w:t xml:space="preserve"> </w:t>
      </w:r>
    </w:p>
    <w:p w14:paraId="690C2624" w14:textId="77777777" w:rsidR="008741F4" w:rsidRDefault="008741F4" w:rsidP="00A47317">
      <w:pPr>
        <w:ind w:firstLine="0"/>
      </w:pPr>
    </w:p>
    <w:p w14:paraId="12200FC4" w14:textId="66408F70" w:rsidR="008741F4" w:rsidRDefault="008741F4" w:rsidP="00A47317">
      <w:pPr>
        <w:ind w:firstLine="0"/>
      </w:pPr>
      <w:r>
        <w:t xml:space="preserve">Part of the research described in this thesis will also be published in </w:t>
      </w:r>
      <w:r w:rsidRPr="008741F4">
        <w:t>Glass Technology: European Journal of Glass Science &amp; Technology A Vol 58 (2) April 2017</w:t>
      </w:r>
      <w:r>
        <w:t>.</w:t>
      </w:r>
    </w:p>
    <w:p w14:paraId="4D27AA98" w14:textId="0456D6AC" w:rsidR="004438A9" w:rsidRDefault="004438A9" w:rsidP="00BA3C65">
      <w:r>
        <w:br w:type="page"/>
      </w:r>
    </w:p>
    <w:p w14:paraId="2AF0019F" w14:textId="547AEDC1" w:rsidR="00821F16" w:rsidRDefault="00821F16" w:rsidP="00270BFB">
      <w:pPr>
        <w:spacing w:line="240" w:lineRule="auto"/>
        <w:ind w:firstLine="0"/>
        <w:jc w:val="left"/>
        <w:rPr>
          <w:rStyle w:val="Strong"/>
        </w:rPr>
      </w:pPr>
      <w:r w:rsidRPr="00EE74FC">
        <w:rPr>
          <w:rStyle w:val="Strong"/>
        </w:rPr>
        <w:lastRenderedPageBreak/>
        <w:t>Contents</w:t>
      </w:r>
    </w:p>
    <w:p w14:paraId="02C09F25" w14:textId="77777777" w:rsidR="00270BFB" w:rsidRPr="00EE74FC" w:rsidRDefault="00270BFB" w:rsidP="00821F16">
      <w:pPr>
        <w:spacing w:line="240" w:lineRule="auto"/>
        <w:ind w:firstLine="0"/>
        <w:jc w:val="center"/>
        <w:rPr>
          <w:rStyle w:val="Strong"/>
        </w:rPr>
      </w:pPr>
    </w:p>
    <w:p w14:paraId="7AB43960" w14:textId="77777777" w:rsidR="00F64CBC" w:rsidRDefault="004438A9">
      <w:pPr>
        <w:pStyle w:val="TOC1"/>
        <w:tabs>
          <w:tab w:val="left" w:pos="1760"/>
          <w:tab w:val="right" w:leader="dot" w:pos="8494"/>
        </w:tabs>
        <w:rPr>
          <w:rFonts w:asciiTheme="minorHAnsi" w:eastAsiaTheme="minorEastAsia" w:hAnsiTheme="minorHAnsi"/>
          <w:b w:val="0"/>
          <w:bCs w:val="0"/>
          <w:caps w:val="0"/>
          <w:noProof/>
          <w:sz w:val="22"/>
          <w:szCs w:val="22"/>
          <w:lang w:eastAsia="en-GB"/>
        </w:rPr>
      </w:pPr>
      <w:r>
        <w:fldChar w:fldCharType="begin"/>
      </w:r>
      <w:r w:rsidRPr="00EA6242">
        <w:instrText xml:space="preserve"> TOC \o "1-2" \u </w:instrText>
      </w:r>
      <w:r>
        <w:fldChar w:fldCharType="separate"/>
      </w:r>
      <w:r w:rsidR="00F64CBC">
        <w:rPr>
          <w:noProof/>
        </w:rPr>
        <w:t>Chapter 1.</w:t>
      </w:r>
      <w:r w:rsidR="00F64CBC">
        <w:rPr>
          <w:rFonts w:asciiTheme="minorHAnsi" w:eastAsiaTheme="minorEastAsia" w:hAnsiTheme="minorHAnsi"/>
          <w:b w:val="0"/>
          <w:bCs w:val="0"/>
          <w:caps w:val="0"/>
          <w:noProof/>
          <w:sz w:val="22"/>
          <w:szCs w:val="22"/>
          <w:lang w:eastAsia="en-GB"/>
        </w:rPr>
        <w:tab/>
      </w:r>
      <w:r w:rsidR="00F64CBC">
        <w:rPr>
          <w:noProof/>
        </w:rPr>
        <w:t>Introduction</w:t>
      </w:r>
      <w:r w:rsidR="00F64CBC">
        <w:rPr>
          <w:noProof/>
        </w:rPr>
        <w:tab/>
      </w:r>
      <w:r w:rsidR="00F64CBC">
        <w:rPr>
          <w:noProof/>
        </w:rPr>
        <w:fldChar w:fldCharType="begin"/>
      </w:r>
      <w:r w:rsidR="00F64CBC">
        <w:rPr>
          <w:noProof/>
        </w:rPr>
        <w:instrText xml:space="preserve"> PAGEREF _Toc473995140 \h </w:instrText>
      </w:r>
      <w:r w:rsidR="00F64CBC">
        <w:rPr>
          <w:noProof/>
        </w:rPr>
      </w:r>
      <w:r w:rsidR="00F64CBC">
        <w:rPr>
          <w:noProof/>
        </w:rPr>
        <w:fldChar w:fldCharType="separate"/>
      </w:r>
      <w:r w:rsidR="00F64CBC">
        <w:rPr>
          <w:noProof/>
        </w:rPr>
        <w:t>7</w:t>
      </w:r>
      <w:r w:rsidR="00F64CBC">
        <w:rPr>
          <w:noProof/>
        </w:rPr>
        <w:fldChar w:fldCharType="end"/>
      </w:r>
    </w:p>
    <w:p w14:paraId="6F0A1BF9"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1.1.</w:t>
      </w:r>
      <w:r>
        <w:rPr>
          <w:rFonts w:asciiTheme="minorHAnsi" w:eastAsiaTheme="minorEastAsia" w:hAnsiTheme="minorHAnsi"/>
          <w:smallCaps w:val="0"/>
          <w:noProof/>
          <w:sz w:val="22"/>
          <w:szCs w:val="22"/>
          <w:lang w:eastAsia="en-GB"/>
        </w:rPr>
        <w:tab/>
      </w:r>
      <w:r>
        <w:rPr>
          <w:noProof/>
        </w:rPr>
        <w:t>Solar-heated glass production</w:t>
      </w:r>
      <w:r>
        <w:rPr>
          <w:noProof/>
        </w:rPr>
        <w:tab/>
      </w:r>
      <w:r>
        <w:rPr>
          <w:noProof/>
        </w:rPr>
        <w:fldChar w:fldCharType="begin"/>
      </w:r>
      <w:r>
        <w:rPr>
          <w:noProof/>
        </w:rPr>
        <w:instrText xml:space="preserve"> PAGEREF _Toc473995141 \h </w:instrText>
      </w:r>
      <w:r>
        <w:rPr>
          <w:noProof/>
        </w:rPr>
      </w:r>
      <w:r>
        <w:rPr>
          <w:noProof/>
        </w:rPr>
        <w:fldChar w:fldCharType="separate"/>
      </w:r>
      <w:r>
        <w:rPr>
          <w:noProof/>
        </w:rPr>
        <w:t>7</w:t>
      </w:r>
      <w:r>
        <w:rPr>
          <w:noProof/>
        </w:rPr>
        <w:fldChar w:fldCharType="end"/>
      </w:r>
    </w:p>
    <w:p w14:paraId="71E00249"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1.2.</w:t>
      </w:r>
      <w:r>
        <w:rPr>
          <w:rFonts w:asciiTheme="minorHAnsi" w:eastAsiaTheme="minorEastAsia" w:hAnsiTheme="minorHAnsi"/>
          <w:smallCaps w:val="0"/>
          <w:noProof/>
          <w:sz w:val="22"/>
          <w:szCs w:val="22"/>
          <w:lang w:eastAsia="en-GB"/>
        </w:rPr>
        <w:tab/>
      </w:r>
      <w:r>
        <w:rPr>
          <w:noProof/>
        </w:rPr>
        <w:t>Scope of research</w:t>
      </w:r>
      <w:r>
        <w:rPr>
          <w:noProof/>
        </w:rPr>
        <w:tab/>
      </w:r>
      <w:r>
        <w:rPr>
          <w:noProof/>
        </w:rPr>
        <w:fldChar w:fldCharType="begin"/>
      </w:r>
      <w:r>
        <w:rPr>
          <w:noProof/>
        </w:rPr>
        <w:instrText xml:space="preserve"> PAGEREF _Toc473995142 \h </w:instrText>
      </w:r>
      <w:r>
        <w:rPr>
          <w:noProof/>
        </w:rPr>
      </w:r>
      <w:r>
        <w:rPr>
          <w:noProof/>
        </w:rPr>
        <w:fldChar w:fldCharType="separate"/>
      </w:r>
      <w:r>
        <w:rPr>
          <w:noProof/>
        </w:rPr>
        <w:t>8</w:t>
      </w:r>
      <w:r>
        <w:rPr>
          <w:noProof/>
        </w:rPr>
        <w:fldChar w:fldCharType="end"/>
      </w:r>
    </w:p>
    <w:p w14:paraId="39C49AD6"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1.3.</w:t>
      </w:r>
      <w:r>
        <w:rPr>
          <w:rFonts w:asciiTheme="minorHAnsi" w:eastAsiaTheme="minorEastAsia" w:hAnsiTheme="minorHAnsi"/>
          <w:smallCaps w:val="0"/>
          <w:noProof/>
          <w:sz w:val="22"/>
          <w:szCs w:val="22"/>
          <w:lang w:eastAsia="en-GB"/>
        </w:rPr>
        <w:tab/>
      </w:r>
      <w:r>
        <w:rPr>
          <w:noProof/>
        </w:rPr>
        <w:t>Thesis structure</w:t>
      </w:r>
      <w:r>
        <w:rPr>
          <w:noProof/>
        </w:rPr>
        <w:tab/>
      </w:r>
      <w:r>
        <w:rPr>
          <w:noProof/>
        </w:rPr>
        <w:fldChar w:fldCharType="begin"/>
      </w:r>
      <w:r>
        <w:rPr>
          <w:noProof/>
        </w:rPr>
        <w:instrText xml:space="preserve"> PAGEREF _Toc473995143 \h </w:instrText>
      </w:r>
      <w:r>
        <w:rPr>
          <w:noProof/>
        </w:rPr>
      </w:r>
      <w:r>
        <w:rPr>
          <w:noProof/>
        </w:rPr>
        <w:fldChar w:fldCharType="separate"/>
      </w:r>
      <w:r>
        <w:rPr>
          <w:noProof/>
        </w:rPr>
        <w:t>9</w:t>
      </w:r>
      <w:r>
        <w:rPr>
          <w:noProof/>
        </w:rPr>
        <w:fldChar w:fldCharType="end"/>
      </w:r>
    </w:p>
    <w:p w14:paraId="4674E85F" w14:textId="77777777" w:rsidR="00F64CBC" w:rsidRDefault="00F64CBC">
      <w:pPr>
        <w:pStyle w:val="TOC1"/>
        <w:tabs>
          <w:tab w:val="left" w:pos="1765"/>
          <w:tab w:val="right" w:leader="dot" w:pos="8494"/>
        </w:tabs>
        <w:rPr>
          <w:rFonts w:asciiTheme="minorHAnsi" w:eastAsiaTheme="minorEastAsia" w:hAnsiTheme="minorHAnsi"/>
          <w:b w:val="0"/>
          <w:bCs w:val="0"/>
          <w:caps w:val="0"/>
          <w:noProof/>
          <w:sz w:val="22"/>
          <w:szCs w:val="22"/>
          <w:lang w:eastAsia="en-GB"/>
        </w:rPr>
      </w:pPr>
      <w:r>
        <w:rPr>
          <w:noProof/>
        </w:rPr>
        <w:t>Chapter 2.</w:t>
      </w:r>
      <w:r>
        <w:rPr>
          <w:rFonts w:asciiTheme="minorHAnsi" w:eastAsiaTheme="minorEastAsia" w:hAnsiTheme="minorHAnsi"/>
          <w:b w:val="0"/>
          <w:bCs w:val="0"/>
          <w:caps w:val="0"/>
          <w:noProof/>
          <w:sz w:val="22"/>
          <w:szCs w:val="22"/>
          <w:lang w:eastAsia="en-GB"/>
        </w:rPr>
        <w:tab/>
      </w:r>
      <w:r>
        <w:rPr>
          <w:noProof/>
        </w:rPr>
        <w:t>Literature review: Concentrated solar thermal process heat and glass production</w:t>
      </w:r>
      <w:r>
        <w:rPr>
          <w:noProof/>
        </w:rPr>
        <w:tab/>
      </w:r>
      <w:r>
        <w:rPr>
          <w:noProof/>
        </w:rPr>
        <w:fldChar w:fldCharType="begin"/>
      </w:r>
      <w:r>
        <w:rPr>
          <w:noProof/>
        </w:rPr>
        <w:instrText xml:space="preserve"> PAGEREF _Toc473995144 \h </w:instrText>
      </w:r>
      <w:r>
        <w:rPr>
          <w:noProof/>
        </w:rPr>
      </w:r>
      <w:r>
        <w:rPr>
          <w:noProof/>
        </w:rPr>
        <w:fldChar w:fldCharType="separate"/>
      </w:r>
      <w:r>
        <w:rPr>
          <w:noProof/>
        </w:rPr>
        <w:t>10</w:t>
      </w:r>
      <w:r>
        <w:rPr>
          <w:noProof/>
        </w:rPr>
        <w:fldChar w:fldCharType="end"/>
      </w:r>
    </w:p>
    <w:p w14:paraId="0E035C2E"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_Toc473995145 \h </w:instrText>
      </w:r>
      <w:r>
        <w:rPr>
          <w:noProof/>
        </w:rPr>
      </w:r>
      <w:r>
        <w:rPr>
          <w:noProof/>
        </w:rPr>
        <w:fldChar w:fldCharType="separate"/>
      </w:r>
      <w:r>
        <w:rPr>
          <w:noProof/>
        </w:rPr>
        <w:t>10</w:t>
      </w:r>
      <w:r>
        <w:rPr>
          <w:noProof/>
        </w:rPr>
        <w:fldChar w:fldCharType="end"/>
      </w:r>
    </w:p>
    <w:p w14:paraId="31F4181E"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2.2.</w:t>
      </w:r>
      <w:r>
        <w:rPr>
          <w:rFonts w:asciiTheme="minorHAnsi" w:eastAsiaTheme="minorEastAsia" w:hAnsiTheme="minorHAnsi"/>
          <w:smallCaps w:val="0"/>
          <w:noProof/>
          <w:sz w:val="22"/>
          <w:szCs w:val="22"/>
          <w:lang w:eastAsia="en-GB"/>
        </w:rPr>
        <w:tab/>
      </w:r>
      <w:r>
        <w:rPr>
          <w:noProof/>
        </w:rPr>
        <w:t>Glass</w:t>
      </w:r>
      <w:r>
        <w:rPr>
          <w:noProof/>
        </w:rPr>
        <w:tab/>
      </w:r>
      <w:r>
        <w:rPr>
          <w:noProof/>
        </w:rPr>
        <w:fldChar w:fldCharType="begin"/>
      </w:r>
      <w:r>
        <w:rPr>
          <w:noProof/>
        </w:rPr>
        <w:instrText xml:space="preserve"> PAGEREF _Toc473995146 \h </w:instrText>
      </w:r>
      <w:r>
        <w:rPr>
          <w:noProof/>
        </w:rPr>
      </w:r>
      <w:r>
        <w:rPr>
          <w:noProof/>
        </w:rPr>
        <w:fldChar w:fldCharType="separate"/>
      </w:r>
      <w:r>
        <w:rPr>
          <w:noProof/>
        </w:rPr>
        <w:t>10</w:t>
      </w:r>
      <w:r>
        <w:rPr>
          <w:noProof/>
        </w:rPr>
        <w:fldChar w:fldCharType="end"/>
      </w:r>
    </w:p>
    <w:p w14:paraId="7C4E14B5"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2.3.</w:t>
      </w:r>
      <w:r>
        <w:rPr>
          <w:rFonts w:asciiTheme="minorHAnsi" w:eastAsiaTheme="minorEastAsia" w:hAnsiTheme="minorHAnsi"/>
          <w:smallCaps w:val="0"/>
          <w:noProof/>
          <w:sz w:val="22"/>
          <w:szCs w:val="22"/>
          <w:lang w:eastAsia="en-GB"/>
        </w:rPr>
        <w:tab/>
      </w:r>
      <w:r>
        <w:rPr>
          <w:noProof/>
        </w:rPr>
        <w:t>Solar concentration</w:t>
      </w:r>
      <w:r>
        <w:rPr>
          <w:noProof/>
        </w:rPr>
        <w:tab/>
      </w:r>
      <w:r>
        <w:rPr>
          <w:noProof/>
        </w:rPr>
        <w:fldChar w:fldCharType="begin"/>
      </w:r>
      <w:r>
        <w:rPr>
          <w:noProof/>
        </w:rPr>
        <w:instrText xml:space="preserve"> PAGEREF _Toc473995147 \h </w:instrText>
      </w:r>
      <w:r>
        <w:rPr>
          <w:noProof/>
        </w:rPr>
      </w:r>
      <w:r>
        <w:rPr>
          <w:noProof/>
        </w:rPr>
        <w:fldChar w:fldCharType="separate"/>
      </w:r>
      <w:r>
        <w:rPr>
          <w:noProof/>
        </w:rPr>
        <w:t>19</w:t>
      </w:r>
      <w:r>
        <w:rPr>
          <w:noProof/>
        </w:rPr>
        <w:fldChar w:fldCharType="end"/>
      </w:r>
    </w:p>
    <w:p w14:paraId="5A7D4D7A"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2.4.</w:t>
      </w:r>
      <w:r>
        <w:rPr>
          <w:rFonts w:asciiTheme="minorHAnsi" w:eastAsiaTheme="minorEastAsia" w:hAnsiTheme="minorHAnsi"/>
          <w:smallCaps w:val="0"/>
          <w:noProof/>
          <w:sz w:val="22"/>
          <w:szCs w:val="22"/>
          <w:lang w:eastAsia="en-GB"/>
        </w:rPr>
        <w:tab/>
      </w:r>
      <w:r>
        <w:rPr>
          <w:noProof/>
        </w:rPr>
        <w:t>The glass making processes</w:t>
      </w:r>
      <w:r>
        <w:rPr>
          <w:noProof/>
        </w:rPr>
        <w:tab/>
      </w:r>
      <w:r>
        <w:rPr>
          <w:noProof/>
        </w:rPr>
        <w:fldChar w:fldCharType="begin"/>
      </w:r>
      <w:r>
        <w:rPr>
          <w:noProof/>
        </w:rPr>
        <w:instrText xml:space="preserve"> PAGEREF _Toc473995148 \h </w:instrText>
      </w:r>
      <w:r>
        <w:rPr>
          <w:noProof/>
        </w:rPr>
      </w:r>
      <w:r>
        <w:rPr>
          <w:noProof/>
        </w:rPr>
        <w:fldChar w:fldCharType="separate"/>
      </w:r>
      <w:r>
        <w:rPr>
          <w:noProof/>
        </w:rPr>
        <w:t>26</w:t>
      </w:r>
      <w:r>
        <w:rPr>
          <w:noProof/>
        </w:rPr>
        <w:fldChar w:fldCharType="end"/>
      </w:r>
    </w:p>
    <w:p w14:paraId="1412268D"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2.5.</w:t>
      </w:r>
      <w:r>
        <w:rPr>
          <w:rFonts w:asciiTheme="minorHAnsi" w:eastAsiaTheme="minorEastAsia" w:hAnsiTheme="minorHAnsi"/>
          <w:smallCaps w:val="0"/>
          <w:noProof/>
          <w:sz w:val="22"/>
          <w:szCs w:val="22"/>
          <w:lang w:eastAsia="en-GB"/>
        </w:rPr>
        <w:tab/>
      </w:r>
      <w:r>
        <w:rPr>
          <w:noProof/>
        </w:rPr>
        <w:t>Experiments related to solar glass melting</w:t>
      </w:r>
      <w:r>
        <w:rPr>
          <w:noProof/>
        </w:rPr>
        <w:tab/>
      </w:r>
      <w:r>
        <w:rPr>
          <w:noProof/>
        </w:rPr>
        <w:fldChar w:fldCharType="begin"/>
      </w:r>
      <w:r>
        <w:rPr>
          <w:noProof/>
        </w:rPr>
        <w:instrText xml:space="preserve"> PAGEREF _Toc473995149 \h </w:instrText>
      </w:r>
      <w:r>
        <w:rPr>
          <w:noProof/>
        </w:rPr>
      </w:r>
      <w:r>
        <w:rPr>
          <w:noProof/>
        </w:rPr>
        <w:fldChar w:fldCharType="separate"/>
      </w:r>
      <w:r>
        <w:rPr>
          <w:noProof/>
        </w:rPr>
        <w:t>27</w:t>
      </w:r>
      <w:r>
        <w:rPr>
          <w:noProof/>
        </w:rPr>
        <w:fldChar w:fldCharType="end"/>
      </w:r>
    </w:p>
    <w:p w14:paraId="175DB1E9"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2.6.</w:t>
      </w:r>
      <w:r>
        <w:rPr>
          <w:rFonts w:asciiTheme="minorHAnsi" w:eastAsiaTheme="minorEastAsia" w:hAnsiTheme="minorHAnsi"/>
          <w:smallCaps w:val="0"/>
          <w:noProof/>
          <w:sz w:val="22"/>
          <w:szCs w:val="22"/>
          <w:lang w:eastAsia="en-GB"/>
        </w:rPr>
        <w:tab/>
      </w:r>
      <w:r>
        <w:rPr>
          <w:noProof/>
        </w:rPr>
        <w:t>Challenges for solar heated glass melting</w:t>
      </w:r>
      <w:r>
        <w:rPr>
          <w:noProof/>
        </w:rPr>
        <w:tab/>
      </w:r>
      <w:r>
        <w:rPr>
          <w:noProof/>
        </w:rPr>
        <w:fldChar w:fldCharType="begin"/>
      </w:r>
      <w:r>
        <w:rPr>
          <w:noProof/>
        </w:rPr>
        <w:instrText xml:space="preserve"> PAGEREF _Toc473995150 \h </w:instrText>
      </w:r>
      <w:r>
        <w:rPr>
          <w:noProof/>
        </w:rPr>
      </w:r>
      <w:r>
        <w:rPr>
          <w:noProof/>
        </w:rPr>
        <w:fldChar w:fldCharType="separate"/>
      </w:r>
      <w:r>
        <w:rPr>
          <w:noProof/>
        </w:rPr>
        <w:t>28</w:t>
      </w:r>
      <w:r>
        <w:rPr>
          <w:noProof/>
        </w:rPr>
        <w:fldChar w:fldCharType="end"/>
      </w:r>
    </w:p>
    <w:p w14:paraId="007F047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2.7.</w:t>
      </w:r>
      <w:r>
        <w:rPr>
          <w:rFonts w:asciiTheme="minorHAnsi" w:eastAsiaTheme="minorEastAsia" w:hAnsiTheme="minorHAnsi"/>
          <w:smallCaps w:val="0"/>
          <w:noProof/>
          <w:sz w:val="22"/>
          <w:szCs w:val="22"/>
          <w:lang w:eastAsia="en-GB"/>
        </w:rPr>
        <w:tab/>
      </w:r>
      <w:r>
        <w:rPr>
          <w:noProof/>
        </w:rPr>
        <w:t>Summary and conclusions</w:t>
      </w:r>
      <w:r>
        <w:rPr>
          <w:noProof/>
        </w:rPr>
        <w:tab/>
      </w:r>
      <w:r>
        <w:rPr>
          <w:noProof/>
        </w:rPr>
        <w:fldChar w:fldCharType="begin"/>
      </w:r>
      <w:r>
        <w:rPr>
          <w:noProof/>
        </w:rPr>
        <w:instrText xml:space="preserve"> PAGEREF _Toc473995151 \h </w:instrText>
      </w:r>
      <w:r>
        <w:rPr>
          <w:noProof/>
        </w:rPr>
      </w:r>
      <w:r>
        <w:rPr>
          <w:noProof/>
        </w:rPr>
        <w:fldChar w:fldCharType="separate"/>
      </w:r>
      <w:r>
        <w:rPr>
          <w:noProof/>
        </w:rPr>
        <w:t>29</w:t>
      </w:r>
      <w:r>
        <w:rPr>
          <w:noProof/>
        </w:rPr>
        <w:fldChar w:fldCharType="end"/>
      </w:r>
    </w:p>
    <w:p w14:paraId="23DA6A39" w14:textId="77777777" w:rsidR="00F64CBC" w:rsidRDefault="00F64CBC">
      <w:pPr>
        <w:pStyle w:val="TOC1"/>
        <w:tabs>
          <w:tab w:val="left" w:pos="1760"/>
          <w:tab w:val="right" w:leader="dot" w:pos="8494"/>
        </w:tabs>
        <w:rPr>
          <w:rFonts w:asciiTheme="minorHAnsi" w:eastAsiaTheme="minorEastAsia" w:hAnsiTheme="minorHAnsi"/>
          <w:b w:val="0"/>
          <w:bCs w:val="0"/>
          <w:caps w:val="0"/>
          <w:noProof/>
          <w:sz w:val="22"/>
          <w:szCs w:val="22"/>
          <w:lang w:eastAsia="en-GB"/>
        </w:rPr>
      </w:pPr>
      <w:r>
        <w:rPr>
          <w:noProof/>
        </w:rPr>
        <w:t>Chapter 3.</w:t>
      </w:r>
      <w:r>
        <w:rPr>
          <w:rFonts w:asciiTheme="minorHAnsi" w:eastAsiaTheme="minorEastAsia" w:hAnsiTheme="minorHAnsi"/>
          <w:b w:val="0"/>
          <w:bCs w:val="0"/>
          <w:caps w:val="0"/>
          <w:noProof/>
          <w:sz w:val="22"/>
          <w:szCs w:val="22"/>
          <w:lang w:eastAsia="en-GB"/>
        </w:rPr>
        <w:tab/>
      </w:r>
      <w:r>
        <w:rPr>
          <w:noProof/>
        </w:rPr>
        <w:t>Proof of concept experiments</w:t>
      </w:r>
      <w:r>
        <w:rPr>
          <w:noProof/>
        </w:rPr>
        <w:tab/>
      </w:r>
      <w:r>
        <w:rPr>
          <w:noProof/>
        </w:rPr>
        <w:fldChar w:fldCharType="begin"/>
      </w:r>
      <w:r>
        <w:rPr>
          <w:noProof/>
        </w:rPr>
        <w:instrText xml:space="preserve"> PAGEREF _Toc473995152 \h </w:instrText>
      </w:r>
      <w:r>
        <w:rPr>
          <w:noProof/>
        </w:rPr>
      </w:r>
      <w:r>
        <w:rPr>
          <w:noProof/>
        </w:rPr>
        <w:fldChar w:fldCharType="separate"/>
      </w:r>
      <w:r>
        <w:rPr>
          <w:noProof/>
        </w:rPr>
        <w:t>32</w:t>
      </w:r>
      <w:r>
        <w:rPr>
          <w:noProof/>
        </w:rPr>
        <w:fldChar w:fldCharType="end"/>
      </w:r>
    </w:p>
    <w:p w14:paraId="0D29DA4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_Toc473995153 \h </w:instrText>
      </w:r>
      <w:r>
        <w:rPr>
          <w:noProof/>
        </w:rPr>
      </w:r>
      <w:r>
        <w:rPr>
          <w:noProof/>
        </w:rPr>
        <w:fldChar w:fldCharType="separate"/>
      </w:r>
      <w:r>
        <w:rPr>
          <w:noProof/>
        </w:rPr>
        <w:t>32</w:t>
      </w:r>
      <w:r>
        <w:rPr>
          <w:noProof/>
        </w:rPr>
        <w:fldChar w:fldCharType="end"/>
      </w:r>
    </w:p>
    <w:p w14:paraId="19A6FB3F"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3.2.</w:t>
      </w:r>
      <w:r>
        <w:rPr>
          <w:rFonts w:asciiTheme="minorHAnsi" w:eastAsiaTheme="minorEastAsia" w:hAnsiTheme="minorHAnsi"/>
          <w:smallCaps w:val="0"/>
          <w:noProof/>
          <w:sz w:val="22"/>
          <w:szCs w:val="22"/>
          <w:lang w:eastAsia="en-GB"/>
        </w:rPr>
        <w:tab/>
      </w:r>
      <w:r>
        <w:rPr>
          <w:noProof/>
        </w:rPr>
        <w:t>Preliminary experiment</w:t>
      </w:r>
      <w:r>
        <w:rPr>
          <w:noProof/>
        </w:rPr>
        <w:tab/>
      </w:r>
      <w:r>
        <w:rPr>
          <w:noProof/>
        </w:rPr>
        <w:fldChar w:fldCharType="begin"/>
      </w:r>
      <w:r>
        <w:rPr>
          <w:noProof/>
        </w:rPr>
        <w:instrText xml:space="preserve"> PAGEREF _Toc473995154 \h </w:instrText>
      </w:r>
      <w:r>
        <w:rPr>
          <w:noProof/>
        </w:rPr>
      </w:r>
      <w:r>
        <w:rPr>
          <w:noProof/>
        </w:rPr>
        <w:fldChar w:fldCharType="separate"/>
      </w:r>
      <w:r>
        <w:rPr>
          <w:noProof/>
        </w:rPr>
        <w:t>33</w:t>
      </w:r>
      <w:r>
        <w:rPr>
          <w:noProof/>
        </w:rPr>
        <w:fldChar w:fldCharType="end"/>
      </w:r>
    </w:p>
    <w:p w14:paraId="360152E0"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3.3.</w:t>
      </w:r>
      <w:r>
        <w:rPr>
          <w:rFonts w:asciiTheme="minorHAnsi" w:eastAsiaTheme="minorEastAsia" w:hAnsiTheme="minorHAnsi"/>
          <w:smallCaps w:val="0"/>
          <w:noProof/>
          <w:sz w:val="22"/>
          <w:szCs w:val="22"/>
          <w:lang w:eastAsia="en-GB"/>
        </w:rPr>
        <w:tab/>
      </w:r>
      <w:r>
        <w:rPr>
          <w:noProof/>
        </w:rPr>
        <w:t>Static melting experiments</w:t>
      </w:r>
      <w:r>
        <w:rPr>
          <w:noProof/>
        </w:rPr>
        <w:tab/>
      </w:r>
      <w:r>
        <w:rPr>
          <w:noProof/>
        </w:rPr>
        <w:fldChar w:fldCharType="begin"/>
      </w:r>
      <w:r>
        <w:rPr>
          <w:noProof/>
        </w:rPr>
        <w:instrText xml:space="preserve"> PAGEREF _Toc473995155 \h </w:instrText>
      </w:r>
      <w:r>
        <w:rPr>
          <w:noProof/>
        </w:rPr>
      </w:r>
      <w:r>
        <w:rPr>
          <w:noProof/>
        </w:rPr>
        <w:fldChar w:fldCharType="separate"/>
      </w:r>
      <w:r>
        <w:rPr>
          <w:noProof/>
        </w:rPr>
        <w:t>33</w:t>
      </w:r>
      <w:r>
        <w:rPr>
          <w:noProof/>
        </w:rPr>
        <w:fldChar w:fldCharType="end"/>
      </w:r>
    </w:p>
    <w:p w14:paraId="6BD5394C"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3.4.</w:t>
      </w:r>
      <w:r>
        <w:rPr>
          <w:rFonts w:asciiTheme="minorHAnsi" w:eastAsiaTheme="minorEastAsia" w:hAnsiTheme="minorHAnsi"/>
          <w:smallCaps w:val="0"/>
          <w:noProof/>
          <w:sz w:val="22"/>
          <w:szCs w:val="22"/>
          <w:lang w:eastAsia="en-GB"/>
        </w:rPr>
        <w:tab/>
      </w:r>
      <w:r>
        <w:rPr>
          <w:noProof/>
        </w:rPr>
        <w:t>In-flight melting experiments</w:t>
      </w:r>
      <w:r>
        <w:rPr>
          <w:noProof/>
        </w:rPr>
        <w:tab/>
      </w:r>
      <w:r>
        <w:rPr>
          <w:noProof/>
        </w:rPr>
        <w:fldChar w:fldCharType="begin"/>
      </w:r>
      <w:r>
        <w:rPr>
          <w:noProof/>
        </w:rPr>
        <w:instrText xml:space="preserve"> PAGEREF _Toc473995156 \h </w:instrText>
      </w:r>
      <w:r>
        <w:rPr>
          <w:noProof/>
        </w:rPr>
      </w:r>
      <w:r>
        <w:rPr>
          <w:noProof/>
        </w:rPr>
        <w:fldChar w:fldCharType="separate"/>
      </w:r>
      <w:r>
        <w:rPr>
          <w:noProof/>
        </w:rPr>
        <w:t>49</w:t>
      </w:r>
      <w:r>
        <w:rPr>
          <w:noProof/>
        </w:rPr>
        <w:fldChar w:fldCharType="end"/>
      </w:r>
    </w:p>
    <w:p w14:paraId="6E03F990"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3.5.</w:t>
      </w:r>
      <w:r>
        <w:rPr>
          <w:rFonts w:asciiTheme="minorHAnsi" w:eastAsiaTheme="minorEastAsia" w:hAnsiTheme="minorHAnsi"/>
          <w:smallCaps w:val="0"/>
          <w:noProof/>
          <w:sz w:val="22"/>
          <w:szCs w:val="22"/>
          <w:lang w:eastAsia="en-GB"/>
        </w:rPr>
        <w:tab/>
      </w:r>
      <w:r>
        <w:rPr>
          <w:noProof/>
        </w:rPr>
        <w:t>Discussion</w:t>
      </w:r>
      <w:r>
        <w:rPr>
          <w:noProof/>
        </w:rPr>
        <w:tab/>
      </w:r>
      <w:r>
        <w:rPr>
          <w:noProof/>
        </w:rPr>
        <w:fldChar w:fldCharType="begin"/>
      </w:r>
      <w:r>
        <w:rPr>
          <w:noProof/>
        </w:rPr>
        <w:instrText xml:space="preserve"> PAGEREF _Toc473995157 \h </w:instrText>
      </w:r>
      <w:r>
        <w:rPr>
          <w:noProof/>
        </w:rPr>
      </w:r>
      <w:r>
        <w:rPr>
          <w:noProof/>
        </w:rPr>
        <w:fldChar w:fldCharType="separate"/>
      </w:r>
      <w:r>
        <w:rPr>
          <w:noProof/>
        </w:rPr>
        <w:t>51</w:t>
      </w:r>
      <w:r>
        <w:rPr>
          <w:noProof/>
        </w:rPr>
        <w:fldChar w:fldCharType="end"/>
      </w:r>
    </w:p>
    <w:p w14:paraId="298A0B51"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3.6.</w:t>
      </w:r>
      <w:r>
        <w:rPr>
          <w:rFonts w:asciiTheme="minorHAnsi" w:eastAsiaTheme="minorEastAsia" w:hAnsiTheme="minorHAnsi"/>
          <w:smallCaps w:val="0"/>
          <w:noProof/>
          <w:sz w:val="22"/>
          <w:szCs w:val="22"/>
          <w:lang w:eastAsia="en-GB"/>
        </w:rPr>
        <w:tab/>
      </w:r>
      <w:r>
        <w:rPr>
          <w:noProof/>
        </w:rPr>
        <w:t>Conclusions</w:t>
      </w:r>
      <w:r>
        <w:rPr>
          <w:noProof/>
        </w:rPr>
        <w:tab/>
      </w:r>
      <w:r>
        <w:rPr>
          <w:noProof/>
        </w:rPr>
        <w:fldChar w:fldCharType="begin"/>
      </w:r>
      <w:r>
        <w:rPr>
          <w:noProof/>
        </w:rPr>
        <w:instrText xml:space="preserve"> PAGEREF _Toc473995158 \h </w:instrText>
      </w:r>
      <w:r>
        <w:rPr>
          <w:noProof/>
        </w:rPr>
      </w:r>
      <w:r>
        <w:rPr>
          <w:noProof/>
        </w:rPr>
        <w:fldChar w:fldCharType="separate"/>
      </w:r>
      <w:r>
        <w:rPr>
          <w:noProof/>
        </w:rPr>
        <w:t>56</w:t>
      </w:r>
      <w:r>
        <w:rPr>
          <w:noProof/>
        </w:rPr>
        <w:fldChar w:fldCharType="end"/>
      </w:r>
    </w:p>
    <w:p w14:paraId="2FE0DB99" w14:textId="77777777" w:rsidR="00F64CBC" w:rsidRDefault="00F64CBC">
      <w:pPr>
        <w:pStyle w:val="TOC1"/>
        <w:tabs>
          <w:tab w:val="left" w:pos="1760"/>
          <w:tab w:val="right" w:leader="dot" w:pos="8494"/>
        </w:tabs>
        <w:rPr>
          <w:rFonts w:asciiTheme="minorHAnsi" w:eastAsiaTheme="minorEastAsia" w:hAnsiTheme="minorHAnsi"/>
          <w:b w:val="0"/>
          <w:bCs w:val="0"/>
          <w:caps w:val="0"/>
          <w:noProof/>
          <w:sz w:val="22"/>
          <w:szCs w:val="22"/>
          <w:lang w:eastAsia="en-GB"/>
        </w:rPr>
      </w:pPr>
      <w:r>
        <w:rPr>
          <w:noProof/>
        </w:rPr>
        <w:t>Chapter 4.</w:t>
      </w:r>
      <w:r>
        <w:rPr>
          <w:rFonts w:asciiTheme="minorHAnsi" w:eastAsiaTheme="minorEastAsia" w:hAnsiTheme="minorHAnsi"/>
          <w:b w:val="0"/>
          <w:bCs w:val="0"/>
          <w:caps w:val="0"/>
          <w:noProof/>
          <w:sz w:val="22"/>
          <w:szCs w:val="22"/>
          <w:lang w:eastAsia="en-GB"/>
        </w:rPr>
        <w:tab/>
      </w:r>
      <w:r>
        <w:rPr>
          <w:noProof/>
        </w:rPr>
        <w:t>Glass melt flow experiments</w:t>
      </w:r>
      <w:r>
        <w:rPr>
          <w:noProof/>
        </w:rPr>
        <w:tab/>
      </w:r>
      <w:r>
        <w:rPr>
          <w:noProof/>
        </w:rPr>
        <w:fldChar w:fldCharType="begin"/>
      </w:r>
      <w:r>
        <w:rPr>
          <w:noProof/>
        </w:rPr>
        <w:instrText xml:space="preserve"> PAGEREF _Toc473995159 \h </w:instrText>
      </w:r>
      <w:r>
        <w:rPr>
          <w:noProof/>
        </w:rPr>
      </w:r>
      <w:r>
        <w:rPr>
          <w:noProof/>
        </w:rPr>
        <w:fldChar w:fldCharType="separate"/>
      </w:r>
      <w:r>
        <w:rPr>
          <w:noProof/>
        </w:rPr>
        <w:t>58</w:t>
      </w:r>
      <w:r>
        <w:rPr>
          <w:noProof/>
        </w:rPr>
        <w:fldChar w:fldCharType="end"/>
      </w:r>
    </w:p>
    <w:p w14:paraId="605546C2"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_Toc473995160 \h </w:instrText>
      </w:r>
      <w:r>
        <w:rPr>
          <w:noProof/>
        </w:rPr>
      </w:r>
      <w:r>
        <w:rPr>
          <w:noProof/>
        </w:rPr>
        <w:fldChar w:fldCharType="separate"/>
      </w:r>
      <w:r>
        <w:rPr>
          <w:noProof/>
        </w:rPr>
        <w:t>58</w:t>
      </w:r>
      <w:r>
        <w:rPr>
          <w:noProof/>
        </w:rPr>
        <w:fldChar w:fldCharType="end"/>
      </w:r>
    </w:p>
    <w:p w14:paraId="428879EF"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4.2.</w:t>
      </w:r>
      <w:r>
        <w:rPr>
          <w:rFonts w:asciiTheme="minorHAnsi" w:eastAsiaTheme="minorEastAsia" w:hAnsiTheme="minorHAnsi"/>
          <w:smallCaps w:val="0"/>
          <w:noProof/>
          <w:sz w:val="22"/>
          <w:szCs w:val="22"/>
          <w:lang w:eastAsia="en-GB"/>
        </w:rPr>
        <w:tab/>
      </w:r>
      <w:r>
        <w:rPr>
          <w:noProof/>
        </w:rPr>
        <w:t>Setup</w:t>
      </w:r>
      <w:r>
        <w:rPr>
          <w:noProof/>
        </w:rPr>
        <w:tab/>
      </w:r>
      <w:r>
        <w:rPr>
          <w:noProof/>
        </w:rPr>
        <w:fldChar w:fldCharType="begin"/>
      </w:r>
      <w:r>
        <w:rPr>
          <w:noProof/>
        </w:rPr>
        <w:instrText xml:space="preserve"> PAGEREF _Toc473995161 \h </w:instrText>
      </w:r>
      <w:r>
        <w:rPr>
          <w:noProof/>
        </w:rPr>
      </w:r>
      <w:r>
        <w:rPr>
          <w:noProof/>
        </w:rPr>
        <w:fldChar w:fldCharType="separate"/>
      </w:r>
      <w:r>
        <w:rPr>
          <w:noProof/>
        </w:rPr>
        <w:t>58</w:t>
      </w:r>
      <w:r>
        <w:rPr>
          <w:noProof/>
        </w:rPr>
        <w:fldChar w:fldCharType="end"/>
      </w:r>
    </w:p>
    <w:p w14:paraId="08BAB087"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4.3.</w:t>
      </w:r>
      <w:r>
        <w:rPr>
          <w:rFonts w:asciiTheme="minorHAnsi" w:eastAsiaTheme="minorEastAsia" w:hAnsiTheme="minorHAnsi"/>
          <w:smallCaps w:val="0"/>
          <w:noProof/>
          <w:sz w:val="22"/>
          <w:szCs w:val="22"/>
          <w:lang w:eastAsia="en-GB"/>
        </w:rPr>
        <w:tab/>
      </w:r>
      <w:r>
        <w:rPr>
          <w:noProof/>
        </w:rPr>
        <w:t>Experiments (B1-6)</w:t>
      </w:r>
      <w:r>
        <w:rPr>
          <w:noProof/>
        </w:rPr>
        <w:tab/>
      </w:r>
      <w:r>
        <w:rPr>
          <w:noProof/>
        </w:rPr>
        <w:fldChar w:fldCharType="begin"/>
      </w:r>
      <w:r>
        <w:rPr>
          <w:noProof/>
        </w:rPr>
        <w:instrText xml:space="preserve"> PAGEREF _Toc473995162 \h </w:instrText>
      </w:r>
      <w:r>
        <w:rPr>
          <w:noProof/>
        </w:rPr>
      </w:r>
      <w:r>
        <w:rPr>
          <w:noProof/>
        </w:rPr>
        <w:fldChar w:fldCharType="separate"/>
      </w:r>
      <w:r>
        <w:rPr>
          <w:noProof/>
        </w:rPr>
        <w:t>63</w:t>
      </w:r>
      <w:r>
        <w:rPr>
          <w:noProof/>
        </w:rPr>
        <w:fldChar w:fldCharType="end"/>
      </w:r>
    </w:p>
    <w:p w14:paraId="7D12D154"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4.4.</w:t>
      </w:r>
      <w:r>
        <w:rPr>
          <w:rFonts w:asciiTheme="minorHAnsi" w:eastAsiaTheme="minorEastAsia" w:hAnsiTheme="minorHAnsi"/>
          <w:smallCaps w:val="0"/>
          <w:noProof/>
          <w:sz w:val="22"/>
          <w:szCs w:val="22"/>
          <w:lang w:eastAsia="en-GB"/>
        </w:rPr>
        <w:tab/>
      </w:r>
      <w:r>
        <w:rPr>
          <w:noProof/>
        </w:rPr>
        <w:t>Analysis</w:t>
      </w:r>
      <w:r>
        <w:rPr>
          <w:noProof/>
        </w:rPr>
        <w:tab/>
      </w:r>
      <w:r>
        <w:rPr>
          <w:noProof/>
        </w:rPr>
        <w:fldChar w:fldCharType="begin"/>
      </w:r>
      <w:r>
        <w:rPr>
          <w:noProof/>
        </w:rPr>
        <w:instrText xml:space="preserve"> PAGEREF _Toc473995163 \h </w:instrText>
      </w:r>
      <w:r>
        <w:rPr>
          <w:noProof/>
        </w:rPr>
      </w:r>
      <w:r>
        <w:rPr>
          <w:noProof/>
        </w:rPr>
        <w:fldChar w:fldCharType="separate"/>
      </w:r>
      <w:r>
        <w:rPr>
          <w:noProof/>
        </w:rPr>
        <w:t>73</w:t>
      </w:r>
      <w:r>
        <w:rPr>
          <w:noProof/>
        </w:rPr>
        <w:fldChar w:fldCharType="end"/>
      </w:r>
    </w:p>
    <w:p w14:paraId="55F57CC0"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4.5.</w:t>
      </w:r>
      <w:r>
        <w:rPr>
          <w:rFonts w:asciiTheme="minorHAnsi" w:eastAsiaTheme="minorEastAsia" w:hAnsiTheme="minorHAnsi"/>
          <w:smallCaps w:val="0"/>
          <w:noProof/>
          <w:sz w:val="22"/>
          <w:szCs w:val="22"/>
          <w:lang w:eastAsia="en-GB"/>
        </w:rPr>
        <w:tab/>
      </w:r>
      <w:r>
        <w:rPr>
          <w:noProof/>
        </w:rPr>
        <w:t>Discussion</w:t>
      </w:r>
      <w:r>
        <w:rPr>
          <w:noProof/>
        </w:rPr>
        <w:tab/>
      </w:r>
      <w:r>
        <w:rPr>
          <w:noProof/>
        </w:rPr>
        <w:fldChar w:fldCharType="begin"/>
      </w:r>
      <w:r>
        <w:rPr>
          <w:noProof/>
        </w:rPr>
        <w:instrText xml:space="preserve"> PAGEREF _Toc473995164 \h </w:instrText>
      </w:r>
      <w:r>
        <w:rPr>
          <w:noProof/>
        </w:rPr>
      </w:r>
      <w:r>
        <w:rPr>
          <w:noProof/>
        </w:rPr>
        <w:fldChar w:fldCharType="separate"/>
      </w:r>
      <w:r>
        <w:rPr>
          <w:noProof/>
        </w:rPr>
        <w:t>74</w:t>
      </w:r>
      <w:r>
        <w:rPr>
          <w:noProof/>
        </w:rPr>
        <w:fldChar w:fldCharType="end"/>
      </w:r>
    </w:p>
    <w:p w14:paraId="45BFA7B1"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4.6.</w:t>
      </w:r>
      <w:r>
        <w:rPr>
          <w:rFonts w:asciiTheme="minorHAnsi" w:eastAsiaTheme="minorEastAsia" w:hAnsiTheme="minorHAnsi"/>
          <w:smallCaps w:val="0"/>
          <w:noProof/>
          <w:sz w:val="22"/>
          <w:szCs w:val="22"/>
          <w:lang w:eastAsia="en-GB"/>
        </w:rPr>
        <w:tab/>
      </w:r>
      <w:r>
        <w:rPr>
          <w:noProof/>
        </w:rPr>
        <w:t>Conclusions and summary</w:t>
      </w:r>
      <w:r>
        <w:rPr>
          <w:noProof/>
        </w:rPr>
        <w:tab/>
      </w:r>
      <w:r>
        <w:rPr>
          <w:noProof/>
        </w:rPr>
        <w:fldChar w:fldCharType="begin"/>
      </w:r>
      <w:r>
        <w:rPr>
          <w:noProof/>
        </w:rPr>
        <w:instrText xml:space="preserve"> PAGEREF _Toc473995165 \h </w:instrText>
      </w:r>
      <w:r>
        <w:rPr>
          <w:noProof/>
        </w:rPr>
      </w:r>
      <w:r>
        <w:rPr>
          <w:noProof/>
        </w:rPr>
        <w:fldChar w:fldCharType="separate"/>
      </w:r>
      <w:r>
        <w:rPr>
          <w:noProof/>
        </w:rPr>
        <w:t>80</w:t>
      </w:r>
      <w:r>
        <w:rPr>
          <w:noProof/>
        </w:rPr>
        <w:fldChar w:fldCharType="end"/>
      </w:r>
    </w:p>
    <w:p w14:paraId="64911840" w14:textId="77777777" w:rsidR="00F64CBC" w:rsidRDefault="00F64CBC">
      <w:pPr>
        <w:pStyle w:val="TOC1"/>
        <w:tabs>
          <w:tab w:val="left" w:pos="1760"/>
          <w:tab w:val="right" w:leader="dot" w:pos="8494"/>
        </w:tabs>
        <w:rPr>
          <w:rFonts w:asciiTheme="minorHAnsi" w:eastAsiaTheme="minorEastAsia" w:hAnsiTheme="minorHAnsi"/>
          <w:b w:val="0"/>
          <w:bCs w:val="0"/>
          <w:caps w:val="0"/>
          <w:noProof/>
          <w:sz w:val="22"/>
          <w:szCs w:val="22"/>
          <w:lang w:eastAsia="en-GB"/>
        </w:rPr>
      </w:pPr>
      <w:r>
        <w:rPr>
          <w:noProof/>
        </w:rPr>
        <w:t>Chapter 5.</w:t>
      </w:r>
      <w:r>
        <w:rPr>
          <w:rFonts w:asciiTheme="minorHAnsi" w:eastAsiaTheme="minorEastAsia" w:hAnsiTheme="minorHAnsi"/>
          <w:b w:val="0"/>
          <w:bCs w:val="0"/>
          <w:caps w:val="0"/>
          <w:noProof/>
          <w:sz w:val="22"/>
          <w:szCs w:val="22"/>
          <w:lang w:eastAsia="en-GB"/>
        </w:rPr>
        <w:tab/>
      </w:r>
      <w:r>
        <w:rPr>
          <w:noProof/>
        </w:rPr>
        <w:t>Scale-up experiments</w:t>
      </w:r>
      <w:r>
        <w:rPr>
          <w:noProof/>
        </w:rPr>
        <w:tab/>
      </w:r>
      <w:r>
        <w:rPr>
          <w:noProof/>
        </w:rPr>
        <w:fldChar w:fldCharType="begin"/>
      </w:r>
      <w:r>
        <w:rPr>
          <w:noProof/>
        </w:rPr>
        <w:instrText xml:space="preserve"> PAGEREF _Toc473995166 \h </w:instrText>
      </w:r>
      <w:r>
        <w:rPr>
          <w:noProof/>
        </w:rPr>
      </w:r>
      <w:r>
        <w:rPr>
          <w:noProof/>
        </w:rPr>
        <w:fldChar w:fldCharType="separate"/>
      </w:r>
      <w:r>
        <w:rPr>
          <w:noProof/>
        </w:rPr>
        <w:t>83</w:t>
      </w:r>
      <w:r>
        <w:rPr>
          <w:noProof/>
        </w:rPr>
        <w:fldChar w:fldCharType="end"/>
      </w:r>
    </w:p>
    <w:p w14:paraId="2D5C3F1F"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_Toc473995167 \h </w:instrText>
      </w:r>
      <w:r>
        <w:rPr>
          <w:noProof/>
        </w:rPr>
      </w:r>
      <w:r>
        <w:rPr>
          <w:noProof/>
        </w:rPr>
        <w:fldChar w:fldCharType="separate"/>
      </w:r>
      <w:r>
        <w:rPr>
          <w:noProof/>
        </w:rPr>
        <w:t>83</w:t>
      </w:r>
      <w:r>
        <w:rPr>
          <w:noProof/>
        </w:rPr>
        <w:fldChar w:fldCharType="end"/>
      </w:r>
    </w:p>
    <w:p w14:paraId="46EE4301"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5.2.</w:t>
      </w:r>
      <w:r>
        <w:rPr>
          <w:rFonts w:asciiTheme="minorHAnsi" w:eastAsiaTheme="minorEastAsia" w:hAnsiTheme="minorHAnsi"/>
          <w:smallCaps w:val="0"/>
          <w:noProof/>
          <w:sz w:val="22"/>
          <w:szCs w:val="22"/>
          <w:lang w:eastAsia="en-GB"/>
        </w:rPr>
        <w:tab/>
      </w:r>
      <w:r>
        <w:rPr>
          <w:noProof/>
        </w:rPr>
        <w:t>Initial design</w:t>
      </w:r>
      <w:r>
        <w:rPr>
          <w:noProof/>
        </w:rPr>
        <w:tab/>
      </w:r>
      <w:r>
        <w:rPr>
          <w:noProof/>
        </w:rPr>
        <w:fldChar w:fldCharType="begin"/>
      </w:r>
      <w:r>
        <w:rPr>
          <w:noProof/>
        </w:rPr>
        <w:instrText xml:space="preserve"> PAGEREF _Toc473995168 \h </w:instrText>
      </w:r>
      <w:r>
        <w:rPr>
          <w:noProof/>
        </w:rPr>
      </w:r>
      <w:r>
        <w:rPr>
          <w:noProof/>
        </w:rPr>
        <w:fldChar w:fldCharType="separate"/>
      </w:r>
      <w:r>
        <w:rPr>
          <w:noProof/>
        </w:rPr>
        <w:t>83</w:t>
      </w:r>
      <w:r>
        <w:rPr>
          <w:noProof/>
        </w:rPr>
        <w:fldChar w:fldCharType="end"/>
      </w:r>
    </w:p>
    <w:p w14:paraId="3D8D66CA"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5.3.</w:t>
      </w:r>
      <w:r>
        <w:rPr>
          <w:rFonts w:asciiTheme="minorHAnsi" w:eastAsiaTheme="minorEastAsia" w:hAnsiTheme="minorHAnsi"/>
          <w:smallCaps w:val="0"/>
          <w:noProof/>
          <w:sz w:val="22"/>
          <w:szCs w:val="22"/>
          <w:lang w:eastAsia="en-GB"/>
        </w:rPr>
        <w:tab/>
      </w:r>
      <w:r>
        <w:rPr>
          <w:noProof/>
        </w:rPr>
        <w:t>Preliminary experiments (C1-3)</w:t>
      </w:r>
      <w:r>
        <w:rPr>
          <w:noProof/>
        </w:rPr>
        <w:tab/>
      </w:r>
      <w:r>
        <w:rPr>
          <w:noProof/>
        </w:rPr>
        <w:fldChar w:fldCharType="begin"/>
      </w:r>
      <w:r>
        <w:rPr>
          <w:noProof/>
        </w:rPr>
        <w:instrText xml:space="preserve"> PAGEREF _Toc473995169 \h </w:instrText>
      </w:r>
      <w:r>
        <w:rPr>
          <w:noProof/>
        </w:rPr>
      </w:r>
      <w:r>
        <w:rPr>
          <w:noProof/>
        </w:rPr>
        <w:fldChar w:fldCharType="separate"/>
      </w:r>
      <w:r>
        <w:rPr>
          <w:noProof/>
        </w:rPr>
        <w:t>97</w:t>
      </w:r>
      <w:r>
        <w:rPr>
          <w:noProof/>
        </w:rPr>
        <w:fldChar w:fldCharType="end"/>
      </w:r>
    </w:p>
    <w:p w14:paraId="74AD1CA9"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5.4.</w:t>
      </w:r>
      <w:r>
        <w:rPr>
          <w:rFonts w:asciiTheme="minorHAnsi" w:eastAsiaTheme="minorEastAsia" w:hAnsiTheme="minorHAnsi"/>
          <w:smallCaps w:val="0"/>
          <w:noProof/>
          <w:sz w:val="22"/>
          <w:szCs w:val="22"/>
          <w:lang w:eastAsia="en-GB"/>
        </w:rPr>
        <w:tab/>
      </w:r>
      <w:r>
        <w:rPr>
          <w:noProof/>
        </w:rPr>
        <w:t>Improvements</w:t>
      </w:r>
      <w:r>
        <w:rPr>
          <w:noProof/>
        </w:rPr>
        <w:tab/>
      </w:r>
      <w:r>
        <w:rPr>
          <w:noProof/>
        </w:rPr>
        <w:fldChar w:fldCharType="begin"/>
      </w:r>
      <w:r>
        <w:rPr>
          <w:noProof/>
        </w:rPr>
        <w:instrText xml:space="preserve"> PAGEREF _Toc473995170 \h </w:instrText>
      </w:r>
      <w:r>
        <w:rPr>
          <w:noProof/>
        </w:rPr>
      </w:r>
      <w:r>
        <w:rPr>
          <w:noProof/>
        </w:rPr>
        <w:fldChar w:fldCharType="separate"/>
      </w:r>
      <w:r>
        <w:rPr>
          <w:noProof/>
        </w:rPr>
        <w:t>111</w:t>
      </w:r>
      <w:r>
        <w:rPr>
          <w:noProof/>
        </w:rPr>
        <w:fldChar w:fldCharType="end"/>
      </w:r>
    </w:p>
    <w:p w14:paraId="303171F6"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5.5.</w:t>
      </w:r>
      <w:r>
        <w:rPr>
          <w:rFonts w:asciiTheme="minorHAnsi" w:eastAsiaTheme="minorEastAsia" w:hAnsiTheme="minorHAnsi"/>
          <w:smallCaps w:val="0"/>
          <w:noProof/>
          <w:sz w:val="22"/>
          <w:szCs w:val="22"/>
          <w:lang w:eastAsia="en-GB"/>
        </w:rPr>
        <w:tab/>
      </w:r>
      <w:r>
        <w:rPr>
          <w:noProof/>
        </w:rPr>
        <w:t>Final experiments (D1-4)</w:t>
      </w:r>
      <w:r>
        <w:rPr>
          <w:noProof/>
        </w:rPr>
        <w:tab/>
      </w:r>
      <w:r>
        <w:rPr>
          <w:noProof/>
        </w:rPr>
        <w:fldChar w:fldCharType="begin"/>
      </w:r>
      <w:r>
        <w:rPr>
          <w:noProof/>
        </w:rPr>
        <w:instrText xml:space="preserve"> PAGEREF _Toc473995171 \h </w:instrText>
      </w:r>
      <w:r>
        <w:rPr>
          <w:noProof/>
        </w:rPr>
      </w:r>
      <w:r>
        <w:rPr>
          <w:noProof/>
        </w:rPr>
        <w:fldChar w:fldCharType="separate"/>
      </w:r>
      <w:r>
        <w:rPr>
          <w:noProof/>
        </w:rPr>
        <w:t>117</w:t>
      </w:r>
      <w:r>
        <w:rPr>
          <w:noProof/>
        </w:rPr>
        <w:fldChar w:fldCharType="end"/>
      </w:r>
    </w:p>
    <w:p w14:paraId="73EDB9DD"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5.6.</w:t>
      </w:r>
      <w:r>
        <w:rPr>
          <w:rFonts w:asciiTheme="minorHAnsi" w:eastAsiaTheme="minorEastAsia" w:hAnsiTheme="minorHAnsi"/>
          <w:smallCaps w:val="0"/>
          <w:noProof/>
          <w:sz w:val="22"/>
          <w:szCs w:val="22"/>
          <w:lang w:eastAsia="en-GB"/>
        </w:rPr>
        <w:tab/>
      </w:r>
      <w:r>
        <w:rPr>
          <w:noProof/>
        </w:rPr>
        <w:t>Calorimeter measurements (E1)</w:t>
      </w:r>
      <w:r>
        <w:rPr>
          <w:noProof/>
        </w:rPr>
        <w:tab/>
      </w:r>
      <w:r>
        <w:rPr>
          <w:noProof/>
        </w:rPr>
        <w:fldChar w:fldCharType="begin"/>
      </w:r>
      <w:r>
        <w:rPr>
          <w:noProof/>
        </w:rPr>
        <w:instrText xml:space="preserve"> PAGEREF _Toc473995172 \h </w:instrText>
      </w:r>
      <w:r>
        <w:rPr>
          <w:noProof/>
        </w:rPr>
      </w:r>
      <w:r>
        <w:rPr>
          <w:noProof/>
        </w:rPr>
        <w:fldChar w:fldCharType="separate"/>
      </w:r>
      <w:r>
        <w:rPr>
          <w:noProof/>
        </w:rPr>
        <w:t>137</w:t>
      </w:r>
      <w:r>
        <w:rPr>
          <w:noProof/>
        </w:rPr>
        <w:fldChar w:fldCharType="end"/>
      </w:r>
    </w:p>
    <w:p w14:paraId="020048C7"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lastRenderedPageBreak/>
        <w:t>5.7.</w:t>
      </w:r>
      <w:r>
        <w:rPr>
          <w:rFonts w:asciiTheme="minorHAnsi" w:eastAsiaTheme="minorEastAsia" w:hAnsiTheme="minorHAnsi"/>
          <w:smallCaps w:val="0"/>
          <w:noProof/>
          <w:sz w:val="22"/>
          <w:szCs w:val="22"/>
          <w:lang w:eastAsia="en-GB"/>
        </w:rPr>
        <w:tab/>
      </w:r>
      <w:r>
        <w:rPr>
          <w:noProof/>
        </w:rPr>
        <w:t>Analysis</w:t>
      </w:r>
      <w:r>
        <w:rPr>
          <w:noProof/>
        </w:rPr>
        <w:tab/>
      </w:r>
      <w:r>
        <w:rPr>
          <w:noProof/>
        </w:rPr>
        <w:fldChar w:fldCharType="begin"/>
      </w:r>
      <w:r>
        <w:rPr>
          <w:noProof/>
        </w:rPr>
        <w:instrText xml:space="preserve"> PAGEREF _Toc473995173 \h </w:instrText>
      </w:r>
      <w:r>
        <w:rPr>
          <w:noProof/>
        </w:rPr>
      </w:r>
      <w:r>
        <w:rPr>
          <w:noProof/>
        </w:rPr>
        <w:fldChar w:fldCharType="separate"/>
      </w:r>
      <w:r>
        <w:rPr>
          <w:noProof/>
        </w:rPr>
        <w:t>138</w:t>
      </w:r>
      <w:r>
        <w:rPr>
          <w:noProof/>
        </w:rPr>
        <w:fldChar w:fldCharType="end"/>
      </w:r>
    </w:p>
    <w:p w14:paraId="5FF4A69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5.8.</w:t>
      </w:r>
      <w:r>
        <w:rPr>
          <w:rFonts w:asciiTheme="minorHAnsi" w:eastAsiaTheme="minorEastAsia" w:hAnsiTheme="minorHAnsi"/>
          <w:smallCaps w:val="0"/>
          <w:noProof/>
          <w:sz w:val="22"/>
          <w:szCs w:val="22"/>
          <w:lang w:eastAsia="en-GB"/>
        </w:rPr>
        <w:tab/>
      </w:r>
      <w:r>
        <w:rPr>
          <w:noProof/>
        </w:rPr>
        <w:t>Discussion</w:t>
      </w:r>
      <w:r>
        <w:rPr>
          <w:noProof/>
        </w:rPr>
        <w:tab/>
      </w:r>
      <w:r>
        <w:rPr>
          <w:noProof/>
        </w:rPr>
        <w:fldChar w:fldCharType="begin"/>
      </w:r>
      <w:r>
        <w:rPr>
          <w:noProof/>
        </w:rPr>
        <w:instrText xml:space="preserve"> PAGEREF _Toc473995174 \h </w:instrText>
      </w:r>
      <w:r>
        <w:rPr>
          <w:noProof/>
        </w:rPr>
      </w:r>
      <w:r>
        <w:rPr>
          <w:noProof/>
        </w:rPr>
        <w:fldChar w:fldCharType="separate"/>
      </w:r>
      <w:r>
        <w:rPr>
          <w:noProof/>
        </w:rPr>
        <w:t>144</w:t>
      </w:r>
      <w:r>
        <w:rPr>
          <w:noProof/>
        </w:rPr>
        <w:fldChar w:fldCharType="end"/>
      </w:r>
    </w:p>
    <w:p w14:paraId="47A73CA8"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5.9.</w:t>
      </w:r>
      <w:r>
        <w:rPr>
          <w:rFonts w:asciiTheme="minorHAnsi" w:eastAsiaTheme="minorEastAsia" w:hAnsiTheme="minorHAnsi"/>
          <w:smallCaps w:val="0"/>
          <w:noProof/>
          <w:sz w:val="22"/>
          <w:szCs w:val="22"/>
          <w:lang w:eastAsia="en-GB"/>
        </w:rPr>
        <w:tab/>
      </w:r>
      <w:r>
        <w:rPr>
          <w:noProof/>
        </w:rPr>
        <w:t>Summary and conclusion</w:t>
      </w:r>
      <w:r>
        <w:rPr>
          <w:noProof/>
        </w:rPr>
        <w:tab/>
      </w:r>
      <w:r>
        <w:rPr>
          <w:noProof/>
        </w:rPr>
        <w:fldChar w:fldCharType="begin"/>
      </w:r>
      <w:r>
        <w:rPr>
          <w:noProof/>
        </w:rPr>
        <w:instrText xml:space="preserve"> PAGEREF _Toc473995175 \h </w:instrText>
      </w:r>
      <w:r>
        <w:rPr>
          <w:noProof/>
        </w:rPr>
      </w:r>
      <w:r>
        <w:rPr>
          <w:noProof/>
        </w:rPr>
        <w:fldChar w:fldCharType="separate"/>
      </w:r>
      <w:r>
        <w:rPr>
          <w:noProof/>
        </w:rPr>
        <w:t>151</w:t>
      </w:r>
      <w:r>
        <w:rPr>
          <w:noProof/>
        </w:rPr>
        <w:fldChar w:fldCharType="end"/>
      </w:r>
    </w:p>
    <w:p w14:paraId="75CECF0C" w14:textId="77777777" w:rsidR="00F64CBC" w:rsidRDefault="00F64CBC">
      <w:pPr>
        <w:pStyle w:val="TOC1"/>
        <w:tabs>
          <w:tab w:val="left" w:pos="1760"/>
          <w:tab w:val="right" w:leader="dot" w:pos="8494"/>
        </w:tabs>
        <w:rPr>
          <w:rFonts w:asciiTheme="minorHAnsi" w:eastAsiaTheme="minorEastAsia" w:hAnsiTheme="minorHAnsi"/>
          <w:b w:val="0"/>
          <w:bCs w:val="0"/>
          <w:caps w:val="0"/>
          <w:noProof/>
          <w:sz w:val="22"/>
          <w:szCs w:val="22"/>
          <w:lang w:eastAsia="en-GB"/>
        </w:rPr>
      </w:pPr>
      <w:r>
        <w:rPr>
          <w:noProof/>
        </w:rPr>
        <w:t>Chapter 6.</w:t>
      </w:r>
      <w:r>
        <w:rPr>
          <w:rFonts w:asciiTheme="minorHAnsi" w:eastAsiaTheme="minorEastAsia" w:hAnsiTheme="minorHAnsi"/>
          <w:b w:val="0"/>
          <w:bCs w:val="0"/>
          <w:caps w:val="0"/>
          <w:noProof/>
          <w:sz w:val="22"/>
          <w:szCs w:val="22"/>
          <w:lang w:eastAsia="en-GB"/>
        </w:rPr>
        <w:tab/>
      </w:r>
      <w:r>
        <w:rPr>
          <w:noProof/>
        </w:rPr>
        <w:t>Discussion</w:t>
      </w:r>
      <w:r>
        <w:rPr>
          <w:noProof/>
        </w:rPr>
        <w:tab/>
      </w:r>
      <w:r>
        <w:rPr>
          <w:noProof/>
        </w:rPr>
        <w:fldChar w:fldCharType="begin"/>
      </w:r>
      <w:r>
        <w:rPr>
          <w:noProof/>
        </w:rPr>
        <w:instrText xml:space="preserve"> PAGEREF _Toc473995176 \h </w:instrText>
      </w:r>
      <w:r>
        <w:rPr>
          <w:noProof/>
        </w:rPr>
      </w:r>
      <w:r>
        <w:rPr>
          <w:noProof/>
        </w:rPr>
        <w:fldChar w:fldCharType="separate"/>
      </w:r>
      <w:r>
        <w:rPr>
          <w:noProof/>
        </w:rPr>
        <w:t>153</w:t>
      </w:r>
      <w:r>
        <w:rPr>
          <w:noProof/>
        </w:rPr>
        <w:fldChar w:fldCharType="end"/>
      </w:r>
    </w:p>
    <w:p w14:paraId="19E9ED48"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_Toc473995177 \h </w:instrText>
      </w:r>
      <w:r>
        <w:rPr>
          <w:noProof/>
        </w:rPr>
      </w:r>
      <w:r>
        <w:rPr>
          <w:noProof/>
        </w:rPr>
        <w:fldChar w:fldCharType="separate"/>
      </w:r>
      <w:r>
        <w:rPr>
          <w:noProof/>
        </w:rPr>
        <w:t>153</w:t>
      </w:r>
      <w:r>
        <w:rPr>
          <w:noProof/>
        </w:rPr>
        <w:fldChar w:fldCharType="end"/>
      </w:r>
    </w:p>
    <w:p w14:paraId="3E40A89D"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6.2.</w:t>
      </w:r>
      <w:r>
        <w:rPr>
          <w:rFonts w:asciiTheme="minorHAnsi" w:eastAsiaTheme="minorEastAsia" w:hAnsiTheme="minorHAnsi"/>
          <w:smallCaps w:val="0"/>
          <w:noProof/>
          <w:sz w:val="22"/>
          <w:szCs w:val="22"/>
          <w:lang w:eastAsia="en-GB"/>
        </w:rPr>
        <w:tab/>
      </w:r>
      <w:r>
        <w:rPr>
          <w:noProof/>
        </w:rPr>
        <w:t>Proof of concept</w:t>
      </w:r>
      <w:r>
        <w:rPr>
          <w:noProof/>
        </w:rPr>
        <w:tab/>
      </w:r>
      <w:r>
        <w:rPr>
          <w:noProof/>
        </w:rPr>
        <w:fldChar w:fldCharType="begin"/>
      </w:r>
      <w:r>
        <w:rPr>
          <w:noProof/>
        </w:rPr>
        <w:instrText xml:space="preserve"> PAGEREF _Toc473995178 \h </w:instrText>
      </w:r>
      <w:r>
        <w:rPr>
          <w:noProof/>
        </w:rPr>
      </w:r>
      <w:r>
        <w:rPr>
          <w:noProof/>
        </w:rPr>
        <w:fldChar w:fldCharType="separate"/>
      </w:r>
      <w:r>
        <w:rPr>
          <w:noProof/>
        </w:rPr>
        <w:t>153</w:t>
      </w:r>
      <w:r>
        <w:rPr>
          <w:noProof/>
        </w:rPr>
        <w:fldChar w:fldCharType="end"/>
      </w:r>
    </w:p>
    <w:p w14:paraId="5191777C"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6.3.</w:t>
      </w:r>
      <w:r>
        <w:rPr>
          <w:rFonts w:asciiTheme="minorHAnsi" w:eastAsiaTheme="minorEastAsia" w:hAnsiTheme="minorHAnsi"/>
          <w:smallCaps w:val="0"/>
          <w:noProof/>
          <w:sz w:val="22"/>
          <w:szCs w:val="22"/>
          <w:lang w:eastAsia="en-GB"/>
        </w:rPr>
        <w:tab/>
      </w:r>
      <w:r>
        <w:rPr>
          <w:noProof/>
        </w:rPr>
        <w:t>Semi-continuous glass melt flow</w:t>
      </w:r>
      <w:r>
        <w:rPr>
          <w:noProof/>
        </w:rPr>
        <w:tab/>
      </w:r>
      <w:r>
        <w:rPr>
          <w:noProof/>
        </w:rPr>
        <w:fldChar w:fldCharType="begin"/>
      </w:r>
      <w:r>
        <w:rPr>
          <w:noProof/>
        </w:rPr>
        <w:instrText xml:space="preserve"> PAGEREF _Toc473995179 \h </w:instrText>
      </w:r>
      <w:r>
        <w:rPr>
          <w:noProof/>
        </w:rPr>
      </w:r>
      <w:r>
        <w:rPr>
          <w:noProof/>
        </w:rPr>
        <w:fldChar w:fldCharType="separate"/>
      </w:r>
      <w:r>
        <w:rPr>
          <w:noProof/>
        </w:rPr>
        <w:t>158</w:t>
      </w:r>
      <w:r>
        <w:rPr>
          <w:noProof/>
        </w:rPr>
        <w:fldChar w:fldCharType="end"/>
      </w:r>
    </w:p>
    <w:p w14:paraId="54A1B1D4"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6.4.</w:t>
      </w:r>
      <w:r>
        <w:rPr>
          <w:rFonts w:asciiTheme="minorHAnsi" w:eastAsiaTheme="minorEastAsia" w:hAnsiTheme="minorHAnsi"/>
          <w:smallCaps w:val="0"/>
          <w:noProof/>
          <w:sz w:val="22"/>
          <w:szCs w:val="22"/>
          <w:lang w:eastAsia="en-GB"/>
        </w:rPr>
        <w:tab/>
      </w:r>
      <w:r>
        <w:rPr>
          <w:noProof/>
        </w:rPr>
        <w:t>Scale-up experiments</w:t>
      </w:r>
      <w:r>
        <w:rPr>
          <w:noProof/>
        </w:rPr>
        <w:tab/>
      </w:r>
      <w:r>
        <w:rPr>
          <w:noProof/>
        </w:rPr>
        <w:fldChar w:fldCharType="begin"/>
      </w:r>
      <w:r>
        <w:rPr>
          <w:noProof/>
        </w:rPr>
        <w:instrText xml:space="preserve"> PAGEREF _Toc473995180 \h </w:instrText>
      </w:r>
      <w:r>
        <w:rPr>
          <w:noProof/>
        </w:rPr>
      </w:r>
      <w:r>
        <w:rPr>
          <w:noProof/>
        </w:rPr>
        <w:fldChar w:fldCharType="separate"/>
      </w:r>
      <w:r>
        <w:rPr>
          <w:noProof/>
        </w:rPr>
        <w:t>160</w:t>
      </w:r>
      <w:r>
        <w:rPr>
          <w:noProof/>
        </w:rPr>
        <w:fldChar w:fldCharType="end"/>
      </w:r>
    </w:p>
    <w:p w14:paraId="5A2FED6D"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6.5.</w:t>
      </w:r>
      <w:r>
        <w:rPr>
          <w:rFonts w:asciiTheme="minorHAnsi" w:eastAsiaTheme="minorEastAsia" w:hAnsiTheme="minorHAnsi"/>
          <w:smallCaps w:val="0"/>
          <w:noProof/>
          <w:sz w:val="22"/>
          <w:szCs w:val="22"/>
          <w:lang w:eastAsia="en-GB"/>
        </w:rPr>
        <w:tab/>
      </w:r>
      <w:r>
        <w:rPr>
          <w:noProof/>
        </w:rPr>
        <w:t>Implications for scale-up</w:t>
      </w:r>
      <w:r>
        <w:rPr>
          <w:noProof/>
        </w:rPr>
        <w:tab/>
      </w:r>
      <w:r>
        <w:rPr>
          <w:noProof/>
        </w:rPr>
        <w:fldChar w:fldCharType="begin"/>
      </w:r>
      <w:r>
        <w:rPr>
          <w:noProof/>
        </w:rPr>
        <w:instrText xml:space="preserve"> PAGEREF _Toc473995181 \h </w:instrText>
      </w:r>
      <w:r>
        <w:rPr>
          <w:noProof/>
        </w:rPr>
      </w:r>
      <w:r>
        <w:rPr>
          <w:noProof/>
        </w:rPr>
        <w:fldChar w:fldCharType="separate"/>
      </w:r>
      <w:r>
        <w:rPr>
          <w:noProof/>
        </w:rPr>
        <w:t>164</w:t>
      </w:r>
      <w:r>
        <w:rPr>
          <w:noProof/>
        </w:rPr>
        <w:fldChar w:fldCharType="end"/>
      </w:r>
    </w:p>
    <w:p w14:paraId="7BB45F8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6.6.</w:t>
      </w:r>
      <w:r>
        <w:rPr>
          <w:rFonts w:asciiTheme="minorHAnsi" w:eastAsiaTheme="minorEastAsia" w:hAnsiTheme="minorHAnsi"/>
          <w:smallCaps w:val="0"/>
          <w:noProof/>
          <w:sz w:val="22"/>
          <w:szCs w:val="22"/>
          <w:lang w:eastAsia="en-GB"/>
        </w:rPr>
        <w:tab/>
      </w:r>
      <w:r>
        <w:rPr>
          <w:noProof/>
        </w:rPr>
        <w:t>Perspectives from the glass industry</w:t>
      </w:r>
      <w:r>
        <w:rPr>
          <w:noProof/>
        </w:rPr>
        <w:tab/>
      </w:r>
      <w:r>
        <w:rPr>
          <w:noProof/>
        </w:rPr>
        <w:fldChar w:fldCharType="begin"/>
      </w:r>
      <w:r>
        <w:rPr>
          <w:noProof/>
        </w:rPr>
        <w:instrText xml:space="preserve"> PAGEREF _Toc473995182 \h </w:instrText>
      </w:r>
      <w:r>
        <w:rPr>
          <w:noProof/>
        </w:rPr>
      </w:r>
      <w:r>
        <w:rPr>
          <w:noProof/>
        </w:rPr>
        <w:fldChar w:fldCharType="separate"/>
      </w:r>
      <w:r>
        <w:rPr>
          <w:noProof/>
        </w:rPr>
        <w:t>180</w:t>
      </w:r>
      <w:r>
        <w:rPr>
          <w:noProof/>
        </w:rPr>
        <w:fldChar w:fldCharType="end"/>
      </w:r>
    </w:p>
    <w:p w14:paraId="51C11A87"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6.7.</w:t>
      </w:r>
      <w:r>
        <w:rPr>
          <w:rFonts w:asciiTheme="minorHAnsi" w:eastAsiaTheme="minorEastAsia" w:hAnsiTheme="minorHAnsi"/>
          <w:smallCaps w:val="0"/>
          <w:noProof/>
          <w:sz w:val="22"/>
          <w:szCs w:val="22"/>
          <w:lang w:eastAsia="en-GB"/>
        </w:rPr>
        <w:tab/>
      </w:r>
      <w:r>
        <w:rPr>
          <w:noProof/>
        </w:rPr>
        <w:t>Summary and conclusions</w:t>
      </w:r>
      <w:r>
        <w:rPr>
          <w:noProof/>
        </w:rPr>
        <w:tab/>
      </w:r>
      <w:r>
        <w:rPr>
          <w:noProof/>
        </w:rPr>
        <w:fldChar w:fldCharType="begin"/>
      </w:r>
      <w:r>
        <w:rPr>
          <w:noProof/>
        </w:rPr>
        <w:instrText xml:space="preserve"> PAGEREF _Toc473995183 \h </w:instrText>
      </w:r>
      <w:r>
        <w:rPr>
          <w:noProof/>
        </w:rPr>
      </w:r>
      <w:r>
        <w:rPr>
          <w:noProof/>
        </w:rPr>
        <w:fldChar w:fldCharType="separate"/>
      </w:r>
      <w:r>
        <w:rPr>
          <w:noProof/>
        </w:rPr>
        <w:t>181</w:t>
      </w:r>
      <w:r>
        <w:rPr>
          <w:noProof/>
        </w:rPr>
        <w:fldChar w:fldCharType="end"/>
      </w:r>
    </w:p>
    <w:p w14:paraId="78238348" w14:textId="77777777" w:rsidR="00F64CBC" w:rsidRDefault="00F64CBC">
      <w:pPr>
        <w:pStyle w:val="TOC1"/>
        <w:tabs>
          <w:tab w:val="left" w:pos="1760"/>
          <w:tab w:val="right" w:leader="dot" w:pos="8494"/>
        </w:tabs>
        <w:rPr>
          <w:rFonts w:asciiTheme="minorHAnsi" w:eastAsiaTheme="minorEastAsia" w:hAnsiTheme="minorHAnsi"/>
          <w:b w:val="0"/>
          <w:bCs w:val="0"/>
          <w:caps w:val="0"/>
          <w:noProof/>
          <w:sz w:val="22"/>
          <w:szCs w:val="22"/>
          <w:lang w:eastAsia="en-GB"/>
        </w:rPr>
      </w:pPr>
      <w:r>
        <w:rPr>
          <w:noProof/>
        </w:rPr>
        <w:t>Chapter 7.</w:t>
      </w:r>
      <w:r>
        <w:rPr>
          <w:rFonts w:asciiTheme="minorHAnsi" w:eastAsiaTheme="minorEastAsia" w:hAnsiTheme="minorHAnsi"/>
          <w:b w:val="0"/>
          <w:bCs w:val="0"/>
          <w:caps w:val="0"/>
          <w:noProof/>
          <w:sz w:val="22"/>
          <w:szCs w:val="22"/>
          <w:lang w:eastAsia="en-GB"/>
        </w:rPr>
        <w:tab/>
      </w:r>
      <w:r>
        <w:rPr>
          <w:noProof/>
        </w:rPr>
        <w:t>Conclusions and suggestions for further work</w:t>
      </w:r>
      <w:r>
        <w:rPr>
          <w:noProof/>
        </w:rPr>
        <w:tab/>
      </w:r>
      <w:r>
        <w:rPr>
          <w:noProof/>
        </w:rPr>
        <w:fldChar w:fldCharType="begin"/>
      </w:r>
      <w:r>
        <w:rPr>
          <w:noProof/>
        </w:rPr>
        <w:instrText xml:space="preserve"> PAGEREF _Toc473995184 \h </w:instrText>
      </w:r>
      <w:r>
        <w:rPr>
          <w:noProof/>
        </w:rPr>
      </w:r>
      <w:r>
        <w:rPr>
          <w:noProof/>
        </w:rPr>
        <w:fldChar w:fldCharType="separate"/>
      </w:r>
      <w:r>
        <w:rPr>
          <w:noProof/>
        </w:rPr>
        <w:t>183</w:t>
      </w:r>
      <w:r>
        <w:rPr>
          <w:noProof/>
        </w:rPr>
        <w:fldChar w:fldCharType="end"/>
      </w:r>
    </w:p>
    <w:p w14:paraId="057063FC"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7.1.</w:t>
      </w:r>
      <w:r>
        <w:rPr>
          <w:rFonts w:asciiTheme="minorHAnsi" w:eastAsiaTheme="minorEastAsia" w:hAnsiTheme="minorHAnsi"/>
          <w:smallCaps w:val="0"/>
          <w:noProof/>
          <w:sz w:val="22"/>
          <w:szCs w:val="22"/>
          <w:lang w:eastAsia="en-GB"/>
        </w:rPr>
        <w:tab/>
      </w:r>
      <w:r>
        <w:rPr>
          <w:noProof/>
        </w:rPr>
        <w:t>Introduction</w:t>
      </w:r>
      <w:r>
        <w:rPr>
          <w:noProof/>
        </w:rPr>
        <w:tab/>
      </w:r>
      <w:r>
        <w:rPr>
          <w:noProof/>
        </w:rPr>
        <w:fldChar w:fldCharType="begin"/>
      </w:r>
      <w:r>
        <w:rPr>
          <w:noProof/>
        </w:rPr>
        <w:instrText xml:space="preserve"> PAGEREF _Toc473995185 \h </w:instrText>
      </w:r>
      <w:r>
        <w:rPr>
          <w:noProof/>
        </w:rPr>
      </w:r>
      <w:r>
        <w:rPr>
          <w:noProof/>
        </w:rPr>
        <w:fldChar w:fldCharType="separate"/>
      </w:r>
      <w:r>
        <w:rPr>
          <w:noProof/>
        </w:rPr>
        <w:t>183</w:t>
      </w:r>
      <w:r>
        <w:rPr>
          <w:noProof/>
        </w:rPr>
        <w:fldChar w:fldCharType="end"/>
      </w:r>
    </w:p>
    <w:p w14:paraId="43B873B8"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7.2.</w:t>
      </w:r>
      <w:r>
        <w:rPr>
          <w:rFonts w:asciiTheme="minorHAnsi" w:eastAsiaTheme="minorEastAsia" w:hAnsiTheme="minorHAnsi"/>
          <w:smallCaps w:val="0"/>
          <w:noProof/>
          <w:sz w:val="22"/>
          <w:szCs w:val="22"/>
          <w:lang w:eastAsia="en-GB"/>
        </w:rPr>
        <w:tab/>
      </w:r>
      <w:r>
        <w:rPr>
          <w:noProof/>
        </w:rPr>
        <w:t>Generating glass forming melts using concentrated solar heat</w:t>
      </w:r>
      <w:r>
        <w:rPr>
          <w:noProof/>
        </w:rPr>
        <w:tab/>
      </w:r>
      <w:r>
        <w:rPr>
          <w:noProof/>
        </w:rPr>
        <w:fldChar w:fldCharType="begin"/>
      </w:r>
      <w:r>
        <w:rPr>
          <w:noProof/>
        </w:rPr>
        <w:instrText xml:space="preserve"> PAGEREF _Toc473995186 \h </w:instrText>
      </w:r>
      <w:r>
        <w:rPr>
          <w:noProof/>
        </w:rPr>
      </w:r>
      <w:r>
        <w:rPr>
          <w:noProof/>
        </w:rPr>
        <w:fldChar w:fldCharType="separate"/>
      </w:r>
      <w:r>
        <w:rPr>
          <w:noProof/>
        </w:rPr>
        <w:t>183</w:t>
      </w:r>
      <w:r>
        <w:rPr>
          <w:noProof/>
        </w:rPr>
        <w:fldChar w:fldCharType="end"/>
      </w:r>
    </w:p>
    <w:p w14:paraId="163C2407"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7.3.</w:t>
      </w:r>
      <w:r>
        <w:rPr>
          <w:rFonts w:asciiTheme="minorHAnsi" w:eastAsiaTheme="minorEastAsia" w:hAnsiTheme="minorHAnsi"/>
          <w:smallCaps w:val="0"/>
          <w:noProof/>
          <w:sz w:val="22"/>
          <w:szCs w:val="22"/>
          <w:lang w:eastAsia="en-GB"/>
        </w:rPr>
        <w:tab/>
      </w:r>
      <w:r>
        <w:rPr>
          <w:noProof/>
        </w:rPr>
        <w:t>Sustaining a glass melting flow using concentrated solar heat</w:t>
      </w:r>
      <w:r>
        <w:rPr>
          <w:noProof/>
        </w:rPr>
        <w:tab/>
      </w:r>
      <w:r>
        <w:rPr>
          <w:noProof/>
        </w:rPr>
        <w:fldChar w:fldCharType="begin"/>
      </w:r>
      <w:r>
        <w:rPr>
          <w:noProof/>
        </w:rPr>
        <w:instrText xml:space="preserve"> PAGEREF _Toc473995187 \h </w:instrText>
      </w:r>
      <w:r>
        <w:rPr>
          <w:noProof/>
        </w:rPr>
      </w:r>
      <w:r>
        <w:rPr>
          <w:noProof/>
        </w:rPr>
        <w:fldChar w:fldCharType="separate"/>
      </w:r>
      <w:r>
        <w:rPr>
          <w:noProof/>
        </w:rPr>
        <w:t>184</w:t>
      </w:r>
      <w:r>
        <w:rPr>
          <w:noProof/>
        </w:rPr>
        <w:fldChar w:fldCharType="end"/>
      </w:r>
    </w:p>
    <w:p w14:paraId="1C3ECD47"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7.4.</w:t>
      </w:r>
      <w:r>
        <w:rPr>
          <w:rFonts w:asciiTheme="minorHAnsi" w:eastAsiaTheme="minorEastAsia" w:hAnsiTheme="minorHAnsi"/>
          <w:smallCaps w:val="0"/>
          <w:noProof/>
          <w:sz w:val="22"/>
          <w:szCs w:val="22"/>
          <w:lang w:eastAsia="en-GB"/>
        </w:rPr>
        <w:tab/>
      </w:r>
      <w:r>
        <w:rPr>
          <w:noProof/>
        </w:rPr>
        <w:t>Performance of a scalable solar-heated glass furnace</w:t>
      </w:r>
      <w:r>
        <w:rPr>
          <w:noProof/>
        </w:rPr>
        <w:tab/>
      </w:r>
      <w:r>
        <w:rPr>
          <w:noProof/>
        </w:rPr>
        <w:fldChar w:fldCharType="begin"/>
      </w:r>
      <w:r>
        <w:rPr>
          <w:noProof/>
        </w:rPr>
        <w:instrText xml:space="preserve"> PAGEREF _Toc473995188 \h </w:instrText>
      </w:r>
      <w:r>
        <w:rPr>
          <w:noProof/>
        </w:rPr>
      </w:r>
      <w:r>
        <w:rPr>
          <w:noProof/>
        </w:rPr>
        <w:fldChar w:fldCharType="separate"/>
      </w:r>
      <w:r>
        <w:rPr>
          <w:noProof/>
        </w:rPr>
        <w:t>185</w:t>
      </w:r>
      <w:r>
        <w:rPr>
          <w:noProof/>
        </w:rPr>
        <w:fldChar w:fldCharType="end"/>
      </w:r>
    </w:p>
    <w:p w14:paraId="3055E121"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7.5.</w:t>
      </w:r>
      <w:r>
        <w:rPr>
          <w:rFonts w:asciiTheme="minorHAnsi" w:eastAsiaTheme="minorEastAsia" w:hAnsiTheme="minorHAnsi"/>
          <w:smallCaps w:val="0"/>
          <w:noProof/>
          <w:sz w:val="22"/>
          <w:szCs w:val="22"/>
          <w:lang w:eastAsia="en-GB"/>
        </w:rPr>
        <w:tab/>
      </w:r>
      <w:r>
        <w:rPr>
          <w:noProof/>
        </w:rPr>
        <w:t>Solar versus fossil-fuel powered glass production</w:t>
      </w:r>
      <w:r>
        <w:rPr>
          <w:noProof/>
        </w:rPr>
        <w:tab/>
      </w:r>
      <w:r>
        <w:rPr>
          <w:noProof/>
        </w:rPr>
        <w:fldChar w:fldCharType="begin"/>
      </w:r>
      <w:r>
        <w:rPr>
          <w:noProof/>
        </w:rPr>
        <w:instrText xml:space="preserve"> PAGEREF _Toc473995189 \h </w:instrText>
      </w:r>
      <w:r>
        <w:rPr>
          <w:noProof/>
        </w:rPr>
      </w:r>
      <w:r>
        <w:rPr>
          <w:noProof/>
        </w:rPr>
        <w:fldChar w:fldCharType="separate"/>
      </w:r>
      <w:r>
        <w:rPr>
          <w:noProof/>
        </w:rPr>
        <w:t>186</w:t>
      </w:r>
      <w:r>
        <w:rPr>
          <w:noProof/>
        </w:rPr>
        <w:fldChar w:fldCharType="end"/>
      </w:r>
    </w:p>
    <w:p w14:paraId="69AA7BA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7.6.</w:t>
      </w:r>
      <w:r>
        <w:rPr>
          <w:rFonts w:asciiTheme="minorHAnsi" w:eastAsiaTheme="minorEastAsia" w:hAnsiTheme="minorHAnsi"/>
          <w:smallCaps w:val="0"/>
          <w:noProof/>
          <w:sz w:val="22"/>
          <w:szCs w:val="22"/>
          <w:lang w:eastAsia="en-GB"/>
        </w:rPr>
        <w:tab/>
      </w:r>
      <w:r>
        <w:rPr>
          <w:noProof/>
        </w:rPr>
        <w:t>Prospects</w:t>
      </w:r>
      <w:r>
        <w:rPr>
          <w:noProof/>
        </w:rPr>
        <w:tab/>
      </w:r>
      <w:r>
        <w:rPr>
          <w:noProof/>
        </w:rPr>
        <w:fldChar w:fldCharType="begin"/>
      </w:r>
      <w:r>
        <w:rPr>
          <w:noProof/>
        </w:rPr>
        <w:instrText xml:space="preserve"> PAGEREF _Toc473995190 \h </w:instrText>
      </w:r>
      <w:r>
        <w:rPr>
          <w:noProof/>
        </w:rPr>
      </w:r>
      <w:r>
        <w:rPr>
          <w:noProof/>
        </w:rPr>
        <w:fldChar w:fldCharType="separate"/>
      </w:r>
      <w:r>
        <w:rPr>
          <w:noProof/>
        </w:rPr>
        <w:t>187</w:t>
      </w:r>
      <w:r>
        <w:rPr>
          <w:noProof/>
        </w:rPr>
        <w:fldChar w:fldCharType="end"/>
      </w:r>
    </w:p>
    <w:p w14:paraId="4C561573" w14:textId="77777777" w:rsidR="00F64CBC" w:rsidRDefault="00F64CBC">
      <w:pPr>
        <w:pStyle w:val="TOC2"/>
        <w:tabs>
          <w:tab w:val="left" w:pos="1320"/>
          <w:tab w:val="right" w:leader="dot" w:pos="8494"/>
        </w:tabs>
        <w:rPr>
          <w:rFonts w:asciiTheme="minorHAnsi" w:eastAsiaTheme="minorEastAsia" w:hAnsiTheme="minorHAnsi"/>
          <w:smallCaps w:val="0"/>
          <w:noProof/>
          <w:sz w:val="22"/>
          <w:szCs w:val="22"/>
          <w:lang w:eastAsia="en-GB"/>
        </w:rPr>
      </w:pPr>
      <w:r>
        <w:rPr>
          <w:noProof/>
        </w:rPr>
        <w:t>7.7.</w:t>
      </w:r>
      <w:r>
        <w:rPr>
          <w:rFonts w:asciiTheme="minorHAnsi" w:eastAsiaTheme="minorEastAsia" w:hAnsiTheme="minorHAnsi"/>
          <w:smallCaps w:val="0"/>
          <w:noProof/>
          <w:sz w:val="22"/>
          <w:szCs w:val="22"/>
          <w:lang w:eastAsia="en-GB"/>
        </w:rPr>
        <w:tab/>
      </w:r>
      <w:r>
        <w:rPr>
          <w:noProof/>
        </w:rPr>
        <w:t>Future work</w:t>
      </w:r>
      <w:r>
        <w:rPr>
          <w:noProof/>
        </w:rPr>
        <w:tab/>
      </w:r>
      <w:r>
        <w:rPr>
          <w:noProof/>
        </w:rPr>
        <w:fldChar w:fldCharType="begin"/>
      </w:r>
      <w:r>
        <w:rPr>
          <w:noProof/>
        </w:rPr>
        <w:instrText xml:space="preserve"> PAGEREF _Toc473995191 \h </w:instrText>
      </w:r>
      <w:r>
        <w:rPr>
          <w:noProof/>
        </w:rPr>
      </w:r>
      <w:r>
        <w:rPr>
          <w:noProof/>
        </w:rPr>
        <w:fldChar w:fldCharType="separate"/>
      </w:r>
      <w:r>
        <w:rPr>
          <w:noProof/>
        </w:rPr>
        <w:t>188</w:t>
      </w:r>
      <w:r>
        <w:rPr>
          <w:noProof/>
        </w:rPr>
        <w:fldChar w:fldCharType="end"/>
      </w:r>
    </w:p>
    <w:p w14:paraId="1D81B293" w14:textId="77777777" w:rsidR="00F64CBC" w:rsidRDefault="00F64CBC">
      <w:pPr>
        <w:pStyle w:val="TOC1"/>
        <w:tabs>
          <w:tab w:val="right" w:leader="dot" w:pos="8494"/>
        </w:tabs>
        <w:rPr>
          <w:rFonts w:asciiTheme="minorHAnsi" w:eastAsiaTheme="minorEastAsia" w:hAnsiTheme="minorHAnsi"/>
          <w:b w:val="0"/>
          <w:bCs w:val="0"/>
          <w:caps w:val="0"/>
          <w:noProof/>
          <w:sz w:val="22"/>
          <w:szCs w:val="22"/>
          <w:lang w:eastAsia="en-GB"/>
        </w:rPr>
      </w:pPr>
      <w:r>
        <w:rPr>
          <w:noProof/>
        </w:rPr>
        <w:t>References</w:t>
      </w:r>
      <w:r>
        <w:rPr>
          <w:noProof/>
        </w:rPr>
        <w:tab/>
      </w:r>
      <w:r>
        <w:rPr>
          <w:noProof/>
        </w:rPr>
        <w:fldChar w:fldCharType="begin"/>
      </w:r>
      <w:r>
        <w:rPr>
          <w:noProof/>
        </w:rPr>
        <w:instrText xml:space="preserve"> PAGEREF _Toc473995192 \h </w:instrText>
      </w:r>
      <w:r>
        <w:rPr>
          <w:noProof/>
        </w:rPr>
      </w:r>
      <w:r>
        <w:rPr>
          <w:noProof/>
        </w:rPr>
        <w:fldChar w:fldCharType="separate"/>
      </w:r>
      <w:r>
        <w:rPr>
          <w:noProof/>
        </w:rPr>
        <w:t>192</w:t>
      </w:r>
      <w:r>
        <w:rPr>
          <w:noProof/>
        </w:rPr>
        <w:fldChar w:fldCharType="end"/>
      </w:r>
    </w:p>
    <w:p w14:paraId="13AC640F" w14:textId="77777777" w:rsidR="00F64CBC" w:rsidRDefault="00F64CBC">
      <w:pPr>
        <w:pStyle w:val="TOC1"/>
        <w:tabs>
          <w:tab w:val="right" w:leader="dot" w:pos="8494"/>
        </w:tabs>
        <w:rPr>
          <w:rFonts w:asciiTheme="minorHAnsi" w:eastAsiaTheme="minorEastAsia" w:hAnsiTheme="minorHAnsi"/>
          <w:b w:val="0"/>
          <w:bCs w:val="0"/>
          <w:caps w:val="0"/>
          <w:noProof/>
          <w:sz w:val="22"/>
          <w:szCs w:val="22"/>
          <w:lang w:eastAsia="en-GB"/>
        </w:rPr>
      </w:pPr>
      <w:r>
        <w:rPr>
          <w:noProof/>
        </w:rPr>
        <w:t>Appendix</w:t>
      </w:r>
      <w:r>
        <w:rPr>
          <w:noProof/>
        </w:rPr>
        <w:tab/>
      </w:r>
      <w:r>
        <w:rPr>
          <w:noProof/>
        </w:rPr>
        <w:fldChar w:fldCharType="begin"/>
      </w:r>
      <w:r>
        <w:rPr>
          <w:noProof/>
        </w:rPr>
        <w:instrText xml:space="preserve"> PAGEREF _Toc473995193 \h </w:instrText>
      </w:r>
      <w:r>
        <w:rPr>
          <w:noProof/>
        </w:rPr>
      </w:r>
      <w:r>
        <w:rPr>
          <w:noProof/>
        </w:rPr>
        <w:fldChar w:fldCharType="separate"/>
      </w:r>
      <w:r>
        <w:rPr>
          <w:noProof/>
        </w:rPr>
        <w:t>197</w:t>
      </w:r>
      <w:r>
        <w:rPr>
          <w:noProof/>
        </w:rPr>
        <w:fldChar w:fldCharType="end"/>
      </w:r>
    </w:p>
    <w:p w14:paraId="012E42ED" w14:textId="77777777" w:rsidR="004438A9" w:rsidRDefault="004438A9" w:rsidP="00BA3C65">
      <w:pPr>
        <w:rPr>
          <w:b/>
        </w:rPr>
      </w:pPr>
      <w:r>
        <w:fldChar w:fldCharType="end"/>
      </w:r>
      <w:r>
        <w:br w:type="page"/>
      </w:r>
    </w:p>
    <w:p w14:paraId="66CA2595" w14:textId="77777777" w:rsidR="004438A9" w:rsidRPr="00BA3C65" w:rsidRDefault="004438A9" w:rsidP="00BA3C65">
      <w:pPr>
        <w:pStyle w:val="Heading1"/>
        <w:spacing w:before="240"/>
        <w:rPr>
          <w:sz w:val="28"/>
        </w:rPr>
      </w:pPr>
      <w:bookmarkStart w:id="0" w:name="_Toc473995140"/>
      <w:r w:rsidRPr="00BA3C65">
        <w:rPr>
          <w:sz w:val="28"/>
        </w:rPr>
        <w:lastRenderedPageBreak/>
        <w:t>Introduction</w:t>
      </w:r>
      <w:bookmarkEnd w:id="0"/>
    </w:p>
    <w:p w14:paraId="7410BAC4" w14:textId="74C9F39B" w:rsidR="004438A9" w:rsidRDefault="004438A9" w:rsidP="00BA3C65">
      <w:r>
        <w:t xml:space="preserve">The original motivation for this project was derived from an earlier line of research which aimed to investigate the feasibility of methods for exploiting the vast solar energy potential of desert regions. This appeared to be limited by the </w:t>
      </w:r>
      <w:r w:rsidR="00845FEC">
        <w:t xml:space="preserve">large </w:t>
      </w:r>
      <w:r>
        <w:t xml:space="preserve">initial capital investments required for the </w:t>
      </w:r>
      <w:r w:rsidR="00131CB1">
        <w:t xml:space="preserve">necessary </w:t>
      </w:r>
      <w:r>
        <w:t>infrastructure</w:t>
      </w:r>
      <w:r w:rsidR="00845FEC">
        <w:t xml:space="preserve"> in such remote locations,</w:t>
      </w:r>
      <w:r>
        <w:t xml:space="preserve"> for the conversion, storage and transportation of the solar radiation, to provide a reliable supply of useful energy to distant centres of demand. Therefore, Auner </w:t>
      </w:r>
      <w:r>
        <w:fldChar w:fldCharType="begin" w:fldLock="1"/>
      </w:r>
      <w:r w:rsidR="00544126">
        <w:instrText>ADDIN CSL_CITATION { "citationItems" : [ { "id" : "ITEM-1", "itemData" : { "DOI" : "10.1016/j.energy.2005.12.001", "author" : [ { "dropping-particle" : "", "family" : "Auner", "given" : "Norbert", "non-dropping-particle" : "", "parse-names" : false, "suffix" : "" }, { "dropping-particle" : "", "family" : "Holl", "given" : "Sven", "non-dropping-particle" : "", "parse-names" : false, "suffix" : "" } ], "container-title" : "Energy", "id" : "ITEM-1", "issued" : { "date-parts" : [ [ "2006" ] ] }, "page" : "1395-1402", "title" : "Silicon as energy carrier \u2014 Facts and perspectives", "type" : "article-journal", "volume" : "31" }, "uris" : [ "http://www.mendeley.com/documents/?uuid=b4923961-ff43-48e9-97e9-2ada4c94ca3b" ] } ], "mendeley" : { "formattedCitation" : "(Auner &amp; Holl 2006)", "manualFormatting" : "(2006,", "plainTextFormattedCitation" : "(Auner &amp; Holl 2006)", "previouslyFormattedCitation" : "(Auner &amp; Holl 2006)" }, "properties" : { "noteIndex" : 0 }, "schema" : "https://github.com/citation-style-language/schema/raw/master/csl-citation.json" }</w:instrText>
      </w:r>
      <w:r>
        <w:fldChar w:fldCharType="separate"/>
      </w:r>
      <w:r w:rsidRPr="00275DB3">
        <w:rPr>
          <w:noProof/>
        </w:rPr>
        <w:t>(2006</w:t>
      </w:r>
      <w:r>
        <w:rPr>
          <w:noProof/>
        </w:rPr>
        <w:t>,</w:t>
      </w:r>
      <w:r>
        <w:fldChar w:fldCharType="end"/>
      </w:r>
      <w:r>
        <w:t xml:space="preserve"> </w:t>
      </w:r>
      <w:r>
        <w:fldChar w:fldCharType="begin" w:fldLock="1"/>
      </w:r>
      <w:r w:rsidR="00544126">
        <w:instrText>ADDIN CSL_CITATION { "citationItems" : [ { "id" : "ITEM-1", "itemData" : { "author" : [ { "dropping-particle" : "", "family" : "Auner", "given" : "Norbert", "non-dropping-particle" : "", "parse-names" : false, "suffix" : "" } ], "container-title" : "E-Futures Seminar Series", "id" : "ITEM-1", "issued" : { "date-parts" : [ [ "2013" ] ] }, "publisher-place" : "Sheffield, UK", "title" : "Exploiting the Solar Potential of Deserts: From Sunlight and Sand to PV and Hydrogen Storage Materials", "type" : "paper-conference" }, "uris" : [ "http://www.mendeley.com/documents/?uuid=71a68791-1148-4e51-8194-62fd2d28b57e" ] } ], "mendeley" : { "formattedCitation" : "(Auner 2013)", "manualFormatting" : "2013)", "plainTextFormattedCitation" : "(Auner 2013)", "previouslyFormattedCitation" : "(Auner 2013)" }, "properties" : { "noteIndex" : 0 }, "schema" : "https://github.com/citation-style-language/schema/raw/master/csl-citation.json" }</w:instrText>
      </w:r>
      <w:r>
        <w:fldChar w:fldCharType="separate"/>
      </w:r>
      <w:r w:rsidRPr="00B23367">
        <w:rPr>
          <w:noProof/>
        </w:rPr>
        <w:t>2013)</w:t>
      </w:r>
      <w:r>
        <w:fldChar w:fldCharType="end"/>
      </w:r>
      <w:r>
        <w:t xml:space="preserve"> proposed processes for locally converting desert silica sands into various photovoltaic (PV) and energy storage materials. Similarly, </w:t>
      </w:r>
      <w:r>
        <w:fldChar w:fldCharType="begin" w:fldLock="1"/>
      </w:r>
      <w:r w:rsidR="00544126">
        <w:instrText>ADDIN CSL_CITATION { "citationItems" : [ { "id" : "ITEM-1", "itemData" : { "DOI" : "10.1016/j.rser.2011.08.025", "ISSN" : "13640321", "author" : [ { "dropping-particle" : "", "family" : "Stambouli", "given" : "a. Boudghene", "non-dropping-particle" : "", "parse-names" : false, "suffix" : "" }, { "dropping-particle" : "", "family" : "Koinuma", "given" : "H.", "non-dropping-particle" : "", "parse-names" : false, "suffix" : "" } ], "container-title" : "Renewable and Sustainable Energy Reviews", "id" : "ITEM-1", "issue" : "1", "issued" : { "date-parts" : [ [ "2012", "1" ] ] }, "page" : "591-598", "publisher" : "Elsevier Ltd", "title" : "A primary study on a long-term vision and strategy for the realisation and the development of the Sahara Solar Breeder project in Algeria", "type" : "article-journal", "volume" : "16" }, "uris" : [ "http://www.mendeley.com/documents/?uuid=f763695e-e03c-4ce6-9dff-94b8c8c55bc3" ] } ], "mendeley" : { "formattedCitation" : "(Stambouli &amp; Koinuma 2012)", "manualFormatting" : "Stambouli &amp; Koinuma (2012)", "plainTextFormattedCitation" : "(Stambouli &amp; Koinuma 2012)", "previouslyFormattedCitation" : "(Stambouli &amp; Koinuma 2012)" }, "properties" : { "noteIndex" : 0 }, "schema" : "https://github.com/citation-style-language/schema/raw/master/csl-citation.json" }</w:instrText>
      </w:r>
      <w:r>
        <w:fldChar w:fldCharType="separate"/>
      </w:r>
      <w:r>
        <w:rPr>
          <w:noProof/>
        </w:rPr>
        <w:t>Stambouli &amp; Koinuma (</w:t>
      </w:r>
      <w:r w:rsidRPr="00146145">
        <w:rPr>
          <w:noProof/>
        </w:rPr>
        <w:t>2012)</w:t>
      </w:r>
      <w:r>
        <w:fldChar w:fldCharType="end"/>
      </w:r>
      <w:r>
        <w:t xml:space="preserve"> proposed </w:t>
      </w:r>
      <w:r w:rsidR="00845FEC">
        <w:t>that</w:t>
      </w:r>
      <w:r>
        <w:t xml:space="preserve"> solar energy in deserts </w:t>
      </w:r>
      <w:r w:rsidR="00845FEC">
        <w:t>c</w:t>
      </w:r>
      <w:r>
        <w:t>ould be used to supply the energy required to convert locally available silica sands into silicon for in-situ manufacture of solar PV cells</w:t>
      </w:r>
      <w:r w:rsidR="00131CB1">
        <w:t>.</w:t>
      </w:r>
      <w:r>
        <w:t xml:space="preserve"> </w:t>
      </w:r>
      <w:r w:rsidR="00845FEC">
        <w:t>It was proposed that</w:t>
      </w:r>
      <w:r w:rsidR="00C315DA">
        <w:t xml:space="preserve"> exponential growth of solar energy generation power with limited start-up costs could be achieved</w:t>
      </w:r>
      <w:r w:rsidR="00845FEC">
        <w:t xml:space="preserve"> </w:t>
      </w:r>
      <w:r w:rsidR="00C315DA">
        <w:t>by utilising the electrical generation from</w:t>
      </w:r>
      <w:r w:rsidR="00845FEC">
        <w:t xml:space="preserve"> </w:t>
      </w:r>
      <w:r w:rsidR="009A023A">
        <w:t>existing</w:t>
      </w:r>
      <w:r w:rsidR="00C315DA">
        <w:t xml:space="preserve"> </w:t>
      </w:r>
      <w:r w:rsidR="00845FEC">
        <w:t>PV cells</w:t>
      </w:r>
      <w:r w:rsidR="00131CB1">
        <w:t xml:space="preserve"> </w:t>
      </w:r>
      <w:r>
        <w:t xml:space="preserve">to provide </w:t>
      </w:r>
      <w:r w:rsidR="00C315DA">
        <w:t xml:space="preserve">the </w:t>
      </w:r>
      <w:r>
        <w:t xml:space="preserve">energy </w:t>
      </w:r>
      <w:r w:rsidR="00C315DA">
        <w:t>required for the manufacture of future</w:t>
      </w:r>
      <w:r>
        <w:t xml:space="preserve"> PV materials. </w:t>
      </w:r>
      <w:r w:rsidR="00C315DA">
        <w:t>Furthermore, they</w:t>
      </w:r>
      <w:r w:rsidR="00131CB1">
        <w:t xml:space="preserve"> </w:t>
      </w:r>
      <w:r w:rsidR="00C315DA">
        <w:t xml:space="preserve">proposed </w:t>
      </w:r>
      <w:r>
        <w:t xml:space="preserve">that the electricity generated from the PV systems in deserts could be exported to distant centres of energy utilisation via superconducting transmission cables. However, </w:t>
      </w:r>
      <w:r w:rsidR="00C315DA">
        <w:t xml:space="preserve">our </w:t>
      </w:r>
      <w:r>
        <w:t>preliminary research (see appendix ID1) suggested that none of these schemes were feasible</w:t>
      </w:r>
      <w:r w:rsidR="00B42B81">
        <w:t xml:space="preserve"> so</w:t>
      </w:r>
      <w:r w:rsidR="006C251D">
        <w:t xml:space="preserve"> </w:t>
      </w:r>
      <w:r>
        <w:t xml:space="preserve">alternative </w:t>
      </w:r>
      <w:r w:rsidR="00B42B81">
        <w:t>ideas</w:t>
      </w:r>
      <w:r w:rsidR="00C315DA">
        <w:t xml:space="preserve"> for enabling a similar type of scheme w</w:t>
      </w:r>
      <w:r w:rsidR="00B42B81">
        <w:t>ere</w:t>
      </w:r>
      <w:r w:rsidR="00C315DA">
        <w:t xml:space="preserve"> </w:t>
      </w:r>
      <w:r>
        <w:t>considered</w:t>
      </w:r>
      <w:r w:rsidR="00B42B81">
        <w:t>. One idea in this regard was to</w:t>
      </w:r>
      <w:r w:rsidR="006C251D">
        <w:t xml:space="preserve"> use </w:t>
      </w:r>
      <w:r>
        <w:t xml:space="preserve">concentrated solar radiation to provide the process heat for </w:t>
      </w:r>
      <w:r w:rsidR="006C251D">
        <w:t xml:space="preserve">in-situ </w:t>
      </w:r>
      <w:r w:rsidR="00B42B81">
        <w:t>melting</w:t>
      </w:r>
      <w:r w:rsidR="006C251D">
        <w:t xml:space="preserve"> of</w:t>
      </w:r>
      <w:r>
        <w:t xml:space="preserve"> desert sands into glass</w:t>
      </w:r>
      <w:r w:rsidR="006C251D">
        <w:t xml:space="preserve"> lenses </w:t>
      </w:r>
      <w:r w:rsidR="00B42B81">
        <w:t>for further solar concentration</w:t>
      </w:r>
      <w:r w:rsidR="006C251D">
        <w:t xml:space="preserve">. </w:t>
      </w:r>
      <w:r w:rsidR="00B42B81">
        <w:t xml:space="preserve">It was envisaged that by such a scheme </w:t>
      </w:r>
      <w:r>
        <w:t xml:space="preserve">concentrated solar radiation capacity </w:t>
      </w:r>
      <w:r w:rsidR="00B42B81">
        <w:t xml:space="preserve">could grow from a small initial capital cost and then eventually be used </w:t>
      </w:r>
      <w:r>
        <w:t>to drive thermochemical reactions to generate an energy carrier</w:t>
      </w:r>
      <w:r w:rsidR="00131CB1">
        <w:t>,</w:t>
      </w:r>
      <w:r>
        <w:t xml:space="preserve"> suitable for long distance transport. However, subsequent research </w:t>
      </w:r>
      <w:r w:rsidR="00B42B81">
        <w:t xml:space="preserve">suggested that it would not feasible to produce the </w:t>
      </w:r>
      <w:r w:rsidR="004E724E">
        <w:t>type</w:t>
      </w:r>
      <w:r w:rsidR="00B42B81">
        <w:t xml:space="preserve"> </w:t>
      </w:r>
      <w:r w:rsidR="00BB795B">
        <w:t>and quality</w:t>
      </w:r>
      <w:r w:rsidR="006C5054">
        <w:t xml:space="preserve"> of</w:t>
      </w:r>
      <w:r w:rsidR="00B42B81">
        <w:t xml:space="preserve"> glass required for lenses for solar concentrating systems due to the </w:t>
      </w:r>
      <w:r>
        <w:t>insufficient purity of silica sands available in most desert regions</w:t>
      </w:r>
      <w:r w:rsidR="00B42B81">
        <w:t xml:space="preserve"> (see appendix ID1)</w:t>
      </w:r>
      <w:r w:rsidR="004E724E">
        <w:t xml:space="preserve"> and the difficulties </w:t>
      </w:r>
      <w:r w:rsidR="009A023A">
        <w:t>related</w:t>
      </w:r>
      <w:r w:rsidR="004E724E">
        <w:t xml:space="preserve"> to producing the quality of glass required in a solar heated glass furnace</w:t>
      </w:r>
      <w:r w:rsidR="00B42B81">
        <w:t xml:space="preserve">. </w:t>
      </w:r>
      <w:r>
        <w:t xml:space="preserve"> However, it was found that using more conventional raw materials for glass manufacturing, concentrated solar radiation could be used to provide process heat </w:t>
      </w:r>
      <w:r w:rsidR="00131CB1">
        <w:t xml:space="preserve">needed to </w:t>
      </w:r>
      <w:r>
        <w:t xml:space="preserve">produce other types of glass which could be of more general use. Therefore, as follows, </w:t>
      </w:r>
      <w:r w:rsidR="00131CB1">
        <w:t>this thesis focusses</w:t>
      </w:r>
      <w:r>
        <w:t xml:space="preserve"> on investigating the feasibility of using solar heat as an alternative to fossil fuel combustion for sustainable glass production. </w:t>
      </w:r>
    </w:p>
    <w:p w14:paraId="40D9DD40" w14:textId="77777777" w:rsidR="004438A9" w:rsidRPr="00EE74FC" w:rsidRDefault="004438A9" w:rsidP="00EE74FC">
      <w:pPr>
        <w:pStyle w:val="Heading2"/>
      </w:pPr>
      <w:bookmarkStart w:id="1" w:name="_Toc473995141"/>
      <w:r w:rsidRPr="00EE74FC">
        <w:t>Solar-heated glass production</w:t>
      </w:r>
      <w:bookmarkEnd w:id="1"/>
    </w:p>
    <w:p w14:paraId="0109B765" w14:textId="74B33448" w:rsidR="004438A9" w:rsidRDefault="004438A9" w:rsidP="00BA3C65">
      <w:r>
        <w:t>Fossil-fuelled industrialised processes have become essential to meet human demands. However, the emissions from fossil fuel combustion</w:t>
      </w:r>
      <w:r w:rsidR="00AE572D">
        <w:t xml:space="preserve"> and the prospect of their eventual depletion</w:t>
      </w:r>
      <w:r>
        <w:t xml:space="preserve"> poses </w:t>
      </w:r>
      <w:r w:rsidR="00AE572D">
        <w:t>challenges for future sustainability</w:t>
      </w:r>
      <w:r>
        <w:t xml:space="preserve">. </w:t>
      </w:r>
    </w:p>
    <w:p w14:paraId="6CCD5AAE" w14:textId="50725066" w:rsidR="004438A9" w:rsidRDefault="004438A9" w:rsidP="005504BB">
      <w:r>
        <w:t xml:space="preserve">Glass is a very important material, produced worldwide </w:t>
      </w:r>
      <w:r w:rsidR="00AE572D">
        <w:t>at the scale</w:t>
      </w:r>
      <w:r>
        <w:t xml:space="preserve"> of millions of tonnes per year</w:t>
      </w:r>
      <w:r w:rsidR="00131CB1">
        <w:t>.</w:t>
      </w:r>
      <w:r>
        <w:t xml:space="preserve"> </w:t>
      </w:r>
      <w:r w:rsidR="00131CB1">
        <w:t xml:space="preserve">Its unique set of material properties including transparency and high chemical, temperature </w:t>
      </w:r>
      <w:r w:rsidR="00131CB1">
        <w:lastRenderedPageBreak/>
        <w:t xml:space="preserve">and abrasion resistance enable </w:t>
      </w:r>
      <w:r>
        <w:t xml:space="preserve">manufacture of </w:t>
      </w:r>
      <w:r w:rsidR="00131CB1">
        <w:t xml:space="preserve">a </w:t>
      </w:r>
      <w:r>
        <w:t>wide range of essential products including containers, windows, insulation wool, structural and optical fibres</w:t>
      </w:r>
      <w:r w:rsidR="00131CB1">
        <w:t>.</w:t>
      </w:r>
      <w:r>
        <w:t xml:space="preserve"> . Also, the main raw material for glass production, silica sand</w:t>
      </w:r>
      <w:r w:rsidR="00131CB1">
        <w:t>,</w:t>
      </w:r>
      <w:r>
        <w:t xml:space="preserve"> is environmentally benign and is more abundant than any other material produced</w:t>
      </w:r>
      <w:r w:rsidR="00AE572D">
        <w:t>. Therefore,</w:t>
      </w:r>
      <w:r>
        <w:t xml:space="preserve"> it has been suggested </w:t>
      </w:r>
      <w:r>
        <w:fldChar w:fldCharType="begin" w:fldLock="1"/>
      </w:r>
      <w:r w:rsidR="00544126">
        <w:instrText>ADDIN CSL_CITATION { "citationItems" : [ { "id" : "ITEM-1", "itemData" : { "ISBN" : "9783642787256", "author" : [ { "dropping-particle" : "", "family" : "Vogel", "given" : "W.", "non-dropping-particle" : "", "parse-names" : false, "suffix" : "" } ], "container-title" : "Glass Chemistry", "edition" : "2", "id" : "ITEM-1", "issued" : { "date-parts" : [ [ "1994" ] ] }, "page" : "v", "publisher" : "Springer-Verlag", "publisher-place" : "Berlin", "title" : "Forward", "type" : "chapter" }, "uris" : [ "http://www.mendeley.com/documents/?uuid=90718722-147b-404e-879c-aabb7f218f6a" ] } ], "mendeley" : { "formattedCitation" : "(Vogel 1994)", "plainTextFormattedCitation" : "(Vogel 1994)", "previouslyFormattedCitation" : "(Vogel 1994)" }, "properties" : { "noteIndex" : 0 }, "schema" : "https://github.com/citation-style-language/schema/raw/master/csl-citation.json" }</w:instrText>
      </w:r>
      <w:r>
        <w:fldChar w:fldCharType="separate"/>
      </w:r>
      <w:r w:rsidR="00544126" w:rsidRPr="00544126">
        <w:rPr>
          <w:noProof/>
        </w:rPr>
        <w:t>(Vogel 1994)</w:t>
      </w:r>
      <w:r>
        <w:fldChar w:fldCharType="end"/>
      </w:r>
      <w:r>
        <w:t xml:space="preserve"> that</w:t>
      </w:r>
      <w:r w:rsidR="00AE572D">
        <w:t xml:space="preserve"> glass</w:t>
      </w:r>
      <w:r>
        <w:t xml:space="preserve"> will become increasingly important as the ores of other materials are depleted in the future. However, glass production </w:t>
      </w:r>
      <w:r w:rsidR="00131CB1">
        <w:t xml:space="preserve">is </w:t>
      </w:r>
      <w:r>
        <w:t xml:space="preserve">a highly energy intensive process and nearly all the energy required is currently provided </w:t>
      </w:r>
      <w:r w:rsidR="00131CB1">
        <w:t xml:space="preserve">by </w:t>
      </w:r>
      <w:r>
        <w:t xml:space="preserve">fossil fuels; either directly by combustion or indirectly </w:t>
      </w:r>
      <w:r w:rsidR="00131CB1">
        <w:t xml:space="preserve">from </w:t>
      </w:r>
      <w:r>
        <w:t xml:space="preserve">fossil-fuelled electrical power generation. Since fossil fuels are a finite resource and the combustion thereof causes environmental degradation, it is imperative to explore </w:t>
      </w:r>
      <w:r w:rsidR="00785CAE">
        <w:t xml:space="preserve">alternative </w:t>
      </w:r>
      <w:r>
        <w:t>methods to provide a more sustainable source of energy for future glass production.</w:t>
      </w:r>
    </w:p>
    <w:p w14:paraId="1D1CBFDF" w14:textId="4C834A92" w:rsidR="004438A9" w:rsidRDefault="004438A9" w:rsidP="00BA3C65">
      <w:r>
        <w:t>Various forms of renewable energy have been developed to provide more sustainable alternatives to fossil fuels for a wide range of applications. However, to date, there has been no specific investigation into the use of renewable energy for glass production. Concentrated solar radiation is the only form of renewable energy which could be directly used to provide the high temperature process heat primarily required for glass production without intermediate conversion to electrical energy</w:t>
      </w:r>
      <w:r w:rsidR="00131CB1">
        <w:t>,</w:t>
      </w:r>
      <w:r>
        <w:t xml:space="preserve"> thereby avoiding the associated parasitic effect on overall efficiency.  </w:t>
      </w:r>
    </w:p>
    <w:p w14:paraId="72F99A5C" w14:textId="63D0A3FF" w:rsidR="004438A9" w:rsidRDefault="004438A9" w:rsidP="00BA3C65">
      <w:r>
        <w:t xml:space="preserve">However, solar radiation is only </w:t>
      </w:r>
      <w:r w:rsidR="00131CB1">
        <w:t xml:space="preserve">available </w:t>
      </w:r>
      <w:r>
        <w:t>intermittent</w:t>
      </w:r>
      <w:r w:rsidR="00131CB1">
        <w:t>ly,</w:t>
      </w:r>
      <w:r>
        <w:t xml:space="preserve"> while conventional glass furnaces require a reliable, continuous heat source to maintain stable operating temperatures.  Also, conventional glass furnaces usually use large flames or distributed electrical heating to generate large melt volumes but concentrated solar radiation provides more focussed heating over much smaller areas. This raises issues regarding the feasibility of producing substantial flows of homogeneous molten glass as would be required for any useful manufacturing processes. Furthermore, the semi-transparency of molten glass with respect to solar radiation and the lack of existing data in this regard, makes it particularly difficult to evaluate the quality and efficiency of glass production from a solar-heated furnace without physical experiments. </w:t>
      </w:r>
    </w:p>
    <w:p w14:paraId="6CA3BF25" w14:textId="5C4F66F2" w:rsidR="004438A9" w:rsidRDefault="004438A9" w:rsidP="005504BB">
      <w:r>
        <w:t xml:space="preserve">Therefore, </w:t>
      </w:r>
      <w:r w:rsidR="00EF17F6">
        <w:t xml:space="preserve">in this project, </w:t>
      </w:r>
      <w:r w:rsidR="00785CAE">
        <w:t>a series of experiments</w:t>
      </w:r>
      <w:r w:rsidR="00EF17F6">
        <w:t xml:space="preserve"> were conducted</w:t>
      </w:r>
      <w:r w:rsidR="00785CAE">
        <w:t>, utilising a realistic concentrated solar radiation beam to melt silicate glass forming batches in increasingly sophisticated setups. These experiments incrementally address</w:t>
      </w:r>
      <w:r w:rsidR="00EF17F6">
        <w:t>ed</w:t>
      </w:r>
      <w:r w:rsidR="00785CAE">
        <w:t xml:space="preserve"> issues related to enabling realistic solar-heated glass production.</w:t>
      </w:r>
      <w:r w:rsidR="00EF17F6">
        <w:t xml:space="preserve"> This</w:t>
      </w:r>
      <w:r>
        <w:t xml:space="preserve"> lead to the development and testing of a scalable solar-heated glass furnace to evaluate to feasibility of </w:t>
      </w:r>
      <w:r w:rsidR="00EF17F6">
        <w:t>solar-heated glass production</w:t>
      </w:r>
      <w:r>
        <w:t>.</w:t>
      </w:r>
    </w:p>
    <w:p w14:paraId="60E8D4DE" w14:textId="77777777" w:rsidR="004438A9" w:rsidRDefault="004438A9" w:rsidP="00EE74FC">
      <w:pPr>
        <w:pStyle w:val="Heading2"/>
      </w:pPr>
      <w:bookmarkStart w:id="2" w:name="_Toc473995142"/>
      <w:r>
        <w:t>Scope of research</w:t>
      </w:r>
      <w:bookmarkEnd w:id="2"/>
    </w:p>
    <w:p w14:paraId="5F3B2E2D" w14:textId="68530F18" w:rsidR="004438A9" w:rsidRDefault="004438A9" w:rsidP="00BA3C65">
      <w:r>
        <w:t xml:space="preserve">The scope of research </w:t>
      </w:r>
      <w:r w:rsidR="00DC0B55">
        <w:t>is</w:t>
      </w:r>
      <w:r>
        <w:t xml:space="preserve"> limited to investigating the technical feasibility of directly utilising concentrated solar radiation to provide the primary process heat for the manufacture of silicate glass products from their raw materials. </w:t>
      </w:r>
      <w:r w:rsidR="00EF17F6">
        <w:t>While</w:t>
      </w:r>
      <w:r>
        <w:t xml:space="preserve"> there are many types of glasses</w:t>
      </w:r>
      <w:r w:rsidR="00DC0B55">
        <w:t xml:space="preserve">, </w:t>
      </w:r>
      <w:r>
        <w:t xml:space="preserve">this project </w:t>
      </w:r>
      <w:r w:rsidR="00DC0B55">
        <w:t>is focussed</w:t>
      </w:r>
      <w:r>
        <w:t xml:space="preserve"> only on silicate</w:t>
      </w:r>
      <w:r w:rsidR="00EF17F6">
        <w:t>, primarily</w:t>
      </w:r>
      <w:r w:rsidR="007D5AAD">
        <w:t xml:space="preserve"> </w:t>
      </w:r>
      <w:r w:rsidR="00EF17F6">
        <w:t>soda-lime-silica,</w:t>
      </w:r>
      <w:r>
        <w:t xml:space="preserve"> glasses because they are the most abundantly produced worldwide and their primary raw material, silica sand, is abundantly available and </w:t>
      </w:r>
      <w:r>
        <w:lastRenderedPageBreak/>
        <w:t>environmentally benign so lends itself well for a future green industry.</w:t>
      </w:r>
      <w:r w:rsidR="007D5AAD">
        <w:t xml:space="preserve"> This work only deals with colourless glasses which </w:t>
      </w:r>
      <w:r w:rsidR="00307280">
        <w:t>are</w:t>
      </w:r>
      <w:r w:rsidR="007D5AAD">
        <w:t xml:space="preserve"> of particular significance due to their transparency to solar radiation. </w:t>
      </w:r>
      <w:r>
        <w:t xml:space="preserve">A significant fraction of the total embodied energy associated with the production of soda-lime-silica glass comes from the energy intensive production of soda ash. This is another issue which would need to be addressed in order to realise a truly environmentally friendly glass production but </w:t>
      </w:r>
      <w:r w:rsidR="00EF17F6">
        <w:t xml:space="preserve">was </w:t>
      </w:r>
      <w:r>
        <w:t>considered beyond the scope of this project. The experiments described in this thesis specifically aim</w:t>
      </w:r>
      <w:r w:rsidR="00EF17F6">
        <w:t>ed</w:t>
      </w:r>
      <w:r>
        <w:t xml:space="preserve"> to address the technical issues related to the practical utilisation of concentrated solar radiation for providing the process heat for glass production. </w:t>
      </w:r>
    </w:p>
    <w:p w14:paraId="7C6752E7" w14:textId="77777777" w:rsidR="004438A9" w:rsidRDefault="004438A9" w:rsidP="00EE74FC">
      <w:pPr>
        <w:pStyle w:val="Heading2"/>
      </w:pPr>
      <w:bookmarkStart w:id="3" w:name="_Toc473995143"/>
      <w:r>
        <w:t>Thesis structure</w:t>
      </w:r>
      <w:bookmarkEnd w:id="3"/>
    </w:p>
    <w:p w14:paraId="12762C20" w14:textId="434D2C23" w:rsidR="00EE74FC" w:rsidRDefault="004438A9" w:rsidP="001A6678">
      <w:r>
        <w:t xml:space="preserve">Over the course of this thesis, the case for solar heated glass production is developed. The literature review, in Chapter 2, discusses the development of the use of concentrated solar radiation for high temperature processes heat and the relevant issues associated with glass production. Chapter 3 describes the initial proof of concept experiments involving the use of a High Flux Solar Simulator (HFSS) beam to melt various glass forming batches by different methods.  Chapter 4 covers the next series of experiments aiming to demonstrate the continuity of the glass melting process by enabling a semi-continuous glass melting process, using concentrated radiation with the aid of additional secondary heating to generate of flow of molten glass from where it is melted to a secondary container where it could be formed. Chapter 5 describes the development of a solar-heated glass melting furnace involving two series of experiments over which </w:t>
      </w:r>
      <w:r w:rsidR="00EF17F6">
        <w:t>a</w:t>
      </w:r>
      <w:r w:rsidR="006B3658">
        <w:t xml:space="preserve"> scale-</w:t>
      </w:r>
      <w:r w:rsidR="00EF17F6">
        <w:t xml:space="preserve">up </w:t>
      </w:r>
      <w:r>
        <w:t>system</w:t>
      </w:r>
      <w:r w:rsidR="006B3658">
        <w:t xml:space="preserve"> is</w:t>
      </w:r>
      <w:r>
        <w:t xml:space="preserve"> tested and incrementally improved to provide increased efficiency, throughput and capability to deal with issues related to the intermittency of real solar radiation and the production of useful glass. In chapter 6 the significance of the results obtained during the course of this project is discussed with respect to the previous state of the art and the implications of the results of the solar-heated glass furnace in terms of commercial feasibility are discussed. Finally, in Chapters 7, the results of the research described in this thesis </w:t>
      </w:r>
      <w:r w:rsidR="00DC0B55">
        <w:t xml:space="preserve">are </w:t>
      </w:r>
      <w:r>
        <w:t>summarised</w:t>
      </w:r>
      <w:r w:rsidR="00DC0B55">
        <w:t>;</w:t>
      </w:r>
      <w:r>
        <w:t xml:space="preserve"> conclusions with respect to the feasibility of solar heated glass production are drawn and further work is proposed. </w:t>
      </w:r>
      <w:r w:rsidR="00EE74FC">
        <w:br w:type="page"/>
      </w:r>
    </w:p>
    <w:p w14:paraId="12C50C85" w14:textId="77777777" w:rsidR="00EF1DD3" w:rsidRPr="00195D88" w:rsidRDefault="00EF1DD3" w:rsidP="00195D88">
      <w:pPr>
        <w:pStyle w:val="Heading1"/>
      </w:pPr>
      <w:bookmarkStart w:id="4" w:name="_Toc473995144"/>
      <w:r w:rsidRPr="00195D88">
        <w:lastRenderedPageBreak/>
        <w:t>Literature review: Concentrated solar thermal process heat and glass production</w:t>
      </w:r>
      <w:bookmarkEnd w:id="4"/>
      <w:r w:rsidRPr="00195D88">
        <w:t xml:space="preserve"> </w:t>
      </w:r>
    </w:p>
    <w:p w14:paraId="2C7E10FA" w14:textId="77777777" w:rsidR="00EF1DD3" w:rsidRDefault="00EF1DD3" w:rsidP="00EF1DD3">
      <w:pPr>
        <w:pStyle w:val="Heading2"/>
        <w:keepLines/>
        <w:numPr>
          <w:ilvl w:val="1"/>
          <w:numId w:val="2"/>
        </w:numPr>
        <w:spacing w:before="120" w:after="120"/>
        <w:ind w:left="788" w:hanging="431"/>
      </w:pPr>
      <w:bookmarkStart w:id="5" w:name="_Ref451200435"/>
      <w:bookmarkStart w:id="6" w:name="_Toc473995145"/>
      <w:r>
        <w:t>Introduction</w:t>
      </w:r>
      <w:bookmarkEnd w:id="5"/>
      <w:bookmarkEnd w:id="6"/>
    </w:p>
    <w:p w14:paraId="7B5E054F" w14:textId="78288E90" w:rsidR="00EF1DD3" w:rsidRDefault="00EF1DD3" w:rsidP="00EF1DD3">
      <w:pPr>
        <w:rPr>
          <w:lang w:val="en-US"/>
        </w:rPr>
      </w:pPr>
      <w:r>
        <w:rPr>
          <w:lang w:val="en-US"/>
        </w:rPr>
        <w:t>In this chapter, the literature related to</w:t>
      </w:r>
      <w:r w:rsidRPr="00261A18">
        <w:t xml:space="preserve"> utilisation</w:t>
      </w:r>
      <w:r>
        <w:rPr>
          <w:lang w:val="en-US"/>
        </w:rPr>
        <w:t xml:space="preserve"> of concentrated solar radiation and glass production is reviewed</w:t>
      </w:r>
      <w:r w:rsidR="00DC0B55">
        <w:rPr>
          <w:lang w:val="en-US"/>
        </w:rPr>
        <w:t xml:space="preserve">. </w:t>
      </w:r>
      <w:r w:rsidR="00DC0B55">
        <w:t>It</w:t>
      </w:r>
      <w:r>
        <w:t>s</w:t>
      </w:r>
      <w:r>
        <w:rPr>
          <w:lang w:val="en-US"/>
        </w:rPr>
        <w:t xml:space="preserve"> relevance, leading to the selection of the chosen experimental methodology carried out in this project, is explained as follows:</w:t>
      </w:r>
    </w:p>
    <w:p w14:paraId="60FE9445" w14:textId="77777777" w:rsidR="00EF1DD3" w:rsidRDefault="00EF1DD3" w:rsidP="00C2720A">
      <w:pPr>
        <w:pStyle w:val="ListParagraph"/>
        <w:numPr>
          <w:ilvl w:val="0"/>
          <w:numId w:val="3"/>
        </w:numPr>
        <w:spacing w:before="120" w:after="120"/>
        <w15:collapsed/>
        <w:rPr>
          <w:lang w:val="en-US"/>
        </w:rPr>
      </w:pPr>
      <w:r>
        <w:rPr>
          <w:lang w:val="en-US"/>
        </w:rPr>
        <w:t>T</w:t>
      </w:r>
      <w:r w:rsidRPr="008713D4">
        <w:rPr>
          <w:lang w:val="en-US"/>
        </w:rPr>
        <w:t xml:space="preserve">he case for considering a new method for providing the energy for future glass production is developed in </w:t>
      </w:r>
      <w:r>
        <w:rPr>
          <w:lang w:val="en-US"/>
        </w:rPr>
        <w:t xml:space="preserve">section </w:t>
      </w:r>
      <w:r>
        <w:rPr>
          <w:lang w:val="en-US"/>
        </w:rPr>
        <w:fldChar w:fldCharType="begin"/>
      </w:r>
      <w:r>
        <w:rPr>
          <w:lang w:val="en-US"/>
        </w:rPr>
        <w:instrText xml:space="preserve"> REF _Ref451200435 \n \h </w:instrText>
      </w:r>
      <w:r>
        <w:rPr>
          <w:lang w:val="en-US"/>
        </w:rPr>
      </w:r>
      <w:r>
        <w:rPr>
          <w:lang w:val="en-US"/>
        </w:rPr>
        <w:fldChar w:fldCharType="separate"/>
      </w:r>
      <w:r w:rsidR="00820EB1">
        <w:rPr>
          <w:lang w:val="en-US"/>
        </w:rPr>
        <w:t>2.1</w:t>
      </w:r>
      <w:r>
        <w:rPr>
          <w:lang w:val="en-US"/>
        </w:rPr>
        <w:fldChar w:fldCharType="end"/>
      </w:r>
      <w:r>
        <w:rPr>
          <w:lang w:val="en-US"/>
        </w:rPr>
        <w:t xml:space="preserve">, </w:t>
      </w:r>
      <w:r w:rsidRPr="008713D4">
        <w:rPr>
          <w:lang w:val="en-US"/>
        </w:rPr>
        <w:t>by explanation</w:t>
      </w:r>
      <w:r>
        <w:rPr>
          <w:lang w:val="en-US"/>
        </w:rPr>
        <w:t xml:space="preserve"> of the importance of glass and</w:t>
      </w:r>
      <w:r w:rsidRPr="008713D4">
        <w:rPr>
          <w:lang w:val="en-US"/>
        </w:rPr>
        <w:t xml:space="preserve"> the</w:t>
      </w:r>
      <w:r>
        <w:rPr>
          <w:lang w:val="en-US"/>
        </w:rPr>
        <w:t xml:space="preserve"> energy intensity of the fossil-</w:t>
      </w:r>
      <w:r w:rsidRPr="008713D4">
        <w:rPr>
          <w:lang w:val="en-US"/>
        </w:rPr>
        <w:t>fueled process by which it is currently produced</w:t>
      </w:r>
      <w:r>
        <w:rPr>
          <w:lang w:val="en-US"/>
        </w:rPr>
        <w:t>;</w:t>
      </w:r>
    </w:p>
    <w:p w14:paraId="218AFC8D" w14:textId="4F64E905" w:rsidR="00EF1DD3" w:rsidRDefault="00EF1DD3" w:rsidP="00C2720A">
      <w:pPr>
        <w:pStyle w:val="ListParagraph"/>
        <w:numPr>
          <w:ilvl w:val="0"/>
          <w:numId w:val="3"/>
        </w:numPr>
        <w:spacing w:before="120" w:after="120"/>
        <w15:collapsed/>
        <w:rPr>
          <w:lang w:val="en-US"/>
        </w:rPr>
      </w:pPr>
      <w:r>
        <w:rPr>
          <w:lang w:val="en-US"/>
        </w:rPr>
        <w:t>T</w:t>
      </w:r>
      <w:r w:rsidRPr="008713D4">
        <w:rPr>
          <w:lang w:val="en-US"/>
        </w:rPr>
        <w:t>he rational</w:t>
      </w:r>
      <w:r>
        <w:rPr>
          <w:lang w:val="en-US"/>
        </w:rPr>
        <w:t>e</w:t>
      </w:r>
      <w:r w:rsidRPr="008713D4">
        <w:rPr>
          <w:lang w:val="en-US"/>
        </w:rPr>
        <w:t xml:space="preserve"> for considering the use of concentrated solar radiation as a heat source for glass production</w:t>
      </w:r>
      <w:r>
        <w:rPr>
          <w:lang w:val="en-US"/>
        </w:rPr>
        <w:t xml:space="preserve"> and a review of the relevant existing technologies is provided</w:t>
      </w:r>
      <w:r w:rsidRPr="008713D4">
        <w:rPr>
          <w:lang w:val="en-US"/>
        </w:rPr>
        <w:t xml:space="preserve"> </w:t>
      </w:r>
      <w:r>
        <w:rPr>
          <w:lang w:val="en-US"/>
        </w:rPr>
        <w:t xml:space="preserve">in section </w:t>
      </w:r>
      <w:r w:rsidR="0008584B">
        <w:rPr>
          <w:lang w:val="en-US"/>
        </w:rPr>
        <w:fldChar w:fldCharType="begin"/>
      </w:r>
      <w:r w:rsidR="0008584B">
        <w:rPr>
          <w:lang w:val="en-US"/>
        </w:rPr>
        <w:instrText xml:space="preserve"> REF _Ref456439076 \r \h </w:instrText>
      </w:r>
      <w:r w:rsidR="0008584B">
        <w:rPr>
          <w:lang w:val="en-US"/>
        </w:rPr>
      </w:r>
      <w:r w:rsidR="0008584B">
        <w:rPr>
          <w:lang w:val="en-US"/>
        </w:rPr>
        <w:fldChar w:fldCharType="separate"/>
      </w:r>
      <w:r w:rsidR="00820EB1">
        <w:rPr>
          <w:lang w:val="en-US"/>
        </w:rPr>
        <w:t>2.2</w:t>
      </w:r>
      <w:r w:rsidR="0008584B">
        <w:rPr>
          <w:lang w:val="en-US"/>
        </w:rPr>
        <w:fldChar w:fldCharType="end"/>
      </w:r>
      <w:r w:rsidRPr="008713D4">
        <w:rPr>
          <w:lang w:val="en-US"/>
        </w:rPr>
        <w:t xml:space="preserve">; </w:t>
      </w:r>
    </w:p>
    <w:p w14:paraId="131FAC16" w14:textId="4197E31F" w:rsidR="0008584B" w:rsidRDefault="0008584B" w:rsidP="00C2720A">
      <w:pPr>
        <w:pStyle w:val="ListParagraph"/>
        <w:numPr>
          <w:ilvl w:val="0"/>
          <w:numId w:val="3"/>
        </w:numPr>
        <w:spacing w:before="120" w:after="120"/>
        <w15:collapsed/>
        <w:rPr>
          <w:lang w:val="en-US"/>
        </w:rPr>
      </w:pPr>
      <w:r>
        <w:rPr>
          <w:lang w:val="en-US"/>
        </w:rPr>
        <w:t xml:space="preserve">A review of </w:t>
      </w:r>
      <w:r w:rsidR="009A023A">
        <w:rPr>
          <w:lang w:val="en-US"/>
        </w:rPr>
        <w:t>existing</w:t>
      </w:r>
      <w:r>
        <w:rPr>
          <w:lang w:val="en-US"/>
        </w:rPr>
        <w:t xml:space="preserve"> solar </w:t>
      </w:r>
      <w:r w:rsidR="009A023A">
        <w:rPr>
          <w:lang w:val="en-US"/>
        </w:rPr>
        <w:t>concentrating</w:t>
      </w:r>
      <w:r>
        <w:rPr>
          <w:lang w:val="en-US"/>
        </w:rPr>
        <w:t xml:space="preserve"> technologies and their </w:t>
      </w:r>
      <w:r w:rsidR="009A023A">
        <w:rPr>
          <w:lang w:val="en-US"/>
        </w:rPr>
        <w:t>relevance</w:t>
      </w:r>
      <w:r>
        <w:rPr>
          <w:lang w:val="en-US"/>
        </w:rPr>
        <w:t xml:space="preserve"> to glass production is covered in section </w:t>
      </w:r>
      <w:r>
        <w:rPr>
          <w:lang w:val="en-US"/>
        </w:rPr>
        <w:fldChar w:fldCharType="begin"/>
      </w:r>
      <w:r>
        <w:rPr>
          <w:lang w:val="en-US"/>
        </w:rPr>
        <w:instrText xml:space="preserve"> REF _Ref456439160 \r \h </w:instrText>
      </w:r>
      <w:r>
        <w:rPr>
          <w:lang w:val="en-US"/>
        </w:rPr>
      </w:r>
      <w:r>
        <w:rPr>
          <w:lang w:val="en-US"/>
        </w:rPr>
        <w:fldChar w:fldCharType="separate"/>
      </w:r>
      <w:r w:rsidR="00820EB1">
        <w:rPr>
          <w:lang w:val="en-US"/>
        </w:rPr>
        <w:t>2.3</w:t>
      </w:r>
      <w:r>
        <w:rPr>
          <w:lang w:val="en-US"/>
        </w:rPr>
        <w:fldChar w:fldCharType="end"/>
      </w:r>
      <w:r>
        <w:rPr>
          <w:lang w:val="en-US"/>
        </w:rPr>
        <w:t>;</w:t>
      </w:r>
    </w:p>
    <w:p w14:paraId="04C55C09" w14:textId="56DD8DC1" w:rsidR="0007470E" w:rsidRDefault="0007470E" w:rsidP="00C2720A">
      <w:pPr>
        <w:pStyle w:val="ListParagraph"/>
        <w:numPr>
          <w:ilvl w:val="0"/>
          <w:numId w:val="3"/>
        </w:numPr>
        <w:spacing w:before="120" w:after="120"/>
        <w15:collapsed/>
        <w:rPr>
          <w:lang w:val="en-US"/>
        </w:rPr>
      </w:pPr>
      <w:r>
        <w:rPr>
          <w:lang w:val="en-US"/>
        </w:rPr>
        <w:t xml:space="preserve">An overview of the glass making process </w:t>
      </w:r>
      <w:r w:rsidR="008708A2">
        <w:rPr>
          <w:lang w:val="en-US"/>
        </w:rPr>
        <w:t>relevant</w:t>
      </w:r>
      <w:r>
        <w:rPr>
          <w:lang w:val="en-US"/>
        </w:rPr>
        <w:t xml:space="preserve"> to this work is provided in section 2.4;</w:t>
      </w:r>
    </w:p>
    <w:p w14:paraId="73E44FE0" w14:textId="77777777" w:rsidR="00EF1DD3" w:rsidRPr="008F55C3" w:rsidRDefault="00EF1DD3" w:rsidP="00C2720A">
      <w:pPr>
        <w:pStyle w:val="ListParagraph"/>
        <w:numPr>
          <w:ilvl w:val="0"/>
          <w:numId w:val="3"/>
        </w:numPr>
        <w:spacing w:before="120" w:after="120"/>
        <w15:collapsed/>
        <w:rPr>
          <w:lang w:val="en-US"/>
        </w:rPr>
      </w:pPr>
      <w:r>
        <w:rPr>
          <w:lang w:val="en-US"/>
        </w:rPr>
        <w:t xml:space="preserve">Previous work related to the use of concentrated radiative heating for melting glass and </w:t>
      </w:r>
      <w:r w:rsidRPr="008F55C3">
        <w:rPr>
          <w:lang w:val="en-US"/>
        </w:rPr>
        <w:t xml:space="preserve">refractory oxides are discussed in section </w:t>
      </w:r>
      <w:r>
        <w:rPr>
          <w:lang w:val="en-US"/>
        </w:rPr>
        <w:fldChar w:fldCharType="begin"/>
      </w:r>
      <w:r>
        <w:rPr>
          <w:lang w:val="en-US"/>
        </w:rPr>
        <w:instrText xml:space="preserve"> REF _Ref451200491 \n \h </w:instrText>
      </w:r>
      <w:r>
        <w:rPr>
          <w:lang w:val="en-US"/>
        </w:rPr>
      </w:r>
      <w:r>
        <w:rPr>
          <w:lang w:val="en-US"/>
        </w:rPr>
        <w:fldChar w:fldCharType="separate"/>
      </w:r>
      <w:r w:rsidR="00820EB1">
        <w:rPr>
          <w:lang w:val="en-US"/>
        </w:rPr>
        <w:t>2.5</w:t>
      </w:r>
      <w:r>
        <w:rPr>
          <w:lang w:val="en-US"/>
        </w:rPr>
        <w:fldChar w:fldCharType="end"/>
      </w:r>
      <w:r w:rsidRPr="008F55C3">
        <w:rPr>
          <w:lang w:val="en-US"/>
        </w:rPr>
        <w:t>;</w:t>
      </w:r>
    </w:p>
    <w:p w14:paraId="18D938E4" w14:textId="77777777" w:rsidR="00EF1DD3" w:rsidRDefault="00EF1DD3" w:rsidP="00C2720A">
      <w:pPr>
        <w:pStyle w:val="ListParagraph"/>
        <w:numPr>
          <w:ilvl w:val="0"/>
          <w:numId w:val="3"/>
        </w:numPr>
        <w:spacing w:before="120" w:after="120"/>
        <w15:collapsed/>
        <w:rPr>
          <w:lang w:val="en-US"/>
        </w:rPr>
      </w:pPr>
      <w:r>
        <w:rPr>
          <w:lang w:val="en-US"/>
        </w:rPr>
        <w:t xml:space="preserve">Specific issues related to glass production using concentrated solar radiation are discussed in section </w:t>
      </w:r>
      <w:r>
        <w:rPr>
          <w:lang w:val="en-US"/>
        </w:rPr>
        <w:fldChar w:fldCharType="begin"/>
      </w:r>
      <w:r>
        <w:rPr>
          <w:lang w:val="en-US"/>
        </w:rPr>
        <w:instrText xml:space="preserve"> REF _Ref451200512 \n \h </w:instrText>
      </w:r>
      <w:r>
        <w:rPr>
          <w:lang w:val="en-US"/>
        </w:rPr>
      </w:r>
      <w:r>
        <w:rPr>
          <w:lang w:val="en-US"/>
        </w:rPr>
        <w:fldChar w:fldCharType="separate"/>
      </w:r>
      <w:r w:rsidR="00820EB1">
        <w:rPr>
          <w:lang w:val="en-US"/>
        </w:rPr>
        <w:t>2.6</w:t>
      </w:r>
      <w:r>
        <w:rPr>
          <w:lang w:val="en-US"/>
        </w:rPr>
        <w:fldChar w:fldCharType="end"/>
      </w:r>
      <w:r>
        <w:rPr>
          <w:lang w:val="en-US"/>
        </w:rPr>
        <w:t>;</w:t>
      </w:r>
    </w:p>
    <w:p w14:paraId="606847B0" w14:textId="77777777" w:rsidR="00EF1DD3" w:rsidRPr="00D767B3" w:rsidRDefault="00EF1DD3" w:rsidP="00C2720A">
      <w:pPr>
        <w:pStyle w:val="ListParagraph"/>
        <w:numPr>
          <w:ilvl w:val="0"/>
          <w:numId w:val="3"/>
        </w:numPr>
        <w:spacing w:before="120" w:after="120"/>
        <w15:collapsed/>
        <w:rPr>
          <w:lang w:val="en-US"/>
        </w:rPr>
      </w:pPr>
      <w:r>
        <w:rPr>
          <w:lang w:val="en-US"/>
        </w:rPr>
        <w:t xml:space="preserve">In section </w:t>
      </w:r>
      <w:r>
        <w:rPr>
          <w:lang w:val="en-US"/>
        </w:rPr>
        <w:fldChar w:fldCharType="begin"/>
      </w:r>
      <w:r>
        <w:rPr>
          <w:lang w:val="en-US"/>
        </w:rPr>
        <w:instrText xml:space="preserve"> REF _Ref451200520 \n \h </w:instrText>
      </w:r>
      <w:r>
        <w:rPr>
          <w:lang w:val="en-US"/>
        </w:rPr>
      </w:r>
      <w:r>
        <w:rPr>
          <w:lang w:val="en-US"/>
        </w:rPr>
        <w:fldChar w:fldCharType="separate"/>
      </w:r>
      <w:r w:rsidR="00820EB1">
        <w:rPr>
          <w:lang w:val="en-US"/>
        </w:rPr>
        <w:t>2.7</w:t>
      </w:r>
      <w:r>
        <w:rPr>
          <w:lang w:val="en-US"/>
        </w:rPr>
        <w:fldChar w:fldCharType="end"/>
      </w:r>
      <w:r>
        <w:rPr>
          <w:lang w:val="en-US"/>
        </w:rPr>
        <w:t>, conclusions are drawn from this review; explaining the reasoning for the chosen experimental methodology for this project.</w:t>
      </w:r>
    </w:p>
    <w:p w14:paraId="1B930202" w14:textId="77777777" w:rsidR="00EF1DD3" w:rsidRDefault="00EF1DD3" w:rsidP="00EF1DD3">
      <w:pPr>
        <w:pStyle w:val="Heading2"/>
        <w:keepLines/>
        <w:numPr>
          <w:ilvl w:val="1"/>
          <w:numId w:val="2"/>
        </w:numPr>
        <w:spacing w:before="120" w:after="120"/>
        <w:ind w:left="788" w:hanging="431"/>
      </w:pPr>
      <w:bookmarkStart w:id="7" w:name="_Ref456439076"/>
      <w:bookmarkStart w:id="8" w:name="_Toc473995146"/>
      <w:r>
        <w:t>Glass</w:t>
      </w:r>
      <w:bookmarkEnd w:id="7"/>
      <w:bookmarkEnd w:id="8"/>
    </w:p>
    <w:p w14:paraId="71C0BCBF" w14:textId="1F493902" w:rsidR="00EF1DD3" w:rsidRPr="007D1341" w:rsidRDefault="00EF1DD3" w:rsidP="00EF1DD3">
      <w:r>
        <w:rPr>
          <w:lang w:val="en-US"/>
        </w:rPr>
        <w:t xml:space="preserve">In familiar usage, the term ‘glass’ refers to a </w:t>
      </w:r>
      <w:r w:rsidRPr="005E6EA8">
        <w:rPr>
          <w:lang w:val="en-US"/>
        </w:rPr>
        <w:t>transparent, brittle material</w:t>
      </w:r>
      <w:r>
        <w:rPr>
          <w:lang w:val="en-US"/>
        </w:rPr>
        <w:t>, used for a wide range of applications, from</w:t>
      </w:r>
      <w:r w:rsidRPr="005E6EA8">
        <w:rPr>
          <w:lang w:val="en-US"/>
        </w:rPr>
        <w:t xml:space="preserve"> </w:t>
      </w:r>
      <w:r>
        <w:rPr>
          <w:lang w:val="en-US"/>
        </w:rPr>
        <w:t>food and beverage containers to</w:t>
      </w:r>
      <w:r w:rsidRPr="005E6EA8">
        <w:rPr>
          <w:lang w:val="en-US"/>
        </w:rPr>
        <w:t xml:space="preserve"> screens for electronic devices.</w:t>
      </w:r>
      <w:r>
        <w:rPr>
          <w:lang w:val="en-US"/>
        </w:rPr>
        <w:t xml:space="preserve"> At room temperature, glasses sustain definite shapes like solid materials but the atomic structures of glasses are</w:t>
      </w:r>
      <w:r w:rsidRPr="00261A18">
        <w:t xml:space="preserve"> disorganised</w:t>
      </w:r>
      <w:r>
        <w:rPr>
          <w:lang w:val="en-US"/>
        </w:rPr>
        <w:t>, more like that of liquids. Also, most solids maintain their organized atomic structure and definite shape until they are heated</w:t>
      </w:r>
      <w:r w:rsidRPr="00261A18">
        <w:t xml:space="preserve"> up to</w:t>
      </w:r>
      <w:r>
        <w:rPr>
          <w:lang w:val="en-US"/>
        </w:rPr>
        <w:t xml:space="preserve"> their melting temperature (T</w:t>
      </w:r>
      <w:r>
        <w:rPr>
          <w:vertAlign w:val="subscript"/>
          <w:lang w:val="en-US"/>
        </w:rPr>
        <w:t>m</w:t>
      </w:r>
      <w:r>
        <w:rPr>
          <w:lang w:val="en-US"/>
        </w:rPr>
        <w:t xml:space="preserve">), at which point a distinct transformation </w:t>
      </w:r>
      <w:r w:rsidRPr="00714A64">
        <w:rPr>
          <w:lang w:val="en-US"/>
        </w:rPr>
        <w:t xml:space="preserve">into a liquid </w:t>
      </w:r>
      <w:r>
        <w:rPr>
          <w:lang w:val="en-US"/>
        </w:rPr>
        <w:t xml:space="preserve">phase </w:t>
      </w:r>
      <w:r w:rsidRPr="00714A64">
        <w:rPr>
          <w:lang w:val="en-US"/>
        </w:rPr>
        <w:t>is observed</w:t>
      </w:r>
      <w:r>
        <w:rPr>
          <w:lang w:val="en-US"/>
        </w:rPr>
        <w:t xml:space="preserve">. However, when glasses are heated, no such distinct discontinuity in the physical and atomic structure associated with </w:t>
      </w:r>
      <w:r w:rsidR="0008584B">
        <w:rPr>
          <w:lang w:val="en-US"/>
        </w:rPr>
        <w:t xml:space="preserve">a first order </w:t>
      </w:r>
      <w:r>
        <w:rPr>
          <w:lang w:val="en-US"/>
        </w:rPr>
        <w:t xml:space="preserve">phase change can be observed. Instead, a glass will exhibit a continuous transition from a rigid material, gradually softening and decreasing in viscosity with increasing temperature until it is completely fluid. </w:t>
      </w:r>
      <w:r>
        <w:t xml:space="preserve">This difference in behaviour can be seen when comparing the changes in specific volume of the two types of melts as a function of temperature as shown in </w:t>
      </w:r>
      <w:r>
        <w:fldChar w:fldCharType="begin"/>
      </w:r>
      <w:r>
        <w:instrText xml:space="preserve"> REF _Ref438116403 \h </w:instrText>
      </w:r>
      <w:r>
        <w:fldChar w:fldCharType="separate"/>
      </w:r>
      <w:r w:rsidR="00820EB1" w:rsidRPr="00F6647A">
        <w:t xml:space="preserve">Figure </w:t>
      </w:r>
      <w:r w:rsidR="00820EB1">
        <w:rPr>
          <w:noProof/>
        </w:rPr>
        <w:t>1</w:t>
      </w:r>
      <w:r>
        <w:fldChar w:fldCharType="end"/>
      </w:r>
      <w:r>
        <w:t xml:space="preserve">, where </w:t>
      </w:r>
      <w:r>
        <w:lastRenderedPageBreak/>
        <w:t>the normal melt (solid blue line) exhibits a discontinuity at T</w:t>
      </w:r>
      <w:r>
        <w:rPr>
          <w:vertAlign w:val="subscript"/>
        </w:rPr>
        <w:t>m</w:t>
      </w:r>
      <w:r>
        <w:t xml:space="preserve"> associated with the phase change, while the glass forming melt (dotted orange line) exhibits a continuous transition to a glass around the glass transition temperature (T</w:t>
      </w:r>
      <w:r>
        <w:rPr>
          <w:vertAlign w:val="subscript"/>
        </w:rPr>
        <w:t>g</w:t>
      </w:r>
      <w:r>
        <w:t>).</w:t>
      </w:r>
    </w:p>
    <w:p w14:paraId="0A15EA2B" w14:textId="77777777" w:rsidR="00EF1DD3" w:rsidRDefault="00EF1DD3" w:rsidP="00EF1DD3">
      <w:pPr>
        <w:jc w:val="center"/>
      </w:pPr>
      <w:r>
        <w:rPr>
          <w:noProof/>
        </w:rPr>
        <w:drawing>
          <wp:inline distT="0" distB="0" distL="0" distR="0" wp14:anchorId="0E756436" wp14:editId="48921F05">
            <wp:extent cx="3613709" cy="2318999"/>
            <wp:effectExtent l="0" t="0" r="635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279" t="23164" r="22018" b="16684"/>
                    <a:stretch/>
                  </pic:blipFill>
                  <pic:spPr bwMode="auto">
                    <a:xfrm>
                      <a:off x="0" y="0"/>
                      <a:ext cx="3622796" cy="2324830"/>
                    </a:xfrm>
                    <a:prstGeom prst="rect">
                      <a:avLst/>
                    </a:prstGeom>
                    <a:ln>
                      <a:noFill/>
                    </a:ln>
                    <a:extLst>
                      <a:ext uri="{53640926-AAD7-44D8-BBD7-CCE9431645EC}">
                        <a14:shadowObscured xmlns:a14="http://schemas.microsoft.com/office/drawing/2010/main"/>
                      </a:ext>
                    </a:extLst>
                  </pic:spPr>
                </pic:pic>
              </a:graphicData>
            </a:graphic>
          </wp:inline>
        </w:drawing>
      </w:r>
    </w:p>
    <w:p w14:paraId="05C533FD" w14:textId="77777777" w:rsidR="00EF1DD3" w:rsidRPr="00F6647A" w:rsidRDefault="00EF1DD3" w:rsidP="00EF1DD3">
      <w:pPr>
        <w:pStyle w:val="Caption"/>
      </w:pPr>
      <w:bookmarkStart w:id="9" w:name="_Ref438116403"/>
      <w:r w:rsidRPr="00F6647A">
        <w:t xml:space="preserve">Figure </w:t>
      </w:r>
      <w:r w:rsidR="00A47317">
        <w:fldChar w:fldCharType="begin"/>
      </w:r>
      <w:r w:rsidR="00A47317">
        <w:instrText xml:space="preserve"> SEQ Figure \* ARABIC </w:instrText>
      </w:r>
      <w:r w:rsidR="00A47317">
        <w:fldChar w:fldCharType="separate"/>
      </w:r>
      <w:r w:rsidR="00820EB1">
        <w:rPr>
          <w:noProof/>
        </w:rPr>
        <w:t>1</w:t>
      </w:r>
      <w:r w:rsidR="00A47317">
        <w:rPr>
          <w:noProof/>
        </w:rPr>
        <w:fldChar w:fldCharType="end"/>
      </w:r>
      <w:bookmarkEnd w:id="9"/>
      <w:r w:rsidRPr="00F6647A">
        <w:t xml:space="preserve">: Comparison of the changes in specific volume with temperature for normal (solid blue line) and glass forming (dotted orange line) melts. </w:t>
      </w:r>
      <w:r w:rsidRPr="00547560">
        <w:t>T</w:t>
      </w:r>
      <w:r>
        <w:rPr>
          <w:vertAlign w:val="subscript"/>
        </w:rPr>
        <w:t>g</w:t>
      </w:r>
      <w:r>
        <w:t xml:space="preserve">  is the</w:t>
      </w:r>
      <w:r w:rsidRPr="00F6647A">
        <w:t xml:space="preserve"> glass transition temperature</w:t>
      </w:r>
      <w:r>
        <w:t>.</w:t>
      </w:r>
      <w:r w:rsidRPr="00F6647A">
        <w:t xml:space="preserve"> </w:t>
      </w:r>
      <w:r w:rsidRPr="00547560">
        <w:t>T</w:t>
      </w:r>
      <w:r>
        <w:rPr>
          <w:vertAlign w:val="subscript"/>
        </w:rPr>
        <w:t>m</w:t>
      </w:r>
      <w:r>
        <w:t xml:space="preserve"> is</w:t>
      </w:r>
      <w:r w:rsidRPr="00F6647A">
        <w:t xml:space="preserve"> </w:t>
      </w:r>
      <w:r>
        <w:t xml:space="preserve">the </w:t>
      </w:r>
      <w:r w:rsidRPr="00F6647A">
        <w:t>melting</w:t>
      </w:r>
      <w:r>
        <w:t xml:space="preserve"> or liquidus</w:t>
      </w:r>
      <w:r w:rsidRPr="00F6647A">
        <w:t xml:space="preserve"> temperature.</w:t>
      </w:r>
    </w:p>
    <w:p w14:paraId="79682582" w14:textId="571CD605" w:rsidR="00EF1DD3" w:rsidRDefault="00EF1DD3" w:rsidP="00EF1DD3">
      <w:pPr>
        <w:rPr>
          <w:lang w:val="en-US"/>
        </w:rPr>
      </w:pPr>
      <w:r>
        <w:rPr>
          <w:lang w:val="en-US"/>
        </w:rPr>
        <w:t>To explain this unique behavior of glasses, it is necessary to further understand their atomic structure and how they are formed.</w:t>
      </w:r>
    </w:p>
    <w:p w14:paraId="2B73D9B3" w14:textId="36792BD0" w:rsidR="00EF1DD3" w:rsidRPr="00EF1DD3" w:rsidRDefault="00EF1DD3" w:rsidP="00EF1DD3">
      <w:pPr>
        <w:pStyle w:val="Heading3"/>
      </w:pPr>
      <w:r w:rsidRPr="00EF1DD3">
        <w:t>Glass forming melts</w:t>
      </w:r>
      <w:r w:rsidRPr="005504BB">
        <w:rPr>
          <w:rStyle w:val="FootnoteReference"/>
        </w:rPr>
        <w:footnoteReference w:id="1"/>
      </w:r>
    </w:p>
    <w:p w14:paraId="16736A0B" w14:textId="14CA1E3F" w:rsidR="00EF1DD3" w:rsidRDefault="00EF1DD3" w:rsidP="005504BB">
      <w:r>
        <w:t xml:space="preserve">To produce glass, </w:t>
      </w:r>
      <w:r w:rsidR="0008584B">
        <w:t xml:space="preserve">a </w:t>
      </w:r>
      <w:r>
        <w:t>crystalline raw material</w:t>
      </w:r>
      <w:r w:rsidR="0008584B">
        <w:t xml:space="preserve"> is</w:t>
      </w:r>
      <w:r>
        <w:t xml:space="preserve"> heated beyond </w:t>
      </w:r>
      <w:r w:rsidR="0008584B">
        <w:t xml:space="preserve">its </w:t>
      </w:r>
      <w:r>
        <w:t>melting temperature (</w:t>
      </w:r>
      <w:r w:rsidRPr="00B516C1">
        <w:t>T</w:t>
      </w:r>
      <w:r w:rsidRPr="00B516C1">
        <w:rPr>
          <w:vertAlign w:val="subscript"/>
        </w:rPr>
        <w:t>m</w:t>
      </w:r>
      <w:r w:rsidRPr="00B516C1">
        <w:t>)</w:t>
      </w:r>
      <w:r>
        <w:t xml:space="preserve">, also known as the </w:t>
      </w:r>
      <w:r w:rsidRPr="00ED71CD">
        <w:rPr>
          <w:i/>
        </w:rPr>
        <w:t>liquidus</w:t>
      </w:r>
      <w:r>
        <w:rPr>
          <w:i/>
        </w:rPr>
        <w:t>,</w:t>
      </w:r>
      <w:r>
        <w:t xml:space="preserve"> which is defined as the temperature, above which the crystalline phase is no longer thermodynamically feasible </w:t>
      </w:r>
      <w:r>
        <w:fldChar w:fldCharType="begin" w:fldLock="1"/>
      </w:r>
      <w:r>
        <w:instrText>ADDIN CSL_CITATION { "citationItems" : [ { "id" : "ITEM-1", "itemData" : { "author" : [ { "dropping-particle" : "", "family" : "Rawson", "given" : "H.", "non-dropping-particle" : "", "parse-names" : false, "suffix" : "" } ], "container-title" : "Glass Science and Technology 3", "id" : "ITEM-1", "issued" : { "date-parts" : [ [ "1980" ] ] }, "page" : "10", "publisher" : "Elsevier Science Publshers B.V", "title" : "Properties and applications of glass", "type" : "chapter" }, "uris" : [ "http://www.mendeley.com/documents/?uuid=f591a1a2-f0f2-4ba3-aae4-9515bf609fef" ] } ], "mendeley" : { "formattedCitation" : "(Rawson 1980)", "plainTextFormattedCitation" : "(Rawson 1980)", "previouslyFormattedCitation" : "(Rawson 1980)" }, "properties" : { "noteIndex" : 0 }, "schema" : "https://github.com/citation-style-language/schema/raw/master/csl-citation.json" }</w:instrText>
      </w:r>
      <w:r>
        <w:fldChar w:fldCharType="separate"/>
      </w:r>
      <w:r w:rsidRPr="004B3189">
        <w:rPr>
          <w:noProof/>
        </w:rPr>
        <w:t>(Rawson 1980)</w:t>
      </w:r>
      <w:r>
        <w:fldChar w:fldCharType="end"/>
      </w:r>
      <w:r>
        <w:t xml:space="preserve"> so only liquid can exist. If the viscosity of the melt is sufficiently high (≈10</w:t>
      </w:r>
      <w:r>
        <w:rPr>
          <w:vertAlign w:val="superscript"/>
        </w:rPr>
        <w:t>2</w:t>
      </w:r>
      <w:r>
        <w:t xml:space="preserve"> Pa s) at T</w:t>
      </w:r>
      <w:r>
        <w:rPr>
          <w:vertAlign w:val="subscript"/>
        </w:rPr>
        <w:t>m</w:t>
      </w:r>
      <w:r>
        <w:t xml:space="preserve"> and it is cooled sufficiently quickly, then there is insufficient time for the atomic structure to reorganise completely as required for transformation back to the more thermodynamically favourable solid crystalline phase so instead the glass forming melt remains a super-cooled liquid (</w:t>
      </w:r>
      <w:r>
        <w:fldChar w:fldCharType="begin"/>
      </w:r>
      <w:r>
        <w:instrText xml:space="preserve"> REF _Ref438042230 \h </w:instrText>
      </w:r>
      <w:r>
        <w:fldChar w:fldCharType="separate"/>
      </w:r>
      <w:r w:rsidR="00820EB1">
        <w:t xml:space="preserve">Figure </w:t>
      </w:r>
      <w:r w:rsidR="00820EB1">
        <w:rPr>
          <w:noProof/>
        </w:rPr>
        <w:t>2</w:t>
      </w:r>
      <w:r>
        <w:fldChar w:fldCharType="end"/>
      </w:r>
      <w:r>
        <w:t xml:space="preserve">). As the melt cools further, more bonds are formed, so the mobility of the atoms become increasingly limited </w:t>
      </w:r>
      <w:r w:rsidR="002D3823">
        <w:t xml:space="preserve">and </w:t>
      </w:r>
      <w:r>
        <w:t>the viscosity increases. If the viscosity of the glass forming melt exceeds 10</w:t>
      </w:r>
      <w:r>
        <w:rPr>
          <w:vertAlign w:val="superscript"/>
        </w:rPr>
        <w:t>1</w:t>
      </w:r>
      <w:r w:rsidR="0008584B">
        <w:rPr>
          <w:vertAlign w:val="superscript"/>
        </w:rPr>
        <w:t>2-1</w:t>
      </w:r>
      <w:r>
        <w:rPr>
          <w:vertAlign w:val="superscript"/>
        </w:rPr>
        <w:t>3</w:t>
      </w:r>
      <w:r>
        <w:t xml:space="preserve"> Pa s , it becomes capable of sustaining its shape under its own weight like a solid so its classification changes from a </w:t>
      </w:r>
      <w:r w:rsidRPr="001D5B3B">
        <w:rPr>
          <w:i/>
        </w:rPr>
        <w:t>super-cooled liquid</w:t>
      </w:r>
      <w:r>
        <w:t xml:space="preserve"> to </w:t>
      </w:r>
      <w:r>
        <w:lastRenderedPageBreak/>
        <w:t xml:space="preserve">a </w:t>
      </w:r>
      <w:r w:rsidRPr="001D5B3B">
        <w:rPr>
          <w:i/>
        </w:rPr>
        <w:t>glass</w:t>
      </w:r>
      <w:r>
        <w:t xml:space="preserve"> and the temperature at which this occurs is called the </w:t>
      </w:r>
      <w:r w:rsidRPr="003173DD">
        <w:rPr>
          <w:i/>
        </w:rPr>
        <w:t>glas</w:t>
      </w:r>
      <w:r>
        <w:rPr>
          <w:i/>
        </w:rPr>
        <w:t>s transition tempera</w:t>
      </w:r>
      <w:r w:rsidRPr="003173DD">
        <w:rPr>
          <w:i/>
        </w:rPr>
        <w:t>ture</w:t>
      </w:r>
      <w:r>
        <w:t xml:space="preserve"> </w:t>
      </w:r>
      <w:r w:rsidR="007E6335">
        <w:rPr>
          <w:rStyle w:val="FootnoteReference"/>
        </w:rPr>
        <w:footnoteReference w:id="2"/>
      </w:r>
      <w:r w:rsidR="007E6335">
        <w:t xml:space="preserve"> </w:t>
      </w:r>
      <w:r>
        <w:t>(T</w:t>
      </w:r>
      <w:r>
        <w:rPr>
          <w:vertAlign w:val="subscript"/>
        </w:rPr>
        <w:t>g</w:t>
      </w:r>
      <w:r>
        <w:t>)</w:t>
      </w:r>
      <w:r w:rsidR="007E6335">
        <w:t xml:space="preserve"> </w:t>
      </w:r>
      <w:r w:rsidR="007E6335">
        <w:fldChar w:fldCharType="begin" w:fldLock="1"/>
      </w:r>
      <w:r w:rsidR="003B3A29">
        <w:instrText>ADDIN CSL_CITATION { "citationItems" : [ { "id" : "ITEM-1", "itemData" : { "author" : [ { "dropping-particle" : "", "family" : "Jones", "given" : "G. O", "non-dropping-particle" : "", "parse-names" : false, "suffix" : "" } ], "chapter-number" : "1", "container-title" : "Glass", "id" : "ITEM-1", "issued" : { "date-parts" : [ [ "1971" ] ] }, "page" : "2-5", "publisher" : "Northumberland Press Ltd", "publisher-place" : "Gateshead", "title" : "The glassy state", "type" : "chapter" }, "uris" : [ "http://www.mendeley.com/documents/?uuid=2d9355ba-0896-43b6-8820-213a3ebbcbac" ] } ], "mendeley" : { "formattedCitation" : "(Jones 1971b)", "plainTextFormattedCitation" : "(Jones 1971b)", "previouslyFormattedCitation" : "(Jones 1971b)" }, "properties" : { "noteIndex" : 0 }, "schema" : "https://github.com/citation-style-language/schema/raw/master/csl-citation.json" }</w:instrText>
      </w:r>
      <w:r w:rsidR="007E6335">
        <w:fldChar w:fldCharType="separate"/>
      </w:r>
      <w:r w:rsidR="005504BB" w:rsidRPr="005504BB">
        <w:rPr>
          <w:noProof/>
        </w:rPr>
        <w:t>(Jones 1971b)</w:t>
      </w:r>
      <w:r w:rsidR="007E6335">
        <w:fldChar w:fldCharType="end"/>
      </w:r>
      <w:r w:rsidR="007E6335">
        <w:t>.</w:t>
      </w:r>
      <w:r>
        <w:t xml:space="preserve"> With further cooling, eventually, the rate of molecular rearrangement becomes negligible so the random network of glass is locked in pseudo-equilibrium </w:t>
      </w:r>
      <w:r>
        <w:fldChar w:fldCharType="begin" w:fldLock="1"/>
      </w:r>
      <w:r>
        <w:instrText>ADDIN CSL_CITATION { "citationItems" : [ { "id" : "ITEM-1", "itemData" : { "author" : [ { "dropping-particle" : "", "family" : "Holloway", "given" : "D.G.", "non-dropping-particle" : "", "parse-names" : false, "suffix" : "" } ], "container-title" : "The physical properties of glass", "id" : "ITEM-1", "issued" : { "date-parts" : [ [ "1973" ] ] }, "page" : "10-11", "publisher" : "Taylor &amp; Francis group", "title" : "The composition and structure of glass", "type" : "chapter" }, "uris" : [ "http://www.mendeley.com/documents/?uuid=f13e05ac-8f39-48a6-bc95-3f1e5bf9d7d2" ] } ], "mendeley" : { "formattedCitation" : "(Holloway 1973)", "plainTextFormattedCitation" : "(Holloway 1973)", "previouslyFormattedCitation" : "(Holloway 1973)" }, "properties" : { "noteIndex" : 0 }, "schema" : "https://github.com/citation-style-language/schema/raw/master/csl-citation.json" }</w:instrText>
      </w:r>
      <w:r>
        <w:fldChar w:fldCharType="separate"/>
      </w:r>
      <w:r w:rsidRPr="004B3189">
        <w:rPr>
          <w:noProof/>
        </w:rPr>
        <w:t>(Holloway 1973)</w:t>
      </w:r>
      <w:r>
        <w:fldChar w:fldCharType="end"/>
      </w:r>
      <w:r>
        <w:t xml:space="preserve"> so a stable glass phase is sustained despite being less thermodynamically favourable compared to the solid crystalline phases at the same temperatures (</w:t>
      </w:r>
      <w:r>
        <w:fldChar w:fldCharType="begin"/>
      </w:r>
      <w:r>
        <w:instrText xml:space="preserve"> REF _Ref438042230 \h </w:instrText>
      </w:r>
      <w:r>
        <w:fldChar w:fldCharType="separate"/>
      </w:r>
      <w:r w:rsidR="00820EB1">
        <w:t xml:space="preserve">Figure </w:t>
      </w:r>
      <w:r w:rsidR="00820EB1">
        <w:rPr>
          <w:noProof/>
        </w:rPr>
        <w:t>2</w:t>
      </w:r>
      <w:r>
        <w:fldChar w:fldCharType="end"/>
      </w:r>
      <w:r>
        <w:t>).</w:t>
      </w:r>
    </w:p>
    <w:p w14:paraId="64B7DC72" w14:textId="50B93F96" w:rsidR="00EF1DD3" w:rsidRDefault="00EF1DD3" w:rsidP="00EF1DD3">
      <w:pPr>
        <w:pStyle w:val="Title"/>
      </w:pPr>
      <w:r>
        <w:drawing>
          <wp:inline distT="0" distB="0" distL="0" distR="0" wp14:anchorId="28BCCD86" wp14:editId="6E2544D3">
            <wp:extent cx="3439249" cy="2238451"/>
            <wp:effectExtent l="0" t="0" r="889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665" t="23835" r="22756" b="16459"/>
                    <a:stretch/>
                  </pic:blipFill>
                  <pic:spPr bwMode="auto">
                    <a:xfrm>
                      <a:off x="0" y="0"/>
                      <a:ext cx="3449782" cy="2245306"/>
                    </a:xfrm>
                    <a:prstGeom prst="rect">
                      <a:avLst/>
                    </a:prstGeom>
                    <a:ln>
                      <a:noFill/>
                    </a:ln>
                    <a:extLst>
                      <a:ext uri="{53640926-AAD7-44D8-BBD7-CCE9431645EC}">
                        <a14:shadowObscured xmlns:a14="http://schemas.microsoft.com/office/drawing/2010/main"/>
                      </a:ext>
                    </a:extLst>
                  </pic:spPr>
                </pic:pic>
              </a:graphicData>
            </a:graphic>
          </wp:inline>
        </w:drawing>
      </w:r>
    </w:p>
    <w:p w14:paraId="7C90E0F2" w14:textId="120E26E3" w:rsidR="00EF1DD3" w:rsidRDefault="00EF1DD3" w:rsidP="00EF1DD3">
      <w:pPr>
        <w:pStyle w:val="Caption"/>
      </w:pPr>
      <w:bookmarkStart w:id="10" w:name="_Ref438042230"/>
      <w:r>
        <w:t xml:space="preserve">Figure </w:t>
      </w:r>
      <w:r w:rsidR="00A47317">
        <w:fldChar w:fldCharType="begin"/>
      </w:r>
      <w:r w:rsidR="00A47317">
        <w:instrText xml:space="preserve"> SEQ Figure \* ARABIC </w:instrText>
      </w:r>
      <w:r w:rsidR="00A47317">
        <w:fldChar w:fldCharType="separate"/>
      </w:r>
      <w:r w:rsidR="00820EB1">
        <w:rPr>
          <w:noProof/>
        </w:rPr>
        <w:t>2</w:t>
      </w:r>
      <w:r w:rsidR="00A47317">
        <w:rPr>
          <w:noProof/>
        </w:rPr>
        <w:fldChar w:fldCharType="end"/>
      </w:r>
      <w:bookmarkEnd w:id="10"/>
      <w:r>
        <w:t>:</w:t>
      </w:r>
      <w:r w:rsidRPr="00C400CD">
        <w:t xml:space="preserve"> Phase diagram showing melting at T</w:t>
      </w:r>
      <w:r w:rsidRPr="00F52EC2">
        <w:rPr>
          <w:vertAlign w:val="subscript"/>
        </w:rPr>
        <w:t>m</w:t>
      </w:r>
      <w:r w:rsidRPr="00C400CD">
        <w:t xml:space="preserve"> and glass transformation and T</w:t>
      </w:r>
      <w:r w:rsidRPr="00F52EC2">
        <w:rPr>
          <w:vertAlign w:val="subscript"/>
        </w:rPr>
        <w:t>g</w:t>
      </w:r>
      <w:r w:rsidRPr="00C400CD">
        <w:t xml:space="preserve">  </w:t>
      </w:r>
      <w:r w:rsidR="00F534DE">
        <w:t>(</w:t>
      </w:r>
      <w:r w:rsidRPr="00C400CD">
        <w:t>Pye, 2005).</w:t>
      </w:r>
    </w:p>
    <w:p w14:paraId="5D129474" w14:textId="77777777" w:rsidR="00EF1DD3" w:rsidRDefault="00EF1DD3" w:rsidP="00EF1DD3">
      <w:pPr>
        <w:pStyle w:val="Heading3"/>
      </w:pPr>
      <w:r>
        <w:t>Structure of glass</w:t>
      </w:r>
    </w:p>
    <w:p w14:paraId="2CD61FC0" w14:textId="4C1126F7" w:rsidR="00EF1DD3" w:rsidRPr="00C4171D" w:rsidRDefault="00EF1DD3" w:rsidP="00EF1DD3">
      <w:r>
        <w:t xml:space="preserve">Theoretically, a glass can be formed from any melt. However, in </w:t>
      </w:r>
      <w:r w:rsidR="002C6772">
        <w:t>practice</w:t>
      </w:r>
      <w:r>
        <w:t xml:space="preserve">, most bulk glasses are based on silica. Part of the reason why silica is used as the main network forming oxide for most glasses is its ability to sustain continuity of its under-cooled melt over a broad temperature range, enabling melting, refining, homogenisation and thermal conditioning as required to form useful products </w:t>
      </w:r>
      <w:r>
        <w:fldChar w:fldCharType="begin" w:fldLock="1"/>
      </w:r>
      <w:r>
        <w:instrText>ADDIN CSL_CITATION { "citationItems" : [ { "id" : "ITEM-1", "itemData" : { "author" : [ { "dropping-particle" : "", "family" : "David Pye", "given" : "L", "non-dropping-particle" : "", "parse-names" : false, "suffix" : "" } ], "chapter-number" : "1", "container-title" : "Properties of glass forming melts", "id" : "ITEM-1", "issued" : { "date-parts" : [ [ "2005" ] ] }, "page" : "1-9", "publisher" : "Taylor &amp; Francis", "title" : "Glass-forming melts", "type" : "chapter" }, "uris" : [ "http://www.mendeley.com/documents/?uuid=0515ef46-ff07-4439-b1ec-418bf14b05a9" ] } ], "mendeley" : { "formattedCitation" : "(David Pye 2005)", "manualFormatting" : "(Pye, 2005)", "plainTextFormattedCitation" : "(David Pye 2005)", "previouslyFormattedCitation" : "(David Pye 2005)" }, "properties" : { "noteIndex" : 0 }, "schema" : "https://github.com/citation-style-language/schema/raw/master/csl-citation.json" }</w:instrText>
      </w:r>
      <w:r>
        <w:fldChar w:fldCharType="separate"/>
      </w:r>
      <w:r w:rsidRPr="00724067">
        <w:rPr>
          <w:noProof/>
        </w:rPr>
        <w:t>(Pye, 2005)</w:t>
      </w:r>
      <w:r>
        <w:fldChar w:fldCharType="end"/>
      </w:r>
      <w:r>
        <w:t xml:space="preserve">. </w:t>
      </w:r>
      <w:r>
        <w:rPr>
          <w:lang w:val="en-US"/>
        </w:rPr>
        <w:t>In both the crystalline and glass form</w:t>
      </w:r>
      <w:r w:rsidR="002C6772">
        <w:rPr>
          <w:lang w:val="en-US"/>
        </w:rPr>
        <w:t>,</w:t>
      </w:r>
      <w:r>
        <w:rPr>
          <w:lang w:val="en-US"/>
        </w:rPr>
        <w:t xml:space="preserve"> the silicon ion (Si</w:t>
      </w:r>
      <w:r>
        <w:rPr>
          <w:vertAlign w:val="superscript"/>
          <w:lang w:val="en-US"/>
        </w:rPr>
        <w:t>4+</w:t>
      </w:r>
      <w:r>
        <w:rPr>
          <w:lang w:val="en-US"/>
        </w:rPr>
        <w:t>) is associated with four neighboring oxygen ions to form a tetrahedral structural unit with the silica ion in the</w:t>
      </w:r>
      <w:r w:rsidRPr="005B2109">
        <w:t xml:space="preserve"> centre</w:t>
      </w:r>
      <w:r>
        <w:rPr>
          <w:lang w:val="en-US"/>
        </w:rPr>
        <w:t xml:space="preserve"> surrounded by four larger oxygen ions (O</w:t>
      </w:r>
      <w:r>
        <w:rPr>
          <w:vertAlign w:val="superscript"/>
          <w:lang w:val="en-US"/>
        </w:rPr>
        <w:t>2-</w:t>
      </w:r>
      <w:r>
        <w:rPr>
          <w:lang w:val="en-US"/>
        </w:rPr>
        <w:t xml:space="preserve">) at the corners of the tetrahedron </w:t>
      </w:r>
      <w:r>
        <w:rPr>
          <w:lang w:val="en-US"/>
        </w:rPr>
        <w:fldChar w:fldCharType="begin" w:fldLock="1"/>
      </w:r>
      <w:r>
        <w:rPr>
          <w:lang w:val="en-US"/>
        </w:rPr>
        <w:instrText>ADDIN CSL_CITATION { "citationItems" : [ { "id" : "ITEM-1", "itemData" : { "author" : [ { "dropping-particle" : "", "family" : "Holloway", "given" : "D.G.", "non-dropping-particle" : "", "parse-names" : false, "suffix" : "" } ], "container-title" : "The physical properties of glass", "id" : "ITEM-1", "issued" : { "date-parts" : [ [ "1973" ] ] }, "page" : "10-11", "publisher" : "Taylor &amp; Francis group", "title" : "The composition and structure of glass", "type" : "chapter" }, "uris" : [ "http://www.mendeley.com/documents/?uuid=f13e05ac-8f39-48a6-bc95-3f1e5bf9d7d2" ] } ], "mendeley" : { "formattedCitation" : "(Holloway 1973)", "plainTextFormattedCitation" : "(Holloway 1973)", "previouslyFormattedCitation" : "(Holloway 1973)" }, "properties" : { "noteIndex" : 0 }, "schema" : "https://github.com/citation-style-language/schema/raw/master/csl-citation.json" }</w:instrText>
      </w:r>
      <w:r>
        <w:rPr>
          <w:lang w:val="en-US"/>
        </w:rPr>
        <w:fldChar w:fldCharType="separate"/>
      </w:r>
      <w:r w:rsidRPr="004B3189">
        <w:rPr>
          <w:noProof/>
          <w:lang w:val="en-US"/>
        </w:rPr>
        <w:t>(Holloway 1973)</w:t>
      </w:r>
      <w:r>
        <w:rPr>
          <w:lang w:val="en-US"/>
        </w:rPr>
        <w:fldChar w:fldCharType="end"/>
      </w:r>
      <w:r>
        <w:rPr>
          <w:lang w:val="en-US"/>
        </w:rPr>
        <w:t>. The corners of adjacent tetrahedra are shared (</w:t>
      </w:r>
      <w:r>
        <w:rPr>
          <w:lang w:val="en-US"/>
        </w:rPr>
        <w:fldChar w:fldCharType="begin"/>
      </w:r>
      <w:r>
        <w:rPr>
          <w:lang w:val="en-US"/>
        </w:rPr>
        <w:instrText xml:space="preserve"> REF _Ref437958436 \h </w:instrText>
      </w:r>
      <w:r>
        <w:rPr>
          <w:lang w:val="en-US"/>
        </w:rPr>
      </w:r>
      <w:r>
        <w:rPr>
          <w:lang w:val="en-US"/>
        </w:rPr>
        <w:fldChar w:fldCharType="separate"/>
      </w:r>
      <w:r w:rsidR="00820EB1" w:rsidRPr="00EF1DD3">
        <w:t xml:space="preserve">Figure </w:t>
      </w:r>
      <w:r w:rsidR="00820EB1">
        <w:rPr>
          <w:noProof/>
        </w:rPr>
        <w:t>3</w:t>
      </w:r>
      <w:r>
        <w:rPr>
          <w:lang w:val="en-US"/>
        </w:rPr>
        <w:fldChar w:fldCharType="end"/>
      </w:r>
      <w:r>
        <w:rPr>
          <w:lang w:val="en-US"/>
        </w:rPr>
        <w:t>) to form an extended network.</w:t>
      </w:r>
    </w:p>
    <w:p w14:paraId="2D8CDB06" w14:textId="77777777" w:rsidR="00EF1DD3" w:rsidRDefault="00EF1DD3" w:rsidP="00EF1DD3">
      <w:pPr>
        <w:pStyle w:val="Title"/>
      </w:pPr>
      <w:r>
        <w:lastRenderedPageBreak/>
        <w:drawing>
          <wp:inline distT="0" distB="0" distL="0" distR="0" wp14:anchorId="26CE46DE" wp14:editId="528181FF">
            <wp:extent cx="1456661" cy="2243135"/>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ilica te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68963" cy="2262079"/>
                    </a:xfrm>
                    <a:prstGeom prst="rect">
                      <a:avLst/>
                    </a:prstGeom>
                  </pic:spPr>
                </pic:pic>
              </a:graphicData>
            </a:graphic>
          </wp:inline>
        </w:drawing>
      </w:r>
    </w:p>
    <w:p w14:paraId="0FBB3998" w14:textId="3D2A69FA" w:rsidR="00EF1DD3" w:rsidRPr="00EF1DD3" w:rsidRDefault="00EF1DD3" w:rsidP="00EF1DD3">
      <w:pPr>
        <w:pStyle w:val="Caption"/>
      </w:pPr>
      <w:bookmarkStart w:id="11" w:name="_Ref437958436"/>
      <w:r w:rsidRPr="00EF1DD3">
        <w:t xml:space="preserve">Figure </w:t>
      </w:r>
      <w:r w:rsidR="00A47317">
        <w:fldChar w:fldCharType="begin"/>
      </w:r>
      <w:r w:rsidR="00A47317">
        <w:instrText xml:space="preserve"> SEQ Figure \* ARABIC </w:instrText>
      </w:r>
      <w:r w:rsidR="00A47317">
        <w:fldChar w:fldCharType="separate"/>
      </w:r>
      <w:r w:rsidR="00820EB1">
        <w:rPr>
          <w:noProof/>
        </w:rPr>
        <w:t>3</w:t>
      </w:r>
      <w:r w:rsidR="00A47317">
        <w:rPr>
          <w:noProof/>
        </w:rPr>
        <w:fldChar w:fldCharType="end"/>
      </w:r>
      <w:bookmarkEnd w:id="11"/>
      <w:r w:rsidRPr="00EF1DD3">
        <w:t xml:space="preserve">: Schematic diagram showing the structural building blocks of silicates represented by two tetrahedra joined at a corner. The smaller filled circles representing Si </w:t>
      </w:r>
      <w:r w:rsidRPr="00F52EC2">
        <w:rPr>
          <w:vertAlign w:val="superscript"/>
        </w:rPr>
        <w:t>4+</w:t>
      </w:r>
      <w:r w:rsidRPr="00EF1DD3">
        <w:t xml:space="preserve"> ions and larger open circles O</w:t>
      </w:r>
      <w:r w:rsidRPr="00F52EC2">
        <w:rPr>
          <w:vertAlign w:val="superscript"/>
        </w:rPr>
        <w:t xml:space="preserve"> 2-</w:t>
      </w:r>
      <w:r w:rsidRPr="00EF1DD3">
        <w:t>.</w:t>
      </w:r>
    </w:p>
    <w:p w14:paraId="1C9D297A" w14:textId="6680F9C5" w:rsidR="00EF1DD3" w:rsidRDefault="00EF1DD3" w:rsidP="00EF1DD3">
      <w:pPr>
        <w:rPr>
          <w:lang w:val="en-US"/>
        </w:rPr>
      </w:pPr>
      <w:r>
        <w:rPr>
          <w:lang w:val="en-US"/>
        </w:rPr>
        <w:t>In the crystalline form</w:t>
      </w:r>
      <w:r w:rsidR="002C6772">
        <w:rPr>
          <w:lang w:val="en-US"/>
        </w:rPr>
        <w:t>,</w:t>
      </w:r>
      <w:r>
        <w:rPr>
          <w:lang w:val="en-US"/>
        </w:rPr>
        <w:t xml:space="preserve"> this network of repeating tetrahedra forms a regular 3D pattern </w:t>
      </w:r>
      <w:r>
        <w:rPr>
          <w:lang w:val="en-US"/>
        </w:rPr>
        <w:fldChar w:fldCharType="begin" w:fldLock="1"/>
      </w:r>
      <w:r>
        <w:rPr>
          <w:lang w:val="en-US"/>
        </w:rPr>
        <w:instrText>ADDIN CSL_CITATION { "citationItems" : [ { "id" : "ITEM-1", "itemData" : { "author" : [ { "dropping-particle" : "", "family" : "Holloway", "given" : "D.G.", "non-dropping-particle" : "", "parse-names" : false, "suffix" : "" } ], "container-title" : "The physical properties of glass", "id" : "ITEM-1", "issued" : { "date-parts" : [ [ "1973" ] ] }, "page" : "10-11", "publisher" : "Taylor &amp; Francis group", "title" : "The composition and structure of glass", "type" : "chapter" }, "uris" : [ "http://www.mendeley.com/documents/?uuid=f13e05ac-8f39-48a6-bc95-3f1e5bf9d7d2" ] } ], "mendeley" : { "formattedCitation" : "(Holloway 1973)", "plainTextFormattedCitation" : "(Holloway 1973)", "previouslyFormattedCitation" : "(Holloway 1973)" }, "properties" : { "noteIndex" : 0 }, "schema" : "https://github.com/citation-style-language/schema/raw/master/csl-citation.json" }</w:instrText>
      </w:r>
      <w:r>
        <w:rPr>
          <w:lang w:val="en-US"/>
        </w:rPr>
        <w:fldChar w:fldCharType="separate"/>
      </w:r>
      <w:r w:rsidRPr="004B3189">
        <w:rPr>
          <w:noProof/>
          <w:lang w:val="en-US"/>
        </w:rPr>
        <w:t>(Holloway 1973)</w:t>
      </w:r>
      <w:r>
        <w:rPr>
          <w:lang w:val="en-US"/>
        </w:rPr>
        <w:fldChar w:fldCharType="end"/>
      </w:r>
      <w:r>
        <w:rPr>
          <w:lang w:val="en-US"/>
        </w:rPr>
        <w:t>(</w:t>
      </w:r>
      <w:r>
        <w:rPr>
          <w:lang w:val="en-US"/>
        </w:rPr>
        <w:fldChar w:fldCharType="begin"/>
      </w:r>
      <w:r>
        <w:rPr>
          <w:lang w:val="en-US"/>
        </w:rPr>
        <w:instrText xml:space="preserve"> REF _Ref437952931 \h </w:instrText>
      </w:r>
      <w:r>
        <w:rPr>
          <w:lang w:val="en-US"/>
        </w:rPr>
      </w:r>
      <w:r>
        <w:rPr>
          <w:lang w:val="en-US"/>
        </w:rPr>
        <w:fldChar w:fldCharType="separate"/>
      </w:r>
      <w:r w:rsidR="00820EB1">
        <w:t xml:space="preserve">Figure </w:t>
      </w:r>
      <w:r w:rsidR="00820EB1">
        <w:rPr>
          <w:noProof/>
        </w:rPr>
        <w:t>4</w:t>
      </w:r>
      <w:r>
        <w:rPr>
          <w:lang w:val="en-US"/>
        </w:rPr>
        <w:fldChar w:fldCharType="end"/>
      </w:r>
      <w:r>
        <w:rPr>
          <w:lang w:val="en-US"/>
        </w:rPr>
        <w:t>a). Silicate glasses are made from the same tetrahedral structural units but they are arranged in a ‘</w:t>
      </w:r>
      <w:r w:rsidRPr="000E073B">
        <w:rPr>
          <w:i/>
          <w:lang w:val="en-US"/>
        </w:rPr>
        <w:t>random extended network which lacks symmetry or periodicity</w:t>
      </w:r>
      <w:r>
        <w:rPr>
          <w:i/>
          <w:lang w:val="en-US"/>
        </w:rPr>
        <w:t>’</w:t>
      </w:r>
      <w:r>
        <w:rPr>
          <w:lang w:val="en-US"/>
        </w:rPr>
        <w:t xml:space="preserve"> </w:t>
      </w:r>
      <w:r>
        <w:rPr>
          <w:lang w:val="en-US"/>
        </w:rPr>
        <w:fldChar w:fldCharType="begin" w:fldLock="1"/>
      </w:r>
      <w:r>
        <w:rPr>
          <w:lang w:val="en-US"/>
        </w:rPr>
        <w:instrText>ADDIN CSL_CITATION { "citationItems" : [ { "id" : "ITEM-1", "itemData" : { "DOI" : "10.1021/ja01349a006", "author" : [ { "dropping-particle" : "", "family" : "Zachariasen", "given" : "W. H.", "non-dropping-particle" : "", "parse-names" : false, "suffix" : "" } ], "container-title" : "Journal of the American Chemistry Society", "id" : "ITEM-1", "issued" : { "date-parts" : [ [ "1932" ] ] }, "title" : "The atomic arrangement in glass", "type" : "article-journal", "volume" : "54" }, "uris" : [ "http://www.mendeley.com/documents/?uuid=38059834-c8ed-4b7b-9ee7-8160a99bc465" ] } ], "mendeley" : { "formattedCitation" : "(Zachariasen 1932)", "plainTextFormattedCitation" : "(Zachariasen 1932)", "previouslyFormattedCitation" : "(Zachariasen 1932)" }, "properties" : { "noteIndex" : 0 }, "schema" : "https://github.com/citation-style-language/schema/raw/master/csl-citation.json" }</w:instrText>
      </w:r>
      <w:r>
        <w:rPr>
          <w:lang w:val="en-US"/>
        </w:rPr>
        <w:fldChar w:fldCharType="separate"/>
      </w:r>
      <w:r w:rsidRPr="004B3189">
        <w:rPr>
          <w:noProof/>
          <w:lang w:val="en-US"/>
        </w:rPr>
        <w:t>(Zachariasen 1932)</w:t>
      </w:r>
      <w:r>
        <w:rPr>
          <w:lang w:val="en-US"/>
        </w:rPr>
        <w:fldChar w:fldCharType="end"/>
      </w:r>
      <w:r>
        <w:rPr>
          <w:lang w:val="en-US"/>
        </w:rPr>
        <w:t>(</w:t>
      </w:r>
      <w:r>
        <w:rPr>
          <w:lang w:val="en-US"/>
        </w:rPr>
        <w:fldChar w:fldCharType="begin"/>
      </w:r>
      <w:r>
        <w:rPr>
          <w:lang w:val="en-US"/>
        </w:rPr>
        <w:instrText xml:space="preserve"> REF _Ref437952931 \h </w:instrText>
      </w:r>
      <w:r>
        <w:rPr>
          <w:lang w:val="en-US"/>
        </w:rPr>
      </w:r>
      <w:r>
        <w:rPr>
          <w:lang w:val="en-US"/>
        </w:rPr>
        <w:fldChar w:fldCharType="separate"/>
      </w:r>
      <w:r w:rsidR="00820EB1">
        <w:t xml:space="preserve">Figure </w:t>
      </w:r>
      <w:r w:rsidR="00820EB1">
        <w:rPr>
          <w:noProof/>
        </w:rPr>
        <w:t>4</w:t>
      </w:r>
      <w:r>
        <w:rPr>
          <w:lang w:val="en-US"/>
        </w:rPr>
        <w:fldChar w:fldCharType="end"/>
      </w:r>
      <w:r>
        <w:rPr>
          <w:lang w:val="en-US"/>
        </w:rPr>
        <w:t xml:space="preserve">b). </w:t>
      </w:r>
    </w:p>
    <w:p w14:paraId="544CFC12" w14:textId="4910B7A2" w:rsidR="00EF1DD3" w:rsidRDefault="003442C9" w:rsidP="00EF1DD3">
      <w:pPr>
        <w:pStyle w:val="Title"/>
      </w:pPr>
      <w:r w:rsidRPr="003442C9">
        <w:t xml:space="preserve"> </w:t>
      </w:r>
      <w:r w:rsidR="00CB68EA">
        <w:drawing>
          <wp:inline distT="0" distB="0" distL="0" distR="0" wp14:anchorId="1DB1F531" wp14:editId="0492FDE1">
            <wp:extent cx="3123760" cy="164338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129" t="19847" r="25006" b="26005"/>
                    <a:stretch/>
                  </pic:blipFill>
                  <pic:spPr bwMode="auto">
                    <a:xfrm>
                      <a:off x="0" y="0"/>
                      <a:ext cx="3124709" cy="1643879"/>
                    </a:xfrm>
                    <a:prstGeom prst="rect">
                      <a:avLst/>
                    </a:prstGeom>
                    <a:ln>
                      <a:noFill/>
                    </a:ln>
                    <a:extLst>
                      <a:ext uri="{53640926-AAD7-44D8-BBD7-CCE9431645EC}">
                        <a14:shadowObscured xmlns:a14="http://schemas.microsoft.com/office/drawing/2010/main"/>
                      </a:ext>
                    </a:extLst>
                  </pic:spPr>
                </pic:pic>
              </a:graphicData>
            </a:graphic>
          </wp:inline>
        </w:drawing>
      </w:r>
    </w:p>
    <w:p w14:paraId="286F14B5" w14:textId="4214F59B" w:rsidR="00EF1DD3" w:rsidRDefault="00EF1DD3" w:rsidP="00EF1DD3">
      <w:pPr>
        <w:pStyle w:val="Caption"/>
        <w:rPr>
          <w:lang w:val="en-US"/>
        </w:rPr>
      </w:pPr>
      <w:bookmarkStart w:id="12" w:name="_Ref437952931"/>
      <w:r>
        <w:t xml:space="preserve">Figure </w:t>
      </w:r>
      <w:r w:rsidR="00A47317">
        <w:fldChar w:fldCharType="begin"/>
      </w:r>
      <w:r w:rsidR="00A47317">
        <w:instrText xml:space="preserve"> SEQ Figure \* ARABIC </w:instrText>
      </w:r>
      <w:r w:rsidR="00A47317">
        <w:fldChar w:fldCharType="separate"/>
      </w:r>
      <w:r w:rsidR="00820EB1">
        <w:rPr>
          <w:noProof/>
        </w:rPr>
        <w:t>4</w:t>
      </w:r>
      <w:r w:rsidR="00A47317">
        <w:rPr>
          <w:noProof/>
        </w:rPr>
        <w:fldChar w:fldCharType="end"/>
      </w:r>
      <w:bookmarkEnd w:id="12"/>
      <w:r>
        <w:t>: 2D schematic diagram with repeating tetrahedra represented by trigonal units showing the structural difference between: a) patterned network of crystals vs. b) random network of glass. For silicates the smaller filled circles representing Si</w:t>
      </w:r>
      <w:r>
        <w:rPr>
          <w:vertAlign w:val="superscript"/>
        </w:rPr>
        <w:t>4+</w:t>
      </w:r>
      <w:r>
        <w:t xml:space="preserve"> ions and larger open circles </w:t>
      </w:r>
      <w:r w:rsidRPr="00E26010">
        <w:t>O</w:t>
      </w:r>
      <w:r>
        <w:rPr>
          <w:vertAlign w:val="superscript"/>
        </w:rPr>
        <w:t>2-</w:t>
      </w:r>
      <w:r>
        <w:t xml:space="preserve"> </w:t>
      </w:r>
      <w:r w:rsidR="00357815">
        <w:t>(</w:t>
      </w:r>
      <w:r>
        <w:rPr>
          <w:lang w:val="en-US"/>
        </w:rPr>
        <w:fldChar w:fldCharType="begin" w:fldLock="1"/>
      </w:r>
      <w:r>
        <w:rPr>
          <w:lang w:val="en-US"/>
        </w:rPr>
        <w:instrText>ADDIN CSL_CITATION { "citationItems" : [ { "id" : "ITEM-1", "itemData" : { "DOI" : "10.1021/ja01349a006", "author" : [ { "dropping-particle" : "", "family" : "Zachariasen", "given" : "W. H.", "non-dropping-particle" : "", "parse-names" : false, "suffix" : "" } ], "container-title" : "Journal of the American Chemistry Society", "id" : "ITEM-1", "issued" : { "date-parts" : [ [ "1932" ] ] }, "title" : "The atomic arrangement in glass", "type" : "article-journal", "volume" : "54" }, "uris" : [ "http://www.mendeley.com/documents/?uuid=38059834-c8ed-4b7b-9ee7-8160a99bc465" ] } ], "mendeley" : { "formattedCitation" : "(Zachariasen 1932)", "manualFormatting" : "Zachariasen, 1932)", "plainTextFormattedCitation" : "(Zachariasen 1932)", "previouslyFormattedCitation" : "(Zachariasen 1932)" }, "properties" : { "noteIndex" : 0 }, "schema" : "https://github.com/citation-style-language/schema/raw/master/csl-citation.json" }</w:instrText>
      </w:r>
      <w:r>
        <w:rPr>
          <w:lang w:val="en-US"/>
        </w:rPr>
        <w:fldChar w:fldCharType="separate"/>
      </w:r>
      <w:r w:rsidRPr="001320A2">
        <w:rPr>
          <w:noProof/>
          <w:lang w:val="en-US"/>
        </w:rPr>
        <w:t>Zachariasen, 1932)</w:t>
      </w:r>
      <w:r>
        <w:rPr>
          <w:lang w:val="en-US"/>
        </w:rPr>
        <w:fldChar w:fldCharType="end"/>
      </w:r>
      <w:r>
        <w:rPr>
          <w:lang w:val="en-US"/>
        </w:rPr>
        <w:t>.</w:t>
      </w:r>
    </w:p>
    <w:p w14:paraId="487A393F" w14:textId="77777777" w:rsidR="00EF1DD3" w:rsidRDefault="00EF1DD3" w:rsidP="00EF1DD3">
      <w:pPr>
        <w:pStyle w:val="Heading3"/>
      </w:pPr>
      <w:r>
        <w:t>Material properties of glass</w:t>
      </w:r>
    </w:p>
    <w:p w14:paraId="6DBC238F" w14:textId="52EC2B15" w:rsidR="00EF1DD3" w:rsidRDefault="00EF1DD3" w:rsidP="005504BB">
      <w:r>
        <w:rPr>
          <w:lang w:val="en-US"/>
        </w:rPr>
        <w:t xml:space="preserve">The random extended network of fused oxides gives rise to </w:t>
      </w:r>
      <w:r w:rsidR="00B51BDF">
        <w:rPr>
          <w:lang w:val="en-US"/>
        </w:rPr>
        <w:t xml:space="preserve">the </w:t>
      </w:r>
      <w:r>
        <w:rPr>
          <w:lang w:val="en-US"/>
        </w:rPr>
        <w:t>key material properties</w:t>
      </w:r>
      <w:r w:rsidR="00B51BDF">
        <w:rPr>
          <w:lang w:val="en-US"/>
        </w:rPr>
        <w:t xml:space="preserve"> of oxide glasses</w:t>
      </w:r>
      <w:r>
        <w:rPr>
          <w:lang w:val="en-US"/>
        </w:rPr>
        <w:t>. The extended network structure means that a single ‘molecule’ can be indefinitely large; this large molecular size coupled with the lack of any holes, internal surfaces or inclusions which approach the dimensions of visible wavelengths of light gives rise to its characteristic transparency. The great resistance of many silicate glasses to corrosion is due to the fact that is already a fully</w:t>
      </w:r>
      <w:r w:rsidRPr="005B2109">
        <w:t xml:space="preserve"> oxidised</w:t>
      </w:r>
      <w:r>
        <w:rPr>
          <w:lang w:val="en-US"/>
        </w:rPr>
        <w:t xml:space="preserve"> substance being essentially a fused mixture of oxides. </w:t>
      </w:r>
    </w:p>
    <w:p w14:paraId="65AD03CE" w14:textId="0EB1EF5E" w:rsidR="00EF1DD3" w:rsidRDefault="00EF1DD3" w:rsidP="00EF1DD3">
      <w:r>
        <w:lastRenderedPageBreak/>
        <w:t>Glass</w:t>
      </w:r>
      <w:r w:rsidR="00B51BDF">
        <w:t>es</w:t>
      </w:r>
      <w:r>
        <w:t xml:space="preserve"> </w:t>
      </w:r>
      <w:r w:rsidR="00B51BDF">
        <w:t>are v</w:t>
      </w:r>
      <w:r>
        <w:t>ery important material</w:t>
      </w:r>
      <w:r w:rsidR="00B51BDF">
        <w:t>s</w:t>
      </w:r>
      <w:r>
        <w:t xml:space="preserve"> with around 100 million tonnes worldwide annual production </w:t>
      </w:r>
      <w:r>
        <w:fldChar w:fldCharType="begin" w:fldLock="1"/>
      </w:r>
      <w:r>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"uris" : [ "http://www.mendeley.com/documents/?uuid=ee53de1b-7c5d-4e4d-93ed-be4419800e41", "http://www.mendeley.com/documents/?uuid=b146b9ef-d8b2-463e-8b87-bea6bd9c4c54" ] } ], "mendeley" : { "formattedCitation" : "(Philip Ross &amp; Tincher 2004)", "plainTextFormattedCitation" : "(Philip Ross &amp; Tincher 2004)", "previouslyFormattedCitation" : "(Philip Ross &amp; Tincher 2004)" }, "properties" : { "noteIndex" : 0 }, "schema" : "https://github.com/citation-style-language/schema/raw/master/csl-citation.json" }</w:instrText>
      </w:r>
      <w:r>
        <w:fldChar w:fldCharType="separate"/>
      </w:r>
      <w:r w:rsidRPr="004B3189">
        <w:rPr>
          <w:noProof/>
        </w:rPr>
        <w:t>(Philip Ross &amp; Tincher 2004)</w:t>
      </w:r>
      <w:r>
        <w:fldChar w:fldCharType="end"/>
      </w:r>
      <w:r>
        <w:t xml:space="preserve">. </w:t>
      </w:r>
      <w:r w:rsidR="00B51BDF">
        <w:t>They</w:t>
      </w:r>
      <w:r>
        <w:t xml:space="preserve"> </w:t>
      </w:r>
      <w:r w:rsidR="00B51BDF">
        <w:t xml:space="preserve">are </w:t>
      </w:r>
      <w:r>
        <w:t xml:space="preserve">widely used for a variety of products due to </w:t>
      </w:r>
      <w:r w:rsidR="00B51BDF">
        <w:t xml:space="preserve">their </w:t>
      </w:r>
      <w:r>
        <w:t xml:space="preserve">unique material properties and the abundance and therefore low cost of </w:t>
      </w:r>
      <w:r w:rsidR="00B51BDF">
        <w:t xml:space="preserve">their </w:t>
      </w:r>
      <w:r>
        <w:t>raw materials. The most common glass products are flat sheets (for windows), containers (bottles, jars) and fibres for insulation, structural reinforcement and optical communications.</w:t>
      </w:r>
    </w:p>
    <w:p w14:paraId="3977F48A" w14:textId="33F3302C" w:rsidR="00EF1DD3" w:rsidRDefault="00EF1DD3">
      <w:r>
        <w:t xml:space="preserve">The most common type of glass produced is soda-lime-silica (SLS) which consists of three main components: silica, which forms the glass network; sodium oxide, which modifies the network to reduce the temperature at which a melt is formed; and calcium oxide, which improves the chemical stability of the glass produced. Soda-lime-silica glass is the most commonly used </w:t>
      </w:r>
      <w:r w:rsidR="00B51BDF">
        <w:t>window material</w:t>
      </w:r>
      <w:r>
        <w:t xml:space="preserve">. Transparent plastics are sometimes used instead of glass due to their lighter weight but glass is preferred due its superior transparency, hardness and resistance to chemical attack, making it more durable to scratches and weathering. This </w:t>
      </w:r>
      <w:r w:rsidR="00B51BDF">
        <w:t>makes glass the preferred material for cover</w:t>
      </w:r>
      <w:r>
        <w:t xml:space="preserve"> plates of photovoltaic panels and solar concentrator mirrors, as these need to maintain high transmissivity across the solar spectrum while being exposed to severe weathering conditions over decades. </w:t>
      </w:r>
      <w:r w:rsidR="00B51BDF">
        <w:t xml:space="preserve"> Furthermore</w:t>
      </w:r>
      <w:r>
        <w:t xml:space="preserve"> solar panels and concentrators are </w:t>
      </w:r>
      <w:r w:rsidR="00B51BDF">
        <w:t>preferably</w:t>
      </w:r>
      <w:r>
        <w:t xml:space="preserve"> located in areas of high solar insolation and land availability and such areas (e.g. deserts) and so should be designed to withstand exposure to abrasion by sand. In such cases the glass stands superior to other transparent materials due to its surface hardness and therefore resistance to abrasion </w:t>
      </w:r>
      <w:r>
        <w:fldChar w:fldCharType="begin" w:fldLock="1"/>
      </w:r>
      <w:r>
        <w:instrText>ADDIN CSL_CITATION { "citationItems" : [ { "id" : "ITEM-1", "itemData" : { "DOI" : "10.1016/j.egypro.2015.03.101", "ISSN" : "18766102", "author" : [ { "dropping-particle" : "", "family" : "Edfouf", "given" : "Z.", "non-dropping-particle" : "", "parse-names" : false, "suffix" : "" }, { "dropping-particle" : "", "family" : "Guerguer", "given" : "M.", "non-dropping-particle" : "", "parse-names" : false, "suffix" : "" }, { "dropping-particle" : "", "family" : "Raccurt", "given" : "O.", "non-dropping-particle" : "", "parse-names" : false, "suffix" : "" } ], "container-title" : "Energy Procedia", "id" : "ITEM-1", "issued" : { "date-parts" : [ [ "2015" ] ] }, "page" : "1508-1518", "publisher" : "Elsevier B.V.", "title" : "Glass and Polymeric Mirrors Ageing under different Moroccan Weathers, an Application for CSP Power Plants", "type" : "paper-conference", "volume" : "69" }, "uris" : [ "http://www.mendeley.com/documents/?uuid=602dce37-9d02-4691-9c63-e50db6f19d8b", "http://www.mendeley.com/documents/?uuid=db745acd-a38d-46b7-810a-31add69184cc" ] } ], "mendeley" : { "formattedCitation" : "(Edfouf et al. 2015)", "manualFormatting" : "(Edfouf et al., 2015)", "plainTextFormattedCitation" : "(Edfouf et al. 2015)", "previouslyFormattedCitation" : "(Edfouf et al. 2015)" }, "properties" : { "noteIndex" : 0 }, "schema" : "https://github.com/citation-style-language/schema/raw/master/csl-citation.json" }</w:instrText>
      </w:r>
      <w:r>
        <w:fldChar w:fldCharType="separate"/>
      </w:r>
      <w:r>
        <w:rPr>
          <w:noProof/>
        </w:rPr>
        <w:t>(Edfouf et al.</w:t>
      </w:r>
      <w:r w:rsidRPr="00A921B9">
        <w:rPr>
          <w:noProof/>
        </w:rPr>
        <w:t>, 2015)</w:t>
      </w:r>
      <w:r>
        <w:fldChar w:fldCharType="end"/>
      </w:r>
      <w:r>
        <w:t>.</w:t>
      </w:r>
    </w:p>
    <w:p w14:paraId="49ED31E4" w14:textId="77777777" w:rsidR="00EF1DD3" w:rsidRPr="00E97FD6" w:rsidRDefault="00EF1DD3" w:rsidP="00EF1DD3">
      <w:r>
        <w:t>Soda-lime-silica glass is also an excellent material for containers because of its chemical inertness coupled with its smooth, non-porous surface. This makes it makes its surface cleanable, hygienic and re-useable, ideal for situations where chemical leaching is to be avoided and as a container for drinks where it is important for the taste to be unaffected. Therefore, it is widely used for bottles, jars and tableware with strength and thermal properties of glass being sufficient for these applications.</w:t>
      </w:r>
    </w:p>
    <w:p w14:paraId="2B9FD6EA" w14:textId="77777777" w:rsidR="00EF1DD3" w:rsidRDefault="00EF1DD3" w:rsidP="00EF1DD3">
      <w:r>
        <w:t xml:space="preserve">Glass fibres are widely used for structural reinforcement due to their high tensile strength, durability, corrosion resistance and capability to be cheaply mass produced by continuous fibre drawing. Also, glass fibres can be spun into wools for insulation which provide advantages over other insulation materials in terms of high temperature rating and fire resistance. NASA </w:t>
      </w:r>
      <w:r>
        <w:fldChar w:fldCharType="begin" w:fldLock="1"/>
      </w:r>
      <w:r>
        <w:instrText>ADDIN CSL_CITATION { "citationItems" : [ { "id" : "ITEM-1", "itemData" : { "abstract" : "A conceptual design is presented for fiberglass production systems in both lunar and space environments. The raw\nmaterial, of lunar origin, will be plagioclase concentrate, high silica content slag, and calcium oxide.Glass will be melted by solar energy. The multi furnace in the lunar plant and the spinning cylinder in the space plant are unique design features. Furnace design appears to be the most critical element in optimizing system performance. A conservative estimate\nof the total power generated by solar concentrators is 1880 kW; the mass of both plants is 120 tons. The systems will reproduce about 90 times their total mass in fiberglass in 1 year. A new design concept would be necessary if glass rods were produced in space.", "author" : [ { "dropping-particle" : "", "family" : "Ho", "given" : "Darwin", "non-dropping-particle" : "", "parse-names" : false, "suffix" : "" }, { "dropping-particle" : "", "family" : "E. Sobon", "given" : "Leon", "non-dropping-particle" : "", "parse-names" : false, "suffix" : "" } ], "chapter-number" : "V-2", "collection-title" : "Space Resources and Space Settlements", "editor" : [ { "dropping-particle" : "", "family" : "Billingham", "given" : "John", "non-dropping-particle" : "", "parse-names" : false, "suffix" : "" }, { "dropping-particle" : "", "family" : "Gilbreath", "given" : "William", "non-dropping-particle" : "", "parse-names" : false, "suffix" : "" } ], "id" : "ITEM-1", "issued" : { "date-parts" : [ [ "1979" ] ] }, "number-of-pages" : "225-232", "publisher" : "U.S. Government Printing Office", "publisher-place" : "Washington D.C", "title" : "Extraterrestrial Fiberglass Production Using Solar Energy", "type" : "report" }, "uris" : [ "http://www.mendeley.com/documents/?uuid=c0263b8f-771f-40ba-8af9-297c45b96307" ] } ], "mendeley" : { "formattedCitation" : "(Ho &amp; E. Sobon 1979)", "plainTextFormattedCitation" : "(Ho &amp; E. Sobon 1979)", "previouslyFormattedCitation" : "(Ho &amp; E. Sobon 1979)" }, "properties" : { "noteIndex" : 0 }, "schema" : "https://github.com/citation-style-language/schema/raw/master/csl-citation.json" }</w:instrText>
      </w:r>
      <w:r>
        <w:fldChar w:fldCharType="separate"/>
      </w:r>
      <w:r w:rsidRPr="004B3189">
        <w:rPr>
          <w:noProof/>
        </w:rPr>
        <w:t>(Ho &amp; E. Sobon 1979)</w:t>
      </w:r>
      <w:r>
        <w:fldChar w:fldCharType="end"/>
      </w:r>
      <w:r>
        <w:t xml:space="preserve"> have considered solar powered manufacture of structural glass fibres on the moon using locally available lunar materials and solar energy in order to provide construction materials without incurring the heavy cost of transporting materials from earth. </w:t>
      </w:r>
    </w:p>
    <w:p w14:paraId="2E0495BE" w14:textId="3B6EB2CB" w:rsidR="00EF1DD3" w:rsidRDefault="00EF1DD3" w:rsidP="00EF1DD3">
      <w:r>
        <w:fldChar w:fldCharType="begin" w:fldLock="1"/>
      </w:r>
      <w:r>
        <w:instrText>ADDIN CSL_CITATION { "citationItems" : [ { "id" : "ITEM-1", "itemData" : { "ISBN" : "9783642787256", "author" : [ { "dropping-particle" : "", "family" : "Vogel", "given" : "W.", "non-dropping-particle" : "", "parse-names" : false, "suffix" : "" } ], "container-title" : "Glass Chemistry", "edition" : "2", "id" : "ITEM-1", "issued" : { "date-parts" : [ [ "1994" ] ] }, "page" : "v", "publisher" : "Springer-Verlag", "publisher-place" : "Berlin", "title" : "Forward", "type" : "chapter" }, "uris" : [ "http://www.mendeley.com/documents/?uuid=90718722-147b-404e-879c-aabb7f218f6a", "http://www.mendeley.com/documents/?uuid=ec14971b-795b-4c50-a170-2ae37a88b852" ] } ], "mendeley" : { "formattedCitation" : "(Vogel 1994)", "manualFormatting" : "Vogel (1994)", "plainTextFormattedCitation" : "(Vogel 1994)", "previouslyFormattedCitation" : "(Vogel 1994)" }, "properties" : { "noteIndex" : 0 }, "schema" : "https://github.com/citation-style-language/schema/raw/master/csl-citation.json" }</w:instrText>
      </w:r>
      <w:r>
        <w:fldChar w:fldCharType="separate"/>
      </w:r>
      <w:r>
        <w:rPr>
          <w:noProof/>
        </w:rPr>
        <w:t>Vogel</w:t>
      </w:r>
      <w:r w:rsidRPr="00A048FE">
        <w:rPr>
          <w:noProof/>
        </w:rPr>
        <w:t xml:space="preserve"> </w:t>
      </w:r>
      <w:r>
        <w:rPr>
          <w:noProof/>
        </w:rPr>
        <w:t>(</w:t>
      </w:r>
      <w:r w:rsidRPr="00A048FE">
        <w:rPr>
          <w:noProof/>
        </w:rPr>
        <w:t>1994)</w:t>
      </w:r>
      <w:r>
        <w:fldChar w:fldCharType="end"/>
      </w:r>
      <w:r>
        <w:t xml:space="preserve"> predicted that glass will become increasingly important because ‘</w:t>
      </w:r>
      <w:r w:rsidRPr="00C963FE">
        <w:rPr>
          <w:i/>
        </w:rPr>
        <w:t>once the classical sources raw materials such as oil, natural gas and ores begin to be exhausted as the basis for materials development and production, the supply of raw materials for glass will remain indefinitely</w:t>
      </w:r>
      <w:r>
        <w:t xml:space="preserve">’. </w:t>
      </w:r>
      <w:r w:rsidR="005504BB">
        <w:t>The main</w:t>
      </w:r>
      <w:r>
        <w:t xml:space="preserve"> raw material for glass production</w:t>
      </w:r>
      <w:r w:rsidR="005504BB">
        <w:t xml:space="preserve">, </w:t>
      </w:r>
      <w:r>
        <w:t xml:space="preserve">silica sand, </w:t>
      </w:r>
      <w:r w:rsidR="005504BB">
        <w:t>is</w:t>
      </w:r>
      <w:r>
        <w:t xml:space="preserve"> cheap, clean and abundant. Also, aside from the air pollution due to the high temperature combustion of fossil </w:t>
      </w:r>
      <w:r>
        <w:lastRenderedPageBreak/>
        <w:t xml:space="preserve">fuels, the waste levels for glass production are very low. However, since glass production still heavily depends on limited supplies fossil fuels, it is imperative to develop methods for utilising renewable energy sources instead of fossil fuels for the sustainability of future glass production. </w:t>
      </w:r>
    </w:p>
    <w:p w14:paraId="00F15F7C" w14:textId="77777777" w:rsidR="00EF1DD3" w:rsidRDefault="00EF1DD3" w:rsidP="00EF1DD3">
      <w:pPr>
        <w:pStyle w:val="Heading3"/>
      </w:pPr>
      <w:r>
        <w:t>Raw materials</w:t>
      </w:r>
    </w:p>
    <w:p w14:paraId="46E8DA22" w14:textId="17590012" w:rsidR="00EF1DD3" w:rsidRPr="004B29BB" w:rsidRDefault="00EF1DD3" w:rsidP="00EF1DD3">
      <w:pPr>
        <w:rPr>
          <w:lang w:val="en-US"/>
        </w:rPr>
      </w:pPr>
      <w:r>
        <w:rPr>
          <w:lang w:val="en-US"/>
        </w:rPr>
        <w:t>‘</w:t>
      </w:r>
      <w:r w:rsidRPr="000F28F7">
        <w:rPr>
          <w:i/>
          <w:lang w:val="en-US"/>
        </w:rPr>
        <w:t>Stable and uniform raw materials are essential for the manufacture of high quality glass. Raw materials are selected according to purity, supply, pollution potential, ease of melting, and cost. Sand is the most common ingredient. Shipping costs are often multiples of original cost of the sand, and therefore manufacturers seek acceptable local sources of raw materials</w:t>
      </w:r>
      <w:r>
        <w:rPr>
          <w:lang w:val="en-US"/>
        </w:rPr>
        <w:t xml:space="preserve">’ </w:t>
      </w:r>
      <w:r>
        <w:rPr>
          <w:lang w:val="en-US"/>
        </w:rPr>
        <w:fldChar w:fldCharType="begin" w:fldLock="1"/>
      </w:r>
      <w:r>
        <w:rPr>
          <w:lang w:val="en-US"/>
        </w:rPr>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"uris" : [ "http://www.mendeley.com/documents/?uuid=b146b9ef-d8b2-463e-8b87-bea6bd9c4c54", "http://www.mendeley.com/documents/?uuid=ee53de1b-7c5d-4e4d-93ed-be4419800e41" ] } ], "mendeley" : { "formattedCitation" : "(Philip Ross &amp; Tincher 2004)", "manualFormatting" : "(Ross et al., 2004)", "plainTextFormattedCitation" : "(Philip Ross &amp; Tincher 2004)", "previouslyFormattedCitation" : "(Philip Ross &amp; Tincher 2004)" }, "properties" : { "noteIndex" : 0 }, "schema" : "https://github.com/citation-style-language/schema/raw/master/csl-citation.json" }</w:instrText>
      </w:r>
      <w:r>
        <w:rPr>
          <w:lang w:val="en-US"/>
        </w:rPr>
        <w:fldChar w:fldCharType="separate"/>
      </w:r>
      <w:r w:rsidRPr="003114BA">
        <w:rPr>
          <w:noProof/>
          <w:lang w:val="en-US"/>
        </w:rPr>
        <w:t xml:space="preserve">(Ross </w:t>
      </w:r>
      <w:r>
        <w:rPr>
          <w:noProof/>
          <w:lang w:val="en-US"/>
        </w:rPr>
        <w:t>et al.</w:t>
      </w:r>
      <w:r w:rsidRPr="003114BA">
        <w:rPr>
          <w:noProof/>
          <w:lang w:val="en-US"/>
        </w:rPr>
        <w:t>, 2004)</w:t>
      </w:r>
      <w:r>
        <w:rPr>
          <w:lang w:val="en-US"/>
        </w:rPr>
        <w:fldChar w:fldCharType="end"/>
      </w:r>
      <w:r w:rsidRPr="003114BA">
        <w:rPr>
          <w:lang w:val="en-US"/>
        </w:rPr>
        <w:t>.</w:t>
      </w:r>
      <w:r>
        <w:rPr>
          <w:lang w:val="en-US"/>
        </w:rPr>
        <w:t xml:space="preserve"> </w:t>
      </w:r>
      <w:r>
        <w:t xml:space="preserve">Only high purity (&gt;99%) silica sands are used for commercial glass making. Even small quantities of impurities can be problematic as summarised in </w:t>
      </w:r>
      <w:r>
        <w:fldChar w:fldCharType="begin"/>
      </w:r>
      <w:r>
        <w:instrText xml:space="preserve"> REF _Ref435119768 \h </w:instrText>
      </w:r>
      <w:r>
        <w:fldChar w:fldCharType="separate"/>
      </w:r>
      <w:r w:rsidR="00820EB1" w:rsidRPr="00DE6E60">
        <w:rPr>
          <w:rStyle w:val="BookTitle"/>
        </w:rPr>
        <w:t xml:space="preserve">Table </w:t>
      </w:r>
      <w:r w:rsidR="00820EB1">
        <w:rPr>
          <w:rStyle w:val="BookTitle"/>
          <w:noProof/>
        </w:rPr>
        <w:t>1</w:t>
      </w:r>
      <w:r>
        <w:fldChar w:fldCharType="end"/>
      </w:r>
      <w:r>
        <w:t>.</w:t>
      </w:r>
    </w:p>
    <w:p w14:paraId="6E052C22" w14:textId="77777777" w:rsidR="00EF1DD3" w:rsidRPr="00DE6E60" w:rsidRDefault="00EF1DD3" w:rsidP="00DE6E60">
      <w:pPr>
        <w:pStyle w:val="Caption"/>
        <w:keepNext/>
        <w:rPr>
          <w:rStyle w:val="BookTitle"/>
        </w:rPr>
      </w:pPr>
      <w:bookmarkStart w:id="13" w:name="_Ref435119768"/>
      <w:r w:rsidRPr="00DE6E60">
        <w:rPr>
          <w:rStyle w:val="BookTitle"/>
        </w:rPr>
        <w:t xml:space="preserve">Table </w:t>
      </w:r>
      <w:r w:rsidRPr="00DE6E60">
        <w:rPr>
          <w:rStyle w:val="BookTitle"/>
        </w:rPr>
        <w:fldChar w:fldCharType="begin"/>
      </w:r>
      <w:r w:rsidRPr="00DE6E60">
        <w:rPr>
          <w:rStyle w:val="BookTitle"/>
        </w:rPr>
        <w:instrText xml:space="preserve"> SEQ Table \* ARABIC </w:instrText>
      </w:r>
      <w:r w:rsidRPr="00DE6E60">
        <w:rPr>
          <w:rStyle w:val="BookTitle"/>
        </w:rPr>
        <w:fldChar w:fldCharType="separate"/>
      </w:r>
      <w:r w:rsidR="00486837">
        <w:rPr>
          <w:rStyle w:val="BookTitle"/>
          <w:noProof/>
        </w:rPr>
        <w:t>1</w:t>
      </w:r>
      <w:r w:rsidRPr="00DE6E60">
        <w:rPr>
          <w:rStyle w:val="BookTitle"/>
        </w:rPr>
        <w:fldChar w:fldCharType="end"/>
      </w:r>
      <w:bookmarkEnd w:id="13"/>
      <w:r w:rsidRPr="00DE6E60">
        <w:rPr>
          <w:rStyle w:val="BookTitle"/>
        </w:rPr>
        <w:t>: Common impurities in silica sands, problems they cause in glass making and the commercially acceptable limit. sources: [1]=</w:t>
      </w:r>
      <w:r w:rsidRPr="00DE6E60">
        <w:rPr>
          <w:rStyle w:val="BookTitle"/>
        </w:rPr>
        <w:fldChar w:fldCharType="begin" w:fldLock="1"/>
      </w:r>
      <w:r w:rsidRPr="00DE6E60">
        <w:rPr>
          <w:rStyle w:val="BookTitle"/>
        </w:rPr>
        <w:instrText>ADDIN CSL_CITATION { "citationItems" : [ { "id" : "ITEM-1", "itemData" : { "author" : [ { "dropping-particle" : "", "family" : "Brown", "given" : "C.J.", "non-dropping-particle" : "", "parse-names" : false, "suffix" : "" }, { "dropping-particle" : "", "family" : "R", "given" : "I.H", "non-dropping-particle" : "", "parse-names" : false, "suffix" : "" } ], "container-title" : "Fourth Industrial Minerals International Congress", "id" : "ITEM-1", "issued" : { "date-parts" : [ [ "1980" ] ] }, "publisher-place" : "Atlanta", "title" : "Processing glass grade sand from dune sand", "type" : "paper-conference" }, "uris" : [ "http://www.mendeley.com/documents/?uuid=db7ffd69-9712-4368-a261-585a4f505f38", "http://www.mendeley.com/documents/?uuid=66021649-2a85-4ebe-b9ec-6eccf0bbaa84" ] } ], "mendeley" : { "formattedCitation" : "(Brown &amp; R 1980)", "manualFormatting" : "(Brown et al., 1980)", "plainTextFormattedCitation" : "(Brown &amp; R 1980)", "previouslyFormattedCitation" : "(Brown &amp; R 1980)" }, "properties" : { "noteIndex" : 0 }, "schema" : "https://github.com/citation-style-language/schema/raw/master/csl-citation.json" }</w:instrText>
      </w:r>
      <w:r w:rsidRPr="00DE6E60">
        <w:rPr>
          <w:rStyle w:val="BookTitle"/>
        </w:rPr>
        <w:fldChar w:fldCharType="separate"/>
      </w:r>
      <w:r w:rsidRPr="00DE6E60">
        <w:rPr>
          <w:rStyle w:val="BookTitle"/>
          <w:noProof/>
        </w:rPr>
        <w:t>(Brown et al., 1980)</w:t>
      </w:r>
      <w:r w:rsidRPr="00DE6E60">
        <w:rPr>
          <w:rStyle w:val="BookTitle"/>
        </w:rPr>
        <w:fldChar w:fldCharType="end"/>
      </w:r>
      <w:r w:rsidRPr="00DE6E60">
        <w:rPr>
          <w:rStyle w:val="BookTitle"/>
        </w:rPr>
        <w:t>; [2]=</w:t>
      </w:r>
      <w:r w:rsidRPr="00DE6E60">
        <w:rPr>
          <w:rStyle w:val="BookTitle"/>
        </w:rPr>
        <w:fldChar w:fldCharType="begin" w:fldLock="1"/>
      </w:r>
      <w:r w:rsidRPr="00DE6E60">
        <w:rPr>
          <w:rStyle w:val="BookTitle"/>
        </w:rPr>
        <w:instrText>ADDIN CSL_CITATION { "citationItems" : [ { "id" : "ITEM-1", "itemData" : { "author" : [ { "dropping-particle" : "", "family" : "McLaws", "given" : "I.J.", "non-dropping-particle" : "", "parse-names" : false, "suffix" : "" } ], "id" : "ITEM-1", "issued" : { "date-parts" : [ [ "1971" ] ] }, "number-of-pages" : "5-7", "publisher-place" : "Edmonton, Alberta", "title" : "Uses and specifications of silica sand", "type" : "report" }, "uris" : [ "http://www.mendeley.com/documents/?uuid=8b187f2e-86be-4074-9453-8403f041ae58", "http://www.mendeley.com/documents/?uuid=c2bc0d68-2196-4fad-9065-7ac090211e6c" ] } ], "mendeley" : { "formattedCitation" : "(McLaws 1971)", "plainTextFormattedCitation" : "(McLaws 1971)", "previouslyFormattedCitation" : "(McLaws 1971)" }, "properties" : { "noteIndex" : 0 }, "schema" : "https://github.com/citation-style-language/schema/raw/master/csl-citation.json" }</w:instrText>
      </w:r>
      <w:r w:rsidRPr="00DE6E60">
        <w:rPr>
          <w:rStyle w:val="BookTitle"/>
        </w:rPr>
        <w:fldChar w:fldCharType="separate"/>
      </w:r>
      <w:r w:rsidRPr="00DE6E60">
        <w:rPr>
          <w:rStyle w:val="BookTitle"/>
          <w:noProof/>
        </w:rPr>
        <w:t>(McLaws 1971)</w:t>
      </w:r>
      <w:r w:rsidRPr="00DE6E60">
        <w:rPr>
          <w:rStyle w:val="BookTitle"/>
        </w:rPr>
        <w:fldChar w:fldCharType="end"/>
      </w:r>
      <w:r w:rsidRPr="00DE6E60">
        <w:rPr>
          <w:rStyle w:val="BookTitle"/>
        </w:rPr>
        <w:t>.</w:t>
      </w:r>
    </w:p>
    <w:p w14:paraId="577AFB3A" w14:textId="062AF36A" w:rsidR="00EF1DD3" w:rsidRDefault="00F534DE" w:rsidP="00EF1DD3">
      <w:pPr>
        <w:jc w:val="center"/>
      </w:pPr>
      <w:r>
        <w:rPr>
          <w:noProof/>
        </w:rPr>
        <w:drawing>
          <wp:inline distT="0" distB="0" distL="0" distR="0" wp14:anchorId="0004F250" wp14:editId="388CF787">
            <wp:extent cx="5143612" cy="3884930"/>
            <wp:effectExtent l="0" t="0" r="0" b="127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298" t="8675" r="20345" b="8895"/>
                    <a:stretch/>
                  </pic:blipFill>
                  <pic:spPr bwMode="auto">
                    <a:xfrm>
                      <a:off x="0" y="0"/>
                      <a:ext cx="5177124" cy="3910241"/>
                    </a:xfrm>
                    <a:prstGeom prst="rect">
                      <a:avLst/>
                    </a:prstGeom>
                    <a:ln>
                      <a:noFill/>
                    </a:ln>
                    <a:extLst>
                      <a:ext uri="{53640926-AAD7-44D8-BBD7-CCE9431645EC}">
                        <a14:shadowObscured xmlns:a14="http://schemas.microsoft.com/office/drawing/2010/main"/>
                      </a:ext>
                    </a:extLst>
                  </pic:spPr>
                </pic:pic>
              </a:graphicData>
            </a:graphic>
          </wp:inline>
        </w:drawing>
      </w:r>
    </w:p>
    <w:p w14:paraId="2404C90C" w14:textId="2D0622F7" w:rsidR="00EF1DD3" w:rsidRDefault="00EF1DD3" w:rsidP="00EF1DD3">
      <w:r>
        <w:t>Glass can be made by melting pure silica but the liquidus temperature of silica is 1713</w:t>
      </w:r>
      <w:r>
        <w:rPr>
          <w:vertAlign w:val="superscript"/>
        </w:rPr>
        <w:t>o</w:t>
      </w:r>
      <w:r>
        <w:t xml:space="preserve">C and at this temperature, the melt is so viscous that the crystals can hardly be seen to change their form. The temperature required to produce a fluid melt from pure silica is beyond commercially practical limits. However, addition of  network modifiers reduce the liquidus temperature to enable a homogenous glass melt to be generated without the necessity for too high temperatures </w:t>
      </w:r>
      <w:r>
        <w:fldChar w:fldCharType="begin" w:fldLock="1"/>
      </w:r>
      <w:r w:rsidR="003B3A29">
        <w:instrText>ADDIN CSL_CITATION { "citationItems" : [ { "id" : "ITEM-1", "itemData" : { "author" : [ { "dropping-particle" : "", "family" : "Jones", "given" : "G. O", "non-dropping-particle" : "", "parse-names" : false, "suffix" : "" } ], "chapter-number" : "2", "container-title" : "Glass", "id" : "ITEM-1", "issued" : { "date-parts" : [ [ "1971" ] ] }, "title" : "Structural chemistry of glass", "type" : "chapter" }, "uris" : [ "http://www.mendeley.com/documents/?uuid=219806c9-9ca2-4057-9652-b8501a680d5c", "http://www.mendeley.com/documents/?uuid=8521bf1b-659f-41ed-8c63-022a0852463b" ] } ], "mendeley" : { "formattedCitation" : "(Jones 1971a)", "plainTextFormattedCitation" : "(Jones 1971a)", "previouslyFormattedCitation" : "(Jones 1971a)" }, "properties" : { "noteIndex" : 0 }, "schema" : "https://github.com/citation-style-language/schema/raw/master/csl-citation.json" }</w:instrText>
      </w:r>
      <w:r>
        <w:fldChar w:fldCharType="separate"/>
      </w:r>
      <w:r w:rsidR="005504BB" w:rsidRPr="005504BB">
        <w:rPr>
          <w:noProof/>
        </w:rPr>
        <w:t>(Jones 1971a)</w:t>
      </w:r>
      <w:r>
        <w:fldChar w:fldCharType="end"/>
      </w:r>
      <w:r>
        <w:t xml:space="preserve">. Soda-lime-silica glass is composed of (weight percent) 71-75 % silica, from sand, 12-16% sodium oxide, usually supplied as sodium carbonate (soda ash) and 10-15% calcium </w:t>
      </w:r>
      <w:r>
        <w:lastRenderedPageBreak/>
        <w:t xml:space="preserve">oxide, which is also supplied as a carbonate </w:t>
      </w:r>
      <w:r>
        <w:fldChar w:fldCharType="begin" w:fldLock="1"/>
      </w:r>
      <w:r>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"locator" : "111", "uris" : [ "http://www.mendeley.com/documents/?uuid=ee53de1b-7c5d-4e4d-93ed-be4419800e41" ] } ], "mendeley" : { "formattedCitation" : "(Philip Ross &amp; Tincher 2004, p.111)", "plainTextFormattedCitation" : "(Philip Ross &amp; Tincher 2004, p.111)", "previouslyFormattedCitation" : "(Philip Ross &amp; Tincher 2004, p.111)" }, "properties" : { "noteIndex" : 0 }, "schema" : "https://github.com/citation-style-language/schema/raw/master/csl-citation.json" }</w:instrText>
      </w:r>
      <w:r>
        <w:fldChar w:fldCharType="separate"/>
      </w:r>
      <w:r w:rsidRPr="00970A1C">
        <w:rPr>
          <w:noProof/>
        </w:rPr>
        <w:t>(Philip Ross &amp; Tincher 2004, p.111)</w:t>
      </w:r>
      <w:r>
        <w:fldChar w:fldCharType="end"/>
      </w:r>
      <w:r>
        <w:t xml:space="preserve">. Other more minor components are also added to commercial melts, either deliberately or as unavoidable components in the raw materials.  </w:t>
      </w:r>
    </w:p>
    <w:p w14:paraId="66A19731" w14:textId="77777777" w:rsidR="00EF1DD3" w:rsidRPr="00723840" w:rsidRDefault="00EF1DD3" w:rsidP="00EF1DD3">
      <w:pPr>
        <w:pStyle w:val="Heading3"/>
      </w:pPr>
      <w:bookmarkStart w:id="14" w:name="_Ref434665765"/>
      <w:r>
        <w:t>Production</w:t>
      </w:r>
      <w:bookmarkEnd w:id="14"/>
    </w:p>
    <w:p w14:paraId="603217BA" w14:textId="43EC54D6" w:rsidR="00EF1DD3" w:rsidRDefault="00EF1DD3" w:rsidP="005504BB">
      <w:r>
        <w:rPr>
          <w:lang w:val="en-US"/>
        </w:rPr>
        <w:t xml:space="preserve">The raw materials used to produce glass (often referred to as </w:t>
      </w:r>
      <w:r w:rsidRPr="00763B3C">
        <w:rPr>
          <w:i/>
          <w:lang w:val="en-US"/>
        </w:rPr>
        <w:t>batch</w:t>
      </w:r>
      <w:r>
        <w:rPr>
          <w:i/>
          <w:lang w:val="en-US"/>
        </w:rPr>
        <w:t xml:space="preserve"> </w:t>
      </w:r>
      <w:r>
        <w:rPr>
          <w:lang w:val="en-US"/>
        </w:rPr>
        <w:t>or ‘</w:t>
      </w:r>
      <w:r>
        <w:rPr>
          <w:i/>
          <w:lang w:val="en-US"/>
        </w:rPr>
        <w:t>glass forming batch’</w:t>
      </w:r>
      <w:r>
        <w:rPr>
          <w:lang w:val="en-US"/>
        </w:rPr>
        <w:t xml:space="preserve">) are melted inside a glass furnace. Usually, the </w:t>
      </w:r>
      <w:r w:rsidRPr="00104D72">
        <w:rPr>
          <w:i/>
          <w:lang w:val="en-US"/>
        </w:rPr>
        <w:t>batch</w:t>
      </w:r>
      <w:r>
        <w:rPr>
          <w:i/>
          <w:lang w:val="en-US"/>
        </w:rPr>
        <w:t xml:space="preserve"> </w:t>
      </w:r>
      <w:r>
        <w:rPr>
          <w:lang w:val="en-US"/>
        </w:rPr>
        <w:t>is fed onto surface of an existing melt, forming a layer (</w:t>
      </w:r>
      <w:r w:rsidRPr="00104D72">
        <w:rPr>
          <w:i/>
          <w:lang w:val="en-US"/>
        </w:rPr>
        <w:t>batch blanket</w:t>
      </w:r>
      <w:r>
        <w:rPr>
          <w:lang w:val="en-US"/>
        </w:rPr>
        <w:t xml:space="preserve">) which gradually dissolves into the melt. </w:t>
      </w:r>
      <w:r>
        <w:t xml:space="preserve">The theoretical energy required to convert SLS batch into glass is around 2.7 GJ/t </w:t>
      </w:r>
      <w:r w:rsidR="005504BB">
        <w:fldChar w:fldCharType="begin" w:fldLock="1"/>
      </w:r>
      <w:r w:rsidR="003B3A29">
        <w:instrText>ADDIN CSL_CITATION { "citationItems" : [ { "id" : "ITEM-1", "itemData" : { "author" : [ { "dropping-particle" : "", "family" : "Trier", "given" : "Wolfgang", "non-dropping-particle" : "", "parse-names" : false, "suffix" : "" } ], "chapter-number" : "5", "container-title" : "Glass Furnace: Design Construction and Operation", "id" : "ITEM-1", "issued" : { "date-parts" : [ [ "1987" ] ] }, "page" : "80", "publisher" : "Society of Glass Technology", "publisher-place" : "Sheffield", "title" : "Heat consumption", "type" : "chapter" }, "uris" : [ "http://www.mendeley.com/documents/?uuid=e566a87c-b43d-4880-8c5e-67114fe13bc2" ] } ], "mendeley" : { "formattedCitation" : "(Trier 1987b)", "manualFormatting" : "(Trier 1987b;", "plainTextFormattedCitation" : "(Trier 1987b)", "previouslyFormattedCitation" : "(Trier 1987b)" }, "properties" : { "noteIndex" : 0 }, "schema" : "https://github.com/citation-style-language/schema/raw/master/csl-citation.json" }</w:instrText>
      </w:r>
      <w:r w:rsidR="005504BB">
        <w:fldChar w:fldCharType="separate"/>
      </w:r>
      <w:r w:rsidR="005504BB" w:rsidRPr="004B3189">
        <w:rPr>
          <w:noProof/>
        </w:rPr>
        <w:t>(Trier 1987b</w:t>
      </w:r>
      <w:r w:rsidR="005504BB">
        <w:rPr>
          <w:noProof/>
        </w:rPr>
        <w:t>;</w:t>
      </w:r>
      <w:r w:rsidR="005504BB">
        <w:fldChar w:fldCharType="end"/>
      </w:r>
      <w:r w:rsidR="005504BB">
        <w:t xml:space="preserve"> </w:t>
      </w:r>
      <w:r>
        <w:fldChar w:fldCharType="begin" w:fldLock="1"/>
      </w:r>
      <w:r w:rsidR="005504BB">
        <w:instrText>ADDIN CSL_CITATION { "citationItems" : [ { "id" : "ITEM-1", "itemData" : { "author" : [ { "dropping-particle" : "", "family" : "Scalet", "given" : "Bianca Maria", "non-dropping-particle" : "", "parse-names" : false, "suffix" : "" }, { "dropping-particle" : "", "family" : "Garcia Munoz", "given" : "Marcos", "non-dropping-particle" : "", "parse-names" : false, "suffix" : "" }, { "dropping-particle" : "", "family" : "Sisa", "given" : "Aiva Querol", "non-dropping-particle" : "", "parse-names" : false, "suffix" : "" }, { "dropping-particle" : "", "family" : "Roudier", "given" : "Serge", "non-dropping-particle" : "", "parse-names" : false, "suffix" : "" }, { "dropping-particle" : "", "family" : "Delgado Sancho", "given" : "Luis", "non-dropping-particle" : "", "parse-names" : false, "suffix" : "" } ], "id" : "ITEM-1", "issued" : { "date-parts" : [ [ "2013" ] ] }, "title" : "Best Available Techniques (BAT) Reference Document for the Manufacture of Glass", "type" : "report" }, "uris" : [ "http://www.mendeley.com/documents/?uuid=e4140784-6a08-4e50-b701-eeb2940543fd" ] } ], "mendeley" : { "formattedCitation" : "(Scalet et al. 2013)", "manualFormatting" : "Scalet et al. 2013)", "plainTextFormattedCitation" : "(Scalet et al. 2013)", "previouslyFormattedCitation" : "(Scalet et al. 2013)" }, "properties" : { "noteIndex" : 0 }, "schema" : "https://github.com/citation-style-language/schema/raw/master/csl-citation.json" }</w:instrText>
      </w:r>
      <w:r>
        <w:fldChar w:fldCharType="separate"/>
      </w:r>
      <w:r w:rsidRPr="004B3189">
        <w:rPr>
          <w:noProof/>
        </w:rPr>
        <w:t>Scalet et al. 2013)</w:t>
      </w:r>
      <w:r>
        <w:fldChar w:fldCharType="end"/>
      </w:r>
      <w:r>
        <w:t>. This theoretical value is based only on the chemical heat of reactions associated with the glass forming reactions, including the decomposition of the carbonates to their oxides; the phase change from crystalline batch components to the liquid melt; and the enthalpy changes associated with heating up the raw materials (‘batch’) and the gas produced, from ambient temperature to the generally assumed melt temperature of 1500</w:t>
      </w:r>
      <w:r>
        <w:rPr>
          <w:vertAlign w:val="superscript"/>
        </w:rPr>
        <w:t>o</w:t>
      </w:r>
      <w:r>
        <w:t xml:space="preserve">C. </w:t>
      </w:r>
      <w:r w:rsidRPr="008F66E7">
        <w:t>However, in practice, significant additional energy is required to overcome heat losses associated with maintaining the glass melt at temperature to enable homogenisation and bubble removal (fining) to occur, in order to produce the required high quality products expected by the modern consumer. This real energy consumption for modern industrial glass melting, with typical production in the order of hundreds of tonnes per day (tpd), can vary from 3.5 to 40 GJ/t (Scalet et al. 2013) depending on furnace design and scale, with larger furnaces generally being more efficient.</w:t>
      </w:r>
    </w:p>
    <w:p w14:paraId="7CC52E1B" w14:textId="5C7F5F9F" w:rsidR="00EF1DD3" w:rsidRDefault="00EF1DD3" w:rsidP="00EF1DD3">
      <w:r>
        <w:t xml:space="preserve">After melting and fining, the glass forming melt undergoes a forming process, whereby it is shaped into the desired final glass product while it cools to the glass transition temperature. Most glass products are produced in special tanks designed for a specific glass product either, containers by blowing or casting, sheets by the </w:t>
      </w:r>
      <w:r w:rsidRPr="00256D59">
        <w:rPr>
          <w:i/>
        </w:rPr>
        <w:t>float</w:t>
      </w:r>
      <w:r>
        <w:t xml:space="preserve"> process or fibres by drawing filaments. The common theme to all these forming processes is the requirement for a consistent flow of the melt from inside the main melting tank to a separate section where the glass is shaped while cooling. This is achieved by careful distribution of heat to control the temperature and in turn viscosity of the melt.</w:t>
      </w:r>
    </w:p>
    <w:p w14:paraId="3386C575" w14:textId="77777777" w:rsidR="00EF1DD3" w:rsidRDefault="00EF1DD3" w:rsidP="00EF1DD3">
      <w:r>
        <w:t xml:space="preserve">Finally, once the glass is formed, it is held at the glass transition temperature and then slow cooled to room temperature. This </w:t>
      </w:r>
      <w:r w:rsidRPr="004C4FAD">
        <w:rPr>
          <w:i/>
        </w:rPr>
        <w:t>annealing</w:t>
      </w:r>
      <w:r>
        <w:t xml:space="preserve"> process is required to relieve internal stresses otherwise associated with strong temperature gradients</w:t>
      </w:r>
      <w:r w:rsidDel="00013F6E">
        <w:t xml:space="preserve"> </w:t>
      </w:r>
      <w:r>
        <w:t>thus to prevent fracture due to thermal shock.</w:t>
      </w:r>
    </w:p>
    <w:p w14:paraId="5451F8E3" w14:textId="77777777" w:rsidR="00EF1DD3" w:rsidRDefault="00EF1DD3" w:rsidP="00C2720A">
      <w:pPr>
        <w:pStyle w:val="Heading4"/>
        <w:numPr>
          <w:ilvl w:val="3"/>
          <w:numId w:val="9"/>
        </w:numPr>
      </w:pPr>
      <w:r>
        <w:t>Glass furnace refractories</w:t>
      </w:r>
    </w:p>
    <w:p w14:paraId="67C5FF12" w14:textId="06B85F56" w:rsidR="00EF1DD3" w:rsidRPr="0036087D" w:rsidRDefault="00EF1DD3" w:rsidP="00EF1DD3">
      <w:r>
        <w:t>‘</w:t>
      </w:r>
      <w:r w:rsidRPr="007A5AA2">
        <w:rPr>
          <w:i/>
        </w:rPr>
        <w:t xml:space="preserve">The primary objective of a glass making plant is to manufacture glass of the required quality and in the required quantity at the lowest attainable cost. In meeting these objectives, the selection and correct use of the materials exposed to high temperatures (refractories) inside the glass </w:t>
      </w:r>
      <w:r w:rsidRPr="007A5AA2">
        <w:rPr>
          <w:i/>
        </w:rPr>
        <w:lastRenderedPageBreak/>
        <w:t>furnace is of major importance</w:t>
      </w:r>
      <w:r>
        <w:t xml:space="preserve">’ </w:t>
      </w:r>
      <w:r>
        <w:fldChar w:fldCharType="begin" w:fldLock="1"/>
      </w:r>
      <w:r w:rsidR="00875DEE">
        <w:instrText>ADDIN CSL_CITATION { "citationItems" : [ { "id" : "ITEM-1", "itemData" : { "ISBN" : "0 900682 20 5", "author" : [ { "dropping-particle" : "", "family" : "Trier", "given" : "Wolfgang", "non-dropping-particle" : "", "parse-names" : false, "suffix" : "" } ], "chapter-number" : "4", "container-title" : "Glass Furnaces: Design Construction and Operation", "id" : "ITEM-1", "issued" : { "date-parts" : [ [ "1987" ] ] }, "page" : "60", "publisher" : "Society of Glass Technology", "title" : "Selection and use of refractories in glass tanks", "type" : "chapter" }, "uris" : [ "http://www.mendeley.com/documents/?uuid=240e6285-d86f-4784-a4aa-d964f27d9589" ] } ], "mendeley" : { "formattedCitation" : "(Trier 1987e)", "plainTextFormattedCitation" : "(Trier 1987e)", "previouslyFormattedCitation" : "(Trier 1987e)" }, "properties" : { "noteIndex" : 0 }, "schema" : "https://github.com/citation-style-language/schema/raw/master/csl-citation.json" }</w:instrText>
      </w:r>
      <w:r>
        <w:fldChar w:fldCharType="separate"/>
      </w:r>
      <w:r w:rsidR="00875DEE" w:rsidRPr="00875DEE">
        <w:rPr>
          <w:noProof/>
        </w:rPr>
        <w:t>(Trier 1987e)</w:t>
      </w:r>
      <w:r>
        <w:fldChar w:fldCharType="end"/>
      </w:r>
      <w:r>
        <w:t>. Those refractories directly in contact with the glass melt are particularly critical because they need to be resistant to attack by the batch and molten glass. These materials will inevitably, eventually decompose due to the severe conditions inside the furnace so the aim is to select those materials which can reliably survive for the longest period without requiring repair and those whose decomposition has the least negative effect on the quality of the glass product.</w:t>
      </w:r>
      <w:r w:rsidRPr="00201D4C">
        <w:t xml:space="preserve"> </w:t>
      </w:r>
      <w:r>
        <w:t xml:space="preserve">This usually limits the choice of materials for the construction of glass tanks mostly to fused mixtures of refractory oxides including silica, alumina and zircon </w:t>
      </w:r>
      <w:r>
        <w:fldChar w:fldCharType="begin" w:fldLock="1"/>
      </w:r>
      <w:r w:rsidR="00875DEE">
        <w:instrText>ADDIN CSL_CITATION { "citationItems" : [ { "id" : "ITEM-1", "itemData" : { "ISBN" : "0 900682 20 5", "author" : [ { "dropping-particle" : "", "family" : "Trier", "given" : "Wolfgang", "non-dropping-particle" : "", "parse-names" : false, "suffix" : "" } ], "chapter-number" : "4", "container-title" : "Glass Furnaces: Design Construction and Operation", "id" : "ITEM-1", "issued" : { "date-parts" : [ [ "1987" ] ] }, "page" : "60", "publisher" : "Society of Glass Technology", "title" : "Selection and use of refractories in glass tanks", "type" : "chapter" }, "uris" : [ "http://www.mendeley.com/documents/?uuid=240e6285-d86f-4784-a4aa-d964f27d9589" ] } ], "mendeley" : { "formattedCitation" : "(Trier 1987e)", "plainTextFormattedCitation" : "(Trier 1987e)", "previouslyFormattedCitation" : "(Trier 1987e)" }, "properties" : { "noteIndex" : 0 }, "schema" : "https://github.com/citation-style-language/schema/raw/master/csl-citation.json" }</w:instrText>
      </w:r>
      <w:r>
        <w:fldChar w:fldCharType="separate"/>
      </w:r>
      <w:r w:rsidR="00875DEE" w:rsidRPr="00875DEE">
        <w:rPr>
          <w:noProof/>
        </w:rPr>
        <w:t>(Trier 1987e)</w:t>
      </w:r>
      <w:r>
        <w:fldChar w:fldCharType="end"/>
      </w:r>
      <w:r>
        <w:t>.</w:t>
      </w:r>
    </w:p>
    <w:p w14:paraId="31D730E1" w14:textId="77777777" w:rsidR="00EF1DD3" w:rsidRDefault="00EF1DD3" w:rsidP="00EF1DD3">
      <w:pPr>
        <w:pStyle w:val="Heading3"/>
      </w:pPr>
      <w:r>
        <w:t>Types of glass furnaces</w:t>
      </w:r>
    </w:p>
    <w:p w14:paraId="277AEB53" w14:textId="77777777" w:rsidR="00EF1DD3" w:rsidRPr="003D632A" w:rsidRDefault="00EF1DD3" w:rsidP="00EF1DD3">
      <w:r>
        <w:t>Except for pot furnaces (</w:t>
      </w:r>
      <w:r>
        <w:fldChar w:fldCharType="begin"/>
      </w:r>
      <w:r>
        <w:instrText xml:space="preserve"> REF _Ref438292527 \n \h </w:instrText>
      </w:r>
      <w:r>
        <w:fldChar w:fldCharType="separate"/>
      </w:r>
      <w:r w:rsidR="00820EB1">
        <w:t>2.2.6.1</w:t>
      </w:r>
      <w:r>
        <w:fldChar w:fldCharType="end"/>
      </w:r>
      <w:r>
        <w:t xml:space="preserve">), glass furnaces are usually designed for the production of one kind of product which cannot be changed once constructed. This is because the furnace is carefully tuned to provide the desired properties of the glass to be produced. Also, changing the design of the furnace is difficult because they are continuously operated at very high temperatures. If such furnaces are switched off, the residual glass freezes causing thermal mismatch between the glass and contacting refractories so cooling down is usually avoided. </w:t>
      </w:r>
      <w:r>
        <w:rPr>
          <w:lang w:val="en-US"/>
        </w:rPr>
        <w:t>Glass furnaces can be broadly</w:t>
      </w:r>
      <w:r w:rsidRPr="00656C72">
        <w:t xml:space="preserve"> categorised</w:t>
      </w:r>
      <w:r>
        <w:rPr>
          <w:lang w:val="en-US"/>
        </w:rPr>
        <w:t xml:space="preserve"> into the following three types, according to their scale and mode of operation:</w:t>
      </w:r>
    </w:p>
    <w:p w14:paraId="31A2A2D9" w14:textId="77777777" w:rsidR="00EF1DD3" w:rsidRDefault="00EF1DD3" w:rsidP="00C2720A">
      <w:pPr>
        <w:pStyle w:val="Heading4"/>
        <w:numPr>
          <w:ilvl w:val="3"/>
          <w:numId w:val="6"/>
        </w:numPr>
      </w:pPr>
      <w:bookmarkStart w:id="15" w:name="_Ref438292527"/>
      <w:r>
        <w:t>Pot Furnaces</w:t>
      </w:r>
      <w:bookmarkEnd w:id="15"/>
    </w:p>
    <w:p w14:paraId="474E348D" w14:textId="7B09EB46" w:rsidR="00EF1DD3" w:rsidRDefault="00EF1DD3" w:rsidP="00EF1DD3">
      <w:r>
        <w:t>Originally, glass was melted in clay pots which were heated inside small, intermittently operated furnaces called p</w:t>
      </w:r>
      <w:r w:rsidRPr="00C25844">
        <w:t xml:space="preserve">ot </w:t>
      </w:r>
      <w:r>
        <w:t>f</w:t>
      </w:r>
      <w:r w:rsidRPr="00C25844">
        <w:t>urnaces</w:t>
      </w:r>
      <w:r>
        <w:t xml:space="preserve"> </w:t>
      </w:r>
      <w:r>
        <w:fldChar w:fldCharType="begin" w:fldLock="1"/>
      </w:r>
      <w:r w:rsidR="00875DEE">
        <w:instrText>ADDIN CSL_CITATION { "citationItems" : [ { "id" : "ITEM-1", "itemData" : { "author" : [ { "dropping-particle" : "", "family" : "Trier", "given" : "Wolfgang", "non-dropping-particle" : "", "parse-names" : false, "suffix" : "" } ], "chapter-number" : "10", "container-title" : "Glass Furnaces: Design Construction and Operation1", "id" : "ITEM-1", "issued" : { "date-parts" : [ [ "1987" ] ] }, "page" : "229-236", "publisher" : "Society of Glass Technology", "publisher-place" : "Sheffield", "title" : "Pot furnaces", "type" : "chapter" }, "uris" : [ "http://www.mendeley.com/documents/?uuid=89c25bfd-5898-4058-940e-f19150ed1b1d" ] } ], "mendeley" : { "formattedCitation" : "(Trier 1987d)", "plainTextFormattedCitation" : "(Trier 1987d)", "previouslyFormattedCitation" : "(Trier 1987d)" }, "properties" : { "noteIndex" : 0 }, "schema" : "https://github.com/citation-style-language/schema/raw/master/csl-citation.json" }</w:instrText>
      </w:r>
      <w:r>
        <w:fldChar w:fldCharType="separate"/>
      </w:r>
      <w:r w:rsidR="00875DEE" w:rsidRPr="00875DEE">
        <w:rPr>
          <w:noProof/>
        </w:rPr>
        <w:t>(Trier 1987d)</w:t>
      </w:r>
      <w:r>
        <w:fldChar w:fldCharType="end"/>
      </w:r>
      <w:r>
        <w:t>. Pot furnaces are still used today, for small scale specialist and artistic glass production. They range in scale and design from those containing single pots, used by a single glass maker to multiple pots, used by multiple glass makers. The raw materials are fed into the pots via one or more ports in the furnace which are temporarily opened. As the initial charge of raw material reduce</w:t>
      </w:r>
      <w:r w:rsidR="008B686A">
        <w:t>s</w:t>
      </w:r>
      <w:r>
        <w:t xml:space="preserve"> in volume as it melts down, further raw materials are added to the pots. This is repeated until the pot is full. Then the glass is held at temperature to homogenise and remove bubbles before extracting the required quantity of glass to be manually formed to produce the required glass article. Although, pot furnaces are intermittently operated, they are usually maintained hot most of the time and several days are usually allowed to gradually heat up from room temperature when restarting, in order to prevent damage due to thermal shock otherwise associated with rapid thermal cycling.</w:t>
      </w:r>
    </w:p>
    <w:p w14:paraId="1E42D746" w14:textId="77777777" w:rsidR="00EF1DD3" w:rsidRDefault="00EF1DD3" w:rsidP="00C2720A">
      <w:pPr>
        <w:pStyle w:val="Heading4"/>
        <w:numPr>
          <w:ilvl w:val="3"/>
          <w:numId w:val="6"/>
        </w:numPr>
      </w:pPr>
      <w:r>
        <w:t>Tank Furnaces</w:t>
      </w:r>
    </w:p>
    <w:p w14:paraId="054947F0" w14:textId="795986C9" w:rsidR="00EF1DD3" w:rsidRDefault="00EF1DD3" w:rsidP="00EF1DD3">
      <w:pPr>
        <w:rPr>
          <w:lang w:val="en-US"/>
        </w:rPr>
      </w:pPr>
      <w:r>
        <w:rPr>
          <w:lang w:val="en-US"/>
        </w:rPr>
        <w:t>The majority (&gt;98%) of glass produced today is in ultra-large scale (in the order of hundreds of</w:t>
      </w:r>
      <w:r w:rsidRPr="00F52EC2">
        <w:t xml:space="preserve"> ton</w:t>
      </w:r>
      <w:r w:rsidR="003B3A29" w:rsidRPr="00F52EC2">
        <w:t>ne</w:t>
      </w:r>
      <w:r w:rsidRPr="00F52EC2">
        <w:t>s</w:t>
      </w:r>
      <w:r>
        <w:rPr>
          <w:lang w:val="en-US"/>
        </w:rPr>
        <w:t xml:space="preserve"> per day), continuously operated furnaces, called </w:t>
      </w:r>
      <w:r w:rsidRPr="002514DD">
        <w:rPr>
          <w:i/>
          <w:lang w:val="en-US"/>
        </w:rPr>
        <w:t>Tank Furnaces</w:t>
      </w:r>
      <w:r>
        <w:rPr>
          <w:i/>
          <w:lang w:val="en-US"/>
        </w:rPr>
        <w:t xml:space="preserve"> </w:t>
      </w:r>
      <w:r>
        <w:fldChar w:fldCharType="begin" w:fldLock="1"/>
      </w:r>
      <w:r w:rsidR="00F534DE">
        <w:instrText>ADDIN CSL_CITATION { "citationItems" : [ { "id" : "ITEM-1", "itemData" : { "author" : [ { "dropping-particle" : "", "family" : "Chaudhary", "given" : "M", "non-dropping-particle" : "", "parse-names" : false, "suffix" : "" } ], "container-title" : "Heat Transfer Engineering", "id" : "ITEM-1", "issued" : { "date-parts" : [ [ "1985" ] ] }, "page" : "55-65", "title" : "Three-dimentional mathematical model for flow and heat transfer in electric glass furnace", "type" : "article-journal", "volume" : "6" }, "uris" : [ "http://www.mendeley.com/documents/?uuid=13e80de1-aa6c-471b-aca3-d0bfd662b738" ] } ], "mendeley" : { "formattedCitation" : "(Chaudhary 1985)", "manualFormatting" : "(Choudhary 1985)", "plainTextFormattedCitation" : "(Chaudhary 1985)", "previouslyFormattedCitation" : "(Chaudhary 1985)" }, "properties" : { "noteIndex" : 0 }, "schema" : "https://github.com/citation-style-language/schema/raw/master/csl-citation.json" }</w:instrText>
      </w:r>
      <w:r>
        <w:fldChar w:fldCharType="separate"/>
      </w:r>
      <w:r w:rsidR="009872B8" w:rsidRPr="009872B8">
        <w:rPr>
          <w:noProof/>
        </w:rPr>
        <w:t>(</w:t>
      </w:r>
      <w:r w:rsidR="00F534DE" w:rsidRPr="009872B8">
        <w:rPr>
          <w:noProof/>
        </w:rPr>
        <w:t>Ch</w:t>
      </w:r>
      <w:r w:rsidR="00F534DE">
        <w:rPr>
          <w:noProof/>
        </w:rPr>
        <w:t>o</w:t>
      </w:r>
      <w:r w:rsidR="00F534DE" w:rsidRPr="009872B8">
        <w:rPr>
          <w:noProof/>
        </w:rPr>
        <w:t xml:space="preserve">udhary </w:t>
      </w:r>
      <w:r w:rsidR="009872B8" w:rsidRPr="009872B8">
        <w:rPr>
          <w:noProof/>
        </w:rPr>
        <w:t>1985)</w:t>
      </w:r>
      <w:r>
        <w:fldChar w:fldCharType="end"/>
      </w:r>
      <w:r>
        <w:rPr>
          <w:lang w:val="en-US"/>
        </w:rPr>
        <w:t xml:space="preserve">. The raw materials are fed in one end of the melting tank and gradually migrate across to the output end where the melt is pulled out and continuously formed into large quantities of a particular glass </w:t>
      </w:r>
      <w:r>
        <w:rPr>
          <w:lang w:val="en-US"/>
        </w:rPr>
        <w:lastRenderedPageBreak/>
        <w:t>product (high volume and low variety manufacturing) such as either containers, sheets or</w:t>
      </w:r>
      <w:r w:rsidRPr="00656C72">
        <w:t xml:space="preserve"> fibres</w:t>
      </w:r>
      <w:r>
        <w:rPr>
          <w:lang w:val="en-US"/>
        </w:rPr>
        <w:t>. Most tank furnaces are heated by the combustion of fossil fuels and sometimes additional heating is provided electrically.</w:t>
      </w:r>
    </w:p>
    <w:p w14:paraId="67597BCE" w14:textId="77777777" w:rsidR="00EF1DD3" w:rsidRDefault="00EF1DD3" w:rsidP="00EF1DD3">
      <w:pPr>
        <w:pStyle w:val="Heading4"/>
      </w:pPr>
      <w:r>
        <w:t xml:space="preserve">Day Tanks </w:t>
      </w:r>
    </w:p>
    <w:p w14:paraId="6EEF81D3" w14:textId="1D446A27" w:rsidR="00EF1DD3" w:rsidRDefault="00EF1DD3" w:rsidP="00EF1DD3">
      <w:r>
        <w:t>Intermediate scale (in the orders of 10</w:t>
      </w:r>
      <w:r>
        <w:rPr>
          <w:vertAlign w:val="superscript"/>
        </w:rPr>
        <w:t xml:space="preserve">1-3 </w:t>
      </w:r>
      <w:r>
        <w:t xml:space="preserve">kg glass per day) glass furnaces, which operate on daily cycles are called </w:t>
      </w:r>
      <w:r w:rsidRPr="00401E0E">
        <w:rPr>
          <w:i/>
        </w:rPr>
        <w:t>Day Tanks</w:t>
      </w:r>
      <w:r>
        <w:t xml:space="preserve"> </w:t>
      </w:r>
      <w:r w:rsidR="00DB1956">
        <w:fldChar w:fldCharType="begin" w:fldLock="1"/>
      </w:r>
      <w:r w:rsidR="009872B8">
        <w:instrText>ADDIN CSL_CITATION { "citationItems" : [ { "id" : "ITEM-1", "itemData" : { "author" : [ { "dropping-particle" : "", "family" : "Trier", "given" : "Wolfgang", "non-dropping-particle" : "", "parse-names" : false, "suffix" : "" } ], "chapter-number" : "9", "container-title" : "Glass Furnaces: Design Construction and Operation", "id" : "ITEM-1", "issued" : { "date-parts" : [ [ "1987" ] ] }, "page" : "226-228", "publisher" : "Society of Glass Technology", "publisher-place" : "Sheffield", "title" : "Day Tanks", "type" : "chapter" }, "uris" : [ "http://www.mendeley.com/documents/?uuid=eead97f5-d906-43e8-a9eb-dbc0a5c16fd4" ] } ], "mendeley" : { "formattedCitation" : "(Trier 1987a)", "manualFormatting" : "(Trier 1987a;", "plainTextFormattedCitation" : "(Trier 1987a)", "previouslyFormattedCitation" : "(Trier 1987a)" }, "properties" : { "noteIndex" : 0 }, "schema" : "https://github.com/citation-style-language/schema/raw/master/csl-citation.json" }</w:instrText>
      </w:r>
      <w:r w:rsidR="00DB1956">
        <w:fldChar w:fldCharType="separate"/>
      </w:r>
      <w:r w:rsidR="00DB1956" w:rsidRPr="003B3A29">
        <w:rPr>
          <w:noProof/>
        </w:rPr>
        <w:t>(Trier 1987a</w:t>
      </w:r>
      <w:r w:rsidR="00DB1956">
        <w:rPr>
          <w:noProof/>
        </w:rPr>
        <w:t>;</w:t>
      </w:r>
      <w:r w:rsidR="00DB1956">
        <w:fldChar w:fldCharType="end"/>
      </w:r>
      <w:r w:rsidR="00DB1956" w:rsidRPr="00922064">
        <w:t xml:space="preserve"> </w:t>
      </w:r>
      <w:r w:rsidRPr="00AF4AB8">
        <w:t>Teinsen 1979)</w:t>
      </w:r>
      <w:r>
        <w:t xml:space="preserve">. They are similar in design to that of conventional </w:t>
      </w:r>
      <w:r w:rsidRPr="00F91474">
        <w:t>tank furnaces</w:t>
      </w:r>
      <w:r>
        <w:t xml:space="preserve">, with glass melted directly inside a single, insulated tank but their intermittent mode of operation and manual work involved in the forming processes, makes them more like pot furnaces. Day tanks are used where the volumes of glass required are too small for a conventional tank furnace and greater flexibility of operation is required, such as for art and speciality glass production. Day tanks operate on a 24 hour cycle </w:t>
      </w:r>
      <w:r>
        <w:fldChar w:fldCharType="begin" w:fldLock="1"/>
      </w:r>
      <w:r>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"plainTextFormattedCitation" : "(D\u00edaz-Ibarra et al. 2013)", "previouslyFormattedCitation" : "(D\u00edaz-Ibarra et al. 2013)" }, "properties" : { "noteIndex" : 0 }, "schema" : "https://github.com/citation-style-language/schema/raw/master/csl-citation.json" }</w:instrText>
      </w:r>
      <w:r>
        <w:fldChar w:fldCharType="separate"/>
      </w:r>
      <w:r w:rsidRPr="004B3189">
        <w:rPr>
          <w:noProof/>
        </w:rPr>
        <w:t>(Díaz-Ibarra et al. 2013)</w:t>
      </w:r>
      <w:r>
        <w:fldChar w:fldCharType="end"/>
      </w:r>
      <w:r>
        <w:t>, summarised as follows:</w:t>
      </w:r>
    </w:p>
    <w:p w14:paraId="75545C62" w14:textId="77777777" w:rsidR="00EF1DD3" w:rsidRDefault="00EF1DD3" w:rsidP="00C2720A">
      <w:pPr>
        <w:pStyle w:val="ListParagraph"/>
        <w:numPr>
          <w:ilvl w:val="0"/>
          <w:numId w:val="7"/>
        </w:numPr>
        <w:spacing w:before="120" w:after="120"/>
        <w15:collapsed/>
      </w:pPr>
      <w:r>
        <w:t>In the morning, operation starts with melting of raw materials at ≈1100-1450</w:t>
      </w:r>
      <w:r w:rsidRPr="00B4564C">
        <w:rPr>
          <w:vertAlign w:val="superscript"/>
        </w:rPr>
        <w:t>o</w:t>
      </w:r>
      <w:r>
        <w:t>C;</w:t>
      </w:r>
    </w:p>
    <w:p w14:paraId="4069089F" w14:textId="77777777" w:rsidR="00EF1DD3" w:rsidRDefault="00EF1DD3" w:rsidP="00C2720A">
      <w:pPr>
        <w:pStyle w:val="ListParagraph"/>
        <w:numPr>
          <w:ilvl w:val="0"/>
          <w:numId w:val="7"/>
        </w:numPr>
        <w:spacing w:before="120" w:after="120"/>
        <w15:collapsed/>
      </w:pPr>
      <w:r>
        <w:t>The accumulated melt is held at up to 1450</w:t>
      </w:r>
      <w:r w:rsidRPr="00B4564C">
        <w:rPr>
          <w:vertAlign w:val="superscript"/>
        </w:rPr>
        <w:t>o</w:t>
      </w:r>
      <w:r>
        <w:t>C for fining;</w:t>
      </w:r>
    </w:p>
    <w:p w14:paraId="187CA0B1" w14:textId="77777777" w:rsidR="00EF1DD3" w:rsidRDefault="00EF1DD3" w:rsidP="00C2720A">
      <w:pPr>
        <w:pStyle w:val="ListParagraph"/>
        <w:numPr>
          <w:ilvl w:val="0"/>
          <w:numId w:val="7"/>
        </w:numPr>
        <w:spacing w:before="120" w:after="120"/>
        <w15:collapsed/>
      </w:pPr>
      <w:r>
        <w:t>The fined glass is cooled to 1150</w:t>
      </w:r>
      <w:r>
        <w:rPr>
          <w:vertAlign w:val="superscript"/>
        </w:rPr>
        <w:t>o</w:t>
      </w:r>
      <w:r>
        <w:t>C to be manually formed;</w:t>
      </w:r>
    </w:p>
    <w:p w14:paraId="002D737B" w14:textId="77777777" w:rsidR="00EF1DD3" w:rsidRDefault="00EF1DD3" w:rsidP="00C2720A">
      <w:pPr>
        <w:pStyle w:val="ListParagraph"/>
        <w:numPr>
          <w:ilvl w:val="0"/>
          <w:numId w:val="7"/>
        </w:numPr>
        <w:spacing w:before="120" w:after="120"/>
        <w15:collapsed/>
      </w:pPr>
      <w:r>
        <w:t>Finally, the glass remaining in the tank, is held at around 1100</w:t>
      </w:r>
      <w:r w:rsidRPr="00301CDE">
        <w:rPr>
          <w:vertAlign w:val="superscript"/>
        </w:rPr>
        <w:t>o</w:t>
      </w:r>
      <w:r>
        <w:t xml:space="preserve">C overnight, until the resuming operation the following morning. </w:t>
      </w:r>
    </w:p>
    <w:p w14:paraId="6AB3EC9B" w14:textId="64A90FAA" w:rsidR="00EF1DD3" w:rsidRDefault="00EF1DD3" w:rsidP="00EF1DD3">
      <w:r>
        <w:t xml:space="preserve">Although day tanks do not account for a large proportion of total glass production, they are of particular interest for this project because their mode of operation is particularly well matched to the daily availability of solar radiation i.e. the majority of power is required during the middle of the day (when there is usually maximum solar radiation availability) for melting and </w:t>
      </w:r>
      <w:r w:rsidR="00EB5F44">
        <w:t>fining</w:t>
      </w:r>
      <w:r>
        <w:t xml:space="preserve"> and the lowest power is required overnight (when direct solar radiation is unavailable) for holding.</w:t>
      </w:r>
    </w:p>
    <w:p w14:paraId="1388D59F" w14:textId="342EDD4C" w:rsidR="00EF1DD3" w:rsidRDefault="00EF1DD3" w:rsidP="00EF1DD3">
      <w:r>
        <w:t>The melting rate of day tanks is in the region of 0.4-0.8 t m</w:t>
      </w:r>
      <w:r>
        <w:rPr>
          <w:vertAlign w:val="superscript"/>
        </w:rPr>
        <w:t xml:space="preserve">-2 </w:t>
      </w:r>
      <w:r>
        <w:t>d</w:t>
      </w:r>
      <w:r>
        <w:rPr>
          <w:vertAlign w:val="superscript"/>
        </w:rPr>
        <w:t>-1</w:t>
      </w:r>
      <w:r>
        <w:t xml:space="preserve"> and the specific energy consumption is similar to pot furnaces despite being </w:t>
      </w:r>
      <w:r w:rsidR="003B3A29">
        <w:t xml:space="preserve">larger in </w:t>
      </w:r>
      <w:r>
        <w:t>size. Also, the quality of glass produced from day tanks is usually lower than that of pot furnaces and special care is required to</w:t>
      </w:r>
      <w:r w:rsidRPr="00AF4AB8">
        <w:t xml:space="preserve"> </w:t>
      </w:r>
      <w:r>
        <w:t xml:space="preserve">control the pressure in day tanks </w:t>
      </w:r>
      <w:r w:rsidRPr="00AF4AB8">
        <w:t>to prevent ingress of cold air</w:t>
      </w:r>
      <w:r>
        <w:t xml:space="preserve">. </w:t>
      </w:r>
    </w:p>
    <w:p w14:paraId="0377F86D" w14:textId="77777777" w:rsidR="00EF1DD3" w:rsidRDefault="00EF1DD3" w:rsidP="00EF1DD3">
      <w:pPr>
        <w:pStyle w:val="Heading3"/>
      </w:pPr>
      <w:r>
        <w:t>Glass furnace heat losses</w:t>
      </w:r>
    </w:p>
    <w:p w14:paraId="2C8221E6" w14:textId="2B08E4BD" w:rsidR="00EF1DD3" w:rsidRDefault="00EF1DD3" w:rsidP="00EF1DD3">
      <w:r>
        <w:t xml:space="preserve">All glass furnaces heated by the combustion of fossil fuels obviously lose heat through hot exhaust gases. Tank furnaces nearly always feature a regenerator or recuperator to capture some of the heat from these exhaust gases to preheat the air/fuel before combustion. The other main source of heat losses is by conduction through the walls of the tanks as the glass must be held for extended periods at high temperatures for melting and </w:t>
      </w:r>
      <w:r w:rsidR="00EB5F44">
        <w:t>fining</w:t>
      </w:r>
      <w:r>
        <w:t xml:space="preserve">. So in order to reduce the surface area to volume ratio, the trend in glass furnace design has been towards ever larger tanks - now up to 600 tpd. However, since, as explained these huge furnaces must operate continuously, </w:t>
      </w:r>
      <w:r>
        <w:lastRenderedPageBreak/>
        <w:t xml:space="preserve">producing a single type of product, issues of overproduction and lack of flexibility arise </w:t>
      </w:r>
      <w:r>
        <w:fldChar w:fldCharType="begin" w:fldLock="1"/>
      </w:r>
      <w:r>
        <w:instrText>ADDIN CSL_CITATION { "citationItems" : [ { "id" : "ITEM-1", "itemData" : { "author" : [ { "dropping-particle" : "", "family" : "Pipino", "given" : "Massimo", "non-dropping-particle" : "", "parse-names" : false, "suffix" : "" } ], "container-title" : "12th European Society of Glass Conference", "id" : "ITEM-1", "issued" : { "date-parts" : [ [ "2014" ] ] }, "publisher-place" : "Parma, Italy", "title" : "Is the (flat) glass half full?", "type" : "paper-conference" }, "uris" : [ "http://www.mendeley.com/documents/?uuid=1ebb3dad-29c9-4c9e-8d9a-84965a5b0d8d" ] } ], "mendeley" : { "formattedCitation" : "(Pipino 2014)", "plainTextFormattedCitation" : "(Pipino 2014)", "previouslyFormattedCitation" : "(Pipino 2014)" }, "properties" : { "noteIndex" : 0 }, "schema" : "https://github.com/citation-style-language/schema/raw/master/csl-citation.json" }</w:instrText>
      </w:r>
      <w:r>
        <w:fldChar w:fldCharType="separate"/>
      </w:r>
      <w:r w:rsidRPr="004B3189">
        <w:rPr>
          <w:noProof/>
        </w:rPr>
        <w:t>(Pipino 2014)</w:t>
      </w:r>
      <w:r>
        <w:fldChar w:fldCharType="end"/>
      </w:r>
      <w:r>
        <w:t>. In intermittently operated furnaces (day tanks and pot furnaces) a significant proportion of the input heat is wasted due to reheating of residual glass remaining inside the furnace from previous use and opening of ports in furnace in order to provide access to remove glass to be formed.</w:t>
      </w:r>
    </w:p>
    <w:p w14:paraId="175B4628" w14:textId="77777777" w:rsidR="00EF1DD3" w:rsidRPr="009E0058" w:rsidRDefault="00EF1DD3" w:rsidP="00EF1DD3">
      <w:pPr>
        <w:pStyle w:val="Heading3"/>
      </w:pPr>
      <w:bookmarkStart w:id="16" w:name="_Ref434665771"/>
      <w:r>
        <w:t>Environmental challenges for glass production</w:t>
      </w:r>
    </w:p>
    <w:p w14:paraId="239F1897" w14:textId="6FF5A6E7" w:rsidR="00EF1DD3" w:rsidRPr="009F05E7" w:rsidRDefault="00EF1DD3" w:rsidP="00EF1DD3">
      <w:r w:rsidRPr="0097316D">
        <w:rPr>
          <w:i/>
        </w:rPr>
        <w:t>The major environmental challenges for the glass industry are emissions to air and energy consumption. Glass making is a high temperature, energy intensive activity, resulting in the emissions of products from combustion and the high-temperature oxidation of atmospheric nitrogen; i.e. sulphur dioxide, carbon dioxide, and oxides of nitrogen</w:t>
      </w:r>
      <w:r>
        <w:t xml:space="preserve"> </w:t>
      </w:r>
      <w:r>
        <w:fldChar w:fldCharType="begin" w:fldLock="1"/>
      </w:r>
      <w:r>
        <w:instrText>ADDIN CSL_CITATION { "citationItems" : [ { "id" : "ITEM-1", "itemData" : { "author" : [ { "dropping-particle" : "", "family" : "Scalet", "given" : "Bianca Maria", "non-dropping-particle" : "", "parse-names" : false, "suffix" : "" }, { "dropping-particle" : "", "family" : "Garcia Munoz", "given" : "Marcos", "non-dropping-particle" : "", "parse-names" : false, "suffix" : "" }, { "dropping-particle" : "", "family" : "Sisa", "given" : "Aiva Querol", "non-dropping-particle" : "", "parse-names" : false, "suffix" : "" }, { "dropping-particle" : "", "family" : "Roudier", "given" : "Serge", "non-dropping-particle" : "", "parse-names" : false, "suffix" : "" }, { "dropping-particle" : "", "family" : "Delgado Sancho", "given" : "Luis", "non-dropping-particle" : "", "parse-names" : false, "suffix" : "" } ], "id" : "ITEM-1", "issued" : { "date-parts" : [ [ "2013" ] ] }, "title" : "Best Available Techniques (BAT) Reference Document for the Manufacture of Glass", "type" : "report" }, "uris" : [ "http://www.mendeley.com/documents/?uuid=e4140784-6a08-4e50-b701-eeb2940543fd" ] } ], "mendeley" : { "formattedCitation" : "(Scalet et al. 2013)", "plainTextFormattedCitation" : "(Scalet et al. 2013)", "previouslyFormattedCitation" : "(Scalet et al. 2013)" }, "properties" : { "noteIndex" : 0 }, "schema" : "https://github.com/citation-style-language/schema/raw/master/csl-citation.json" }</w:instrText>
      </w:r>
      <w:r>
        <w:fldChar w:fldCharType="separate"/>
      </w:r>
      <w:r w:rsidRPr="004B3189">
        <w:rPr>
          <w:noProof/>
        </w:rPr>
        <w:t>(Scalet et al. 2013)</w:t>
      </w:r>
      <w:r>
        <w:fldChar w:fldCharType="end"/>
      </w:r>
      <w:r>
        <w:t xml:space="preserve">. However, the </w:t>
      </w:r>
      <w:r w:rsidR="003B3A29">
        <w:t xml:space="preserve">main </w:t>
      </w:r>
      <w:r>
        <w:t>raw material for glass making</w:t>
      </w:r>
      <w:r w:rsidR="003B3A29">
        <w:t>. silica sand, is</w:t>
      </w:r>
      <w:r>
        <w:t xml:space="preserve"> readily available and relatively harmless. Also waste levels are usually very low. Therefore, if an alternative source of heat could be provided to substitute the use of high temperature combustion of fossil fuels, glass production could be a very sustainable material overall.</w:t>
      </w:r>
    </w:p>
    <w:p w14:paraId="297F2B34" w14:textId="28A0B82E" w:rsidR="00EF1DD3" w:rsidRDefault="00EF1DD3" w:rsidP="00EF1DD3">
      <w:pPr>
        <w:pStyle w:val="Heading2"/>
        <w:keepLines/>
        <w:numPr>
          <w:ilvl w:val="1"/>
          <w:numId w:val="2"/>
        </w:numPr>
        <w:spacing w:before="120" w:after="120"/>
        <w:ind w:left="788" w:hanging="431"/>
      </w:pPr>
      <w:bookmarkStart w:id="17" w:name="_Ref456439160"/>
      <w:bookmarkStart w:id="18" w:name="_Toc473995147"/>
      <w:bookmarkEnd w:id="16"/>
      <w:r>
        <w:t>Solar concentration</w:t>
      </w:r>
      <w:bookmarkEnd w:id="17"/>
      <w:bookmarkEnd w:id="18"/>
    </w:p>
    <w:p w14:paraId="0EA93546" w14:textId="77777777" w:rsidR="00EF1DD3" w:rsidRDefault="00EF1DD3" w:rsidP="00EF1DD3">
      <w:r>
        <w:t>Archimedes’ ‘</w:t>
      </w:r>
      <w:r w:rsidRPr="00A632B1">
        <w:rPr>
          <w:i/>
        </w:rPr>
        <w:t>burning glass’</w:t>
      </w:r>
      <w:r>
        <w:rPr>
          <w:i/>
        </w:rPr>
        <w:t xml:space="preserve">, </w:t>
      </w:r>
      <w:r w:rsidRPr="0022460E">
        <w:t>an</w:t>
      </w:r>
      <w:r>
        <w:rPr>
          <w:i/>
        </w:rPr>
        <w:t xml:space="preserve"> </w:t>
      </w:r>
      <w:r>
        <w:t xml:space="preserve">array of mirrors used to burn ships with sunlight is probably the most well-known historical reference to a solar concentrator. Regardless of the accuracy of this particular historical account or myth, it is clear that the idea of concentrating sunlight to provide high temperature heat is </w:t>
      </w:r>
      <w:r>
        <w:rPr>
          <w:sz w:val="24"/>
        </w:rPr>
        <w:t>not new</w:t>
      </w:r>
      <w:r>
        <w:t>. However, significant developments for practical use of heat from concentrated solar radiation are more recent, driven mainly by the need to develop more sustainable alternative to fossil fuels.</w:t>
      </w:r>
    </w:p>
    <w:p w14:paraId="0C6D6792" w14:textId="439472C3" w:rsidR="00EF1DD3" w:rsidRDefault="00EF1DD3" w:rsidP="00EF1DD3">
      <w:r>
        <w:t xml:space="preserve">In the literature, solar concentrators come under the category of </w:t>
      </w:r>
      <w:r w:rsidRPr="0022460E">
        <w:rPr>
          <w:i/>
        </w:rPr>
        <w:t>non-imaging optics</w:t>
      </w:r>
      <w:r>
        <w:t xml:space="preserve"> due to their distinction from conventional optics in that the need for point-to-point mapping of images is relaxed and instead the main objective of a solar concentrator is to maximise the total quantity of solar radiation captured at the lowest attainable cost. Historically, the most common type of solar concentrator is the </w:t>
      </w:r>
      <w:r w:rsidRPr="00735EEE">
        <w:rPr>
          <w:i/>
        </w:rPr>
        <w:t>parabolic trough</w:t>
      </w:r>
      <w:r>
        <w:t xml:space="preserve"> which consists of a long, curved mirror, which concentrates sunlight along a focal line that coincides with a pipe containing a heat transfer fluid which is usually used to generate electricity via a conventional heat engine. However, such solar concentrators are limited to generating temperatures of a few hundred degrees Celsius which is sufficient for electrical power generation but insufficient for glass production as this requires much higher temperatures. Significant research into non-imaging optics for solar energy was developed in the last few decades </w:t>
      </w:r>
      <w:r>
        <w:fldChar w:fldCharType="begin" w:fldLock="1"/>
      </w:r>
      <w:r>
        <w:instrText>ADDIN CSL_CITATION { "citationItems" : [ { "id" : "ITEM-1", "itemData" : { "author" : [ { "dropping-particle" : "", "family" : "Welford", "given" : "W. T.", "non-dropping-particle" : "", "parse-names" : false, "suffix" : "" }, { "dropping-particle" : "", "family" : "Winston", "given" : "R.", "non-dropping-particle" : "", "parse-names" : false, "suffix" : "" } ], "id" : "ITEM-1", "issued" : { "date-parts" : [ [ "1978" ] ] }, "publisher" : "Academic Press", "publisher-place" : "New York", "title" : "The optics of nonimaging concentratrors", "type" : "book" }, "uris" : [ "http://www.mendeley.com/documents/?uuid=f9facfb7-c233-46be-b282-6b0a3c30da3a", "http://www.mendeley.com/documents/?uuid=9970fe7b-ed94-4561-935a-bd20fe54135a" ] } ], "mendeley" : { "formattedCitation" : "(Welford &amp; Winston 1978)", "plainTextFormattedCitation" : "(Welford &amp; Winston 1978)", "previouslyFormattedCitation" : "(Welford &amp; Winston 1978)" }, "properties" : { "noteIndex" : 0 }, "schema" : "https://github.com/citation-style-language/schema/raw/master/csl-citation.json" }</w:instrText>
      </w:r>
      <w:r>
        <w:fldChar w:fldCharType="separate"/>
      </w:r>
      <w:r w:rsidRPr="004B3189">
        <w:rPr>
          <w:noProof/>
        </w:rPr>
        <w:t>(Welford &amp; Winston 1978)</w:t>
      </w:r>
      <w:r>
        <w:fldChar w:fldCharType="end"/>
      </w:r>
      <w:r>
        <w:t xml:space="preserve">, </w:t>
      </w:r>
      <w:r>
        <w:fldChar w:fldCharType="begin" w:fldLock="1"/>
      </w:r>
      <w:r>
        <w:instrText>ADDIN CSL_CITATION { "citationItems" : [ { "id" : "ITEM-1", "itemData" : { "DOI" : "10.1063/1.35467", "author" : [ { "dropping-particle" : "", "family" : "Gallagher", "given" : "J O", "non-dropping-particle" : "", "parse-names" : false, "suffix" : "" }, { "dropping-particle" : "", "family" : "Winston", "given" : "R", "non-dropping-particle" : "", "parse-names" : false, "suffix" : "" } ], "container-title" : "AIP", "id" : "ITEM-1", "issued" : { "date-parts" : [ [ "1985" ] ] }, "publisher-place" : "Washington DC, USA", "title" : "Applications of maximally concentrating optics for solar energy collection", "type" : "paper-conference", "volume" : "135" }, "uris" : [ "http://www.mendeley.com/documents/?uuid=00731445-a463-41ea-bd7f-9a44c4001b3a", "http://www.mendeley.com/documents/?uuid=b2817b9d-219a-40c3-a6ef-db99f485b990" ] } ], "mendeley" : { "formattedCitation" : "(Gallagher &amp; Winston 1985)", "plainTextFormattedCitation" : "(Gallagher &amp; Winston 1985)", "previouslyFormattedCitation" : "(Gallagher &amp; Winston 1985)" }, "properties" : { "noteIndex" : 0 }, "schema" : "https://github.com/citation-style-language/schema/raw/master/csl-citation.json" }</w:instrText>
      </w:r>
      <w:r>
        <w:fldChar w:fldCharType="separate"/>
      </w:r>
      <w:r w:rsidRPr="004B3189">
        <w:rPr>
          <w:noProof/>
        </w:rPr>
        <w:t>(Gallagher &amp; Winston 1985)</w:t>
      </w:r>
      <w:r>
        <w:fldChar w:fldCharType="end"/>
      </w:r>
      <w:r>
        <w:t xml:space="preserve">. This has led to the development of range of optical configurations (mostly using mirrors rather than lenses due to cost advantages on scale). </w:t>
      </w:r>
    </w:p>
    <w:p w14:paraId="5C2AF4CC" w14:textId="525AD728" w:rsidR="00EF1DD3" w:rsidRDefault="00EF1DD3" w:rsidP="00EF1DD3">
      <w:r>
        <w:lastRenderedPageBreak/>
        <w:t xml:space="preserve">In general, solar concentrators are characterised by the total power captured and the </w:t>
      </w:r>
      <w:r>
        <w:rPr>
          <w:i/>
        </w:rPr>
        <w:t>c</w:t>
      </w:r>
      <w:r w:rsidRPr="001F115D">
        <w:rPr>
          <w:i/>
        </w:rPr>
        <w:t>oncentration ratio</w:t>
      </w:r>
      <w:r>
        <w:t xml:space="preserve"> (</w:t>
      </w:r>
      <w:r w:rsidRPr="001F115D">
        <w:rPr>
          <w:i/>
        </w:rPr>
        <w:t>C</w:t>
      </w:r>
      <w:r>
        <w:t>) which is the ratio of the intensity of the ambient solar radiation (usually assumed to be around 1 kW/m</w:t>
      </w:r>
      <w:r>
        <w:rPr>
          <w:vertAlign w:val="superscript"/>
        </w:rPr>
        <w:t>2</w:t>
      </w:r>
      <w:r w:rsidR="00DE6E60">
        <w:t xml:space="preserve"> = 1 ‘</w:t>
      </w:r>
      <w:r w:rsidR="00DE6E60" w:rsidRPr="00DE6E60">
        <w:rPr>
          <w:i/>
        </w:rPr>
        <w:t>sun</w:t>
      </w:r>
      <w:r w:rsidR="00DE6E60">
        <w:t>’</w:t>
      </w:r>
      <w:r>
        <w:t>) to the intensity at the focus. To efficiently provide process heat for high temperature</w:t>
      </w:r>
      <w:r w:rsidR="003B3A29">
        <w:t>s</w:t>
      </w:r>
      <w:r>
        <w:t xml:space="preserve"> like glass production, the choice of solar concentrators are is limited to those which can feasibly deliver the high power and intensity required for glass production.</w:t>
      </w:r>
    </w:p>
    <w:p w14:paraId="76FE2F1E" w14:textId="77777777" w:rsidR="00EF1DD3" w:rsidRDefault="00EF1DD3" w:rsidP="00EF1DD3">
      <w:pPr>
        <w:pStyle w:val="Heading3"/>
      </w:pPr>
      <w:r>
        <w:t>High power and intensity solar concentrators</w:t>
      </w:r>
    </w:p>
    <w:p w14:paraId="10627927" w14:textId="41A10507" w:rsidR="00EF1DD3" w:rsidRPr="00846A43" w:rsidRDefault="00EF1DD3" w:rsidP="00EF1DD3">
      <w:pPr>
        <w:rPr>
          <w:lang w:val="en-US"/>
        </w:rPr>
      </w:pPr>
      <w:r>
        <w:rPr>
          <w:lang w:val="en-US"/>
        </w:rPr>
        <w:t xml:space="preserve">An example of such a solar concentrators is the beam down optical concentration system </w:t>
      </w:r>
      <w:r w:rsidRPr="00BC069C">
        <w:rPr>
          <w:lang w:val="en-US"/>
        </w:rPr>
        <w:fldChar w:fldCharType="begin" w:fldLock="1"/>
      </w:r>
      <w:r w:rsidR="003B3A29">
        <w:rPr>
          <w:lang w:val="en-US"/>
        </w:rPr>
        <w:instrText>ADDIN CSL_CITATION { "citationItems" : [ { "id" : "ITEM-1", "itemData" : { "author" : [ { "dropping-particle" : "", "family" : "Rabl", "given" : "A R I", "non-dropping-particle" : "", "parse-names" : false, "suffix" : "" } ], "container-title" : "Solar Energy", "id" : "ITEM-1", "issue" : "4", "issued" : { "date-parts" : [ [ "1976" ] ] }, "page" : "269-271", "title" : "Tower reflector for solar power plant", "type" : "article-journal", "volume" : "18" }, "uris" : [ "http://www.mendeley.com/documents/?uuid=cbfa42ab-0ade-4ffe-99cb-a1959dca03cd", "http://www.mendeley.com/documents/?uuid=ee77cd4c-ef0d-4c7d-ab44-4dbcb321ee85" ] } ], "mendeley" : { "formattedCitation" : "(Rabl 1976)", "manualFormatting" : "(Rabl 1976;", "plainTextFormattedCitation" : "(Rabl 1976)", "previouslyFormattedCitation" : "(Rabl 1976)" }, "properties" : { "noteIndex" : 0 }, "schema" : "https://github.com/citation-style-language/schema/raw/master/csl-citation.json" }</w:instrText>
      </w:r>
      <w:r w:rsidRPr="00BC069C">
        <w:rPr>
          <w:lang w:val="en-US"/>
        </w:rPr>
        <w:fldChar w:fldCharType="separate"/>
      </w:r>
      <w:r w:rsidRPr="004B3189">
        <w:rPr>
          <w:noProof/>
          <w:lang w:val="en-US"/>
        </w:rPr>
        <w:t>(Rabl 1976</w:t>
      </w:r>
      <w:r w:rsidR="003B3A29">
        <w:rPr>
          <w:noProof/>
          <w:lang w:val="en-US"/>
        </w:rPr>
        <w:t>;</w:t>
      </w:r>
      <w:r w:rsidRPr="00BC069C">
        <w:rPr>
          <w:lang w:val="en-US"/>
        </w:rPr>
        <w:fldChar w:fldCharType="end"/>
      </w:r>
      <w:r>
        <w:rPr>
          <w:lang w:val="en-US"/>
        </w:rPr>
        <w:t xml:space="preserve"> </w:t>
      </w:r>
      <w:r>
        <w:rPr>
          <w:lang w:val="en-US"/>
        </w:rPr>
        <w:fldChar w:fldCharType="begin" w:fldLock="1"/>
      </w:r>
      <w:r w:rsidR="003B3A29">
        <w:rPr>
          <w:lang w:val="en-US"/>
        </w:rPr>
        <w:instrText>ADDIN CSL_CITATION { "citationItems" : [ { "id" : "ITEM-1", "itemData" : { "DOI" : "10.1115/1.2804629", "author" : [ { "dropping-particle" : "", "family" : "Segal", "given" : "Akiba", "non-dropping-particle" : "", "parse-names" : false, "suffix" : "" }, { "dropping-particle" : "", "family" : "Epstein", "given" : "Michael", "non-dropping-particle" : "", "parse-names" : false, "suffix" : "" } ], "container-title" : "Journal of Solar Energy Engineering", "id" : "ITEM-1", "issue" : "February", "issued" : { "date-parts" : [ [ "2008" ] ] }, "page" : "1-7", "title" : "Practical Considerations in Designing Large Scale \u201c Beam Down \u201d Optical Systems", "type" : "article-journal", "volume" : "130" }, "uris" : [ "http://www.mendeley.com/documents/?uuid=9fae05a8-4ea3-4c21-8917-49df66420ee2", "http://www.mendeley.com/documents/?uuid=23b9c75a-a825-4099-8f02-d08d6fd8d8d7" ] } ], "mendeley" : { "formattedCitation" : "(Segal &amp; Epstein 2008)", "manualFormatting" : "Segal &amp; Epstein, 2000, 2008)", "plainTextFormattedCitation" : "(Segal &amp; Epstein 2008)", "previouslyFormattedCitation" : "(Segal &amp; Epstein 2008)" }, "properties" : { "noteIndex" : 0 }, "schema" : "https://github.com/citation-style-language/schema/raw/master/csl-citation.json" }</w:instrText>
      </w:r>
      <w:r>
        <w:rPr>
          <w:lang w:val="en-US"/>
        </w:rPr>
        <w:fldChar w:fldCharType="separate"/>
      </w:r>
      <w:r w:rsidRPr="000409E6">
        <w:rPr>
          <w:noProof/>
          <w:lang w:val="en-US"/>
        </w:rPr>
        <w:t xml:space="preserve">Segal &amp; Epstein, </w:t>
      </w:r>
      <w:r>
        <w:rPr>
          <w:noProof/>
          <w:lang w:val="en-US"/>
        </w:rPr>
        <w:t xml:space="preserve">2000, </w:t>
      </w:r>
      <w:r w:rsidRPr="000409E6">
        <w:rPr>
          <w:noProof/>
          <w:lang w:val="en-US"/>
        </w:rPr>
        <w:t>2008)</w:t>
      </w:r>
      <w:r>
        <w:rPr>
          <w:lang w:val="en-US"/>
        </w:rPr>
        <w:fldChar w:fldCharType="end"/>
      </w:r>
      <w:r>
        <w:rPr>
          <w:lang w:val="en-US"/>
        </w:rPr>
        <w:t xml:space="preserve">, comprising a field of heliostats, a “tower reflector“ (hyperboloid mirror) and a compound parabolic concentrator (CPC,  </w:t>
      </w:r>
      <w:r>
        <w:rPr>
          <w:lang w:val="en-US"/>
        </w:rPr>
        <w:fldChar w:fldCharType="begin" w:fldLock="1"/>
      </w:r>
      <w:r>
        <w:rPr>
          <w:lang w:val="en-US"/>
        </w:rPr>
        <w:instrText>ADDIN CSL_CITATION { "citationItems" : [ { "id" : "ITEM-1", "itemData" : { "author" : [ { "dropping-particle" : "", "family" : "Winston", "given" : "Roland", "non-dropping-particle" : "", "parse-names" : false, "suffix" : "" }, { "dropping-particle" : "", "family" : "Welford", "given" : "W. T.", "non-dropping-particle" : "", "parse-names" : false, "suffix" : "" }, { "dropping-particle" : "", "family" : "Beni\u0301tez", "given" : "Pablo", "non-dropping-particle" : "", "parse-names" : false, "suffix" : "" }, { "dropping-particle" : "", "family" : "Min\u0303ano", "given" : "Juan C.", "non-dropping-particle" : "", "parse-names" : false, "suffix" : "" } ], "id" : "ITEM-1", "issued" : { "date-parts" : [ [ "2005" ] ] }, "publisher" : "Academic Press", "publisher-place" : "Burlington, Mass", "title" : "Nonimaging Optics", "type" : "book" }, "uris" : [ "http://www.mendeley.com/documents/?uuid=aa6b6160-5c20-4a64-a3c8-691a8e04c893" ] } ], "mendeley" : { "formattedCitation" : "(Winston et al. 2005)", "manualFormatting" : "(Winston et al., 2005)", "plainTextFormattedCitation" : "(Winston et al. 2005)", "previouslyFormattedCitation" : "(Winston et al. 2005)" }, "properties" : { "noteIndex" : 0 }, "schema" : "https://github.com/citation-style-language/schema/raw/master/csl-citation.json" }</w:instrText>
      </w:r>
      <w:r>
        <w:rPr>
          <w:lang w:val="en-US"/>
        </w:rPr>
        <w:fldChar w:fldCharType="separate"/>
      </w:r>
      <w:r>
        <w:rPr>
          <w:noProof/>
          <w:lang w:val="en-US"/>
        </w:rPr>
        <w:t xml:space="preserve">(Winston et al., </w:t>
      </w:r>
      <w:r w:rsidRPr="007C26EB">
        <w:rPr>
          <w:noProof/>
          <w:lang w:val="en-US"/>
        </w:rPr>
        <w:t>2005)</w:t>
      </w:r>
      <w:r>
        <w:rPr>
          <w:lang w:val="en-US"/>
        </w:rPr>
        <w:fldChar w:fldCharType="end"/>
      </w:r>
      <w:r>
        <w:rPr>
          <w:lang w:val="en-US"/>
        </w:rPr>
        <w:t xml:space="preserve">) </w:t>
      </w:r>
      <w:r w:rsidRPr="0025083A">
        <w:rPr>
          <w:lang w:val="en-US"/>
        </w:rPr>
        <w:t>functioning as a secondary concentrator</w:t>
      </w:r>
      <w:r>
        <w:rPr>
          <w:lang w:val="en-US"/>
        </w:rPr>
        <w:t xml:space="preserve">. Such a system has been built and successfully operated at the Weizmann Institute of Science for a power of around 500 kW. Recently an alternative beam-down design has been described </w:t>
      </w:r>
      <w:r w:rsidRPr="000409E6">
        <w:rPr>
          <w:lang w:val="en-US"/>
        </w:rPr>
        <w:fldChar w:fldCharType="begin" w:fldLock="1"/>
      </w:r>
      <w:r>
        <w:rPr>
          <w:lang w:val="en-US"/>
        </w:rPr>
        <w:instrText>ADDIN CSL_CITATION { "citationItems" : [ { "id" : "ITEM-1", "itemData" : { "author" : [ { "dropping-particle" : "", "family" : "Siegel", "given" : "Nathan P", "non-dropping-particle" : "", "parse-names" : false, "suffix" : "" }, { "dropping-particle" : "", "family" : "Ermanoski", "given" : "Ivan", "non-dropping-particle" : "", "parse-names" : false, "suffix" : "" } ], "container-title" : "ASME Solar Conference", "id" : "ITEM-1", "issued" : { "date-parts" : [ [ "2013" ] ] }, "publisher-place" : "Minneapolis", "title" : "A Beam-Down Central Receiver for Solar Thermochemical Hydrogen Production", "type" : "paper-conference" }, "uris" : [ "http://www.mendeley.com/documents/?uuid=fc52f807-9b04-4653-9d5d-5cbc4f54a276", "http://www.mendeley.com/documents/?uuid=3cca1012-da55-49f0-bbbf-6f17ba4de422" ] } ], "mendeley" : { "formattedCitation" : "(Siegel &amp; Ermanoski 2013)", "plainTextFormattedCitation" : "(Siegel &amp; Ermanoski 2013)", "previouslyFormattedCitation" : "(Siegel &amp; Ermanoski 2013)" }, "properties" : { "noteIndex" : 0 }, "schema" : "https://github.com/citation-style-language/schema/raw/master/csl-citation.json" }</w:instrText>
      </w:r>
      <w:r w:rsidRPr="000409E6">
        <w:rPr>
          <w:lang w:val="en-US"/>
        </w:rPr>
        <w:fldChar w:fldCharType="separate"/>
      </w:r>
      <w:r w:rsidRPr="004B3189">
        <w:rPr>
          <w:noProof/>
          <w:lang w:val="en-US"/>
        </w:rPr>
        <w:t>(Siegel &amp; Ermanoski 2013)</w:t>
      </w:r>
      <w:r w:rsidRPr="000409E6">
        <w:rPr>
          <w:lang w:val="en-US"/>
        </w:rPr>
        <w:fldChar w:fldCharType="end"/>
      </w:r>
      <w:r>
        <w:rPr>
          <w:lang w:val="en-US"/>
        </w:rPr>
        <w:t xml:space="preserve">: </w:t>
      </w:r>
      <w:r w:rsidRPr="00EB0B97">
        <w:rPr>
          <w:lang w:val="en-US"/>
        </w:rPr>
        <w:t>it uses a horizontal flat mirror close to the focal point of the heliostat</w:t>
      </w:r>
      <w:r>
        <w:rPr>
          <w:lang w:val="en-US"/>
        </w:rPr>
        <w:t>s</w:t>
      </w:r>
      <w:r w:rsidRPr="00EB0B97">
        <w:rPr>
          <w:lang w:val="en-US"/>
        </w:rPr>
        <w:t xml:space="preserve"> </w:t>
      </w:r>
      <w:r>
        <w:rPr>
          <w:lang w:val="en-US"/>
        </w:rPr>
        <w:t>instead of the hyperbolic mirror, avoiding the need of a secondary concentration by placing the solar reactor/receiver near the top of the tower.</w:t>
      </w:r>
    </w:p>
    <w:p w14:paraId="2CCE8C56" w14:textId="77777777" w:rsidR="00EF1DD3" w:rsidRPr="00531159" w:rsidRDefault="00EF1DD3" w:rsidP="00EF1DD3">
      <w:pPr>
        <w:pStyle w:val="Heading3"/>
      </w:pPr>
      <w:r>
        <w:t xml:space="preserve"> Solar concentration for industrial process heat</w:t>
      </w:r>
    </w:p>
    <w:p w14:paraId="0AEA7771" w14:textId="4A501CE0" w:rsidR="00EF1DD3" w:rsidRPr="00507317" w:rsidRDefault="00EF1DD3" w:rsidP="00EF1DD3">
      <w:pPr>
        <w:rPr>
          <w:lang w:val="en-US"/>
        </w:rPr>
      </w:pPr>
      <w:r w:rsidRPr="00507317">
        <w:rPr>
          <w:lang w:val="en-US"/>
        </w:rPr>
        <w:t>Use of concentrated solar radiation to provide process heat for industry has so far been primarily been limited to low–medium temperature processes (Kalogirou, 2003</w:t>
      </w:r>
      <w:r w:rsidR="00F534DE">
        <w:rPr>
          <w:lang w:val="en-US"/>
        </w:rPr>
        <w:t>;</w:t>
      </w:r>
      <w:r w:rsidRPr="00507317">
        <w:rPr>
          <w:lang w:val="en-US"/>
        </w:rPr>
        <w:t xml:space="preserve"> Mekhilef, Saidur, &amp; Safari, 2011). A major part of the research into the use of concentrated solar radiation at very high temperatures has been motivated by the desire to generate high energy density thermochemical energy storage systems, see e.g.  (Diver et al., 1992</w:t>
      </w:r>
      <w:r w:rsidR="003B3A29">
        <w:rPr>
          <w:lang w:val="en-US"/>
        </w:rPr>
        <w:t xml:space="preserve">; </w:t>
      </w:r>
      <w:r w:rsidRPr="00507317">
        <w:rPr>
          <w:lang w:val="en-US"/>
        </w:rPr>
        <w:t>Kodama, 2003</w:t>
      </w:r>
      <w:r w:rsidR="003B3A29">
        <w:rPr>
          <w:lang w:val="en-US"/>
        </w:rPr>
        <w:t xml:space="preserve">; </w:t>
      </w:r>
      <w:r w:rsidRPr="00507317">
        <w:rPr>
          <w:lang w:val="en-US"/>
        </w:rPr>
        <w:t>Wieckert et al. 2007</w:t>
      </w:r>
      <w:r w:rsidR="003B3A29">
        <w:rPr>
          <w:lang w:val="en-US"/>
        </w:rPr>
        <w:t xml:space="preserve">; </w:t>
      </w:r>
      <w:r w:rsidRPr="00507317">
        <w:rPr>
          <w:lang w:val="en-US"/>
        </w:rPr>
        <w:t>Neises et al., 2012</w:t>
      </w:r>
      <w:r w:rsidR="003B3A29">
        <w:rPr>
          <w:lang w:val="en-US"/>
        </w:rPr>
        <w:t xml:space="preserve">; </w:t>
      </w:r>
      <w:r w:rsidRPr="00507317">
        <w:rPr>
          <w:lang w:val="en-US"/>
        </w:rPr>
        <w:t>Martinek &amp; Weimer, 2013</w:t>
      </w:r>
      <w:r w:rsidR="003B3A29">
        <w:rPr>
          <w:lang w:val="en-US"/>
        </w:rPr>
        <w:t xml:space="preserve">; </w:t>
      </w:r>
      <w:r w:rsidRPr="00507317">
        <w:rPr>
          <w:lang w:val="en-US"/>
        </w:rPr>
        <w:t>Tescari et al., 2013) and the solar upgrading of carbonaceous materials (Zgraggen et al., 2007</w:t>
      </w:r>
      <w:r w:rsidR="003B3A29">
        <w:rPr>
          <w:lang w:val="en-US"/>
        </w:rPr>
        <w:t xml:space="preserve">; </w:t>
      </w:r>
      <w:r w:rsidRPr="00507317">
        <w:rPr>
          <w:lang w:val="en-US"/>
        </w:rPr>
        <w:t>Rodat et al. 2010</w:t>
      </w:r>
      <w:r w:rsidR="003B3A29">
        <w:rPr>
          <w:lang w:val="en-US"/>
        </w:rPr>
        <w:t xml:space="preserve">; </w:t>
      </w:r>
      <w:r w:rsidRPr="00507317">
        <w:rPr>
          <w:lang w:val="en-US"/>
        </w:rPr>
        <w:t>Piatkowski et al. 2011). These reaction schemes usually involve solar heating of combinations of gaseous and solid reactants to generate gaseous and solid products</w:t>
      </w:r>
      <w:r>
        <w:rPr>
          <w:lang w:val="en-US"/>
        </w:rPr>
        <w:t>,</w:t>
      </w:r>
      <w:r w:rsidRPr="00507317">
        <w:rPr>
          <w:lang w:val="en-US"/>
        </w:rPr>
        <w:t xml:space="preserve">  such as the two step water and CO</w:t>
      </w:r>
      <w:r w:rsidRPr="00953CA9">
        <w:rPr>
          <w:vertAlign w:val="subscript"/>
          <w:lang w:val="en-US"/>
        </w:rPr>
        <w:t>2</w:t>
      </w:r>
      <w:r w:rsidRPr="00507317">
        <w:rPr>
          <w:lang w:val="en-US"/>
        </w:rPr>
        <w:t xml:space="preserve"> splitting reactions involving intermediate metal oxides to generate hydrogen and/or synthesis gas (Steinfeld 2005</w:t>
      </w:r>
      <w:r w:rsidR="003B3A29">
        <w:rPr>
          <w:lang w:val="en-US"/>
        </w:rPr>
        <w:t xml:space="preserve">; </w:t>
      </w:r>
      <w:r w:rsidRPr="00507317">
        <w:rPr>
          <w:lang w:val="en-US"/>
        </w:rPr>
        <w:t>Meier et al. 2012</w:t>
      </w:r>
      <w:r w:rsidR="003B3A29">
        <w:rPr>
          <w:lang w:val="en-US"/>
        </w:rPr>
        <w:t xml:space="preserve">; </w:t>
      </w:r>
      <w:r w:rsidRPr="00507317">
        <w:rPr>
          <w:lang w:val="en-US"/>
        </w:rPr>
        <w:t>Villasmil et al. 2014</w:t>
      </w:r>
      <w:r w:rsidR="003B3A29">
        <w:rPr>
          <w:lang w:val="en-US"/>
        </w:rPr>
        <w:t xml:space="preserve">; </w:t>
      </w:r>
      <w:r w:rsidRPr="00507317">
        <w:rPr>
          <w:lang w:val="en-US"/>
        </w:rPr>
        <w:t xml:space="preserve">Neises et al., 2012). </w:t>
      </w:r>
      <w:r w:rsidRPr="00B01726">
        <w:rPr>
          <w:lang w:val="en-US"/>
        </w:rPr>
        <w:t>S</w:t>
      </w:r>
      <w:r>
        <w:rPr>
          <w:lang w:val="en-US"/>
        </w:rPr>
        <w:t>ignificant</w:t>
      </w:r>
      <w:r w:rsidRPr="00B01726">
        <w:rPr>
          <w:lang w:val="en-US"/>
        </w:rPr>
        <w:t xml:space="preserve"> research work ha</w:t>
      </w:r>
      <w:r>
        <w:rPr>
          <w:lang w:val="en-US"/>
        </w:rPr>
        <w:t>s</w:t>
      </w:r>
      <w:r w:rsidRPr="00B01726">
        <w:rPr>
          <w:lang w:val="en-US"/>
        </w:rPr>
        <w:t xml:space="preserve"> also been devoted to the use of concentrated solar radiation </w:t>
      </w:r>
      <w:r>
        <w:rPr>
          <w:lang w:val="en-US"/>
        </w:rPr>
        <w:t>to</w:t>
      </w:r>
      <w:r w:rsidRPr="00B01726">
        <w:rPr>
          <w:lang w:val="en-US"/>
        </w:rPr>
        <w:t xml:space="preserve"> substitut</w:t>
      </w:r>
      <w:r>
        <w:rPr>
          <w:lang w:val="en-US"/>
        </w:rPr>
        <w:t>e for</w:t>
      </w:r>
      <w:r w:rsidRPr="00B01726">
        <w:rPr>
          <w:lang w:val="en-US"/>
        </w:rPr>
        <w:t xml:space="preserve"> fossil and electrical energy in energy intensive commodity production</w:t>
      </w:r>
      <w:r>
        <w:rPr>
          <w:lang w:val="en-US"/>
        </w:rPr>
        <w:t xml:space="preserve"> (Meier et al. 2012)</w:t>
      </w:r>
      <w:r w:rsidRPr="00B01726">
        <w:rPr>
          <w:lang w:val="en-US"/>
        </w:rPr>
        <w:t xml:space="preserve">.  </w:t>
      </w:r>
      <w:r>
        <w:rPr>
          <w:lang w:val="en-US"/>
        </w:rPr>
        <w:t>This includes production of lime from limestone (Meier et al. 2005), melting of</w:t>
      </w:r>
      <w:r w:rsidRPr="00953CA9">
        <w:t xml:space="preserve"> aluminium</w:t>
      </w:r>
      <w:r>
        <w:rPr>
          <w:lang w:val="en-US"/>
        </w:rPr>
        <w:t xml:space="preserve"> from</w:t>
      </w:r>
      <w:r w:rsidRPr="00AC12ED">
        <w:t xml:space="preserve"> aluminium</w:t>
      </w:r>
      <w:r>
        <w:rPr>
          <w:lang w:val="en-US"/>
        </w:rPr>
        <w:t xml:space="preserve"> scrap (Funken et al. 2001) and recovery of zinc from zinc containing materials (Schaffner et al. 2002</w:t>
      </w:r>
      <w:r w:rsidR="003B3A29">
        <w:rPr>
          <w:lang w:val="en-US"/>
        </w:rPr>
        <w:t xml:space="preserve">; </w:t>
      </w:r>
      <w:r>
        <w:rPr>
          <w:lang w:val="en-US"/>
        </w:rPr>
        <w:t xml:space="preserve">Tzouganatos et al. 2014).  </w:t>
      </w:r>
      <w:r w:rsidRPr="00D81FB2">
        <w:rPr>
          <w:lang w:val="en-US"/>
        </w:rPr>
        <w:t>Very few activities</w:t>
      </w:r>
      <w:r>
        <w:rPr>
          <w:lang w:val="en-US"/>
        </w:rPr>
        <w:t xml:space="preserve"> </w:t>
      </w:r>
      <w:r w:rsidRPr="00D81FB2">
        <w:rPr>
          <w:lang w:val="en-US"/>
        </w:rPr>
        <w:t>have been</w:t>
      </w:r>
      <w:r w:rsidRPr="00531159">
        <w:rPr>
          <w:lang w:val="en-US"/>
        </w:rPr>
        <w:t xml:space="preserve"> </w:t>
      </w:r>
      <w:r w:rsidRPr="00D81FB2">
        <w:rPr>
          <w:lang w:val="en-US"/>
        </w:rPr>
        <w:t xml:space="preserve">reported aiming in producing a viscous high </w:t>
      </w:r>
      <w:r w:rsidRPr="00EA5C52">
        <w:rPr>
          <w:lang w:val="en-US"/>
        </w:rPr>
        <w:t>temperature</w:t>
      </w:r>
      <w:r w:rsidRPr="00D81FB2">
        <w:rPr>
          <w:lang w:val="en-US"/>
        </w:rPr>
        <w:t xml:space="preserve"> </w:t>
      </w:r>
      <w:r w:rsidRPr="00EA5C52">
        <w:rPr>
          <w:lang w:val="en-US"/>
        </w:rPr>
        <w:t>fluid</w:t>
      </w:r>
      <w:r w:rsidRPr="00D81FB2">
        <w:rPr>
          <w:lang w:val="en-US"/>
        </w:rPr>
        <w:t xml:space="preserve"> as </w:t>
      </w:r>
      <w:r>
        <w:rPr>
          <w:lang w:val="en-US"/>
        </w:rPr>
        <w:t>in</w:t>
      </w:r>
      <w:r w:rsidRPr="00D81FB2">
        <w:rPr>
          <w:lang w:val="en-US"/>
        </w:rPr>
        <w:t xml:space="preserve"> glass melting</w:t>
      </w:r>
      <w:r>
        <w:rPr>
          <w:lang w:val="en-US"/>
        </w:rPr>
        <w:t xml:space="preserve"> (except </w:t>
      </w:r>
      <w:r>
        <w:t>Trombe (</w:t>
      </w:r>
      <w:r>
        <w:fldChar w:fldCharType="begin" w:fldLock="1"/>
      </w:r>
      <w:r>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"manualFormatting" : "1954)", "plainTextFormattedCitation" : "(Trombe 1954)", "previouslyFormattedCitation" : "(Trombe 1954)" }, "properties" : { "noteIndex" : 0 }, "schema" : "https://github.com/citation-style-language/schema/raw/master/csl-citation.json" }</w:instrText>
      </w:r>
      <w:r>
        <w:fldChar w:fldCharType="separate"/>
      </w:r>
      <w:r w:rsidRPr="00827902">
        <w:rPr>
          <w:noProof/>
        </w:rPr>
        <w:t>1954)</w:t>
      </w:r>
      <w:r>
        <w:fldChar w:fldCharType="end"/>
      </w:r>
      <w:r>
        <w:t xml:space="preserve"> which is discussed in section </w:t>
      </w:r>
      <w:r>
        <w:fldChar w:fldCharType="begin"/>
      </w:r>
      <w:r>
        <w:instrText xml:space="preserve"> REF _Ref451200491 \n \h </w:instrText>
      </w:r>
      <w:r>
        <w:fldChar w:fldCharType="separate"/>
      </w:r>
      <w:r w:rsidR="00820EB1">
        <w:t>2.5</w:t>
      </w:r>
      <w:r>
        <w:fldChar w:fldCharType="end"/>
      </w:r>
      <w:r>
        <w:t>)</w:t>
      </w:r>
      <w:r>
        <w:rPr>
          <w:lang w:val="en-US"/>
        </w:rPr>
        <w:t>.</w:t>
      </w:r>
    </w:p>
    <w:p w14:paraId="5FF4E65E" w14:textId="77777777" w:rsidR="00EF1DD3" w:rsidRDefault="00EF1DD3" w:rsidP="00EF1DD3">
      <w:pPr>
        <w:pStyle w:val="Heading3"/>
      </w:pPr>
      <w:r>
        <w:lastRenderedPageBreak/>
        <w:t>Solar reactor-receivers</w:t>
      </w:r>
    </w:p>
    <w:p w14:paraId="51368674" w14:textId="0B5B53BE" w:rsidR="00EF1DD3" w:rsidRPr="00935EC8" w:rsidRDefault="00EF1DD3" w:rsidP="00EF1DD3">
      <w:r w:rsidRPr="00935EC8">
        <w:t xml:space="preserve">Reactors which use process heat provided by an input concentrated solar radiation beam, called </w:t>
      </w:r>
      <w:r w:rsidRPr="00935EC8">
        <w:rPr>
          <w:i/>
        </w:rPr>
        <w:t>solar receiver-reactors</w:t>
      </w:r>
      <w:r w:rsidRPr="00935EC8">
        <w:t xml:space="preserve">, have been developed for a variety of applications </w:t>
      </w:r>
      <w:r w:rsidRPr="00935EC8">
        <w:fldChar w:fldCharType="begin" w:fldLock="1"/>
      </w:r>
      <w:r w:rsidR="003B3A29">
        <w:instrText>ADDIN CSL_CITATION { "citationItems" : [ { "id" : "ITEM-1", "itemData" : { "author" : [ { "dropping-particle" : "", "family" : "Steinfeld", "given" : "Aldo", "non-dropping-particle" : "", "parse-names" : false, "suffix" : "" } ], "container-title" : "Solar Fuels and Materials", "id" : "ITEM-1", "issued" : { "date-parts" : [ [ "2004" ] ] }, "page" : "623-637", "title" : "Solar Fuels and Materials", "type" : "article-journal", "volume" : "5" }, "uris" : [ "http://www.mendeley.com/documents/?uuid=4d9c6e4d-2c6f-4f04-849c-c7de707c55be" ] } ], "mendeley" : { "formattedCitation" : "(Steinfeld 2004)", "manualFormatting" : "(Steinfeld 2004;", "plainTextFormattedCitation" : "(Steinfeld 2004)", "previouslyFormattedCitation" : "(Steinfeld 2004)" }, "properties" : { "noteIndex" : 0 }, "schema" : "https://github.com/citation-style-language/schema/raw/master/csl-citation.json" }</w:instrText>
      </w:r>
      <w:r w:rsidRPr="00935EC8">
        <w:fldChar w:fldCharType="separate"/>
      </w:r>
      <w:r w:rsidRPr="004B3189">
        <w:rPr>
          <w:noProof/>
        </w:rPr>
        <w:t>(Steinfeld 2004</w:t>
      </w:r>
      <w:r w:rsidR="003B3A29">
        <w:rPr>
          <w:noProof/>
        </w:rPr>
        <w:t>;</w:t>
      </w:r>
      <w:r w:rsidRPr="00935EC8">
        <w:fldChar w:fldCharType="end"/>
      </w:r>
      <w:r>
        <w:t xml:space="preserve"> </w:t>
      </w:r>
      <w:r w:rsidRPr="00935EC8">
        <w:fldChar w:fldCharType="begin" w:fldLock="1"/>
      </w:r>
      <w:r w:rsidR="003B3A29">
        <w:instrText>ADDIN CSL_CITATION { "citationItems" : [ { "id" : "ITEM-1", "itemData" : { "DOI" : "10.1016/j.rser.2015.10.026", "ISSN" : "1364-0321", "author" : [ { "dropping-particle" : "", "family" : "Yadav", "given" : "Deepak", "non-dropping-particle" : "", "parse-names" : false, "suffix" : "" }, { "dropping-particle" : "", "family" : "Banerjee", "given" : "Rangan", "non-dropping-particle" : "", "parse-names" : false, "suffix" : "" } ], "container-title" : "Renewable and Sustainable Energy Reviews", "id" : "ITEM-1", "issued" : { "date-parts" : [ [ "2016" ] ] }, "page" : "497-532", "publisher" : "Elsevier", "title" : "A review of solar thermochemical processes", "type" : "article-journal", "volume" : "54" }, "uris" : [ "http://www.mendeley.com/documents/?uuid=8936778a-fe3a-4603-9773-15cdb9ae2eb7", "http://www.mendeley.com/documents/?uuid=120d5713-3b89-4122-a112-4cbb6be29e67" ] } ], "mendeley" : { "formattedCitation" : "(Yadav &amp; Banerjee 2016)", "manualFormatting" : "Yadav &amp; Banerjee 2016)", "plainTextFormattedCitation" : "(Yadav &amp; Banerjee 2016)", "previouslyFormattedCitation" : "(Yadav &amp; Banerjee 2016)" }, "properties" : { "noteIndex" : 0 }, "schema" : "https://github.com/citation-style-language/schema/raw/master/csl-citation.json" }</w:instrText>
      </w:r>
      <w:r w:rsidRPr="00935EC8">
        <w:fldChar w:fldCharType="separate"/>
      </w:r>
      <w:r w:rsidRPr="004B3189">
        <w:rPr>
          <w:noProof/>
        </w:rPr>
        <w:t>Yadav &amp; Banerjee 2016)</w:t>
      </w:r>
      <w:r w:rsidRPr="00935EC8">
        <w:fldChar w:fldCharType="end"/>
      </w:r>
      <w:r w:rsidRPr="00935EC8">
        <w:t>. Solar radiation is either directly absorbed by the reactants, or in-directly, using an interm</w:t>
      </w:r>
      <w:r>
        <w:t>ediate</w:t>
      </w:r>
      <w:r w:rsidRPr="00935EC8">
        <w:t xml:space="preserve"> surface which absorbs the solar radiation and then transfers the heat to the reactants. As the reactants and/or absorber surfaces increase in temperature, heat is lost by re-radiation back out through the beam inlet aperture or by conduction through the walls of the reactor. Therefore, to maximise thermal efficiency, solar reactor-receivers usually consist of an insulated cavity in which the solar radiation is absorbed, with the beam entering the cavity through an aperture which is as small as possible. Since the shape of the incoming beam from the solar concentrator entering the solar reactor-receiver is usually conical, there is usually a frustum of a cone cut out from the section of the insulated wall of the reactor-receiver through which the beam passes as it converges to the inlet aperture which coincides with the focal point of the beam. Sometimes, a secondary concentrator is positioned just before the inlet aperture in order to further increase the concentration of the beam, thereby enabling more radiation to pass through a smaller aperture, to further increase efficiency. However, near the focal point of the beam, the intensity of the radiation is extremely high so it is challenging to maintain the high reflectivity surface required for the secondary concentrator</w:t>
      </w:r>
      <w:r w:rsidR="00FF7226">
        <w:t xml:space="preserve"> to</w:t>
      </w:r>
      <w:r w:rsidRPr="00935EC8">
        <w:t xml:space="preserve"> operate in this harsh environment. If the reactor is required to be sealed, a window (usually made of quartz) which </w:t>
      </w:r>
      <w:r>
        <w:t xml:space="preserve">is </w:t>
      </w:r>
      <w:r w:rsidRPr="00935EC8">
        <w:t>transparen</w:t>
      </w:r>
      <w:r>
        <w:t>t</w:t>
      </w:r>
      <w:r w:rsidRPr="00935EC8">
        <w:t xml:space="preserve"> to most of the solar spectrum, is used. The window is usually located at some distance before the aperture itself to avoid the region of greatest radiation intensity but it still it is usually close enough to require active cooling because moving it further back where the beam intensity is lower, would require a larger window which can be limiting as the larger the window the more likely it is to break due to stresses induced by the variable solar heating. </w:t>
      </w:r>
    </w:p>
    <w:p w14:paraId="33D0F5F8" w14:textId="77777777" w:rsidR="00EF1DD3" w:rsidRPr="00935EC8" w:rsidRDefault="00EF1DD3" w:rsidP="00EF1DD3">
      <w:r w:rsidRPr="00935EC8">
        <w:t xml:space="preserve">Essentially, solar reactor-receivers can be characterised by a beam inlet section leading to an insulated cavity, in which the concentrated solar radiation spreads and is efficiently absorbed to effect the desired thermochemical reaction. To develop an understanding beyond this general description, further details of the specific workings of the different types of solar reactor-receivers developed to date are discussed in the following sections. These descriptions of solar reactor-receivers are organised into two main categories: </w:t>
      </w:r>
    </w:p>
    <w:p w14:paraId="7278FF29" w14:textId="77777777" w:rsidR="00EF1DD3" w:rsidRPr="00935EC8" w:rsidRDefault="00EF1DD3" w:rsidP="00C2720A">
      <w:pPr>
        <w:pStyle w:val="ListParagraph"/>
        <w:numPr>
          <w:ilvl w:val="0"/>
          <w:numId w:val="4"/>
        </w:numPr>
        <w:spacing w:before="120" w:after="120"/>
        <w15:collapsed/>
      </w:pPr>
      <w:r w:rsidRPr="00DF3E13">
        <w:rPr>
          <w:i/>
        </w:rPr>
        <w:t>Direct</w:t>
      </w:r>
      <w:r w:rsidRPr="00935EC8">
        <w:t xml:space="preserve">: those in which the solar radiation is directly absorbed by the reactants; </w:t>
      </w:r>
    </w:p>
    <w:p w14:paraId="26E1C075" w14:textId="77777777" w:rsidR="00EF1DD3" w:rsidRPr="00935EC8" w:rsidRDefault="00EF1DD3" w:rsidP="00C2720A">
      <w:pPr>
        <w:pStyle w:val="ListParagraph"/>
        <w:numPr>
          <w:ilvl w:val="0"/>
          <w:numId w:val="4"/>
        </w:numPr>
        <w:spacing w:before="120" w:after="120"/>
        <w15:collapsed/>
      </w:pPr>
      <w:r w:rsidRPr="00DF3E13">
        <w:rPr>
          <w:i/>
        </w:rPr>
        <w:t>In-direct</w:t>
      </w:r>
      <w:r w:rsidRPr="00935EC8">
        <w:t>: those in which the solar radiation is absorbed by an intermediate surface, which in turn transfers heat to the reactants.</w:t>
      </w:r>
    </w:p>
    <w:p w14:paraId="3DA10605" w14:textId="77777777" w:rsidR="00EF1DD3" w:rsidRPr="00935EC8" w:rsidRDefault="00EF1DD3" w:rsidP="00EF1DD3">
      <w:r w:rsidRPr="00935EC8">
        <w:t>Furthermore, the solar receiver reactors are described as either:</w:t>
      </w:r>
    </w:p>
    <w:p w14:paraId="6570CC86" w14:textId="49A84D6E" w:rsidR="00EF1DD3" w:rsidRPr="00935EC8" w:rsidRDefault="00EF1DD3" w:rsidP="00C2720A">
      <w:pPr>
        <w:pStyle w:val="ListParagraph"/>
        <w:numPr>
          <w:ilvl w:val="0"/>
          <w:numId w:val="5"/>
        </w:numPr>
        <w:spacing w:before="120" w:after="120"/>
        <w15:collapsed/>
      </w:pPr>
      <w:r w:rsidRPr="00DF3E13">
        <w:rPr>
          <w:i/>
        </w:rPr>
        <w:lastRenderedPageBreak/>
        <w:t>Beam-down:</w:t>
      </w:r>
      <w:r w:rsidRPr="00935EC8">
        <w:t xml:space="preserve"> which means the concentrated solar radiation enters vertically, down, through the roof of the reactor;</w:t>
      </w:r>
    </w:p>
    <w:p w14:paraId="3363214C" w14:textId="77777777" w:rsidR="00EF1DD3" w:rsidRPr="00935EC8" w:rsidRDefault="00EF1DD3" w:rsidP="00C2720A">
      <w:pPr>
        <w:pStyle w:val="ListParagraph"/>
        <w:numPr>
          <w:ilvl w:val="0"/>
          <w:numId w:val="5"/>
        </w:numPr>
        <w:spacing w:before="120" w:after="120"/>
        <w15:collapsed/>
      </w:pPr>
      <w:r w:rsidRPr="00DF3E13">
        <w:rPr>
          <w:i/>
        </w:rPr>
        <w:t>Horizontal-beam:</w:t>
      </w:r>
      <w:r w:rsidRPr="00935EC8">
        <w:t xml:space="preserve"> which means the beam enters laterally, through a side wall of the reactor.</w:t>
      </w:r>
    </w:p>
    <w:p w14:paraId="7D013AAB" w14:textId="77777777" w:rsidR="00EF1DD3" w:rsidRDefault="00EF1DD3" w:rsidP="00EF1DD3">
      <w:r w:rsidRPr="00935EC8">
        <w:t>The efficiency of solar reactor-receivers are usually specified as the percentage utilisation of the input radiant heat supply from the solar beam for the sensible heating and chemical conversion of the reactants. However, this value does not take into account the heat supplied by the solar beam during the initial heat up period where the receiver-reactor is usually gradually heated up to the reaction temperature. Also, it usually does not take into account the spillage of radiation beyond the inlet aperture or window of the reactor as the input heat is usually measured taking flux intensity measurements and integrating over a convenient surface- either the window or the inlet aperture.</w:t>
      </w:r>
    </w:p>
    <w:p w14:paraId="3334BF10" w14:textId="77777777" w:rsidR="00EF1DD3" w:rsidRDefault="00EF1DD3" w:rsidP="00EF1DD3">
      <w:pPr>
        <w:pStyle w:val="Heading4"/>
      </w:pPr>
      <w:r w:rsidRPr="00935EC8">
        <w:t xml:space="preserve">Direct solar receiver-reactors </w:t>
      </w:r>
    </w:p>
    <w:p w14:paraId="099295EB" w14:textId="3EA4FED0" w:rsidR="00EF1DD3" w:rsidRPr="00935EC8" w:rsidRDefault="00EF1DD3" w:rsidP="00945C75">
      <w:r w:rsidRPr="00935EC8">
        <w:t xml:space="preserve">Most direct solar reactor-receivers developed to date are rotary kilns </w:t>
      </w:r>
      <w:r w:rsidR="00945C75" w:rsidRPr="00935EC8">
        <w:fldChar w:fldCharType="begin" w:fldLock="1"/>
      </w:r>
      <w:r w:rsidR="00945C75">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"manualFormatting" : "(Trombe 1954; ", "plainTextFormattedCitation" : "(Trombe 1954)", "previouslyFormattedCitation" : "(Trombe 1954)" }, "properties" : { "noteIndex" : 0 }, "schema" : "https://github.com/citation-style-language/schema/raw/master/csl-citation.json" }</w:instrText>
      </w:r>
      <w:r w:rsidR="00945C75" w:rsidRPr="00935EC8">
        <w:fldChar w:fldCharType="separate"/>
      </w:r>
      <w:r w:rsidR="00945C75" w:rsidRPr="004B3189">
        <w:rPr>
          <w:noProof/>
        </w:rPr>
        <w:t>(Trombe 1954</w:t>
      </w:r>
      <w:r w:rsidR="00945C75">
        <w:rPr>
          <w:noProof/>
        </w:rPr>
        <w:t xml:space="preserve">; </w:t>
      </w:r>
      <w:r w:rsidR="00945C75" w:rsidRPr="00935EC8">
        <w:fldChar w:fldCharType="end"/>
      </w:r>
      <w:r w:rsidRPr="00935EC8">
        <w:fldChar w:fldCharType="begin" w:fldLock="1"/>
      </w:r>
      <w:r w:rsidR="00945C75">
        <w:instrText>ADDIN CSL_CITATION { "citationItems" : [ { "id" : "ITEM-1", "itemData" : { "author" : [ { "dropping-particle" : "", "family" : "Sammouda", "given" : "H", "non-dropping-particle" : "", "parse-names" : false, "suffix" : "" }, { "dropping-particle" : "", "family" : "Royere", "given" : "C", "non-dropping-particle" : "", "parse-names" : false, "suffix" : "" }, { "dropping-particle" : "", "family" : "Belghith", "given" : "A", "non-dropping-particle" : "", "parse-names" : false, "suffix" : "" }, { "dropping-particle" : "", "family" : "Maalej", "given" : "M", "non-dropping-particle" : "", "parse-names" : false, "suffix" : "" } ], "container-title" : "Renewable Energy", "id" : "ITEM-1", "issued" : { "date-parts" : [ [ "1999" ] ] }, "title" : "Heat transfer in a rotating furnace of a solar sand!boiler at a 0999 kW thermal concentration system", "type" : "article-journal", "volume" : "17" }, "uris" : [ "http://www.mendeley.com/documents/?uuid=68cef985-feb3-4b68-8bc2-d29d0a24f6f1", "http://www.mendeley.com/documents/?uuid=1a4a0f6c-31a5-438a-b11a-ddbfb4c2799e" ] } ], "mendeley" : { "formattedCitation" : "(Sammouda et al. 1999)", "manualFormatting" : "Sammouda et al., 1999;", "plainTextFormattedCitation" : "(Sammouda et al. 1999)", "previouslyFormattedCitation" : "(Sammouda et al. 1999)" }, "properties" : { "noteIndex" : 0 }, "schema" : "https://github.com/citation-style-language/schema/raw/master/csl-citation.json" }</w:instrText>
      </w:r>
      <w:r w:rsidRPr="00935EC8">
        <w:fldChar w:fldCharType="separate"/>
      </w:r>
      <w:r w:rsidRPr="00935EC8">
        <w:rPr>
          <w:noProof/>
        </w:rPr>
        <w:t>Sammouda et al., 1999</w:t>
      </w:r>
      <w:r w:rsidR="00945C75">
        <w:rPr>
          <w:noProof/>
        </w:rPr>
        <w:t>;</w:t>
      </w:r>
      <w:r w:rsidRPr="00935EC8">
        <w:fldChar w:fldCharType="end"/>
      </w:r>
      <w:r>
        <w:t xml:space="preserve"> </w:t>
      </w:r>
      <w:r w:rsidRPr="00935EC8">
        <w:fldChar w:fldCharType="begin" w:fldLock="1"/>
      </w:r>
      <w:r w:rsidR="00945C75">
        <w:instrText>ADDIN CSL_CITATION { "citationItems" : [ { "id" : "ITEM-1", "itemData" : { "DOI" : "10.1115/1.1355242", "author" : [ { "dropping-particle" : "", "family" : "Funken", "given" : "Karl-heinz", "non-dropping-particle" : "", "parse-names" : false, "suffix" : "" }, { "dropping-particle" : "", "family" : "Roeb", "given" : "Martin", "non-dropping-particle" : "", "parse-names" : false, "suffix" : "" }, { "dropping-particle" : "", "family" : "Schwarzboezl", "given" : "Peter", "non-dropping-particle" : "", "parse-names" : false, "suffix" : "" }, { "dropping-particle" : "", "family" : "Warnecke", "given" : "Heiko", "non-dropping-particle" : "", "parse-names" : false, "suffix" : "" } ], "container-title" : "Journal of Solar Energy Engineering", "id" : "ITEM-1", "issued" : { "date-parts" : [ [ "2001" ] ] }, "title" : "Aluminum Remelting using Directly Solar-Heated Rotary", "type" : "article-journal", "volume" : "123" }, "uris" : [ "http://www.mendeley.com/documents/?uuid=9a2c6c06-c035-4cff-baf0-e9cd5eeeb0ba", "http://www.mendeley.com/documents/?uuid=caec9168-a32f-42c3-a6d6-0ee6065a00ac" ] } ], "mendeley" : { "formattedCitation" : "(Funken et al. 2001)", "manualFormatting" : "Funken et al., 2001;", "plainTextFormattedCitation" : "(Funken et al. 2001)", "previouslyFormattedCitation" : "(Funken et al. 2001)" }, "properties" : { "noteIndex" : 0 }, "schema" : "https://github.com/citation-style-language/schema/raw/master/csl-citation.json" }</w:instrText>
      </w:r>
      <w:r w:rsidRPr="00935EC8">
        <w:fldChar w:fldCharType="separate"/>
      </w:r>
      <w:r w:rsidRPr="00935EC8">
        <w:rPr>
          <w:noProof/>
        </w:rPr>
        <w:t>Funken et al., 2001</w:t>
      </w:r>
      <w:r w:rsidR="003B3A29">
        <w:rPr>
          <w:noProof/>
        </w:rPr>
        <w:t>;</w:t>
      </w:r>
      <w:r w:rsidRPr="00935EC8">
        <w:fldChar w:fldCharType="end"/>
      </w:r>
      <w:r>
        <w:t xml:space="preserve"> </w:t>
      </w:r>
      <w:r w:rsidRPr="00935EC8">
        <w:fldChar w:fldCharType="begin" w:fldLock="1"/>
      </w:r>
      <w:r w:rsidR="003B3A29">
        <w:instrText>ADDIN CSL_CITATION { "citationItems" : [ { "id" : "ITEM-1", "itemData" : { "DOI" : "10.1016/j.ijhydene.2006.10.001", "ISSN" : "03603199", "author" : [ { "dropping-particle" : "", "family" : "Z'Graggen", "given" : "A", "non-dropping-particle" : "", "parse-names" : false, "suffix" : "" }, { "dropping-particle" : "", "family" : "Haueter", "given" : "P", "non-dropping-particle" : "", "parse-names" : false, "suffix" : "" }, { "dropping-particle" : "", "family" : "Maag", "given" : "G", "non-dropping-particle" : "", "parse-names" : false, "suffix" : "" }, { "dropping-particle" : "", "family" : "Vidal", "given" : "A", "non-dropping-particle" : "", "parse-names" : false, "suffix" : "" }, { "dropping-particle" : "", "family" : "Romero", "given" : "M", "non-dropping-particle" : "", "parse-names" : false, "suffix" : "" }, { "dropping-particle" : "", "family" : "Steinfeld", "given" : "A", "non-dropping-particle" : "", "parse-names" : false, "suffix" : "" } ], "container-title" : "International Journal of Hydrogen Energy", "id" : "ITEM-1", "issue" : "8", "issued" : { "date-parts" : [ [ "2007", "6" ] ] }, "page" : "992-996", "title" : "Hydrogen production by steam-gasification of petroleum coke using concentrated solar power\u2014III. Reactor experimentation with slurry feeding", "type" : "article-journal", "volume" : "32" }, "uris" : [ "http://www.mendeley.com/documents/?uuid=e2f524ee-e5ea-44cb-baa1-bef2a9973f60" ] } ], "mendeley" : { "formattedCitation" : "(Z\u2019Graggen et al. 2007)", "manualFormatting" : "Z\u2019Graggen et al. 2007;", "plainTextFormattedCitation" : "(Z\u2019Graggen et al. 2007)", "previouslyFormattedCitation" : "(Z\u2019Graggen et al. 2007)" }, "properties" : { "noteIndex" : 0 }, "schema" : "https://github.com/citation-style-language/schema/raw/master/csl-citation.json" }</w:instrText>
      </w:r>
      <w:r w:rsidRPr="00935EC8">
        <w:fldChar w:fldCharType="separate"/>
      </w:r>
      <w:r w:rsidRPr="004B3189">
        <w:rPr>
          <w:noProof/>
        </w:rPr>
        <w:t>Z’Graggen et al. 2007</w:t>
      </w:r>
      <w:r w:rsidR="003B3A29">
        <w:rPr>
          <w:noProof/>
        </w:rPr>
        <w:t>;</w:t>
      </w:r>
      <w:r w:rsidRPr="00935EC8">
        <w:fldChar w:fldCharType="end"/>
      </w:r>
      <w:r>
        <w:t xml:space="preserve"> </w:t>
      </w:r>
      <w:r w:rsidRPr="00935EC8">
        <w:fldChar w:fldCharType="begin" w:fldLock="1"/>
      </w:r>
      <w:r w:rsidR="00945C75">
        <w:instrText>ADDIN CSL_CITATION { "citationItems" : [ { "id" : "ITEM-1", "itemData" : { "DOI" : "10.1016/j.solener.2012.07.012", "ISSN" : "0038092X", "author" : [ { "dropping-particle" : "", "family" : "Neises", "given" : "M.", "non-dropping-particle" : "", "parse-names" : false, "suffix" : "" }, { "dropping-particle" : "", "family" : "Tescari", "given" : "S.", "non-dropping-particle" : "", "parse-names" : false, "suffix" : "" }, { "dropping-particle" : "", "family" : "Oliveira", "given" : "L.", "non-dropping-particle" : "de", "parse-names" : false, "suffix" : "" }, { "dropping-particle" : "", "family" : "Roeb", "given" : "M.", "non-dropping-particle" : "", "parse-names" : false, "suffix" : "" }, { "dropping-particle" : "", "family" : "Sattler", "given" : "C.", "non-dropping-particle" : "", "parse-names" : false, "suffix" : "" }, { "dropping-particle" : "", "family" : "Wong", "given" : "B.", "non-dropping-particle" : "", "parse-names" : false, "suffix" : "" } ], "container-title" : "Solar Energy", "id" : "ITEM-1", "issue" : "10", "issued" : { "date-parts" : [ [ "2012", "10" ] ] }, "page" : "3040-3048", "publisher" : "Elsevier Ltd", "title" : "Solar-heated rotary kiln for thermochemical energy storage", "type" : "article-journal", "volume" : "86" }, "uris" : [ "http://www.mendeley.com/documents/?uuid=c632ce11-c4bd-48ed-94d3-1fb193a16651" ] } ], "mendeley" : { "formattedCitation" : "(Neises et al. 2012)", "manualFormatting" : "Neises et al. 2012;", "plainTextFormattedCitation" : "(Neises et al. 2012)", "previouslyFormattedCitation" : "(Neises et al. 2012)" }, "properties" : { "noteIndex" : 0 }, "schema" : "https://github.com/citation-style-language/schema/raw/master/csl-citation.json" }</w:instrText>
      </w:r>
      <w:r w:rsidRPr="00935EC8">
        <w:fldChar w:fldCharType="separate"/>
      </w:r>
      <w:r w:rsidRPr="004B3189">
        <w:rPr>
          <w:noProof/>
        </w:rPr>
        <w:t>Neises et al. 2012</w:t>
      </w:r>
      <w:r w:rsidR="00945C75">
        <w:rPr>
          <w:noProof/>
        </w:rPr>
        <w:t>;</w:t>
      </w:r>
      <w:r w:rsidRPr="00935EC8">
        <w:fldChar w:fldCharType="end"/>
      </w:r>
      <w:r>
        <w:t xml:space="preserve"> </w:t>
      </w:r>
      <w:r w:rsidRPr="00935EC8">
        <w:fldChar w:fldCharType="begin" w:fldLock="1"/>
      </w:r>
      <w:r w:rsidR="00945C75">
        <w:instrText>ADDIN CSL_CITATION { "citationItems" : [ { "id" : "ITEM-1", "itemData" : { "DOI" : "10.1016/j.solener.2013.06.021", "ISSN" : "0038092X", "author" : [ { "dropping-particle" : "", "family" : "Tescari", "given" : "Stefania", "non-dropping-particle" : "", "parse-names" : false, "suffix" : "" }, { "dropping-particle" : "", "family" : "Neises", "given" : "Martina", "non-dropping-particle" : "", "parse-names" : false, "suffix" : "" }, { "dropping-particle" : "", "family" : "Oliveira", "given" : "Lamark", "non-dropping-particle" : "de", "parse-names" : false, "suffix" : "" }, { "dropping-particle" : "", "family" : "Roeb", "given" : "Martin", "non-dropping-particle" : "", "parse-names" : false, "suffix" : "" }, { "dropping-particle" : "", "family" : "Sattler", "given" : "Christian", "non-dropping-particle" : "", "parse-names" : false, "suffix" : "" }, { "dropping-particle" : "", "family" : "Neveu", "given" : "Pierre", "non-dropping-particle" : "", "parse-names" : false, "suffix" : "" } ], "container-title" : "Solar Energy", "id" : "ITEM-1", "issued" : { "date-parts" : [ [ "2013", "9" ] ] }, "page" : "279-289", "publisher" : "Elsevier Ltd", "title" : "Thermal model for the optimization of a solar rotary kiln to be used as high temperature thermochemical reactor", "type" : "article-journal", "volume" : "95" }, "uris" : [ "http://www.mendeley.com/documents/?uuid=bef471a0-1582-49f7-847a-576ce3d789ef" ] } ], "mendeley" : { "formattedCitation" : "(Tescari et al. 2013)", "manualFormatting" : "Tescari et al. 2013)", "plainTextFormattedCitation" : "(Tescari et al. 2013)", "previouslyFormattedCitation" : "(Tescari et al. 2013)" }, "properties" : { "noteIndex" : 0 }, "schema" : "https://github.com/citation-style-language/schema/raw/master/csl-citation.json" }</w:instrText>
      </w:r>
      <w:r w:rsidRPr="00935EC8">
        <w:fldChar w:fldCharType="separate"/>
      </w:r>
      <w:r w:rsidRPr="004B3189">
        <w:rPr>
          <w:noProof/>
        </w:rPr>
        <w:t>Tescari et al. 2013)</w:t>
      </w:r>
      <w:r w:rsidRPr="00935EC8">
        <w:fldChar w:fldCharType="end"/>
      </w:r>
      <w:r w:rsidRPr="00935EC8">
        <w:t xml:space="preserve">. These consist of a rotating cavity with apertures for the horizontal beam inlet and </w:t>
      </w:r>
      <w:r>
        <w:t xml:space="preserve">the </w:t>
      </w:r>
      <w:r w:rsidRPr="00935EC8">
        <w:t>solid reactants feed. The rotation enables a uniform high temperature inside the cavity and causes the reactants (usually powders or granules) to spread over the inside surface of the rotating cavity by centripetal force which both increases the surface area for heat transfer and serves as a buffer to protect the walls of the reactor from the intense and variable solar radiation. They</w:t>
      </w:r>
      <w:r>
        <w:t xml:space="preserve"> are</w:t>
      </w:r>
      <w:r w:rsidRPr="00935EC8">
        <w:t xml:space="preserve"> </w:t>
      </w:r>
      <w:r>
        <w:t xml:space="preserve">similar </w:t>
      </w:r>
      <w:r w:rsidRPr="00935EC8">
        <w:t xml:space="preserve">to fossil fuel fired rotary kilns as used in aluminium and lime production except the burner is replaced by a solar beam. The cavity in a solar rotary kilns is usually insulated with the exception of those using the </w:t>
      </w:r>
      <w:r w:rsidRPr="00935EC8">
        <w:rPr>
          <w:i/>
        </w:rPr>
        <w:t xml:space="preserve">self-crucible </w:t>
      </w:r>
      <w:r w:rsidRPr="00935EC8">
        <w:t xml:space="preserve">method (e.g. see </w:t>
      </w:r>
      <w:r w:rsidRPr="00935EC8">
        <w:fldChar w:fldCharType="begin" w:fldLock="1"/>
      </w:r>
      <w:r w:rsidR="00945C75">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"id" : "ITEM-2", "itemData" : { "DOI" : "10.1016/j.jeurceramsoc.2004.12.027", "ISSN" : "09552219", "author" : [ { "dropping-particle" : "", "family" : "Hernandez", "given" : "D.", "non-dropping-particle" : "", "parse-names" : false, "suffix" : "" }, { "dropping-particle" : "", "family" : "Olalde", "given" : "G.", "non-dropping-particle" : "", "parse-names" : false, "suffix" : "" } ], "container-title" : "Journal of the European Ceramic Society", "id" : "ITEM-2", "issue" : "6", "issued" : { "date-parts" : [ [ "2006", "1" ] ] }, "page" : "1043-1049", "title" : "Solar experimental methods for observing melting plateaux and associated temperature measurements for refractory oxides from 2000 to 3000\u00b0C", "type" : "article-journal", "volume" : "26" }, "uris" : [ "http://www.mendeley.com/documents/?uuid=10d738df-3795-46eb-9f63-b052a4afe92e" ] } ], "mendeley" : { "formattedCitation" : "(Trombe 1954; Hernandez &amp; Olalde 2006)", "manualFormatting" : "Trombe, 1954 and Hernandez et al., 2006)", "plainTextFormattedCitation" : "(Trombe 1954; Hernandez &amp; Olalde 2006)", "previouslyFormattedCitation" : "(Trombe 1954; Hernandez &amp; Olalde 2006)" }, "properties" : { "noteIndex" : 0 }, "schema" : "https://github.com/citation-style-language/schema/raw/master/csl-citation.json" }</w:instrText>
      </w:r>
      <w:r w:rsidRPr="00935EC8">
        <w:fldChar w:fldCharType="separate"/>
      </w:r>
      <w:r w:rsidRPr="00935EC8">
        <w:rPr>
          <w:noProof/>
        </w:rPr>
        <w:t>Trombe, 1954 and Hernandez et al., 2006)</w:t>
      </w:r>
      <w:r w:rsidRPr="00935EC8">
        <w:fldChar w:fldCharType="end"/>
      </w:r>
      <w:r w:rsidRPr="00935EC8">
        <w:t xml:space="preserve"> which work by water cooling the cavity on the outside to maintain an unmelted layer of refractory powder in which the same material is melted by the solar beam from the inside. </w:t>
      </w:r>
    </w:p>
    <w:p w14:paraId="578E0853" w14:textId="1C05175C" w:rsidR="00EF1DD3" w:rsidRPr="00935EC8" w:rsidRDefault="00EF1DD3" w:rsidP="00EF1DD3">
      <w:r w:rsidRPr="00935EC8">
        <w:fldChar w:fldCharType="begin" w:fldLock="1"/>
      </w:r>
      <w:r>
        <w:instrText>ADDIN CSL_CITATION { "citationItems" : [ { "id" : "ITEM-1", "itemData" : { "DOI" : "10.1016/j.ijhydene.2012.08.086", "ISSN" : "03603199", "author" : [ { "dropping-particle" : "", "family" : "Koepf", "given" : "Erik", "non-dropping-particle" : "", "parse-names" : false, "suffix" : "" }, { "dropping-particle" : "", "family" : "Advani", "given" : "Suresh G.", "non-dropping-particle" : "", "parse-names" : false, "suffix" : "" }, { "dropping-particle" : "", "family" : "Steinfeld", "given" : "Aldo", "non-dropping-particle" : "", "parse-names" : false, "suffix" : "" }, { "dropping-particle" : "", "family" : "Prasad", "given" : "Ajay K.", "non-dropping-particle" : "", "parse-names" : false, "suffix" : "" } ], "container-title" : "International Journal of Hydrogen Energy", "id" : "ITEM-1", "issue" : "22", "issued" : { "date-parts" : [ [ "2012", "11" ] ] }, "page" : "16871-16887", "publisher" : "Elsevier Ltd", "title" : "A novel beam-down, gravity-fed, solar thermochemical receiver/reactor for direct solid particle decomposition: Design, modeling, and experimentation", "type" : "article-journal", "volume" : "37" }, "uris" : [ "http://www.mendeley.com/documents/?uuid=152249d3-b6da-47f7-89df-cc8b3eccd8c9" ] } ], "mendeley" : { "formattedCitation" : "(Koepf et al. 2012)", "manualFormatting" : "Koepf et al (2012)", "plainTextFormattedCitation" : "(Koepf et al. 2012)", "previouslyFormattedCitation" : "(Koepf et al. 2012)" }, "properties" : { "noteIndex" : 0 }, "schema" : "https://github.com/citation-style-language/schema/raw/master/csl-citation.json" }</w:instrText>
      </w:r>
      <w:r w:rsidRPr="00935EC8">
        <w:fldChar w:fldCharType="separate"/>
      </w:r>
      <w:r w:rsidRPr="00935EC8">
        <w:rPr>
          <w:noProof/>
        </w:rPr>
        <w:t>Koepf et al (2012)</w:t>
      </w:r>
      <w:r w:rsidRPr="00935EC8">
        <w:fldChar w:fldCharType="end"/>
      </w:r>
      <w:r w:rsidRPr="00935EC8">
        <w:t xml:space="preserve"> developed a beam-down solar reactor-receiver, for the thermal decomposition of ZnO powder. It consisted of a stationary, insulated cavity with sloped surfaces over which the reactant particles flowed down while being heated by the solar radiation. The sloped surfaces converge towards a central outlet at the bottom of the cavity. This reactor also included a vortex flow generator, near a water-cooled window, before the beam inlet aperture, to capture finer aerosoled reactant particles an</w:t>
      </w:r>
      <w:r w:rsidR="00812A7D">
        <w:t>d gaseous products to keep them</w:t>
      </w:r>
      <w:r w:rsidRPr="00935EC8">
        <w:t xml:space="preserve"> away from the reactor</w:t>
      </w:r>
      <w:r>
        <w:t>’</w:t>
      </w:r>
      <w:r w:rsidRPr="00935EC8">
        <w:t xml:space="preserve">s window and remove them out through another outlet at the bottom of the reactor cavity. The gas outlet tube, lead to a quench unit followed by a filter. The reactor could not reach the desired maximum operating temperatures required for complete thermal decomposition of the reactant particles. After an initial heat up period, a radiative power supply from a high flux solar </w:t>
      </w:r>
      <w:r w:rsidRPr="00935EC8">
        <w:lastRenderedPageBreak/>
        <w:t>simulator beam of 3.5</w:t>
      </w:r>
      <w:r w:rsidR="00945C75">
        <w:t xml:space="preserve"> </w:t>
      </w:r>
      <w:r w:rsidRPr="00935EC8">
        <w:t>kW entering the reactor through its 40mm inlet aperture (corresponding to C=2785</w:t>
      </w:r>
      <w:r>
        <w:t xml:space="preserve"> </w:t>
      </w:r>
      <w:r w:rsidRPr="00935EC8">
        <w:t>kW/m</w:t>
      </w:r>
      <w:r w:rsidRPr="00935EC8">
        <w:rPr>
          <w:vertAlign w:val="superscript"/>
        </w:rPr>
        <w:t>2</w:t>
      </w:r>
      <w:r w:rsidRPr="00935EC8">
        <w:t>) was maintained throughout a series of tests. The maximum reactor temperature recorded was 900</w:t>
      </w:r>
      <w:r w:rsidRPr="00935EC8">
        <w:rPr>
          <w:vertAlign w:val="superscript"/>
        </w:rPr>
        <w:t>o</w:t>
      </w:r>
      <w:r w:rsidRPr="00935EC8">
        <w:t>C but this was only just achieved after continuously heating the empty reactor for seven hours. Then, as soon as the reactants were fed at 1.48 g/s the temperature inside the reactor fell. The maximum temperature which was claimed could be sustained (but closer observation seems to reveal this temperature was still falling) was around 830</w:t>
      </w:r>
      <w:r w:rsidRPr="00935EC8">
        <w:rPr>
          <w:vertAlign w:val="superscript"/>
        </w:rPr>
        <w:t>o</w:t>
      </w:r>
      <w:r w:rsidRPr="00935EC8">
        <w:t xml:space="preserve">C and this could only be arguably maintained at a reduced feed rate of 0.74 g/s. Furthermore, the level of decomposition in the test ranged from none, to ‘almost none’, to </w:t>
      </w:r>
      <w:r w:rsidR="00945C75">
        <w:t>‘</w:t>
      </w:r>
      <w:r w:rsidRPr="00935EC8">
        <w:t>some</w:t>
      </w:r>
      <w:r w:rsidR="00945C75">
        <w:t>’</w:t>
      </w:r>
      <w:r w:rsidRPr="00935EC8">
        <w:t xml:space="preserve"> deposition products observable as condensate inside the gas outlet quench tube but no quantity was provided so it was probably insignificantly small. It was suggested that more power and slower shorter feeding cycles would have been preferable but this does not seem to address the inherent inefficiency of the system which had already been tested with relatively short feeding cycles compared to the heat up period and already very high solar beam intensities.</w:t>
      </w:r>
    </w:p>
    <w:p w14:paraId="7EE23B94" w14:textId="219C518D" w:rsidR="00EF1DD3" w:rsidRPr="00935EC8" w:rsidRDefault="00945C75" w:rsidP="00EF1DD3">
      <w:r w:rsidRPr="00935EC8">
        <w:fldChar w:fldCharType="begin" w:fldLock="1"/>
      </w:r>
      <w:r>
        <w:instrText>ADDIN CSL_CITATION { "citationItems" : [ { "id" : "ITEM-1", "itemData" : { "DOI" : "10.1016/j.ijhydene.2008.10.051", "author" : [ { "dropping-particle" : "", "family" : "Villafa\u0301n-Vidales", "given" : "H. I.", "non-dropping-particle" : "", "parse-names" : false, "suffix" : "" }, { "dropping-particle" : "", "family" : "Arancibia-bulnes", "given" : "C A", "non-dropping-particle" : "", "parse-names" : false, "suffix" : "" }, { "dropping-particle" : "", "family" : "Dehesa-carrasco", "given" : "U", "non-dropping-particle" : "", "parse-names" : false, "suffix" : "" }, { "dropping-particle" : "", "family" : "Romero-paredes", "given" : "H", "non-dropping-particle" : "", "parse-names" : false, "suffix" : "" } ], "container-title" : "International Journal of Hydrogen Energy", "id" : "ITEM-1", "issued" : { "date-parts" : [ [ "2009" ] ] }, "page" : "115-124", "title" : "Monte Carlo radiative transfer simulation of a cavity solar reactor for the reduction of cerium oxide", "type" : "article-journal", "volume" : "34" }, "uris" : [ "http://www.mendeley.com/documents/?uuid=28857dad-f290-47f5-9132-1cdd1d10eaa7", "http://www.mendeley.com/documents/?uuid=0159bef1-2456-4315-8ef6-ab2dc25ee0c5" ] } ], "mendeley" : { "formattedCitation" : "(Villafa\u0301n-Vidales et al. 2009)", "manualFormatting" : "(Villafa\u0301n-Vidales et al., 2009;", "plainTextFormattedCitation" : "(Villafa\u0301n-Vidales et al. 2009)", "previouslyFormattedCitation" : "(Villafa\u0301n-Vidales et al. 2009)" }, "properties" : { "noteIndex" : 0 }, "schema" : "https://github.com/citation-style-language/schema/raw/master/csl-citation.json" }</w:instrText>
      </w:r>
      <w:r w:rsidRPr="00935EC8">
        <w:fldChar w:fldCharType="separate"/>
      </w:r>
      <w:r w:rsidRPr="00935EC8">
        <w:rPr>
          <w:noProof/>
        </w:rPr>
        <w:t>(Villafán-Vidales et al., 2009</w:t>
      </w:r>
      <w:r>
        <w:rPr>
          <w:noProof/>
        </w:rPr>
        <w:t>;</w:t>
      </w:r>
      <w:r w:rsidRPr="00935EC8">
        <w:fldChar w:fldCharType="end"/>
      </w:r>
      <w:r w:rsidRPr="00935EC8">
        <w:fldChar w:fldCharType="begin" w:fldLock="1"/>
      </w:r>
      <w:r>
        <w:instrText>ADDIN CSL_CITATION { "citationItems" : [ { "id" : "ITEM-1", "itemData" : { "DOI" : "10.1063/1.4747825", "ISSN" : "19417012", "author" : [ { "dropping-particle" : "", "family" : "Villafa\u0301n-Vidales", "given" : "H. I.", "non-dropping-particle" : "", "parse-names" : false, "suffix" : "" }, { "dropping-particle" : "", "family" : "Abanades", "given" : "S.", "non-dropping-particle" : "", "parse-names" : false, "suffix" : "" }, { "dropping-particle" : "", "family" : "Arancibia-Bulnes", "given" : "C. a.", "non-dropping-particle" : "", "parse-names" : false, "suffix" : "" }, { "dropping-particle" : "", "family" : "Riveros-Rosas", "given" : "D.", "non-dropping-particle" : "", "parse-names" : false, "suffix" : "" }, { "dropping-particle" : "", "family" : "Romero-Paredes", "given" : "H.", "non-dropping-particle" : "", "parse-names" : false, "suffix" : "" }, { "dropping-particle" : "", "family" : "Espinosa-Paredes", "given" : "G.", "non-dropping-particle" : "", "parse-names" : false, "suffix" : "" }, { "dropping-particle" : "", "family" : "Estrada", "given" : "C. a.", "non-dropping-particle" : "", "parse-names" : false, "suffix" : "" } ], "container-title" : "Journal of Renewable and Sustainable Energy", "id" : "ITEM-1", "issue" : "4", "issued" : { "date-parts" : [ [ "2012" ] ] }, "page" : "043125", "title" : "Radiative heat transfer analysis of a directly irradiated cavity-type solar thermochemical reactor by Monte-Carlo ray tracing", "type" : "article-journal", "volume" : "4" }, "uris" : [ "http://www.mendeley.com/documents/?uuid=460ce2f1-8d2c-4200-9918-16c997ab255e" ] } ], "mendeley" : { "formattedCitation" : "(Villafa\u0301n-Vidales et al. 2012)", "manualFormatting" : " 2012;", "plainTextFormattedCitation" : "(Villafa\u0301n-Vidales et al. 2012)", "previouslyFormattedCitation" : "(Villafa\u0301n-Vidales et al. 2012)" }, "properties" : { "noteIndex" : 0 }, "schema" : "https://github.com/citation-style-language/schema/raw/master/csl-citation.json" }</w:instrText>
      </w:r>
      <w:r w:rsidRPr="00935EC8">
        <w:fldChar w:fldCharType="separate"/>
      </w:r>
      <w:r w:rsidRPr="00935EC8">
        <w:rPr>
          <w:noProof/>
        </w:rPr>
        <w:t xml:space="preserve"> 2012</w:t>
      </w:r>
      <w:r>
        <w:rPr>
          <w:noProof/>
        </w:rPr>
        <w:t>;</w:t>
      </w:r>
      <w:r w:rsidRPr="00935EC8">
        <w:fldChar w:fldCharType="end"/>
      </w:r>
      <w:r w:rsidRPr="00935EC8">
        <w:t xml:space="preserve"> </w:t>
      </w:r>
      <w:r w:rsidR="00EF1DD3" w:rsidRPr="00935EC8">
        <w:fldChar w:fldCharType="begin" w:fldLock="1"/>
      </w:r>
      <w:r w:rsidR="00EF1DD3">
        <w:instrText>ADDIN CSL_CITATION { "citationItems" : [ { "id" : "ITEM-1", "itemData" : { "DOI" : "http://dx.doi.org/10.1016/j.cherd.2014.05.027", "author" : [ { "dropping-particle" : "", "family" : "Villafa\u0301n-Vidales", "given" : "H. I.", "non-dropping-particle" : "", "parse-names" : false, "suffix" : "" }, { "dropping-particle" : "", "family" : "Abanades", "given" : "S.", "non-dropping-particle" : "", "parse-names" : false, "suffix" : "" }, { "dropping-particle" : "", "family" : "Montiel-Gonza\u0301lez", "given" : "M.", "non-dropping-particle" : "", "parse-names" : false, "suffix" : "" }, { "dropping-particle" : "", "family" : "Romero-Paredes", "given" : "H.", "non-dropping-particle" : "", "parse-names" : false, "suffix" : "" }, { "dropping-particle" : "", "family" : "Arancibia-bulnes", "given" : "C. A.", "non-dropping-particle" : "", "parse-names" : false, "suffix" : "" }, { "dropping-particle" : "", "family" : "Estrada", "given" : "C.A.", "non-dropping-particle" : "", "parse-names" : false, "suffix" : "" } ], "container-title" : "Chemical Engineering Research and Design", "id" : "ITEM-1", "issued" : { "date-parts" : [ [ "2015" ] ] }, "page" : "174-184", "title" : "Transient heat transfer simulation of a 1 kWth moving front solar thermochemical reactor for thermal dissociation of compressed ZnO", "type" : "article-journal", "volume" : "93" }, "uris" : [ "http://www.mendeley.com/documents/?uuid=fa13008f-923c-46c5-ac18-e2fd9bb1aa11", "http://www.mendeley.com/documents/?uuid=cbe0bbe1-f6fe-4c06-9d63-8f30cbef6422" ] } ], "mendeley" : { "formattedCitation" : "(Villafa\u0301n-Vidales et al. 2015)", "manualFormatting" : "2015)", "plainTextFormattedCitation" : "(Villafa\u0301n-Vidales et al. 2015)", "previouslyFormattedCitation" : "(Villafa\u0301n-Vidales et al. 2015)" }, "properties" : { "noteIndex" : 0 }, "schema" : "https://github.com/citation-style-language/schema/raw/master/csl-citation.json" }</w:instrText>
      </w:r>
      <w:r w:rsidR="00EF1DD3" w:rsidRPr="00935EC8">
        <w:fldChar w:fldCharType="separate"/>
      </w:r>
      <w:r w:rsidR="00EF1DD3" w:rsidRPr="00935EC8">
        <w:rPr>
          <w:noProof/>
        </w:rPr>
        <w:t>2015)</w:t>
      </w:r>
      <w:r w:rsidR="00EF1DD3" w:rsidRPr="00935EC8">
        <w:fldChar w:fldCharType="end"/>
      </w:r>
      <w:r w:rsidR="00EF1DD3" w:rsidRPr="00935EC8">
        <w:t xml:space="preserve"> developed a beam-down cavity reactor-receiver for the thermal decomposition of solid ZnO pellets which were fed into the cavity through a port in the bottom of the insulated cavity and were directly irradiat</w:t>
      </w:r>
      <w:r w:rsidR="00EF1DD3">
        <w:t>ed</w:t>
      </w:r>
      <w:r w:rsidR="00EF1DD3" w:rsidRPr="00935EC8">
        <w:t xml:space="preserve"> by the solar radiation coming from an aperture in the top </w:t>
      </w:r>
      <w:r w:rsidR="00EF1DD3">
        <w:t>o</w:t>
      </w:r>
      <w:r w:rsidR="00EF1DD3" w:rsidRPr="00935EC8">
        <w:t xml:space="preserve">f the cavity. Although the solid reactants could be continually fed in through the bottom inlet and gaseous products removed through a lateral tube located through the side wall of the cavity, there was no mechanism for removing the spent solids. Furthermore, despite years of development </w:t>
      </w:r>
      <w:r w:rsidRPr="00935EC8">
        <w:fldChar w:fldCharType="begin" w:fldLock="1"/>
      </w:r>
      <w:r>
        <w:instrText>ADDIN CSL_CITATION { "citationItems" : [ { "id" : "ITEM-1", "itemData" : { "DOI" : "10.1016/j.ijhydene.2008.10.051", "author" : [ { "dropping-particle" : "", "family" : "Villafa\u0301n-Vidales", "given" : "H. I.", "non-dropping-particle" : "", "parse-names" : false, "suffix" : "" }, { "dropping-particle" : "", "family" : "Arancibia-bulnes", "given" : "C A", "non-dropping-particle" : "", "parse-names" : false, "suffix" : "" }, { "dropping-particle" : "", "family" : "Dehesa-carrasco", "given" : "U", "non-dropping-particle" : "", "parse-names" : false, "suffix" : "" }, { "dropping-particle" : "", "family" : "Romero-paredes", "given" : "H", "non-dropping-particle" : "", "parse-names" : false, "suffix" : "" } ], "container-title" : "International Journal of Hydrogen Energy", "id" : "ITEM-1", "issued" : { "date-parts" : [ [ "2009" ] ] }, "page" : "115-124", "title" : "Monte Carlo radiative transfer simulation of a cavity solar reactor for the reduction of cerium oxide", "type" : "article-journal", "volume" : "34" }, "uris" : [ "http://www.mendeley.com/documents/?uuid=0159bef1-2456-4315-8ef6-ab2dc25ee0c5", "http://www.mendeley.com/documents/?uuid=28857dad-f290-47f5-9132-1cdd1d10eaa7" ] } ], "mendeley" : { "formattedCitation" : "(Villafa\u0301n-Vidales et al. 2009)", "manualFormatting" : "(Villafa\u0301n-Vidales et al., 2009;", "plainTextFormattedCitation" : "(Villafa\u0301n-Vidales et al. 2009)", "previouslyFormattedCitation" : "(Villafa\u0301n-Vidales et al. 2009)" }, "properties" : { "noteIndex" : 0 }, "schema" : "https://github.com/citation-style-language/schema/raw/master/csl-citation.json" }</w:instrText>
      </w:r>
      <w:r w:rsidRPr="00935EC8">
        <w:fldChar w:fldCharType="separate"/>
      </w:r>
      <w:r w:rsidRPr="00935EC8">
        <w:rPr>
          <w:noProof/>
        </w:rPr>
        <w:t>(Villafán-Vidales et al., 2009</w:t>
      </w:r>
      <w:r>
        <w:rPr>
          <w:noProof/>
        </w:rPr>
        <w:t>;</w:t>
      </w:r>
      <w:r w:rsidRPr="00935EC8">
        <w:fldChar w:fldCharType="end"/>
      </w:r>
      <w:r w:rsidRPr="00935EC8">
        <w:fldChar w:fldCharType="begin" w:fldLock="1"/>
      </w:r>
      <w:r>
        <w:instrText>ADDIN CSL_CITATION { "citationItems" : [ { "id" : "ITEM-1", "itemData" : { "DOI" : "10.1063/1.4747825", "ISSN" : "19417012", "author" : [ { "dropping-particle" : "", "family" : "Villafa\u0301n-Vidales", "given" : "H. I.", "non-dropping-particle" : "", "parse-names" : false, "suffix" : "" }, { "dropping-particle" : "", "family" : "Abanades", "given" : "S.", "non-dropping-particle" : "", "parse-names" : false, "suffix" : "" }, { "dropping-particle" : "", "family" : "Arancibia-Bulnes", "given" : "C. a.", "non-dropping-particle" : "", "parse-names" : false, "suffix" : "" }, { "dropping-particle" : "", "family" : "Riveros-Rosas", "given" : "D.", "non-dropping-particle" : "", "parse-names" : false, "suffix" : "" }, { "dropping-particle" : "", "family" : "Romero-Paredes", "given" : "H.", "non-dropping-particle" : "", "parse-names" : false, "suffix" : "" }, { "dropping-particle" : "", "family" : "Espinosa-Paredes", "given" : "G.", "non-dropping-particle" : "", "parse-names" : false, "suffix" : "" }, { "dropping-particle" : "", "family" : "Estrada", "given" : "C. a.", "non-dropping-particle" : "", "parse-names" : false, "suffix" : "" } ], "container-title" : "Journal of Renewable and Sustainable Energy", "id" : "ITEM-1", "issue" : "4", "issued" : { "date-parts" : [ [ "2012" ] ] }, "page" : "043125", "title" : "Radiative heat transfer analysis of a directly irradiated cavity-type solar thermochemical reactor by Monte-Carlo ray tracing", "type" : "article-journal", "volume" : "4" }, "uris" : [ "http://www.mendeley.com/documents/?uuid=460ce2f1-8d2c-4200-9918-16c997ab255e" ] } ], "mendeley" : { "formattedCitation" : "(Villafa\u0301n-Vidales et al. 2012)", "manualFormatting" : " 2012)", "plainTextFormattedCitation" : "(Villafa\u0301n-Vidales et al. 2012)", "previouslyFormattedCitation" : "(Villafa\u0301n-Vidales et al. 2012)" }, "properties" : { "noteIndex" : 0 }, "schema" : "https://github.com/citation-style-language/schema/raw/master/csl-citation.json" }</w:instrText>
      </w:r>
      <w:r w:rsidRPr="00935EC8">
        <w:fldChar w:fldCharType="separate"/>
      </w:r>
      <w:r w:rsidRPr="00935EC8">
        <w:rPr>
          <w:noProof/>
        </w:rPr>
        <w:t xml:space="preserve"> 2012)</w:t>
      </w:r>
      <w:r w:rsidRPr="00935EC8">
        <w:fldChar w:fldCharType="end"/>
      </w:r>
      <w:r w:rsidR="00EF1DD3" w:rsidRPr="00935EC8">
        <w:t xml:space="preserve"> and the reported efficiency of the latest reactor, using a solar beam of C=16000</w:t>
      </w:r>
      <w:r w:rsidR="00EF1DD3">
        <w:t xml:space="preserve"> kW/m</w:t>
      </w:r>
      <w:r w:rsidR="00EF1DD3">
        <w:rPr>
          <w:vertAlign w:val="superscript"/>
        </w:rPr>
        <w:t>2</w:t>
      </w:r>
      <w:r w:rsidR="00EF1DD3" w:rsidRPr="00935EC8">
        <w:t>, was only 3% at a ZnO feed rate of only 20-30</w:t>
      </w:r>
      <w:r w:rsidR="00EF1DD3">
        <w:t xml:space="preserve"> </w:t>
      </w:r>
      <w:r w:rsidR="00EF1DD3" w:rsidRPr="00935EC8">
        <w:t xml:space="preserve">mg/min </w:t>
      </w:r>
      <w:r w:rsidR="00EF1DD3" w:rsidRPr="00935EC8">
        <w:fldChar w:fldCharType="begin" w:fldLock="1"/>
      </w:r>
      <w:r w:rsidR="00EF1DD3">
        <w:instrText>ADDIN CSL_CITATION { "citationItems" : [ { "id" : "ITEM-1", "itemData" : { "DOI" : "http://dx.doi.org/10.1016/j.cherd.2014.05.027", "author" : [ { "dropping-particle" : "", "family" : "Villafa\u0301n-Vidales", "given" : "H. I.", "non-dropping-particle" : "", "parse-names" : false, "suffix" : "" }, { "dropping-particle" : "", "family" : "Abanades", "given" : "S.", "non-dropping-particle" : "", "parse-names" : false, "suffix" : "" }, { "dropping-particle" : "", "family" : "Montiel-Gonza\u0301lez", "given" : "M.", "non-dropping-particle" : "", "parse-names" : false, "suffix" : "" }, { "dropping-particle" : "", "family" : "Romero-Paredes", "given" : "H.", "non-dropping-particle" : "", "parse-names" : false, "suffix" : "" }, { "dropping-particle" : "", "family" : "Arancibia-bulnes", "given" : "C. A.", "non-dropping-particle" : "", "parse-names" : false, "suffix" : "" }, { "dropping-particle" : "", "family" : "Estrada", "given" : "C.A.", "non-dropping-particle" : "", "parse-names" : false, "suffix" : "" } ], "container-title" : "Chemical Engineering Research and Design", "id" : "ITEM-1", "issued" : { "date-parts" : [ [ "2015" ] ] }, "page" : "174-184", "title" : "Transient heat transfer simulation of a 1 kWth moving front solar thermochemical reactor for thermal dissociation of compressed ZnO", "type" : "article-journal", "volume" : "93" }, "uris" : [ "http://www.mendeley.com/documents/?uuid=cbe0bbe1-f6fe-4c06-9d63-8f30cbef6422", "http://www.mendeley.com/documents/?uuid=fa13008f-923c-46c5-ac18-e2fd9bb1aa11" ] } ], "mendeley" : { "formattedCitation" : "(Villafa\u0301n-Vidales et al. 2015)", "plainTextFormattedCitation" : "(Villafa\u0301n-Vidales et al. 2015)", "previouslyFormattedCitation" : "(Villafa\u0301n-Vidales et al. 2015)" }, "properties" : { "noteIndex" : 0 }, "schema" : "https://github.com/citation-style-language/schema/raw/master/csl-citation.json" }</w:instrText>
      </w:r>
      <w:r w:rsidR="00EF1DD3" w:rsidRPr="00935EC8">
        <w:fldChar w:fldCharType="separate"/>
      </w:r>
      <w:r w:rsidR="00EF1DD3" w:rsidRPr="004B3189">
        <w:rPr>
          <w:noProof/>
        </w:rPr>
        <w:t>(Villafán-Vidales et al. 2015)</w:t>
      </w:r>
      <w:r w:rsidR="00EF1DD3" w:rsidRPr="00935EC8">
        <w:fldChar w:fldCharType="end"/>
      </w:r>
      <w:r w:rsidR="00EF1DD3" w:rsidRPr="00935EC8">
        <w:t>. Part of the reason for the low efficiency was that the feeding mechanism only allowed a small surface area of reactants to be exposed to the solar radiation with the majority being absorbed by the lateral walls inside the cavity.</w:t>
      </w:r>
    </w:p>
    <w:p w14:paraId="48149E64" w14:textId="04F15F00" w:rsidR="00EF1DD3" w:rsidRPr="00935EC8" w:rsidRDefault="00EF1DD3" w:rsidP="00EF1DD3">
      <w:r w:rsidRPr="00935EC8">
        <w:fldChar w:fldCharType="begin" w:fldLock="1"/>
      </w:r>
      <w:r>
        <w:instrText>ADDIN CSL_CITATION { "citationItems" : [ { "id" : "ITEM-1", "itemData" : { "author" : [ { "dropping-particle" : "", "family" : "Roeb", "given" : "M.", "non-dropping-particle" : "", "parse-names" : false, "suffix" : "" }, { "dropping-particle" : "", "family" : "Monnerie", "given" : "N.", "non-dropping-particle" : "", "parse-names" : false, "suffix" : "" } ], "container-title" : "16th World Hydrogen Energy Conference", "id" : "ITEM-1", "issued" : { "date-parts" : [ [ "2006" ] ] }, "publisher-place" : "Lyon", "title" : "Thermo-chemical production of hydrogen from water by metal oxides fixed on ceramic substrates", "type" : "paper-conference" }, "uris" : [ "http://www.mendeley.com/documents/?uuid=aa8f7707-3353-4171-a372-a2784c24e1df", "http://www.mendeley.com/documents/?uuid=656fcd4a-cd0e-41c9-9b31-a84a0ca7d6c7" ] } ], "mendeley" : { "formattedCitation" : "(Roeb &amp; Monnerie 2006)", "manualFormatting" : "Roeb  (2006)", "plainTextFormattedCitation" : "(Roeb &amp; Monnerie 2006)", "previouslyFormattedCitation" : "(Roeb &amp; Monnerie 2006)" }, "properties" : { "noteIndex" : 0 }, "schema" : "https://github.com/citation-style-language/schema/raw/master/csl-citation.json" }</w:instrText>
      </w:r>
      <w:r w:rsidRPr="00935EC8">
        <w:fldChar w:fldCharType="separate"/>
      </w:r>
      <w:r w:rsidRPr="00935EC8">
        <w:rPr>
          <w:noProof/>
        </w:rPr>
        <w:t>Roeb  (2006)</w:t>
      </w:r>
      <w:r w:rsidRPr="00935EC8">
        <w:fldChar w:fldCharType="end"/>
      </w:r>
      <w:r w:rsidRPr="00935EC8">
        <w:t>,</w:t>
      </w:r>
      <w:r>
        <w:t xml:space="preserve"> </w:t>
      </w:r>
      <w:r w:rsidRPr="00935EC8">
        <w:fldChar w:fldCharType="begin" w:fldLock="1"/>
      </w:r>
      <w:r>
        <w:instrText>ADDIN CSL_CITATION { "citationItems" : [ { "id" : "ITEM-1", "itemData" : { "author" : [ { "dropping-particle" : "", "family" : "Neises", "given" : "M.", "non-dropping-particle" : "", "parse-names" : false, "suffix" : "" }, { "dropping-particle" : "", "family" : "Roeb", "given" : "M.", "non-dropping-particle" : "", "parse-names" : false, "suffix" : "" } ], "container-title" : "International Journal of Energy Research", "id" : "ITEM-1", "issued" : { "date-parts" : [ [ "2010" ] ] }, "title" : "Kinetic investigations of the hydrogen production step of a thermochemical cycle using mixed iron oxides coated on ceramic substrates", "type" : "article-journal", "volume" : "34" }, "uris" : [ "http://www.mendeley.com/documents/?uuid=f0ca7035-182a-4fa5-a4c3-dcbbea1d397d", "http://www.mendeley.com/documents/?uuid=96eea63f-04a6-47a4-a5e6-c1f113663a74" ] } ], "mendeley" : { "formattedCitation" : "(Neises &amp; Roeb 2010)", "manualFormatting" : "Neises (2010)", "plainTextFormattedCitation" : "(Neises &amp; Roeb 2010)", "previouslyFormattedCitation" : "(Neises &amp; Roeb 2010)" }, "properties" : { "noteIndex" : 0 }, "schema" : "https://github.com/citation-style-language/schema/raw/master/csl-citation.json" }</w:instrText>
      </w:r>
      <w:r w:rsidRPr="00935EC8">
        <w:fldChar w:fldCharType="separate"/>
      </w:r>
      <w:r w:rsidRPr="00935EC8">
        <w:rPr>
          <w:noProof/>
        </w:rPr>
        <w:t>Neises (2010)</w:t>
      </w:r>
      <w:r w:rsidRPr="00935EC8">
        <w:fldChar w:fldCharType="end"/>
      </w:r>
      <w:r w:rsidRPr="00935EC8">
        <w:t xml:space="preserve"> and </w:t>
      </w:r>
      <w:r w:rsidRPr="00935EC8">
        <w:fldChar w:fldCharType="begin" w:fldLock="1"/>
      </w:r>
      <w:r>
        <w:instrText>ADDIN CSL_CITATION { "citationItems" : [ { "id" : "ITEM-1", "itemData" : { "DOI" : "10.1016/j.solener.2013.07.032", "author" : [ { "dropping-particle" : "", "family" : "Houaijia", "given" : "Anis", "non-dropping-particle" : "", "parse-names" : false, "suffix" : "" }, { "dropping-particle" : "", "family" : "Sattler", "given" : "Christian", "non-dropping-particle" : "", "parse-names" : false, "suffix" : "" }, { "dropping-particle" : "", "family" : "Roeb", "given" : "Martin", "non-dropping-particle" : "", "parse-names" : false, "suffix" : "" }, { "dropping-particle" : "", "family" : "Lange", "given" : "Matthias", "non-dropping-particle" : "", "parse-names" : false, "suffix" : "" }, { "dropping-particle" : "", "family" : "Breuer", "given" : "Stefan", "non-dropping-particle" : "", "parse-names" : false, "suffix" : "" }, { "dropping-particle" : "", "family" : "Sa", "given" : "Jan Peter", "non-dropping-particle" : "", "parse-names" : false, "suffix" : "" } ], "container-title" : "Solar Energy", "id" : "ITEM-1", "issued" : { "date-parts" : [ [ "2013" ] ] }, "page" : "26-38", "title" : "Analysis and improvement of a high-efficiency solar cavity reactor design for a two-step thermochemical cycle for solar hydrogen production from water", "type" : "article-journal", "volume" : "97" }, "uris" : [ "http://www.mendeley.com/documents/?uuid=b06d2033-f634-45fe-b185-c15787385d8f", "http://www.mendeley.com/documents/?uuid=a6cb1753-b2fe-425a-b0af-7ffa08163ea1" ] } ], "mendeley" : { "formattedCitation" : "(Houaijia et al. 2013)", "manualFormatting" : "Houaijia et al., (2013)", "plainTextFormattedCitation" : "(Houaijia et al. 2013)", "previouslyFormattedCitation" : "(Houaijia et al. 2013)" }, "properties" : { "noteIndex" : 0 }, "schema" : "https://github.com/citation-style-language/schema/raw/master/csl-citation.json" }</w:instrText>
      </w:r>
      <w:r w:rsidRPr="00935EC8">
        <w:fldChar w:fldCharType="separate"/>
      </w:r>
      <w:r w:rsidRPr="00935EC8">
        <w:rPr>
          <w:noProof/>
        </w:rPr>
        <w:t>Houaijia et al., (2013)</w:t>
      </w:r>
      <w:r w:rsidRPr="00935EC8">
        <w:fldChar w:fldCharType="end"/>
      </w:r>
      <w:r w:rsidRPr="00935EC8">
        <w:t xml:space="preserve"> developed a novel solar receiver-reactor type for producing hydrogen by using concentrated solar radiation to effect two-step water-splitting thermochemical cycles using metal oxide redox pairs </w:t>
      </w:r>
      <w:r w:rsidRPr="00935EC8">
        <w:fldChar w:fldCharType="begin" w:fldLock="1"/>
      </w:r>
      <w:r>
        <w:instrText>ADDIN CSL_CITATION { "citationItems" : [ { "id" : "ITEM-1", "itemData" : { "author" : [ { "dropping-particle" : "", "family" : "Nakamura", "given" : "T", "non-dropping-particle" : "", "parse-names" : false, "suffix" : "" } ], "container-title" : "Solar Energy", "id" : "ITEM-1", "issued" : { "date-parts" : [ [ "1977" ] ] }, "title" : "Hydrogen production from water utilizing solar heat at high temperatures", "type" : "article-journal", "volume" : "5" }, "uris" : [ "http://www.mendeley.com/documents/?uuid=91fa888d-361a-43e9-b232-df691bed04c9", "http://www.mendeley.com/documents/?uuid=e7137fc3-c450-4ddb-893a-5ace372e1540" ] } ], "mendeley" : { "formattedCitation" : "(Nakamura 1977)", "plainTextFormattedCitation" : "(Nakamura 1977)", "previouslyFormattedCitation" : "(Nakamura 1977)" }, "properties" : { "noteIndex" : 0 }, "schema" : "https://github.com/citation-style-language/schema/raw/master/csl-citation.json" }</w:instrText>
      </w:r>
      <w:r w:rsidRPr="00935EC8">
        <w:fldChar w:fldCharType="separate"/>
      </w:r>
      <w:r w:rsidRPr="004B3189">
        <w:rPr>
          <w:noProof/>
        </w:rPr>
        <w:t>(Nakamura 1977)</w:t>
      </w:r>
      <w:r w:rsidRPr="00935EC8">
        <w:fldChar w:fldCharType="end"/>
      </w:r>
      <w:r w:rsidRPr="00935EC8">
        <w:t>. Essentially, it consists a solid reactant (redox pair) fixed on a porous support structure which is heated by absorption of concentrated solar radiation and through which alternating gases (water vapour/inert gas) flow to output alternating gaseous products (hydrogen/oxygen) depending on the operating mode (oxidation/reduction).</w:t>
      </w:r>
    </w:p>
    <w:p w14:paraId="5A0D4575" w14:textId="208DE764" w:rsidR="00EF1DD3" w:rsidRPr="00935EC8" w:rsidRDefault="00EF1DD3" w:rsidP="00EF1DD3">
      <w:r w:rsidRPr="00935EC8">
        <w:fldChar w:fldCharType="begin" w:fldLock="1"/>
      </w:r>
      <w:r>
        <w:instrText>ADDIN CSL_CITATION { "citationItems" : [ { "id" : "ITEM-1", "itemData" : { "DOI" : "10.1016/j.ijhydene.2006.10.001", "ISSN" : "03603199", "author" : [ { "dropping-particle" : "", "family" : "Z'Graggen", "given" : "A", "non-dropping-particle" : "", "parse-names" : false, "suffix" : "" }, { "dropping-particle" : "", "family" : "Haueter", "given" : "P", "non-dropping-particle" : "", "parse-names" : false, "suffix" : "" }, { "dropping-particle" : "", "family" : "Maag", "given" : "G", "non-dropping-particle" : "", "parse-names" : false, "suffix" : "" }, { "dropping-particle" : "", "family" : "Vidal", "given" : "A", "non-dropping-particle" : "", "parse-names" : false, "suffix" : "" }, { "dropping-particle" : "", "family" : "Romero", "given" : "M", "non-dropping-particle" : "", "parse-names" : false, "suffix" : "" }, { "dropping-particle" : "", "family" : "Steinfeld", "given" : "A", "non-dropping-particle" : "", "parse-names" : false, "suffix" : "" } ], "container-title" : "International Journal of Hydrogen Energy", "id" : "ITEM-1", "issue" : "8", "issued" : { "date-parts" : [ [ "2007", "6" ] ] }, "page" : "992-996", "title" : "Hydrogen production by steam-gasification of petroleum coke using concentrated solar power\u2014III. Reactor experimentation with slurry feeding", "type" : "article-journal", "volume" : "32" }, "uris" : [ "http://www.mendeley.com/documents/?uuid=e2f524ee-e5ea-44cb-baa1-bef2a9973f60" ] } ], "mendeley" : { "formattedCitation" : "(Z\u2019Graggen et al. 2007)", "manualFormatting" : "Z\u2019Graggen et al., (2007)", "plainTextFormattedCitation" : "(Z\u2019Graggen et al. 2007)", "previouslyFormattedCitation" : "(Z\u2019Graggen et al. 2007)" }, "properties" : { "noteIndex" : 0 }, "schema" : "https://github.com/citation-style-language/schema/raw/master/csl-citation.json" }</w:instrText>
      </w:r>
      <w:r w:rsidRPr="00935EC8">
        <w:fldChar w:fldCharType="separate"/>
      </w:r>
      <w:r w:rsidRPr="00935EC8">
        <w:rPr>
          <w:noProof/>
        </w:rPr>
        <w:t>Z’Graggen et al., (2007)</w:t>
      </w:r>
      <w:r w:rsidRPr="00935EC8">
        <w:fldChar w:fldCharType="end"/>
      </w:r>
      <w:r w:rsidRPr="00935EC8">
        <w:t xml:space="preserve"> tested a horizontal-beam, solar reactor-receiver for the direct irradiation of a slurry feed of </w:t>
      </w:r>
      <w:r>
        <w:t>petroleum coke (‘petcoke’)</w:t>
      </w:r>
      <w:r w:rsidRPr="00935EC8">
        <w:t xml:space="preserve"> particles in water for the production of syngas.  The reactor-receiver consisted of a cylindrical cavity, 210</w:t>
      </w:r>
      <w:r>
        <w:t xml:space="preserve"> </w:t>
      </w:r>
      <w:r w:rsidRPr="00935EC8">
        <w:t>mm long, 129</w:t>
      </w:r>
      <w:r>
        <w:t xml:space="preserve"> </w:t>
      </w:r>
      <w:r w:rsidRPr="00935EC8">
        <w:t xml:space="preserve">mm-id, with the beam inlet aperture in one of the side walls and the slurry feed input from a port in the roof of the cavity near the beam inlet. The slurry was vaporised by direct irradiation from the solar beam, while a vortex flow carried it across the cavity with an average residence time of 0.98 -2.53 </w:t>
      </w:r>
      <w:r w:rsidRPr="00935EC8">
        <w:lastRenderedPageBreak/>
        <w:t>seconds, to the other end of the cylinder where the gaseous products were extracted through an outlet port in the side wall opposite the beam inlet. The inside walls of the cavity were made from Inconel 601, lined with alumina and insulated with ceramic foam. The beam entered the reactor through a window which was oil-cooled to keep it within 120-180</w:t>
      </w:r>
      <w:r w:rsidRPr="00935EC8">
        <w:rPr>
          <w:vertAlign w:val="superscript"/>
        </w:rPr>
        <w:t>o</w:t>
      </w:r>
      <w:r w:rsidRPr="00935EC8">
        <w:t>C to prevent condensation of steam. Then the beam converged through a frustum before passing through the 50</w:t>
      </w:r>
      <w:r>
        <w:t xml:space="preserve"> </w:t>
      </w:r>
      <w:r w:rsidRPr="00935EC8">
        <w:t>mm beam inlet, leading to the cavity in which it diverged to irradiate the reactants entrained in the vortex flow.  A series of experiments were conducted using a real solar conc</w:t>
      </w:r>
      <w:r>
        <w:t>en</w:t>
      </w:r>
      <w:r w:rsidRPr="00935EC8">
        <w:t>trator which delivered 3-5.2</w:t>
      </w:r>
      <w:r>
        <w:t xml:space="preserve"> </w:t>
      </w:r>
      <w:r w:rsidRPr="00935EC8">
        <w:t>kW through the 50</w:t>
      </w:r>
      <w:r w:rsidR="00945C75">
        <w:t xml:space="preserve"> </w:t>
      </w:r>
      <w:r w:rsidRPr="00935EC8">
        <w:t>mm aperture, corresponding to concentration of 1528-2648</w:t>
      </w:r>
      <w:r>
        <w:t xml:space="preserve"> </w:t>
      </w:r>
      <w:r w:rsidRPr="00935EC8">
        <w:t>kW/m</w:t>
      </w:r>
      <w:r w:rsidRPr="00935EC8">
        <w:rPr>
          <w:vertAlign w:val="superscript"/>
        </w:rPr>
        <w:t>2</w:t>
      </w:r>
      <w:r w:rsidRPr="00935EC8">
        <w:t>, while feeding petcoke in at 0.6-3.61 g/min. This resulted in an average single pass chemical conversion of petcoke of 48% with nominal reactor temperatures in the range of 1169-1377</w:t>
      </w:r>
      <w:r w:rsidRPr="00935EC8">
        <w:rPr>
          <w:vertAlign w:val="superscript"/>
        </w:rPr>
        <w:t>o</w:t>
      </w:r>
      <w:r w:rsidRPr="00935EC8">
        <w:t>C. This corresponded to 11% utilisation of the heat input from the solar beam for sensible heating and chemical conversion of the reactants.</w:t>
      </w:r>
    </w:p>
    <w:p w14:paraId="4A2E7F42" w14:textId="77777777" w:rsidR="00EF1DD3" w:rsidRPr="00935EC8" w:rsidRDefault="00EF1DD3" w:rsidP="00EF1DD3">
      <w:pPr>
        <w:pStyle w:val="Heading4"/>
      </w:pPr>
      <w:r w:rsidRPr="00935EC8">
        <w:t>Indirect solar receiver reactors</w:t>
      </w:r>
    </w:p>
    <w:p w14:paraId="74D4D413" w14:textId="3242E81D" w:rsidR="00EF1DD3" w:rsidRPr="00935EC8" w:rsidRDefault="00EF1DD3" w:rsidP="00EF1DD3">
      <w:r w:rsidRPr="00935EC8">
        <w:fldChar w:fldCharType="begin" w:fldLock="1"/>
      </w:r>
      <w:r>
        <w:instrText>ADDIN CSL_CITATION { "citationItems" : [ { "id" : "ITEM-1", "itemData" : { "author" : [ { "dropping-particle" : "", "family" : "Schaffner", "given" : "Beatrice", "non-dropping-particle" : "", "parse-names" : false, "suffix" : "" }, { "dropping-particle" : "", "family" : "Meier", "given" : "Anton", "non-dropping-particle" : "", "parse-names" : false, "suffix" : "" }, { "dropping-particle" : "", "family" : "Wuillemin", "given" : "Daniel", "non-dropping-particle" : "", "parse-names" : false, "suffix" : "" }, { "dropping-particle" : "", "family" : "Hoffelner", "given" : "Wolfgang", "non-dropping-particle" : "", "parse-names" : false, "suffix" : "" }, { "dropping-particle" : "", "family" : "Steinfeld", "given" : "Aldo", "non-dropping-particle" : "", "parse-names" : false, "suffix" : "" } ], "container-title" : "Environ Sci Technol", "id" : "ITEM-1", "issued" : { "date-parts" : [ [ "2003" ] ] }, "page" : "165\u2013170", "title" : "Recycling of Hazardous Solid Waste Material Using High-Temperature Solar Process Heat . 2 . Reactor Design and Experimentation", "type" : "article-journal", "volume" : "37" }, "uris" : [ "http://www.mendeley.com/documents/?uuid=2c15fbba-1282-43ed-93ed-b26ea44baf0a", "http://www.mendeley.com/documents/?uuid=6d67a9c9-f258-4f4b-9d26-604ca5ea7486" ] } ], "mendeley" : { "formattedCitation" : "(Schaffner et al. 2003)", "manualFormatting" : "Schaffner, Meier &amp; Wuillemin (2003)", "plainTextFormattedCitation" : "(Schaffner et al. 2003)", "previouslyFormattedCitation" : "(Schaffner et al. 2003)" }, "properties" : { "noteIndex" : 0 }, "schema" : "https://github.com/citation-style-language/schema/raw/master/csl-citation.json" }</w:instrText>
      </w:r>
      <w:r w:rsidRPr="00935EC8">
        <w:fldChar w:fldCharType="separate"/>
      </w:r>
      <w:r>
        <w:rPr>
          <w:noProof/>
        </w:rPr>
        <w:t>Schaffner, Meier &amp;</w:t>
      </w:r>
      <w:r w:rsidRPr="00935EC8">
        <w:rPr>
          <w:noProof/>
        </w:rPr>
        <w:t xml:space="preserve"> Wuillemin (2003)</w:t>
      </w:r>
      <w:r w:rsidRPr="00935EC8">
        <w:fldChar w:fldCharType="end"/>
      </w:r>
      <w:r w:rsidR="00945C75" w:rsidRPr="00935EC8">
        <w:fldChar w:fldCharType="begin" w:fldLock="1"/>
      </w:r>
      <w:r w:rsidR="00945C75">
        <w:instrText>ADDIN CSL_CITATION { "citationItems" : [ { "id" : "ITEM-1", "itemData" : { "DOI" : "10.1115/1.1528925", "author" : [ { "dropping-particle" : "", "family" : "Wieckert", "given" : "Christian", "non-dropping-particle" : "", "parse-names" : false, "suffix" : "" }, { "dropping-particle" : "", "family" : "Steinfeld", "given" : "Aldo", "non-dropping-particle" : "", "parse-names" : false, "suffix" : "" } ], "id" : "ITEM-1", "issue" : "May 2002", "issued" : { "date-parts" : [ [ "2003" ] ] }, "page" : "2001-2004", "title" : "Indirectly Irradiated Solar Receiver- Reactors for High-Temperature Thermochemical Processes", "type" : "article-journal", "volume" : "125" }, "uris" : [ "http://www.mendeley.com/documents/?uuid=11139105-85f2-446c-bb26-ec9cc12fde67", "http://www.mendeley.com/documents/?uuid=aa2e0008-06e9-496d-b871-cab3c4bcd14b" ] } ], "mendeley" : { "formattedCitation" : "(Wieckert &amp; Steinfeld 2003)", "manualFormatting" : ", Wieckert (2003;", "plainTextFormattedCitation" : "(Wieckert &amp; Steinfeld 2003)", "previouslyFormattedCitation" : "(Wieckert &amp; Steinfeld 2003)" }, "properties" : { "noteIndex" : 0 }, "schema" : "https://github.com/citation-style-language/schema/raw/master/csl-citation.json" }</w:instrText>
      </w:r>
      <w:r w:rsidR="00945C75" w:rsidRPr="00935EC8">
        <w:fldChar w:fldCharType="separate"/>
      </w:r>
      <w:r w:rsidR="00945C75" w:rsidRPr="00935EC8">
        <w:rPr>
          <w:noProof/>
        </w:rPr>
        <w:t>, Wieckert (2003</w:t>
      </w:r>
      <w:r w:rsidR="00945C75">
        <w:rPr>
          <w:noProof/>
        </w:rPr>
        <w:t>;</w:t>
      </w:r>
      <w:r w:rsidR="00945C75" w:rsidRPr="00935EC8">
        <w:fldChar w:fldCharType="end"/>
      </w:r>
      <w:r w:rsidR="00945C75">
        <w:t xml:space="preserve"> </w:t>
      </w:r>
      <w:r w:rsidR="00945C75" w:rsidRPr="00935EC8">
        <w:fldChar w:fldCharType="begin" w:fldLock="1"/>
      </w:r>
      <w:r w:rsidR="00945C75">
        <w:instrText>ADDIN CSL_CITATION { "citationItems" : [ { "id" : "ITEM-1", "itemData" : { "DOI" : "10.1016/S0360-5442(03)00183-X", "author" : [ { "dropping-particle" : "", "family" : "Wieckert", "given" : "Christian", "non-dropping-particle" : "", "parse-names" : false, "suffix" : "" }, { "dropping-particle" : "", "family" : "Palumbo", "given" : "Robert", "non-dropping-particle" : "", "parse-names" : false, "suffix" : "" }, { "dropping-particle" : "", "family" : "Frommherz", "given" : "Ulrich", "non-dropping-particle" : "", "parse-names" : false, "suffix" : "" } ], "container-title" : "Journal of Solar Energy Engineering", "id" : "ITEM-1", "issued" : { "date-parts" : [ [ "2005" ] ] }, "title" : "A two-cavity reactor for solar chemical processes : heat transfer model and application to carbothermic reduction of ZnO", "type" : "article-journal", "volume" : "127" }, "uris" : [ "http://www.mendeley.com/documents/?uuid=a994ea67-0630-4e53-bbd3-ccaddfed1a26", "http://www.mendeley.com/documents/?uuid=13731b43-f358-464c-bffe-2e32c5a1c5c7" ] } ], "mendeley" : { "formattedCitation" : "(Wieckert et al. 2005)", "manualFormatting" : "2005;", "plainTextFormattedCitation" : "(Wieckert et al. 2005)", "previouslyFormattedCitation" : "(Wieckert et al. 2005)" }, "properties" : { "noteIndex" : 0 }, "schema" : "https://github.com/citation-style-language/schema/raw/master/csl-citation.json" }</w:instrText>
      </w:r>
      <w:r w:rsidR="00945C75" w:rsidRPr="00935EC8">
        <w:fldChar w:fldCharType="separate"/>
      </w:r>
      <w:r w:rsidR="00945C75" w:rsidRPr="00935EC8">
        <w:rPr>
          <w:noProof/>
        </w:rPr>
        <w:t>2005</w:t>
      </w:r>
      <w:r w:rsidR="00945C75">
        <w:rPr>
          <w:noProof/>
        </w:rPr>
        <w:t>;</w:t>
      </w:r>
      <w:r w:rsidR="00945C75" w:rsidRPr="00935EC8">
        <w:fldChar w:fldCharType="end"/>
      </w:r>
      <w:r w:rsidR="00945C75">
        <w:t xml:space="preserve"> </w:t>
      </w:r>
      <w:r w:rsidRPr="00935EC8">
        <w:fldChar w:fldCharType="begin" w:fldLock="1"/>
      </w:r>
      <w:r>
        <w:instrText>ADDIN CSL_CITATION { "citationItems" : [ { "id" : "ITEM-1", "itemData" : { "DOI" : "10.1115/1.2711471", "ISSN" : "01996231", "author" : [ { "dropping-particle" : "", "family" : "Wieckert", "given" : "C.", "non-dropping-particle" : "", "parse-names" : false, "suffix" : "" }, { "dropping-particle" : "", "family" : "Frommherz", "given" : "U.", "non-dropping-particle" : "", "parse-names" : false, "suffix" : "" }, { "dropping-particle" : "", "family" : "Kra\u0308upl", "given" : "S.", "non-dropping-particle" : "", "parse-names" : false, "suffix" : "" }, { "dropping-particle" : "", "family" : "Guillot", "given" : "E.", "non-dropping-particle" : "", "parse-names" : false, "suffix" : "" }, { "dropping-particle" : "", "family" : "Olalde", "given" : "G.", "non-dropping-particle" : "", "parse-names" : false, "suffix" : "" }, { "dropping-particle" : "", "family" : "Epstein", "given" : "M.", "non-dropping-particle" : "", "parse-names" : false, "suffix" : "" }, { "dropping-particle" : "", "family" : "Sante\u0301n", "given" : "S.", "non-dropping-particle" : "", "parse-names" : false, "suffix" : "" }, { "dropping-particle" : "", "family" : "Osinga", "given" : "T.", "non-dropping-particle" : "", "parse-names" : false, "suffix" : "" }, { "dropping-particle" : "", "family" : "Steinfeld", "given" : "A.", "non-dropping-particle" : "", "parse-names" : false, "suffix" : "" } ], "container-title" : "Journal of Solar Energy Engineering", "id" : "ITEM-1", "issue" : "2", "issued" : { "date-parts" : [ [ "2007", "5", "1" ] ] }, "page" : "190", "publisher" : "American Society of Mechanical Engineers", "title" : "A 300\u2002kW Solar Chemical Pilot Plant for the Carbothermic Production of Zinc", "type" : "article-journal", "volume" : "129" }, "uris" : [ "http://www.mendeley.com/documents/?uuid=421b61fd-9fd9-4c6e-ac38-894278673b11" ] } ], "mendeley" : { "formattedCitation" : "(Wieckert et al. 2007)", "manualFormatting" : "2007)", "plainTextFormattedCitation" : "(Wieckert et al. 2007)", "previouslyFormattedCitation" : "(Wieckert et al. 2007)" }, "properties" : { "noteIndex" : 0 }, "schema" : "https://github.com/citation-style-language/schema/raw/master/csl-citation.json" }</w:instrText>
      </w:r>
      <w:r w:rsidRPr="00935EC8">
        <w:fldChar w:fldCharType="separate"/>
      </w:r>
      <w:r w:rsidRPr="00935EC8">
        <w:rPr>
          <w:noProof/>
        </w:rPr>
        <w:t>2007)</w:t>
      </w:r>
      <w:r w:rsidRPr="00935EC8">
        <w:fldChar w:fldCharType="end"/>
      </w:r>
      <w:r w:rsidRPr="00935EC8">
        <w:t xml:space="preserve"> and </w:t>
      </w:r>
      <w:r w:rsidRPr="00935EC8">
        <w:fldChar w:fldCharType="begin" w:fldLock="1"/>
      </w:r>
      <w:r>
        <w:instrText>ADDIN CSL_CITATION { "citationItems" : [ { "id" : "ITEM-1", "itemData" : { "DOI" : "10.1007/s11837-013-0778-x", "author" : [ { "dropping-particle" : "", "family" : "Tzouganatos", "given" : "N", "non-dropping-particle" : "", "parse-names" : false, "suffix" : "" }, { "dropping-particle" : "", "family" : "Matter", "given" : "R", "non-dropping-particle" : "", "parse-names" : false, "suffix" : "" }, { "dropping-particle" : "", "family" : "Wieckert", "given" : "C", "non-dropping-particle" : "", "parse-names" : false, "suffix" : "" }, { "dropping-particle" : "", "family" : "Antrekowitsch", "given" : "J", "non-dropping-particle" : "", "parse-names" : false, "suffix" : "" }, { "dropping-particle" : "", "family" : "Gamroth", "given" : "M", "non-dropping-particle" : "", "parse-names" : false, "suffix" : "" }, { "dropping-particle" : "", "family" : "Steinfeld", "given" : "A", "non-dropping-particle" : "", "parse-names" : false, "suffix" : "" } ], "container-title" : "JOM", "id" : "ITEM-1", "issue" : "12", "issued" : { "date-parts" : [ [ "2013" ] ] }, "page" : "1733-1743", "title" : "Thermal Recycling of Waelz Oxide Using Concentrated Solar Energy", "type" : "article-journal", "volume" : "65" }, "uris" : [ "http://www.mendeley.com/documents/?uuid=22b34e35-2818-41b5-8258-2b4e049b00ca", "http://www.mendeley.com/documents/?uuid=f620766f-c63d-4443-857a-bf00ea11b08c" ] } ], "mendeley" : { "formattedCitation" : "(Tzouganatos et al. 2013)", "manualFormatting" : "Tzouganatos et al., (2013)", "plainTextFormattedCitation" : "(Tzouganatos et al. 2013)", "previouslyFormattedCitation" : "(Tzouganatos et al. 2013)" }, "properties" : { "noteIndex" : 0 }, "schema" : "https://github.com/citation-style-language/schema/raw/master/csl-citation.json" }</w:instrText>
      </w:r>
      <w:r w:rsidRPr="00935EC8">
        <w:fldChar w:fldCharType="separate"/>
      </w:r>
      <w:r w:rsidRPr="00935EC8">
        <w:rPr>
          <w:noProof/>
        </w:rPr>
        <w:t>Tzouganatos et al., (2013)</w:t>
      </w:r>
      <w:r w:rsidRPr="00935EC8">
        <w:fldChar w:fldCharType="end"/>
      </w:r>
      <w:r w:rsidRPr="00935EC8">
        <w:t xml:space="preserve"> developed an indirect, beam-down, solar reactor-receiver which consisted of two cavities, separated by </w:t>
      </w:r>
      <w:r>
        <w:t xml:space="preserve">an </w:t>
      </w:r>
      <w:r w:rsidRPr="00935EC8">
        <w:t>intermediate plate. The first cavity received the concentrated solar radiation beam through an aperture to heat up the intermediate plate which in turn re-radiated heat into the adjacent cavity which contained the continuously fed solid reactants and from which the gaseous products were extracted. The reason for using an intermediate absorbing-emitting plate rather than directly irradiating the reactants was because it enabled the reactants to remain sealed while protecting the window from direct exposure to the high-pressure and severe gas environment. However, this only passed on these challenging conditions to be dealt with by the intermediate plate instead of the window. Coupled with the aforementioned harsh environmental conditions, the intermediate plate was also required to be highly absorbing of solar radiation, capable of resisting high temperatures (up to 1320</w:t>
      </w:r>
      <w:r w:rsidRPr="00935EC8">
        <w:rPr>
          <w:vertAlign w:val="superscript"/>
        </w:rPr>
        <w:t>o</w:t>
      </w:r>
      <w:r w:rsidRPr="00935EC8">
        <w:t>C) and thermal cycling due to the variable heating from the solar beam. Accordingly, SiC or graphite w</w:t>
      </w:r>
      <w:r>
        <w:t>ere</w:t>
      </w:r>
      <w:r w:rsidRPr="00935EC8">
        <w:t xml:space="preserve"> proposed as the best materials for the intermediate plate, to best satisfy all the aforementioned condition</w:t>
      </w:r>
      <w:r>
        <w:t>s</w:t>
      </w:r>
      <w:r w:rsidRPr="00935EC8">
        <w:t>.</w:t>
      </w:r>
    </w:p>
    <w:p w14:paraId="23D8D996" w14:textId="77777777" w:rsidR="00EF1DD3" w:rsidRPr="00935EC8" w:rsidRDefault="00EF1DD3" w:rsidP="00EF1DD3">
      <w:r w:rsidRPr="00935EC8">
        <w:fldChar w:fldCharType="begin" w:fldLock="1"/>
      </w:r>
      <w:r>
        <w:instrText>ADDIN CSL_CITATION { "citationItems" : [ { "id" : "ITEM-1", "itemData" : { "DOI" : "10.1016/j.solener.2005.05.017", "ISSN" : "0038092X", "abstract" : "We developed the solar chemical reactor technology to effect the endothermic calcination reaction CaCO3(s)\u2192CaO(s)+CO2(g) at 1200\u20131400K. The indirect heating 10kWth multi-tube rotary kiln prototype processed 1\u20135mm limestone particles, producing high purity lime that is not contaminated with combustion by-products. The quality of the solar produced quicklime meets highest industrial standards in terms of reactivity (low, medium, and high) and degree of calcination (exceeding 98%). The reactor\u2019s efficiency, defined as the enthalpy of the calcination reaction at ambient temperature (3184kJkg\u22121) divided by the solar energy input, reached 30\u201335% for quicklime production rates up to 4kgh\u22121. The solar lime reactor prototype operated reliably for more than 100h at solar flux inputs of about 2000kWm\u22122, withstanding the thermal shocks that occur in solar high temperature applications. By substituting concentrated solar energy for fossil fuels as the source of process heat, one can reduce by 20% the CO2 emissions in a state-of-the-art lime plant and by 40% in a conventional cement plant. The cost of solar lime produced in a 20MWth industrial solar calcination plant is estimated in the range 131\u2013158 $/t, i.e. about 2\u20133 times the current selling price of conventional lime.", "author" : [ { "dropping-particle" : "", "family" : "Meier", "given" : "Anton", "non-dropping-particle" : "", "parse-names" : false, "suffix" : "" }, { "dropping-particle" : "", "family" : "Bonaldi", "given" : "Enrico", "non-dropping-particle" : "", "parse-names" : false, "suffix" : "" }, { "dropping-particle" : "", "family" : "Cella", "given" : "Gian Mario", "non-dropping-particle" : "", "parse-names" : false, "suffix" : "" }, { "dropping-particle" : "", "family" : "Lipinski", "given" : "Wojciech", "non-dropping-particle" : "", "parse-names" : false, "suffix" : "" }, { "dropping-particle" : "", "family" : "Wuillemin", "given" : "Daniel", "non-dropping-particle" : "", "parse-names" : false, "suffix" : "" } ], "container-title" : "Solar Energy", "id" : "ITEM-1", "issue" : "10", "issued" : { "date-parts" : [ [ "2006", "10" ] ] }, "note" : "heat balance for lime production", "page" : "1355-1362", "title" : "Solar chemical reactor technology for industrial production of lime", "type" : "article-journal", "volume" : "80" }, "uris" : [ "http://www.mendeley.com/documents/?uuid=6d23522f-7cfd-4b15-bb73-e2f034980ca6" ] } ], "mendeley" : { "formattedCitation" : "(Meier et al. 2006)", "manualFormatting" : "Meier et al., (2006)", "plainTextFormattedCitation" : "(Meier et al. 2006)", "previouslyFormattedCitation" : "(Meier et al. 2006)" }, "properties" : { "noteIndex" : 0 }, "schema" : "https://github.com/citation-style-language/schema/raw/master/csl-citation.json" }</w:instrText>
      </w:r>
      <w:r w:rsidRPr="00935EC8">
        <w:fldChar w:fldCharType="separate"/>
      </w:r>
      <w:r w:rsidRPr="00935EC8">
        <w:rPr>
          <w:noProof/>
        </w:rPr>
        <w:t>Meier et al., (2006)</w:t>
      </w:r>
      <w:r w:rsidRPr="00935EC8">
        <w:fldChar w:fldCharType="end"/>
      </w:r>
      <w:r w:rsidRPr="00935EC8">
        <w:t xml:space="preserve"> developed a solar receiver-reactor for the production of lime (CaO) by decomposition of solid limestone (CaCO</w:t>
      </w:r>
      <w:r w:rsidRPr="00935EC8">
        <w:rPr>
          <w:vertAlign w:val="subscript"/>
        </w:rPr>
        <w:t>3</w:t>
      </w:r>
      <w:r w:rsidRPr="00935EC8">
        <w:t>, 1-5</w:t>
      </w:r>
      <w:r>
        <w:t xml:space="preserve"> </w:t>
      </w:r>
      <w:r w:rsidRPr="00935EC8">
        <w:t>mm)</w:t>
      </w:r>
      <w:r w:rsidRPr="00935EC8">
        <w:rPr>
          <w:vertAlign w:val="subscript"/>
        </w:rPr>
        <w:t xml:space="preserve"> </w:t>
      </w:r>
      <w:r w:rsidRPr="00935EC8">
        <w:t xml:space="preserve">particles. Early experiments attempting to effect the same process inside a </w:t>
      </w:r>
      <w:r w:rsidRPr="00935EC8">
        <w:rPr>
          <w:i/>
        </w:rPr>
        <w:t>direct</w:t>
      </w:r>
      <w:r w:rsidRPr="00935EC8">
        <w:t xml:space="preserve"> solar rotary kiln were problematic as the finer reactant particles generated an absorbing dust cloud inside the kiln which partially prevented the solar radiation from penetrating through to heat the bulk of the reactants. To address this problem, a new in-direct solar rotary kiln was developed in which the reactant particles were contained inside closed tubes which were in turn contained inside a rotating insulating cavity with a beam inlet.  The solar radiation heated the outside surfaces of the tubes, which in turn heated the reactants inside. The cylindrical rotating cavity was 225</w:t>
      </w:r>
      <w:r>
        <w:t xml:space="preserve"> </w:t>
      </w:r>
      <w:r w:rsidRPr="00935EC8">
        <w:t>mm long, 232</w:t>
      </w:r>
      <w:r>
        <w:t xml:space="preserve"> </w:t>
      </w:r>
      <w:r w:rsidRPr="00935EC8">
        <w:t xml:space="preserve">mm-id with a horizontal beam inlet </w:t>
      </w:r>
      <w:r w:rsidRPr="00935EC8">
        <w:lastRenderedPageBreak/>
        <w:t>aperture in its front, flat face. An SiC plate was at the opposite, back face, of the cavity and the reactant particles were fed into a chamber behind this plate so that they could be preheated indirectly by solar radiation which was absorbed by the SiC plate and conducted through to the particles behind it. This enabled preheating of the reactants almost up to the reaction temperature of 900</w:t>
      </w:r>
      <w:r w:rsidRPr="00935EC8">
        <w:rPr>
          <w:vertAlign w:val="superscript"/>
        </w:rPr>
        <w:t>o</w:t>
      </w:r>
      <w:r w:rsidRPr="00935EC8">
        <w:t>C before they flowed through the 250</w:t>
      </w:r>
      <w:r>
        <w:t xml:space="preserve"> </w:t>
      </w:r>
      <w:r w:rsidRPr="00935EC8">
        <w:t>mm long, 17</w:t>
      </w:r>
      <w:r>
        <w:t xml:space="preserve"> </w:t>
      </w:r>
      <w:r w:rsidRPr="00935EC8">
        <w:t>mm-id, SiC heating tubes, which ran along the length of the cavity, from the preheating chamber at the back to the product outlet at the bottom-front end of the reactor. In a series of tests of using up to 10.6</w:t>
      </w:r>
      <w:r>
        <w:t xml:space="preserve"> </w:t>
      </w:r>
      <w:r w:rsidRPr="00935EC8">
        <w:t>kW solar radiation provided at a concentration</w:t>
      </w:r>
      <w:r>
        <w:t xml:space="preserve"> intensity</w:t>
      </w:r>
      <w:r w:rsidRPr="00935EC8">
        <w:t xml:space="preserve"> of around 2000kW/m</w:t>
      </w:r>
      <w:r w:rsidRPr="00935EC8">
        <w:rPr>
          <w:vertAlign w:val="superscript"/>
        </w:rPr>
        <w:t>2</w:t>
      </w:r>
      <w:r w:rsidRPr="00935EC8">
        <w:t xml:space="preserve"> </w:t>
      </w:r>
      <w:r>
        <w:t xml:space="preserve">, </w:t>
      </w:r>
      <w:r w:rsidRPr="00935EC8">
        <w:t>this multi-tube solar rotary kiln demonstrated around 98% decomposition of limestone, at lime production rates of 4</w:t>
      </w:r>
      <w:r>
        <w:t xml:space="preserve"> </w:t>
      </w:r>
      <w:r w:rsidRPr="00935EC8">
        <w:t>kg/y</w:t>
      </w:r>
      <w:r>
        <w:t xml:space="preserve"> </w:t>
      </w:r>
      <w:r w:rsidRPr="00935EC8">
        <w:t>and 30-35% efficiency, performed at ~1122</w:t>
      </w:r>
      <w:r w:rsidRPr="00935EC8">
        <w:rPr>
          <w:vertAlign w:val="superscript"/>
        </w:rPr>
        <w:t>o</w:t>
      </w:r>
      <w:r w:rsidRPr="00935EC8">
        <w:t>C. Also, this reactor featured, electrical heating elements which enabled hybrid solar-electric operation.</w:t>
      </w:r>
    </w:p>
    <w:p w14:paraId="51200C8F" w14:textId="6F7A1EDC" w:rsidR="00EF1DD3" w:rsidRPr="00935EC8" w:rsidRDefault="00EF1DD3" w:rsidP="00EF1DD3">
      <w:r w:rsidRPr="00935EC8">
        <w:fldChar w:fldCharType="begin" w:fldLock="1"/>
      </w:r>
      <w:r>
        <w:instrText>ADDIN CSL_CITATION { "citationItems" : [ { "id" : "ITEM-1", "itemData" : { "author" : [ { "dropping-particle" : "", "family" : "Diver", "given" : "R B", "non-dropping-particle" : "", "parse-names" : false, "suffix" : "" }, { "dropping-particle" : "", "family" : "Levy", "given" : "M", "non-dropping-particle" : "", "parse-names" : false, "suffix" : "" }, { "dropping-particle" : "", "family" : "Meirovitch", "given" : "E", "non-dropping-particle" : "", "parse-names" : false, "suffix" : "" }, { "dropping-particle" : "", "family" : "Rosin", "given" : "H", "non-dropping-particle" : "", "parse-names" : false, "suffix" : "" }, { "dropping-particle" : "", "family" : "Paripatyadar", "given" : "S A", "non-dropping-particle" : "", "parse-names" : false, "suffix" : "" }, { "dropping-particle" : "", "family" : "Richardson", "given" : "J T", "non-dropping-particle" : "", "parse-names" : false, "suffix" : "" }, { "dropping-particle" : "", "family" : "Laboratories", "given" : "Sandia National", "non-dropping-particle" : "", "parse-names" : false, "suffix" : "" } ], "container-title" : "Solar Energy", "id" : "ITEM-1", "issue" : "1", "issued" : { "date-parts" : [ [ "1992" ] ] }, "page" : "21-30", "title" : "Solar Test of an Integrated Sodium Reflux Heat Pipe Receiver/Reactor for Thermochemical Energy Transport", "type" : "article-journal", "volume" : "48" }, "uris" : [ "http://www.mendeley.com/documents/?uuid=db45b380-83ff-4d6a-91a7-a596b414182e" ] } ], "mendeley" : { "formattedCitation" : "(Diver et al. 1992)", "manualFormatting" : "Diver et al (1992)", "plainTextFormattedCitation" : "(Diver et al. 1992)", "previouslyFormattedCitation" : "(Diver et al. 1992)" }, "properties" : { "noteIndex" : 0 }, "schema" : "https://github.com/citation-style-language/schema/raw/master/csl-citation.json" }</w:instrText>
      </w:r>
      <w:r w:rsidRPr="00935EC8">
        <w:fldChar w:fldCharType="separate"/>
      </w:r>
      <w:r w:rsidRPr="00935EC8">
        <w:rPr>
          <w:noProof/>
        </w:rPr>
        <w:t>Diver et al (1992)</w:t>
      </w:r>
      <w:r w:rsidRPr="00935EC8">
        <w:fldChar w:fldCharType="end"/>
      </w:r>
      <w:r w:rsidRPr="00935EC8">
        <w:t xml:space="preserve"> developed an indirect solar receiver-reactor which featured an integrated sodium reflux heat pipe. This solar receiver-reactor consisted of Inconel tubes (reactor), surrounded by sodium (heat transfer fluid) inside an Inconel box (solar receiver) which was maintained at negative pressure. Also, there was a steel mesh between the outside surface of the pipes and the inside surface of the box which functioned as a wick. All sides of the box was surrounded with at least 15</w:t>
      </w:r>
      <w:r>
        <w:t xml:space="preserve"> </w:t>
      </w:r>
      <w:r w:rsidRPr="00935EC8">
        <w:t>cm of insulation, except the front surface which, to receive the solar radiation at a section of the insulation cut out to form a cavity in which the solar radiation entered through a 15</w:t>
      </w:r>
      <w:r>
        <w:t xml:space="preserve"> </w:t>
      </w:r>
      <w:r w:rsidRPr="00935EC8">
        <w:t>cm diameter aperture. The solar radiation heated this outside surface of the box, which conducted heat through to the sodium inside, causing it to vaporise and then condense on the outside surface reactor pipes, transferring heat across the pipes’ walls, by conduction, for the thermo-chemical reaction (CO</w:t>
      </w:r>
      <w:r w:rsidRPr="00935EC8">
        <w:rPr>
          <w:vertAlign w:val="subscript"/>
        </w:rPr>
        <w:t>2</w:t>
      </w:r>
      <w:r w:rsidRPr="00935EC8">
        <w:t xml:space="preserve"> reforming of methane) occurring inside the pipes. Then, the sodium condensed on the outside surface of the pipes and flowed down under gravity and through the steel mesh wick, to receive more heat from the solar receiver again. Initially, an electrically powered heater was used to melt the sodium. A series of experiments, testing this receiver-reactor was conducted with a solar concentrator, delivering up to 15</w:t>
      </w:r>
      <w:r w:rsidR="00945C75">
        <w:t xml:space="preserve"> </w:t>
      </w:r>
      <w:r w:rsidRPr="00935EC8">
        <w:t>kW at a peak concentration of 10,000 suns with a solar insolation of 800</w:t>
      </w:r>
      <w:r w:rsidR="00945C75">
        <w:t xml:space="preserve"> </w:t>
      </w:r>
      <w:r w:rsidRPr="00935EC8">
        <w:t>W/m</w:t>
      </w:r>
      <w:r w:rsidRPr="00935EC8">
        <w:rPr>
          <w:vertAlign w:val="superscript"/>
        </w:rPr>
        <w:t>2</w:t>
      </w:r>
      <w:r w:rsidRPr="00935EC8">
        <w:t xml:space="preserve">, demonstrating 38.8-69.1% conversion of methane at a methane flow rate of 530-2500 </w:t>
      </w:r>
      <w:r w:rsidR="00945C75">
        <w:t>L</w:t>
      </w:r>
      <w:r w:rsidRPr="00935EC8">
        <w:t>/h, with reactor walls at 780-825</w:t>
      </w:r>
      <w:r w:rsidRPr="00935EC8">
        <w:rPr>
          <w:vertAlign w:val="superscript"/>
        </w:rPr>
        <w:t>o</w:t>
      </w:r>
      <w:r w:rsidRPr="00935EC8">
        <w:t>C and 2-5.5 atm. The total heat input and output w</w:t>
      </w:r>
      <w:r>
        <w:t>ere</w:t>
      </w:r>
      <w:r w:rsidRPr="00935EC8">
        <w:t xml:space="preserve"> not provided therefore it was not possible to provide a measure of thermal efficiency. This receiver-reactor was reported to operate satisfactorily for 3-4 weeks but then a hole developed in the surface which was exposed to maximum solar radiation, which caused release of the gases contained under pressure, thus forcing operation to abort. It was suggested that this failure was due to starvation of the sodium heat transfer fluid at this critical location.</w:t>
      </w:r>
    </w:p>
    <w:p w14:paraId="558EA536" w14:textId="77777777" w:rsidR="00EF1DD3" w:rsidRPr="00935EC8" w:rsidRDefault="00EF1DD3" w:rsidP="00EF1DD3">
      <w:r w:rsidRPr="00935EC8">
        <w:fldChar w:fldCharType="begin" w:fldLock="1"/>
      </w:r>
      <w:r>
        <w:instrText>ADDIN CSL_CITATION { "citationItems" : [ { "id" : "ITEM-1", "itemData" : { "DOI" : "10.1016/0165-1633(91)90097-5", "ISSN" : "01651633", "author" : [ { "dropping-particle" : "", "family" : "Anikeev", "given" : "Vladimir I.", "non-dropping-particle" : "", "parse-names" : false, "suffix" : "" }, { "dropping-particle" : "", "family" : "Kirillov", "given" : "Valery a.", "non-dropping-particle" : "", "parse-names" : false, "suffix" : "" } ], "container-title" : "Solar Energy Materials", "id" : "ITEM-1", "issue" : "1-4", "issued" : { "date-parts" : [ [ "1991", "12" ] ] }, "page" : "633-646", "title" : "Basic design principles and some methods of investigation of catalytic reactors-receivers of solar radiation", "type" : "article-journal", "volume" : "24" }, "uris" : [ "http://www.mendeley.com/documents/?uuid=29c01b9d-6fbd-4a61-a983-cf69e1065f9b" ] } ], "mendeley" : { "formattedCitation" : "(Anikeev &amp; Kirillov 1991)", "manualFormatting" : "Anikeev &amp; Kirillov (1991)", "plainTextFormattedCitation" : "(Anikeev &amp; Kirillov 1991)", "previouslyFormattedCitation" : "(Anikeev &amp; Kirillov 1991)" }, "properties" : { "noteIndex" : 0 }, "schema" : "https://github.com/citation-style-language/schema/raw/master/csl-citation.json" }</w:instrText>
      </w:r>
      <w:r w:rsidRPr="00935EC8">
        <w:fldChar w:fldCharType="separate"/>
      </w:r>
      <w:r w:rsidRPr="00935EC8">
        <w:rPr>
          <w:noProof/>
        </w:rPr>
        <w:t>Anikeev &amp; Kirillov (1991)</w:t>
      </w:r>
      <w:r w:rsidRPr="00935EC8">
        <w:fldChar w:fldCharType="end"/>
      </w:r>
      <w:r w:rsidRPr="00935EC8">
        <w:t xml:space="preserve"> developed a range of indirect solar receiver-reactors which involved various configurations of tubes containing embedded catalysts and gaseous reactant flows, which were in turn contained inside the insulated cavity with the a beam inlet aperture. In one version, the pipes were made of a transparent quartz so the concentrated solar radiation </w:t>
      </w:r>
      <w:r w:rsidRPr="00935EC8">
        <w:lastRenderedPageBreak/>
        <w:t>transmitted through the tubes and heated the catalyst structure inside the tube which in turn heated the reactant flow. It was claimed that one such solar catalytic reactor operated steam reforming of methane at efficien</w:t>
      </w:r>
      <w:r>
        <w:t>cy</w:t>
      </w:r>
      <w:r w:rsidRPr="00935EC8">
        <w:t xml:space="preserve"> of 50% </w:t>
      </w:r>
      <w:r>
        <w:t>and a power density</w:t>
      </w:r>
      <w:r w:rsidRPr="00935EC8">
        <w:t xml:space="preserve"> of 6.2</w:t>
      </w:r>
      <w:r>
        <w:t xml:space="preserve"> </w:t>
      </w:r>
      <w:r w:rsidRPr="00935EC8">
        <w:t>MW/m</w:t>
      </w:r>
      <w:r w:rsidRPr="00935EC8">
        <w:rPr>
          <w:vertAlign w:val="superscript"/>
        </w:rPr>
        <w:t>3</w:t>
      </w:r>
      <w:r w:rsidRPr="00935EC8">
        <w:t xml:space="preserve"> but these values should be taken with caution as no information about the method used to obtain these results was</w:t>
      </w:r>
      <w:r>
        <w:t xml:space="preserve"> not</w:t>
      </w:r>
      <w:r w:rsidRPr="00935EC8">
        <w:t xml:space="preserve"> provided. Furthermore, no information was provided about the solar beam intensity, power input, and chemical conversion, operating temperatures or reactant flow rates.</w:t>
      </w:r>
    </w:p>
    <w:p w14:paraId="5C64EB99" w14:textId="7995F1DD" w:rsidR="00EF1DD3" w:rsidRPr="005E2856" w:rsidRDefault="00142851" w:rsidP="00EF1DD3">
      <w:pPr>
        <w:pStyle w:val="Heading2"/>
        <w:keepLines/>
        <w:numPr>
          <w:ilvl w:val="1"/>
          <w:numId w:val="2"/>
        </w:numPr>
        <w:spacing w:before="120" w:after="120"/>
        <w:ind w:left="788" w:hanging="431"/>
      </w:pPr>
      <w:bookmarkStart w:id="19" w:name="_Toc473995148"/>
      <w:r>
        <w:t>The</w:t>
      </w:r>
      <w:r w:rsidR="00EF1DD3">
        <w:t xml:space="preserve"> glass making processes</w:t>
      </w:r>
      <w:bookmarkEnd w:id="19"/>
    </w:p>
    <w:p w14:paraId="26AF2466" w14:textId="617AD71B" w:rsidR="00EF1DD3" w:rsidRPr="00402D45" w:rsidRDefault="00EF1DD3" w:rsidP="00EF1DD3">
      <w:pPr>
        <w:rPr>
          <w:lang w:val="en-US"/>
        </w:rPr>
      </w:pPr>
      <w:r>
        <w:rPr>
          <w:lang w:val="en-US"/>
        </w:rPr>
        <w:t>The aim of a glass making process is to produce a glass of the required quality as efficiently as possible. The quality of glass required, which depends on the product, is limited by the dissolution of residual sand grains into the melt; removal of bubbles from the melt; and mixing of the melt to produce a homogeneous glass forming melt. The importance of these quality criteria depends on the product e.g. for continuous production of glass fibers,  bubbles in the melt are particularly problematic because the</w:t>
      </w:r>
      <w:r w:rsidRPr="00494311">
        <w:t xml:space="preserve"> fibres</w:t>
      </w:r>
      <w:r>
        <w:rPr>
          <w:lang w:val="en-US"/>
        </w:rPr>
        <w:t xml:space="preserve"> are produced by continuously winding very fine streams (</w:t>
      </w:r>
      <w:r w:rsidRPr="005F3167">
        <w:rPr>
          <w:i/>
          <w:lang w:val="en-US"/>
        </w:rPr>
        <w:t>filaments</w:t>
      </w:r>
      <w:r>
        <w:rPr>
          <w:lang w:val="en-US"/>
        </w:rPr>
        <w:t>) of the glass forming melt so bubbles therein would cause the stream to break randomly, disrupting the automatic winding process. Also, the</w:t>
      </w:r>
      <w:r w:rsidRPr="00494311">
        <w:t xml:space="preserve"> fibres</w:t>
      </w:r>
      <w:r>
        <w:rPr>
          <w:lang w:val="en-US"/>
        </w:rPr>
        <w:t xml:space="preserve"> must be eventually made to a specified range of lengths in order to provide a known tensile strength when made into a composite material. Generally adhering to these quality criteria are important to avoid disruption the process and undermining the function of the product. The efficiency of the glass making process is limited by the heat required to hold the glass tank at temperature for long enough for all the glass contained to satisfy these quality criteria. The majority of literature related to the glass making process is devoted to large scale, continuous production in industrial tank furnaces wherein all the essential process steps take place in one tank </w:t>
      </w:r>
      <w:r>
        <w:rPr>
          <w:lang w:val="en-US"/>
        </w:rPr>
        <w:fldChar w:fldCharType="begin" w:fldLock="1"/>
      </w:r>
      <w:r>
        <w:rPr>
          <w:lang w:val="en-US"/>
        </w:rPr>
        <w:instrText>ADDIN CSL_CITATION { "citationItems" : [ { "id" : "ITEM-1", "itemData" : { "ISBN" : "3-540-43204-3", "author" : [ { "dropping-particle" : "", "family" : "Beerkens", "given" : "Ruud G.C.", "non-dropping-particle" : "", "parse-names" : false, "suffix" : "" } ], "chapter-number" : "2", "container-title" : "Mathematical Simulation in Glass Technology", "editor" : [ { "dropping-particle" : "", "family" : "Loch", "given" : "H.", "non-dropping-particle" : "", "parse-names" : false, "suffix" : "" }, { "dropping-particle" : "", "family" : "Kraus", "given" : "D.", "non-dropping-particle" : "", "parse-names" : false, "suffix" : "" } ], "id" : "ITEM-1", "issued" : { "date-parts" : [ [ "2002" ] ] }, "publisher" : "Springer-Verlag", "publisher-place" : "Berlin", "title" : "Melting and Fining", "type" : "chapter" }, "uris" : [ "http://www.mendeley.com/documents/?uuid=157ee4af-c40c-428f-b32b-a380b902af51", "http://www.mendeley.com/documents/?uuid=4e4d6b26-d729-457e-97b9-0a1989d07415" ] } ], "mendeley" : { "formattedCitation" : "(Beerkens 2002)", "plainTextFormattedCitation" : "(Beerkens 2002)", "previouslyFormattedCitation" : "(Beerkens 2002)" }, "properties" : { "noteIndex" : 0 }, "schema" : "https://github.com/citation-style-language/schema/raw/master/csl-citation.json" }</w:instrText>
      </w:r>
      <w:r>
        <w:rPr>
          <w:lang w:val="en-US"/>
        </w:rPr>
        <w:fldChar w:fldCharType="separate"/>
      </w:r>
      <w:r w:rsidRPr="004B3189">
        <w:rPr>
          <w:noProof/>
          <w:lang w:val="en-US"/>
        </w:rPr>
        <w:t>(Beerkens 2002)</w:t>
      </w:r>
      <w:r>
        <w:rPr>
          <w:lang w:val="en-US"/>
        </w:rPr>
        <w:fldChar w:fldCharType="end"/>
      </w:r>
      <w:r>
        <w:rPr>
          <w:lang w:val="en-US"/>
        </w:rPr>
        <w:t>. T</w:t>
      </w:r>
      <w:r>
        <w:t>he glass melt tank can be considered a chemical reactor in which the following processes take place:</w:t>
      </w:r>
    </w:p>
    <w:p w14:paraId="28143266" w14:textId="3AFEBECE" w:rsidR="00EF1DD3" w:rsidRPr="00DC455A" w:rsidRDefault="00EF1DD3" w:rsidP="00C2720A">
      <w:pPr>
        <w:pStyle w:val="ListParagraph"/>
        <w:numPr>
          <w:ilvl w:val="0"/>
          <w:numId w:val="8"/>
        </w:numPr>
        <w:spacing w:before="120" w:after="120"/>
        <w15:collapsed/>
      </w:pPr>
      <w:r>
        <w:t>Melting: Main chemical reactions in and around the batch blanket as the bulk of raw materials dissolve into the melt. Residual sand grains will initially remain in the melt but must eventually be completely dissolved;</w:t>
      </w:r>
    </w:p>
    <w:p w14:paraId="29DE48A0" w14:textId="59EAB96E" w:rsidR="00EF1DD3" w:rsidRPr="00E938C5" w:rsidRDefault="00EF1DD3" w:rsidP="00C2720A">
      <w:pPr>
        <w:pStyle w:val="ListParagraph"/>
        <w:numPr>
          <w:ilvl w:val="0"/>
          <w:numId w:val="8"/>
        </w:numPr>
        <w:spacing w:before="120" w:after="120"/>
        <w15:collapsed/>
        <w:rPr>
          <w:lang w:val="en-US"/>
        </w:rPr>
      </w:pPr>
      <w:r w:rsidRPr="001E21D6">
        <w:t>Fining</w:t>
      </w:r>
      <w:r>
        <w:t>: Gases (mostly CO</w:t>
      </w:r>
      <w:r>
        <w:rPr>
          <w:vertAlign w:val="subscript"/>
        </w:rPr>
        <w:t>2</w:t>
      </w:r>
      <w:r>
        <w:t>) produced from the batch reactions form bubbles in the melt which is still very viscous so require time to gradually evolve. Also, during the fining process polyvalent ions in the melt are converted into a lower redox state. This requires high temperatures and almost no mixing to avoid the dispersion of ascending bubbles throughout the whole melt.</w:t>
      </w:r>
    </w:p>
    <w:p w14:paraId="01629DCB" w14:textId="7BAD706E" w:rsidR="00EF1DD3" w:rsidRDefault="00EF1DD3" w:rsidP="00EF1DD3">
      <w:r>
        <w:t xml:space="preserve">The use of concentrated solar radiation as an alternative heat source to combustion of fossil fuels primarily affects the heat transfer through the batch and glass forming melt, while all other aspect the glass forming process would essentially be the same as already described for the conventional glass furnace. Therefore, in the following section a brief general overview of the </w:t>
      </w:r>
      <w:r>
        <w:lastRenderedPageBreak/>
        <w:t>heat transfer in glass forming melts is provided and then in section 2.6.2 specific issues related to solar radiation in glass is addressed.</w:t>
      </w:r>
    </w:p>
    <w:p w14:paraId="3F4C290C" w14:textId="77777777" w:rsidR="00EF1DD3" w:rsidRDefault="00EF1DD3" w:rsidP="00EF1DD3">
      <w:pPr>
        <w:pStyle w:val="Heading3"/>
      </w:pPr>
      <w:r>
        <w:tab/>
      </w:r>
      <w:bookmarkStart w:id="20" w:name="_Ref449175366"/>
      <w:r>
        <w:t>Heat transfer in glass forming melts</w:t>
      </w:r>
      <w:bookmarkEnd w:id="20"/>
    </w:p>
    <w:p w14:paraId="67CF82F5" w14:textId="6840A734" w:rsidR="00EF1DD3" w:rsidRPr="00A67A7D" w:rsidRDefault="00EF1DD3" w:rsidP="00EF1DD3">
      <w:pPr>
        <w:rPr>
          <w:lang w:val="en-US"/>
        </w:rPr>
      </w:pPr>
      <w:r>
        <w:rPr>
          <w:i/>
          <w:lang w:val="en-US"/>
        </w:rPr>
        <w:t>‘</w:t>
      </w:r>
      <w:r w:rsidRPr="00D87260">
        <w:rPr>
          <w:i/>
          <w:lang w:val="en-US"/>
        </w:rPr>
        <w:t>Glass production requires heat transfer for the fusion of the raw materials and to obtain a low viscosity melt. The heat transfer process to the melt, in fossil-fuel-fired furnaces, is dominated by the radiation from the combustion chamber to the batch blanket and to the glass melt surface. Another possible source of energy is an electrode system immersed in the melt. In large scale industrial melts, temperature differences will cause density gradients, driving free convection flows in the melt tank which is important for mixing and heat transport, particularly for melts with low heat transmission</w:t>
      </w:r>
      <w:r>
        <w:rPr>
          <w:i/>
          <w:lang w:val="en-US"/>
        </w:rPr>
        <w:t>’</w:t>
      </w:r>
      <w:r>
        <w:rPr>
          <w:lang w:val="en-US"/>
        </w:rPr>
        <w:t xml:space="preserve"> </w:t>
      </w:r>
      <w:r>
        <w:rPr>
          <w:lang w:val="en-US"/>
        </w:rPr>
        <w:fldChar w:fldCharType="begin" w:fldLock="1"/>
      </w:r>
      <w:r>
        <w:rPr>
          <w:lang w:val="en-US"/>
        </w:rPr>
        <w:instrText>ADDIN CSL_CITATION { "citationItems" : [ { "id" : "ITEM-1", "itemData" : { "ISBN" : "3-540-43204-3", "author" : [ { "dropping-particle" : "", "family" : "Beerkens", "given" : "Ruud G.C.", "non-dropping-particle" : "", "parse-names" : false, "suffix" : "" } ], "chapter-number" : "2", "container-title" : "Mathematical Simulation in Glass Technology", "editor" : [ { "dropping-particle" : "", "family" : "Loch", "given" : "H.", "non-dropping-particle" : "", "parse-names" : false, "suffix" : "" }, { "dropping-particle" : "", "family" : "Kraus", "given" : "D.", "non-dropping-particle" : "", "parse-names" : false, "suffix" : "" } ], "id" : "ITEM-1", "issued" : { "date-parts" : [ [ "2002" ] ] }, "publisher" : "Springer-Verlag", "publisher-place" : "Berlin", "title" : "Melting and Fining", "type" : "chapter" }, "uris" : [ "http://www.mendeley.com/documents/?uuid=4e4d6b26-d729-457e-97b9-0a1989d07415", "http://www.mendeley.com/documents/?uuid=157ee4af-c40c-428f-b32b-a380b902af51" ] } ], "mendeley" : { "formattedCitation" : "(Beerkens 2002)", "plainTextFormattedCitation" : "(Beerkens 2002)", "previouslyFormattedCitation" : "(Beerkens 2002)" }, "properties" : { "noteIndex" : 0 }, "schema" : "https://github.com/citation-style-language/schema/raw/master/csl-citation.json" }</w:instrText>
      </w:r>
      <w:r>
        <w:rPr>
          <w:lang w:val="en-US"/>
        </w:rPr>
        <w:fldChar w:fldCharType="separate"/>
      </w:r>
      <w:r w:rsidRPr="004B3189">
        <w:rPr>
          <w:noProof/>
          <w:lang w:val="en-US"/>
        </w:rPr>
        <w:t>(Beerkens 2002)</w:t>
      </w:r>
      <w:r>
        <w:rPr>
          <w:lang w:val="en-US"/>
        </w:rPr>
        <w:fldChar w:fldCharType="end"/>
      </w:r>
      <w:r>
        <w:rPr>
          <w:lang w:val="en-US"/>
        </w:rPr>
        <w:t xml:space="preserve">. However, in some smaller scale, intermittently operated furnaces, the temperature gradients within the melt are not sufficient to produce significant convective streams inside the tank so conduction is a more dominant heat transfer mode than convection </w:t>
      </w:r>
      <w:r>
        <w:rPr>
          <w:lang w:val="en-US"/>
        </w:rPr>
        <w:fldChar w:fldCharType="begin" w:fldLock="1"/>
      </w:r>
      <w:r>
        <w:rPr>
          <w:lang w:val="en-US"/>
        </w:rPr>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"plainTextFormattedCitation" : "(D\u00edaz-Ibarra et al. 2013)", "previouslyFormattedCitation" : "(D\u00edaz-Ibarra et al. 2013)" }, "properties" : { "noteIndex" : 0 }, "schema" : "https://github.com/citation-style-language/schema/raw/master/csl-citation.json" }</w:instrText>
      </w:r>
      <w:r>
        <w:rPr>
          <w:lang w:val="en-US"/>
        </w:rPr>
        <w:fldChar w:fldCharType="separate"/>
      </w:r>
      <w:r w:rsidRPr="004B3189">
        <w:rPr>
          <w:noProof/>
          <w:lang w:val="en-US"/>
        </w:rPr>
        <w:t>(Díaz-Ibarra et al. 2013)</w:t>
      </w:r>
      <w:r>
        <w:rPr>
          <w:lang w:val="en-US"/>
        </w:rPr>
        <w:fldChar w:fldCharType="end"/>
      </w:r>
      <w:r>
        <w:rPr>
          <w:lang w:val="en-US"/>
        </w:rPr>
        <w:t xml:space="preserve">. </w:t>
      </w:r>
      <w:r w:rsidRPr="009A2A68">
        <w:t xml:space="preserve">The glass melt in the tank absorbs and emits radiation, depending on the respective temperature and extinction coefficient (wavelength dependent). </w:t>
      </w:r>
    </w:p>
    <w:p w14:paraId="1EDFCEE4" w14:textId="208478D1" w:rsidR="00EF1DD3" w:rsidRDefault="00EF1DD3" w:rsidP="00EF1DD3">
      <w:pPr>
        <w:pStyle w:val="Heading2"/>
        <w:keepLines/>
        <w:numPr>
          <w:ilvl w:val="1"/>
          <w:numId w:val="2"/>
        </w:numPr>
        <w:spacing w:before="120" w:after="120"/>
        <w:ind w:left="788" w:hanging="431"/>
      </w:pPr>
      <w:bookmarkStart w:id="21" w:name="_Ref451200491"/>
      <w:bookmarkStart w:id="22" w:name="_Toc473995149"/>
      <w:r>
        <w:t>Experiments related to solar glass melting</w:t>
      </w:r>
      <w:bookmarkEnd w:id="21"/>
      <w:bookmarkEnd w:id="22"/>
    </w:p>
    <w:p w14:paraId="1E4E9E91" w14:textId="22F90DEF" w:rsidR="00EF1DD3" w:rsidRDefault="00EF1DD3" w:rsidP="00F52EC2">
      <w:r>
        <w:t xml:space="preserve">Although no previous researchers have specifically investigated the use of concentrated solar radiation for glass production, some of the related issues have been investigated by previous researchers. </w:t>
      </w:r>
      <w:r>
        <w:fldChar w:fldCharType="begin" w:fldLock="1"/>
      </w:r>
      <w:r>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"manualFormatting" : "Trombe (1954)", "plainTextFormattedCitation" : "(Trombe 1954)", "previouslyFormattedCitation" : "(Trombe 1954)" }, "properties" : { "noteIndex" : 0 }, "schema" : "https://github.com/citation-style-language/schema/raw/master/csl-citation.json" }</w:instrText>
      </w:r>
      <w:r>
        <w:fldChar w:fldCharType="separate"/>
      </w:r>
      <w:r>
        <w:rPr>
          <w:noProof/>
        </w:rPr>
        <w:t>Trombe</w:t>
      </w:r>
      <w:r w:rsidRPr="00811D5C">
        <w:rPr>
          <w:noProof/>
        </w:rPr>
        <w:t xml:space="preserve"> </w:t>
      </w:r>
      <w:r>
        <w:rPr>
          <w:noProof/>
        </w:rPr>
        <w:t>(</w:t>
      </w:r>
      <w:r w:rsidRPr="00811D5C">
        <w:rPr>
          <w:noProof/>
        </w:rPr>
        <w:t>1954)</w:t>
      </w:r>
      <w:r>
        <w:fldChar w:fldCharType="end"/>
      </w:r>
      <w:r>
        <w:t xml:space="preserve"> used a solar rotary kiln for melting various refractory oxides including silica sand. The aim of this research was not to produce glass but to demonstrate the high temperature melting capabilities of concentrated solar radiation. No attempt was made to either produce a homogenous melt or form glasses. </w:t>
      </w:r>
      <w:r>
        <w:fldChar w:fldCharType="begin" w:fldLock="1"/>
      </w:r>
      <w:r>
        <w:instrText>ADDIN CSL_CITATION { "citationItems" : [ { "id" : "ITEM-1", "itemData" : { "DOI" : "10.1088/1468-6996/9/2/025013", "ISSN" : "1468-6996", "author" : [ { "dropping-particle" : "", "family" : "Yao", "given" : "Yaochun", "non-dropping-particle" : "", "parse-names" : false, "suffix" : "" }, { "dropping-particle" : "", "family" : "Watanabe", "given" : "Takayuki", "non-dropping-particle" : "", "parse-names" : false, "suffix" : "" }, { "dropping-particle" : "", "family" : "Yano", "given" : "Tetsuji", "non-dropping-particle" : "", "parse-names" : false, "suffix" : "" }, { "dropping-particle" : "", "family" : "Iseda", "given" : "Toru", "non-dropping-particle" : "", "parse-names" : false, "suffix" : "" }, { "dropping-particle" : "", "family" : "Sakamoto", "given" : "Osamu", "non-dropping-particle" : "", "parse-names" : false, "suffix" : "" }, { "dropping-particle" : "", "family" : "Iwamoto", "given" : "Masanori", "non-dropping-particle" : "", "parse-names" : false, "suffix" : "" }, { "dropping-particle" : "", "family" : "Inoue", "given" : "Satoru", "non-dropping-particle" : "", "parse-names" : false, "suffix" : "" } ], "container-title" : "Science and Technology of Advanced Materials", "id" : "ITEM-1", "issue" : "2", "issued" : { "date-parts" : [ [ "2008", "4", "1" ] ] }, "page" : "025013", "title" : "An innovative energy-saving in-flight melting technology and its application to glass production", "type" : "article-journal", "volume" : "9" }, "uris" : [ "http://www.mendeley.com/documents/?uuid=f99be823-2c8d-42d6-a942-fe544333c092" ] } ], "mendeley" : { "formattedCitation" : "(Yao et al. 2008)", "manualFormatting" : "Yao et al (2008)", "plainTextFormattedCitation" : "(Yao et al. 2008)", "previouslyFormattedCitation" : "(Yao et al. 2008)" }, "properties" : { "noteIndex" : 0 }, "schema" : "https://github.com/citation-style-language/schema/raw/master/csl-citation.json" }</w:instrText>
      </w:r>
      <w:r>
        <w:fldChar w:fldCharType="separate"/>
      </w:r>
      <w:r>
        <w:rPr>
          <w:noProof/>
        </w:rPr>
        <w:t>Yao et al</w:t>
      </w:r>
      <w:r w:rsidRPr="00811D5C">
        <w:rPr>
          <w:noProof/>
        </w:rPr>
        <w:t xml:space="preserve"> </w:t>
      </w:r>
      <w:r>
        <w:rPr>
          <w:noProof/>
        </w:rPr>
        <w:t>(</w:t>
      </w:r>
      <w:r w:rsidRPr="00811D5C">
        <w:rPr>
          <w:noProof/>
        </w:rPr>
        <w:t>2008)</w:t>
      </w:r>
      <w:r>
        <w:fldChar w:fldCharType="end"/>
      </w:r>
      <w:r>
        <w:t xml:space="preserve"> developed an </w:t>
      </w:r>
      <w:r w:rsidRPr="002D02DB">
        <w:rPr>
          <w:i/>
        </w:rPr>
        <w:t>in-flight</w:t>
      </w:r>
      <w:r>
        <w:t xml:space="preserve"> method for melting glass forming batches using concentrated heat sources. It essentially involved rapidly heating a falling stream of glass forming batch particles. Although concentrated solar radiation was not used, other sources of intense radiant heating such as plasma torches were utilised. Also, the aim of this method was enable rapid glass melting which is particularly important for solar glass melting due to the time limitations associated with daily solar radiation availability.</w:t>
      </w:r>
      <w:r w:rsidR="0062768C">
        <w:t xml:space="preserve"> </w:t>
      </w:r>
      <w:r>
        <w:t xml:space="preserve">A 3D printer using a concentrated solar beam instead of a conventional laser to sinter sand grains together layer by layer to form 3D objects has been demonstrated </w:t>
      </w:r>
      <w:r>
        <w:fldChar w:fldCharType="begin" w:fldLock="1"/>
      </w:r>
      <w:r>
        <w:instrText>ADDIN CSL_CITATION { "citationItems" : [ { "id" : "ITEM-1", "itemData" : { "DOI" : "10.1109/IT-DREPS.2013.6588149", "author" : [ { "dropping-particle" : "", "family" : "Al-Dabbas", "given" : "M.A", "non-dropping-particle" : "", "parse-names" : false, "suffix" : "" } ], "container-title" : "Applications of Information Technology to Renewable Energy Processes and Systems (IT-DREPS)", "id" : "ITEM-1", "issued" : { "date-parts" : [ [ "2013" ] ] }, "page" : "49 - 54", "publisher" : "IEEE", "publisher-place" : "Amman", "title" : "Solar sintering of Jordanian silica sand", "type" : "paper-conference" }, "uris" : [ "http://www.mendeley.com/documents/?uuid=a08de142-ed60-4245-8711-129c29b0c2cf" ] } ], "mendeley" : { "formattedCitation" : "(Al-Dabbas 2013)", "plainTextFormattedCitation" : "(Al-Dabbas 2013)", "previouslyFormattedCitation" : "(Al-Dabbas 2013)" }, "properties" : { "noteIndex" : 0 }, "schema" : "https://github.com/citation-style-language/schema/raw/master/csl-citation.json" }</w:instrText>
      </w:r>
      <w:r>
        <w:fldChar w:fldCharType="separate"/>
      </w:r>
      <w:r w:rsidRPr="009509BA">
        <w:rPr>
          <w:noProof/>
        </w:rPr>
        <w:t>(Al-Dabbas 2013)</w:t>
      </w:r>
      <w:r>
        <w:fldChar w:fldCharType="end"/>
      </w:r>
      <w:r>
        <w:t>. However, this has been limited to purely artistic applications because in order to produce useful glass articles a complete melt pool must be sustained to produce a homogenous glass.</w:t>
      </w:r>
    </w:p>
    <w:p w14:paraId="4925DCC5" w14:textId="5623C174" w:rsidR="00EF1DD3" w:rsidRPr="002D02DB" w:rsidRDefault="00EF1DD3" w:rsidP="00EF1DD3">
      <w:pPr>
        <w:pStyle w:val="Heading2"/>
        <w:keepLines/>
        <w:numPr>
          <w:ilvl w:val="1"/>
          <w:numId w:val="2"/>
        </w:numPr>
        <w:spacing w:before="120" w:after="120"/>
        <w:ind w:left="788" w:hanging="431"/>
      </w:pPr>
      <w:bookmarkStart w:id="23" w:name="_Ref451200512"/>
      <w:bookmarkStart w:id="24" w:name="_Toc473995150"/>
      <w:bookmarkStart w:id="25" w:name="_Ref434666374"/>
      <w:r>
        <w:lastRenderedPageBreak/>
        <w:t>Challenges for solar</w:t>
      </w:r>
      <w:r w:rsidR="0062768C">
        <w:t xml:space="preserve"> heated</w:t>
      </w:r>
      <w:r>
        <w:t xml:space="preserve"> glass melting</w:t>
      </w:r>
      <w:bookmarkEnd w:id="23"/>
      <w:bookmarkEnd w:id="24"/>
    </w:p>
    <w:p w14:paraId="4C933EF8" w14:textId="77777777" w:rsidR="00EF1DD3" w:rsidRPr="00A3080C" w:rsidRDefault="00EF1DD3" w:rsidP="00EF1DD3">
      <w:pPr>
        <w:pStyle w:val="Heading3"/>
      </w:pPr>
      <w:r>
        <w:t xml:space="preserve">Heat distribution supply-demand mismatch </w:t>
      </w:r>
    </w:p>
    <w:p w14:paraId="47E37BEC" w14:textId="77777777" w:rsidR="00EF1DD3" w:rsidRDefault="00EF1DD3" w:rsidP="00EF1DD3">
      <w:r>
        <w:t>C</w:t>
      </w:r>
      <w:r w:rsidRPr="002D02DB">
        <w:t>onventional glass furnace</w:t>
      </w:r>
      <w:r>
        <w:t>s</w:t>
      </w:r>
      <w:r w:rsidRPr="002D02DB">
        <w:t xml:space="preserve"> use large flames which provide heat over a substantial area </w:t>
      </w:r>
      <w:r>
        <w:t xml:space="preserve">of </w:t>
      </w:r>
      <w:r w:rsidRPr="002D02DB">
        <w:t xml:space="preserve">the melt by radiation </w:t>
      </w:r>
      <w:r>
        <w:t>and convection and is carefully controlled to generate a consistent flow of glass forming melt as required for producing useful glass articles.</w:t>
      </w:r>
      <w:r w:rsidRPr="002D02DB">
        <w:t xml:space="preserve"> However, concentrated solar radiation generally provides more focussed h</w:t>
      </w:r>
      <w:r>
        <w:t>eating over a much smaller area and the intensity of the heat available is naturally variable.</w:t>
      </w:r>
      <w:r w:rsidRPr="002D02DB">
        <w:t xml:space="preserve"> This raises issues regarding the feasibility of producing </w:t>
      </w:r>
      <w:r>
        <w:t>the controlled</w:t>
      </w:r>
      <w:r w:rsidRPr="002D02DB">
        <w:t xml:space="preserve"> flows of homogeneous </w:t>
      </w:r>
      <w:r>
        <w:t>glass forming melts</w:t>
      </w:r>
      <w:r w:rsidRPr="002D02DB">
        <w:t xml:space="preserve"> as would be required for any useful manufacturing processes.</w:t>
      </w:r>
    </w:p>
    <w:p w14:paraId="7D15DFAD" w14:textId="77777777" w:rsidR="00EF1DD3" w:rsidRDefault="00EF1DD3" w:rsidP="00EF1DD3">
      <w:r>
        <w:t>Also, the natural variability of the heat available from solar radiation is potentially problematic for glass furnaces because it could cause damage to the refractories due to thermal shock or expansion mismatch between the refractories and glass contained.</w:t>
      </w:r>
    </w:p>
    <w:p w14:paraId="4B32F2F9" w14:textId="77777777" w:rsidR="00EF1DD3" w:rsidRDefault="00EF1DD3" w:rsidP="00EF1DD3">
      <w:pPr>
        <w:pStyle w:val="Heading3"/>
      </w:pPr>
      <w:r>
        <w:t>Transparency of glass to solar radiation</w:t>
      </w:r>
    </w:p>
    <w:p w14:paraId="7CA00F7F" w14:textId="4273C74A" w:rsidR="00EF1DD3" w:rsidRPr="00812D3C" w:rsidRDefault="00EF1DD3" w:rsidP="00EF1DD3">
      <w:pPr>
        <w:rPr>
          <w:lang w:val="en-US"/>
        </w:rPr>
      </w:pPr>
      <w:r>
        <w:rPr>
          <w:lang w:val="en-US"/>
        </w:rPr>
        <w:t>The problem of</w:t>
      </w:r>
      <w:r w:rsidRPr="00953CA9">
        <w:t xml:space="preserve"> analysing</w:t>
      </w:r>
      <w:r>
        <w:rPr>
          <w:lang w:val="en-US"/>
        </w:rPr>
        <w:t xml:space="preserve"> heat transfer through a radiation participating medium has already received considerable attention. For example, </w:t>
      </w:r>
      <w:r>
        <w:rPr>
          <w:lang w:val="en-US"/>
        </w:rPr>
        <w:fldChar w:fldCharType="begin" w:fldLock="1"/>
      </w:r>
      <w:r>
        <w:rPr>
          <w:lang w:val="en-US"/>
        </w:rPr>
        <w:instrText>ADDIN CSL_CITATION { "citationItems" : [ { "id" : "ITEM-1", "itemData" : { "ISBN" : "0-07-057316-6", "author" : [ { "dropping-particle" : "", "family" : "Siegel", "given" : "Robert.", "non-dropping-particle" : "", "parse-names" : false, "suffix" : "" }, { "dropping-particle" : "", "family" : "Howell", "given" : "John.R.", "non-dropping-particle" : "", "parse-names" : false, "suffix" : "" } ], "edition" : "2", "id" : "ITEM-1", "issued" : { "date-parts" : [ [ "1981" ] ] }, "publisher" : "Hemisphere Publishing Corporation", "title" : "Thermal Radition Heat Transfer", "type" : "book" }, "uris" : [ "http://www.mendeley.com/documents/?uuid=d41ff210-4caf-4d1b-855e-fd764f154f03", "http://www.mendeley.com/documents/?uuid=5a0bacc1-6968-4199-8636-18e1f9c81467" ] } ], "mendeley" : { "formattedCitation" : "(Siegel &amp; Howell 1981)", "manualFormatting" : "Siegel &amp; Howell (1981)", "plainTextFormattedCitation" : "(Siegel &amp; Howell 1981)", "previouslyFormattedCitation" : "(Siegel &amp; Howell 1981)" }, "properties" : { "noteIndex" : 0 }, "schema" : "https://github.com/citation-style-language/schema/raw/master/csl-citation.json" }</w:instrText>
      </w:r>
      <w:r>
        <w:rPr>
          <w:lang w:val="en-US"/>
        </w:rPr>
        <w:fldChar w:fldCharType="separate"/>
      </w:r>
      <w:r>
        <w:rPr>
          <w:noProof/>
          <w:lang w:val="en-US"/>
        </w:rPr>
        <w:t>Siegel &amp; Howell</w:t>
      </w:r>
      <w:r w:rsidRPr="00294172">
        <w:rPr>
          <w:noProof/>
          <w:lang w:val="en-US"/>
        </w:rPr>
        <w:t xml:space="preserve"> </w:t>
      </w:r>
      <w:r>
        <w:rPr>
          <w:noProof/>
          <w:lang w:val="en-US"/>
        </w:rPr>
        <w:t>(</w:t>
      </w:r>
      <w:r w:rsidRPr="00294172">
        <w:rPr>
          <w:noProof/>
          <w:lang w:val="en-US"/>
        </w:rPr>
        <w:t>1981)</w:t>
      </w:r>
      <w:r>
        <w:rPr>
          <w:lang w:val="en-US"/>
        </w:rPr>
        <w:fldChar w:fldCharType="end"/>
      </w:r>
      <w:r>
        <w:rPr>
          <w:lang w:val="en-US"/>
        </w:rPr>
        <w:t xml:space="preserve">, provided a general background on radiative heat transfer, including further discussions about solar radiation, concentrated radiation in enclosures and radiant heat transfer in semi-transparent media. Here, only the specific issue of the difference between the absorption of solar radiation in a glass forming melt is compared to that of radiation from fossil-fuel combustion. </w:t>
      </w:r>
      <w:r>
        <w:t>T</w:t>
      </w:r>
      <w:r w:rsidRPr="001C78CC">
        <w:t>he most commonly assumed regime in mathematical modelling of heat transfer phenomenon in glass melting furnaces</w:t>
      </w:r>
      <w:r>
        <w:t xml:space="preserve"> </w:t>
      </w:r>
      <w:r w:rsidRPr="001C78CC">
        <w:t>is the ‘optically thick limit’ (Ch</w:t>
      </w:r>
      <w:r w:rsidR="00DB1956">
        <w:t>o</w:t>
      </w:r>
      <w:r w:rsidRPr="001C78CC">
        <w:t>udhary 1985</w:t>
      </w:r>
      <w:r w:rsidR="0062768C">
        <w:t xml:space="preserve">; </w:t>
      </w:r>
      <w:r w:rsidRPr="001C78CC">
        <w:t>Ch</w:t>
      </w:r>
      <w:r w:rsidR="00DB1956">
        <w:t>o</w:t>
      </w:r>
      <w:r w:rsidRPr="001C78CC">
        <w:t>udhary &amp; Potter 2005).</w:t>
      </w:r>
      <w:r>
        <w:t xml:space="preserve"> </w:t>
      </w:r>
      <w:r w:rsidRPr="001C78CC">
        <w:t xml:space="preserve">This </w:t>
      </w:r>
      <w:r>
        <w:t>essentially</w:t>
      </w:r>
      <w:r w:rsidRPr="001C78CC">
        <w:t xml:space="preserve"> assumes that the </w:t>
      </w:r>
      <w:r>
        <w:t xml:space="preserve">direct </w:t>
      </w:r>
      <w:r w:rsidRPr="001C78CC">
        <w:t xml:space="preserve">radiation from the </w:t>
      </w:r>
      <w:r>
        <w:t>flame</w:t>
      </w:r>
      <w:r w:rsidRPr="001C78CC">
        <w:t xml:space="preserve"> is rapidly absorbed</w:t>
      </w:r>
      <w:r>
        <w:t xml:space="preserve"> near the surface of glass melt, leaving most of the remaining depth of glass to be heated by the melt above i.e. only by a diffusion process and direct transmission of the radiation through the melt can be ignored. This (known as the </w:t>
      </w:r>
      <w:r w:rsidRPr="00E60904">
        <w:rPr>
          <w:i/>
        </w:rPr>
        <w:t>Rosseland diffusion approximation</w:t>
      </w:r>
      <w:r>
        <w:t>) allows for a great simplification required for analysing the heat transfer through the glass melt. This makes it possible to transform the integral type equations that result from the radiative energy balance into a diffusion equation like that for heat conduction, as the energy transfer depends only on the conditions in the immediate vicinity of the position being considered and can be described in terms of the gradient of the conditions at that position (</w:t>
      </w:r>
      <w:r>
        <w:fldChar w:fldCharType="begin"/>
      </w:r>
      <w:r>
        <w:instrText xml:space="preserve"> REF _Ref449175545 \h </w:instrText>
      </w:r>
      <w:r>
        <w:fldChar w:fldCharType="separate"/>
      </w:r>
      <w:r w:rsidR="00820EB1">
        <w:t xml:space="preserve">Equation </w:t>
      </w:r>
      <w:r w:rsidR="00820EB1">
        <w:rPr>
          <w:noProof/>
        </w:rPr>
        <w:t>3</w:t>
      </w:r>
      <w:r>
        <w:fldChar w:fldCharType="end"/>
      </w:r>
      <w:r>
        <w:t xml:space="preserve">). The use of this diffusion approximation leads to a very great simplification in treating radiative transfer enabling use of well-developed finite difference schemes for solution of the resulting differential equations. Similarly, models developed for simulating solar reactor-receivers either assume the material receiving the solar radiation to be either totally opaque </w:t>
      </w:r>
      <w:r>
        <w:fldChar w:fldCharType="begin" w:fldLock="1"/>
      </w:r>
      <w:r>
        <w:instrText>ADDIN CSL_CITATION { "citationItems" : [ { "id" : "ITEM-1", "itemData" : { "author" : [ { "dropping-particle" : "", "family" : "Sammouda", "given" : "H", "non-dropping-particle" : "", "parse-names" : false, "suffix" : "" }, { "dropping-particle" : "", "family" : "Royere", "given" : "C", "non-dropping-particle" : "", "parse-names" : false, "suffix" : "" }, { "dropping-particle" : "", "family" : "Belghith", "given" : "A", "non-dropping-particle" : "", "parse-names" : false, "suffix" : "" }, { "dropping-particle" : "", "family" : "Maalej", "given" : "M", "non-dropping-particle" : "", "parse-names" : false, "suffix" : "" } ], "container-title" : "Renewable Energy", "id" : "ITEM-1", "issued" : { "date-parts" : [ [ "1999" ] ] }, "title" : "Heat transfer in a rotating furnace of a solar sand!boiler at a 0999 kW thermal concentration system", "type" : "article-journal", "volume" : "17" }, "uris" : [ "http://www.mendeley.com/documents/?uuid=1a4a0f6c-31a5-438a-b11a-ddbfb4c2799e", "http://www.mendeley.com/documents/?uuid=68cef985-feb3-4b68-8bc2-d29d0a24f6f1" ] } ], "mendeley" : { "formattedCitation" : "(Sammouda et al. 1999)", "manualFormatting" : "(e.g. Sammouda et al., 1999)", "plainTextFormattedCitation" : "(Sammouda et al. 1999)", "previouslyFormattedCitation" : "(Sammouda et al. 1999)" }, "properties" : { "noteIndex" : 0 }, "schema" : "https://github.com/citation-style-language/schema/raw/master/csl-citation.json" }</w:instrText>
      </w:r>
      <w:r>
        <w:fldChar w:fldCharType="separate"/>
      </w:r>
      <w:r w:rsidRPr="006F0769">
        <w:rPr>
          <w:noProof/>
        </w:rPr>
        <w:t>(</w:t>
      </w:r>
      <w:r>
        <w:rPr>
          <w:noProof/>
        </w:rPr>
        <w:t xml:space="preserve">e.g. </w:t>
      </w:r>
      <w:r w:rsidRPr="006F0769">
        <w:rPr>
          <w:noProof/>
        </w:rPr>
        <w:t>Sammouda et al., 1999)</w:t>
      </w:r>
      <w:r>
        <w:fldChar w:fldCharType="end"/>
      </w:r>
      <w:r>
        <w:t xml:space="preserve"> or so strongly absorbing that the Rosseland diffusion approximation for heat transfer can be assumed </w:t>
      </w:r>
      <w:r>
        <w:fldChar w:fldCharType="begin" w:fldLock="1"/>
      </w:r>
      <w:r>
        <w:instrText>ADDIN CSL_CITATION { "citationItems" : [ { "id" : "ITEM-1", "itemData" : { "DOI" : "http://dx.doi.org/10.1016/j.cherd.2014.05.027", "author" : [ { "dropping-particle" : "", "family" : "Villafa\u0301n-Vidales", "given" : "H. I.", "non-dropping-particle" : "", "parse-names" : false, "suffix" : "" }, { "dropping-particle" : "", "family" : "Abanades", "given" : "S.", "non-dropping-particle" : "", "parse-names" : false, "suffix" : "" }, { "dropping-particle" : "", "family" : "Montiel-Gonza\u0301lez", "given" : "M.", "non-dropping-particle" : "", "parse-names" : false, "suffix" : "" }, { "dropping-particle" : "", "family" : "Romero-Paredes", "given" : "H.", "non-dropping-particle" : "", "parse-names" : false, "suffix" : "" }, { "dropping-particle" : "", "family" : "Arancibia-bulnes", "given" : "C. A.", "non-dropping-particle" : "", "parse-names" : false, "suffix" : "" }, { "dropping-particle" : "", "family" : "Estrada", "given" : "C.A.", "non-dropping-particle" : "", "parse-names" : false, "suffix" : "" } ], "container-title" : "Chemical Engineering Research and Design", "id" : "ITEM-1", "issued" : { "date-parts" : [ [ "2015" ] ] }, "page" : "174-184", "title" : "Transient heat transfer simulation of a 1 kWth moving front solar thermochemical reactor for thermal dissociation of compressed ZnO", "type" : "article-journal", "volume" : "93" }, "uris" : [ "http://www.mendeley.com/documents/?uuid=cbe0bbe1-f6fe-4c06-9d63-8f30cbef6422", "http://www.mendeley.com/documents/?uuid=fa13008f-923c-46c5-ac18-e2fd9bb1aa11" ] } ], "mendeley" : { "formattedCitation" : "(Villafa\u0301n-Vidales et al. 2015)", "plainTextFormattedCitation" : "(Villafa\u0301n-Vidales et al. 2015)", "previouslyFormattedCitation" : "(Villafa\u0301n-Vidales et al. 2015)" }, "properties" : { "noteIndex" : 0 }, "schema" : "https://github.com/citation-style-language/schema/raw/master/csl-citation.json" }</w:instrText>
      </w:r>
      <w:r>
        <w:fldChar w:fldCharType="separate"/>
      </w:r>
      <w:r w:rsidRPr="004B3189">
        <w:rPr>
          <w:noProof/>
        </w:rPr>
        <w:t>(Villafán-Vidales et al. 2015)</w:t>
      </w:r>
      <w:r>
        <w:fldChar w:fldCharType="end"/>
      </w:r>
      <w:r>
        <w:t>.</w:t>
      </w:r>
    </w:p>
    <w:p w14:paraId="237F818F" w14:textId="65E8F58C" w:rsidR="00EF1DD3" w:rsidRDefault="00EF1DD3" w:rsidP="00EF1DD3">
      <w:r>
        <w:lastRenderedPageBreak/>
        <w:t>However, c</w:t>
      </w:r>
      <w:r w:rsidRPr="001C78CC">
        <w:t>omparison of the spectral power distribution of solar ra</w:t>
      </w:r>
      <w:r>
        <w:t xml:space="preserve">diation </w:t>
      </w:r>
      <w:r w:rsidRPr="001C78CC">
        <w:t>to the absorption spectrum of molten</w:t>
      </w:r>
      <w:r>
        <w:t xml:space="preserve"> soda-lime-silica</w:t>
      </w:r>
      <w:r w:rsidRPr="001C78CC">
        <w:t xml:space="preserve"> glass (</w:t>
      </w:r>
      <w:r>
        <w:fldChar w:fldCharType="begin"/>
      </w:r>
      <w:r>
        <w:instrText xml:space="preserve"> REF _Ref380658001 \h  \* MERGEFORMAT </w:instrText>
      </w:r>
      <w:r>
        <w:fldChar w:fldCharType="separate"/>
      </w:r>
      <w:r w:rsidR="00820EB1" w:rsidRPr="001C78CC">
        <w:t xml:space="preserve">Figure </w:t>
      </w:r>
      <w:r w:rsidR="00820EB1">
        <w:t>5</w:t>
      </w:r>
      <w:r>
        <w:fldChar w:fldCharType="end"/>
      </w:r>
      <w:r w:rsidRPr="001C78CC">
        <w:t>) suggests that the glass is mostly transparent to the solar radiation.</w:t>
      </w:r>
      <w:r>
        <w:t xml:space="preserve"> </w:t>
      </w:r>
      <w:r w:rsidRPr="00533F5F">
        <w:t xml:space="preserve">In fact, typically, soda-lime-silica glass can be even more </w:t>
      </w:r>
      <w:r>
        <w:t>transparent</w:t>
      </w:r>
      <w:r w:rsidRPr="00533F5F">
        <w:t xml:space="preserve"> to solar radiation than suggested in </w:t>
      </w:r>
      <w:r>
        <w:fldChar w:fldCharType="begin"/>
      </w:r>
      <w:r>
        <w:instrText xml:space="preserve"> REF _Ref380658001 \h </w:instrText>
      </w:r>
      <w:r>
        <w:fldChar w:fldCharType="separate"/>
      </w:r>
      <w:r w:rsidR="00820EB1" w:rsidRPr="001C78CC">
        <w:t xml:space="preserve">Figure </w:t>
      </w:r>
      <w:r w:rsidR="00820EB1">
        <w:rPr>
          <w:noProof/>
        </w:rPr>
        <w:t>5</w:t>
      </w:r>
      <w:r>
        <w:fldChar w:fldCharType="end"/>
      </w:r>
      <w:r w:rsidRPr="00533F5F">
        <w:t xml:space="preserve"> because the transmission window which starts at around 500 nm in Figure 5 is typically even wider, starting as low as 300-400 nm in glasses with lower iron content</w:t>
      </w:r>
      <w:r>
        <w:t xml:space="preserve"> than the glass whose spectrum is shown in </w:t>
      </w:r>
      <w:r>
        <w:fldChar w:fldCharType="begin"/>
      </w:r>
      <w:r>
        <w:instrText xml:space="preserve"> REF _Ref380658001 \h </w:instrText>
      </w:r>
      <w:r>
        <w:fldChar w:fldCharType="separate"/>
      </w:r>
      <w:r w:rsidR="00820EB1" w:rsidRPr="001C78CC">
        <w:t xml:space="preserve">Figure </w:t>
      </w:r>
      <w:r w:rsidR="00820EB1">
        <w:rPr>
          <w:noProof/>
        </w:rPr>
        <w:t>5</w:t>
      </w:r>
      <w:r>
        <w:fldChar w:fldCharType="end"/>
      </w:r>
      <w:r w:rsidR="00544126">
        <w:t xml:space="preserve"> (see </w:t>
      </w:r>
      <w:r w:rsidR="00544126">
        <w:fldChar w:fldCharType="begin" w:fldLock="1"/>
      </w:r>
      <w:r w:rsidR="00DB1956">
        <w:instrText>ADDIN CSL_CITATION { "citationItems" : [ { "id" : "ITEM-1", "itemData" : { "author" : [ { "dropping-particle" : "", "family" : "Chaudhary", "given" : "M.K", "non-dropping-particle" : "", "parse-names" : false, "suffix" : "" }, { "dropping-particle" : "", "family" : "Potter", "given" : "R.M.", "non-dropping-particle" : "", "parse-names" : false, "suffix" : "" } ], "chapter-number" : "9", "container-title" : "Properties of glass forming melts", "editor" : [ { "dropping-particle" : "", "family" : "Pye", "given" : "L.David", "non-dropping-particle" : "", "parse-names" : false, "suffix" : "" }, { "dropping-particle" : "", "family" : "Montenero", "given" : "Angelo", "non-dropping-particle" : "", "parse-names" : false, "suffix" : "" }, { "dropping-particle" : "", "family" : "Joseph", "given" : "Innocent", "non-dropping-particle" : "", "parse-names" : false, "suffix" : "" } ], "id" : "ITEM-1", "issued" : { "date-parts" : [ [ "2005" ] ] }, "page" : "273", "publisher" : "Taylor &amp; Francis", "title" : "Heat Transfer in Glass-Forming Melts", "type" : "chapter" }, "uris" : [ "http://www.mendeley.com/documents/?uuid=61167498-fdda-43f6-828c-9164e653c1d9" ] } ], "mendeley" : { "formattedCitation" : "(Chaudhary &amp; Potter 2005)", "manualFormatting" : "Choudhary &amp; Potter (2005)", "plainTextFormattedCitation" : "(Chaudhary &amp; Potter 2005)", "previouslyFormattedCitation" : "(Chaudhary &amp; Potter 2005)" }, "properties" : { "noteIndex" : 0 }, "schema" : "https://github.com/citation-style-language/schema/raw/master/csl-citation.json" }</w:instrText>
      </w:r>
      <w:r w:rsidR="00544126">
        <w:fldChar w:fldCharType="separate"/>
      </w:r>
      <w:r w:rsidR="00544126" w:rsidRPr="00544126">
        <w:rPr>
          <w:noProof/>
        </w:rPr>
        <w:t>Ch</w:t>
      </w:r>
      <w:r w:rsidR="00DB1956">
        <w:rPr>
          <w:noProof/>
        </w:rPr>
        <w:t>o</w:t>
      </w:r>
      <w:r w:rsidR="00544126" w:rsidRPr="00544126">
        <w:rPr>
          <w:noProof/>
        </w:rPr>
        <w:t xml:space="preserve">udhary &amp; Potter </w:t>
      </w:r>
      <w:r w:rsidR="00544126">
        <w:rPr>
          <w:noProof/>
        </w:rPr>
        <w:t>(</w:t>
      </w:r>
      <w:r w:rsidR="00544126" w:rsidRPr="00544126">
        <w:rPr>
          <w:noProof/>
        </w:rPr>
        <w:t>2005)</w:t>
      </w:r>
      <w:r w:rsidR="00544126">
        <w:fldChar w:fldCharType="end"/>
      </w:r>
      <w:r w:rsidR="00544126">
        <w:t>)</w:t>
      </w:r>
      <w:r w:rsidRPr="00533F5F">
        <w:t>.</w:t>
      </w:r>
    </w:p>
    <w:p w14:paraId="6D9A1FB1" w14:textId="77777777" w:rsidR="00EF1DD3" w:rsidRPr="00953CA9" w:rsidRDefault="00EF1DD3" w:rsidP="00EF1DD3">
      <w:pPr>
        <w:pStyle w:val="Title"/>
      </w:pPr>
      <w:r w:rsidRPr="0007020C">
        <w:drawing>
          <wp:inline distT="0" distB="0" distL="0" distR="0" wp14:anchorId="048039D5" wp14:editId="463751D4">
            <wp:extent cx="4515670" cy="2131621"/>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0206" t="24874" r="20734" b="25542"/>
                    <a:stretch/>
                  </pic:blipFill>
                  <pic:spPr bwMode="auto">
                    <a:xfrm>
                      <a:off x="0" y="0"/>
                      <a:ext cx="4534205" cy="2140370"/>
                    </a:xfrm>
                    <a:prstGeom prst="rect">
                      <a:avLst/>
                    </a:prstGeom>
                    <a:ln>
                      <a:noFill/>
                    </a:ln>
                    <a:extLst>
                      <a:ext uri="{53640926-AAD7-44D8-BBD7-CCE9431645EC}">
                        <a14:shadowObscured xmlns:a14="http://schemas.microsoft.com/office/drawing/2010/main"/>
                      </a:ext>
                    </a:extLst>
                  </pic:spPr>
                </pic:pic>
              </a:graphicData>
            </a:graphic>
          </wp:inline>
        </w:drawing>
      </w:r>
    </w:p>
    <w:p w14:paraId="4CBEB3D9" w14:textId="55FC583B" w:rsidR="00EF1DD3" w:rsidRDefault="00EF1DD3" w:rsidP="00EF1DD3">
      <w:pPr>
        <w:pStyle w:val="Caption"/>
        <w:rPr>
          <w:noProof/>
        </w:rPr>
      </w:pPr>
      <w:bookmarkStart w:id="26" w:name="_Ref380658001"/>
      <w:r w:rsidRPr="001C78CC">
        <w:t xml:space="preserve">Figure </w:t>
      </w:r>
      <w:r w:rsidR="00A47317">
        <w:fldChar w:fldCharType="begin"/>
      </w:r>
      <w:r w:rsidR="00A47317">
        <w:instrText xml:space="preserve"> SEQ Figure \* ARABIC </w:instrText>
      </w:r>
      <w:r w:rsidR="00A47317">
        <w:fldChar w:fldCharType="separate"/>
      </w:r>
      <w:r w:rsidR="00820EB1">
        <w:rPr>
          <w:noProof/>
        </w:rPr>
        <w:t>5</w:t>
      </w:r>
      <w:r w:rsidR="00A47317">
        <w:rPr>
          <w:noProof/>
        </w:rPr>
        <w:fldChar w:fldCharType="end"/>
      </w:r>
      <w:bookmarkEnd w:id="26"/>
      <w:r w:rsidRPr="001C78CC">
        <w:t>: The spectral power distribution of solar radiation and the absorption spectrum of molten</w:t>
      </w:r>
      <w:r w:rsidR="005757F5">
        <w:t xml:space="preserve"> (colourless)</w:t>
      </w:r>
      <w:r w:rsidRPr="001C78CC">
        <w:t xml:space="preserve"> </w:t>
      </w:r>
      <w:r w:rsidR="00204CE5">
        <w:t xml:space="preserve">soda-lime-silica </w:t>
      </w:r>
      <w:r w:rsidRPr="001C78CC">
        <w:t>glass</w:t>
      </w:r>
      <w:r w:rsidR="00204CE5">
        <w:t xml:space="preserve"> </w:t>
      </w:r>
      <w:r w:rsidRPr="001C78CC">
        <w:t xml:space="preserve"> at 1400</w:t>
      </w:r>
      <w:r w:rsidRPr="001C78CC">
        <w:rPr>
          <w:vertAlign w:val="superscript"/>
        </w:rPr>
        <w:t>o</w:t>
      </w:r>
      <w:r w:rsidRPr="001C78CC">
        <w:t xml:space="preserve">C </w:t>
      </w:r>
      <w:r w:rsidRPr="001C78CC">
        <w:fldChar w:fldCharType="begin" w:fldLock="1"/>
      </w:r>
      <w:r w:rsidR="009872B8">
        <w:instrText>ADDIN CSL_CITATION { "citationItems" : [ { "id" : "ITEM-1", "itemData" : { "author" : [ { "dropping-particle" : "", "family" : "Chaudhary", "given" : "M.K", "non-dropping-particle" : "", "parse-names" : false, "suffix" : "" }, { "dropping-particle" : "", "family" : "Potter", "given" : "R.M.", "non-dropping-particle" : "", "parse-names" : false, "suffix" : "" } ], "chapter-number" : "9", "container-title" : "Properties of glass forming melts", "editor" : [ { "dropping-particle" : "", "family" : "Pye", "given" : "L.David", "non-dropping-particle" : "", "parse-names" : false, "suffix" : "" }, { "dropping-particle" : "", "family" : "Montenero", "given" : "Angelo", "non-dropping-particle" : "", "parse-names" : false, "suffix" : "" }, { "dropping-particle" : "", "family" : "Joseph", "given" : "Innocent", "non-dropping-particle" : "", "parse-names" : false, "suffix" : "" } ], "id" : "ITEM-1", "issued" : { "date-parts" : [ [ "2005" ] ] }, "page" : "273", "publisher" : "Taylor &amp; Francis", "title" : "Heat Transfer in Glass-Forming Melts", "type" : "chapter" }, "uris" : [ "http://www.mendeley.com/documents/?uuid=61167498-fdda-43f6-828c-9164e653c1d9" ] } ], "mendeley" : { "formattedCitation" : "(Chaudhary &amp; Potter 2005)", "manualFormatting" : "(Choudhary &amp; Potter 2005)", "plainTextFormattedCitation" : "(Chaudhary &amp; Potter 2005)", "previouslyFormattedCitation" : "(Chaudhary &amp; Potter 2005)" }, "properties" : { "noteIndex" : 0 }, "schema" : "https://github.com/citation-style-language/schema/raw/master/csl-citation.json" }</w:instrText>
      </w:r>
      <w:r w:rsidRPr="001C78CC">
        <w:fldChar w:fldCharType="separate"/>
      </w:r>
      <w:r w:rsidRPr="004B3189">
        <w:rPr>
          <w:noProof/>
        </w:rPr>
        <w:t>(</w:t>
      </w:r>
      <w:r w:rsidR="00DB1956">
        <w:rPr>
          <w:noProof/>
        </w:rPr>
        <w:t>Choudhary</w:t>
      </w:r>
      <w:r w:rsidRPr="004B3189">
        <w:rPr>
          <w:noProof/>
        </w:rPr>
        <w:t xml:space="preserve"> &amp; Potter 2005)</w:t>
      </w:r>
      <w:r w:rsidRPr="001C78CC">
        <w:fldChar w:fldCharType="end"/>
      </w:r>
      <w:r w:rsidRPr="001C78CC">
        <w:t>.</w:t>
      </w:r>
    </w:p>
    <w:p w14:paraId="4B06710F" w14:textId="70997052" w:rsidR="00EF1DD3" w:rsidRDefault="00EF1DD3" w:rsidP="00EF1DD3">
      <w:r>
        <w:t xml:space="preserve">So, for the analysis of the problem of solar radiation heat transfer through a glass forming melt, the optically thick limit and therefore the Rosseland approximation cannot be assumed to be valid. Therefore a solution to this problem which involves both radiative (photon) and conductive (phonon) heat transfer becomes much more difficult to implement. Also, this means data for the absorption coefficients and refractive indices of the glass forming melt across most of the wavelengths of the solar spectrum would be required. However, available data is limited and has very large error margins. It is very difficult to accurately determine the intrinsic thermophysical properties of </w:t>
      </w:r>
      <w:r w:rsidR="00DB1956">
        <w:t xml:space="preserve">a </w:t>
      </w:r>
      <w:r>
        <w:t xml:space="preserve">glass melt </w:t>
      </w:r>
      <w:r w:rsidR="004B255D">
        <w:t xml:space="preserve">because </w:t>
      </w:r>
      <w:r>
        <w:t>the measurement</w:t>
      </w:r>
      <w:r w:rsidR="004B255D">
        <w:t xml:space="preserve"> results</w:t>
      </w:r>
      <w:r>
        <w:t xml:space="preserve"> depend on the experimental setup </w:t>
      </w:r>
      <w:r>
        <w:fldChar w:fldCharType="begin" w:fldLock="1"/>
      </w:r>
      <w:r>
        <w:instrText>ADDIN CSL_CITATION { "citationItems" : [ { "id" : "ITEM-1", "itemData" : { "author" : [ { "dropping-particle" : "", "family" : "Nijnatten", "given" : "Peter. A", "non-dropping-particle" : "van", "parse-names" : false, "suffix" : "" } ], "container-title" : "International Conference on Glass Problems", "id" : "ITEM-1", "issued" : { "date-parts" : [ [ "1996" ] ] }, "publisher-place" : "Istambul", "title" : "Parameters estimation and measurement of thermophysical properties of liquids", "type" : "paper-conference" }, "uris" : [ "http://www.mendeley.com/documents/?uuid=5d259255-7c2b-43c0-899b-b36991ff2fba" ] } ], "mendeley" : { "formattedCitation" : "(van Nijnatten 1996)", "plainTextFormattedCitation" : "(van Nijnatten 1996)", "previouslyFormattedCitation" : "(van Nijnatten 1996)" }, "properties" : { "noteIndex" : 0 }, "schema" : "https://github.com/citation-style-language/schema/raw/master/csl-citation.json" }</w:instrText>
      </w:r>
      <w:r>
        <w:fldChar w:fldCharType="separate"/>
      </w:r>
      <w:r w:rsidRPr="004B3189">
        <w:rPr>
          <w:noProof/>
        </w:rPr>
        <w:t>(van Nijnatten 1996)</w:t>
      </w:r>
      <w:r>
        <w:fldChar w:fldCharType="end"/>
      </w:r>
      <w:r>
        <w:t xml:space="preserve">. </w:t>
      </w:r>
      <w:r w:rsidR="004B255D">
        <w:t xml:space="preserve">For example, conductivity values obtained by different experiments show differences of up to 85% </w:t>
      </w:r>
      <w:r w:rsidR="004B255D">
        <w:fldChar w:fldCharType="begin" w:fldLock="1"/>
      </w:r>
      <w:r w:rsidR="004B255D">
        <w:instrText>ADDIN CSL_CITATION { "citationItems" : [ { "id" : "ITEM-1", "itemData" : { "DOI" : "10.1016/0017-9310(94)00229-O", "ISSN" : "00179310", "abstract" : "Under normal gravitational conditions the measurement of the thermal conductivity \u03bb is often strongly influenced by thermal convection. Heat transfer by convection superposes the heat transfer due to thermal conduction. Systems in which the gravity effects are compensated, e.g. under microgravity conditions, offer decisive advantages because natural convection is strongly suppressed. In this paper an apparatus is described enabling accurate measurements in fluids with low viscosity without any gravitational influence. Comparative measurements carried out in the 'Drop Tower Bremen' using isopropanol, ethanol and cyclohexane are presented and compared to data available in the literature. \u00a9 1995.", "author" : [ { "dropping-particle" : "", "family" : "Greger", "given" : "R.", "non-dropping-particle" : "", "parse-names" : false, "suffix" : "" }, { "dropping-particle" : "", "family" : "Rath", "given" : "H.J.", "non-dropping-particle" : "", "parse-names" : false, "suffix" : "" } ], "container-title" : "International Journal of Heat and Mass Transfer", "id" : "ITEM-1", "issue" : "6", "issued" : { "date-parts" : [ [ "1995", "4" ] ] }, "page" : "1105-1110", "title" : "Measurement of the thermal conductivity of fluids with low viscosity under reduced gravity conditions using the transient hot-wire technique", "type" : "article-journal", "volume" : "38" }, "uris" : [ "http://www.mendeley.com/documents/?uuid=e57a1535-2c2f-46dc-8c56-8a4236954512" ] } ], "mendeley" : { "formattedCitation" : "(Greger &amp; Rath 1995)", "plainTextFormattedCitation" : "(Greger &amp; Rath 1995)", "previouslyFormattedCitation" : "(Greger &amp; Rath 1995)" }, "properties" : { "noteIndex" : 0 }, "schema" : "https://github.com/citation-style-language/schema/raw/master/csl-citation.json" }</w:instrText>
      </w:r>
      <w:r w:rsidR="004B255D">
        <w:fldChar w:fldCharType="separate"/>
      </w:r>
      <w:r w:rsidR="004B255D" w:rsidRPr="004B3189">
        <w:rPr>
          <w:noProof/>
        </w:rPr>
        <w:t>(Greger &amp; Rath 1995)</w:t>
      </w:r>
      <w:r w:rsidR="004B255D">
        <w:fldChar w:fldCharType="end"/>
      </w:r>
      <w:r w:rsidR="004B255D">
        <w:t xml:space="preserve">. </w:t>
      </w:r>
      <w:r>
        <w:t xml:space="preserve">  </w:t>
      </w:r>
    </w:p>
    <w:p w14:paraId="512C357F" w14:textId="5AAE6D86" w:rsidR="00EF1DD3" w:rsidRDefault="00EF1DD3" w:rsidP="00EF1DD3">
      <w:pPr>
        <w:pStyle w:val="Heading2"/>
        <w:keepLines/>
        <w:numPr>
          <w:ilvl w:val="1"/>
          <w:numId w:val="2"/>
        </w:numPr>
        <w:spacing w:before="120" w:after="120"/>
        <w:ind w:left="788" w:hanging="431"/>
      </w:pPr>
      <w:bookmarkStart w:id="27" w:name="_Ref451200520"/>
      <w:bookmarkStart w:id="28" w:name="_Toc473995151"/>
      <w:bookmarkEnd w:id="25"/>
      <w:r>
        <w:t>Summary and conclusions</w:t>
      </w:r>
      <w:bookmarkEnd w:id="27"/>
      <w:bookmarkEnd w:id="28"/>
    </w:p>
    <w:p w14:paraId="280D3C4E" w14:textId="0E394C13" w:rsidR="00EF1DD3" w:rsidRDefault="00EF1DD3" w:rsidP="00EF1DD3">
      <w:r>
        <w:t xml:space="preserve">Glass is an important material which could be sustainable if its reliance on the combustion of fossil fuels for process heat could be reduced. Concentrated solar energy is the only form of renewable energy which could directly provide the high temperature heat required for glass making without the need for intermediate conversion to electricity and therefore could avoid the associated reductions in overall energy efficiency. Furthermore, use of concentrated solar radiation to provide process heat for high temperature industrial processes has already been demonstrated. However, no existing solar reactor-receiver developed previously is suitable for </w:t>
      </w:r>
      <w:r>
        <w:lastRenderedPageBreak/>
        <w:t xml:space="preserve">solar powered glass production due to the following unique set of criteria. Due to the very high process temperatures the concentrated solar radiation must be directly absorbed in the glass forming melt rather than being absorbed by an intermediate heat exchange surface. This is partly challenging due to the uncertainties regarding the heat transfer of the solar radiation through the melt due to its semi-transparency. Also, since solar radiation is naturally variable, using it to directly heat a glass furnace raises issues related to thermal shock and expansion mismatch between the glass and containing refractories. Furthermore, it remains to be shown that concentrated solar radiation can be used to provide the distribution of heat required to maintain a sufficiently fluid melt as required for complete glass melting, fining and forming processes. Glass furnace models </w:t>
      </w:r>
      <w:r w:rsidR="00407F33">
        <w:t xml:space="preserve">which </w:t>
      </w:r>
      <w:r>
        <w:t xml:space="preserve">rely on the Rosseland diffusion approximation to compute the radiative heat transfer through the melt but this would not be valid for the use of solar radiation because </w:t>
      </w:r>
      <w:r w:rsidR="007E033B">
        <w:t xml:space="preserve">clear </w:t>
      </w:r>
      <w:r w:rsidR="0007470E">
        <w:t>soda-lime-silica</w:t>
      </w:r>
      <w:r w:rsidR="00407F33">
        <w:t xml:space="preserve"> </w:t>
      </w:r>
      <w:r>
        <w:t>glass melt</w:t>
      </w:r>
      <w:r w:rsidR="00407F33">
        <w:t>s</w:t>
      </w:r>
      <w:r>
        <w:t xml:space="preserve"> </w:t>
      </w:r>
      <w:r w:rsidR="00407F33">
        <w:t xml:space="preserve">are </w:t>
      </w:r>
      <w:r>
        <w:t xml:space="preserve">significantly transparent to solar radiation. Also, existing batch melting models rely on empirically derived data from laboratory experiments and that are validated by data from conventional fossil-fuels fired glass furnaces but these would not be valid for solar heated glass melting either. </w:t>
      </w:r>
      <w:r w:rsidR="004B255D">
        <w:t xml:space="preserve">So, </w:t>
      </w:r>
      <w:r>
        <w:t xml:space="preserve">modelling of solar heated glass melting </w:t>
      </w:r>
      <w:r w:rsidR="004B255D">
        <w:t>would be</w:t>
      </w:r>
      <w:r w:rsidR="00E516E7">
        <w:t xml:space="preserve"> a</w:t>
      </w:r>
      <w:r w:rsidR="004B255D">
        <w:t xml:space="preserve"> problematic</w:t>
      </w:r>
      <w:r w:rsidR="00E516E7">
        <w:t xml:space="preserve"> approach</w:t>
      </w:r>
      <w:r>
        <w:t xml:space="preserve"> because: 1) The diffusion approximation is required </w:t>
      </w:r>
      <w:r w:rsidR="00DB1956">
        <w:t xml:space="preserve">to </w:t>
      </w:r>
      <w:r>
        <w:t>solve the radiative transfer equations using well-developed finite difference schemes</w:t>
      </w:r>
      <w:r w:rsidR="00E516E7">
        <w:t xml:space="preserve"> but it is not valid for solar irradiation of soda-lime-silica melts</w:t>
      </w:r>
      <w:r>
        <w:t xml:space="preserve">; 2) the available thermophysical data of glass melts at high the temperatures and over the solar spectrum required are sparse and have unacceptably large errors. Even if such a model was developed, its usefulness on its own would be limited because to the lack of experimental data from anything comparable to a solar glass melting furnace would make it impossible to validate. Experiments, using concentrated radiation to melt falling streams of glass forming batch have been demonstrated but the feasibility of this approach using solar radiation has not been tested. Also, concentrated solar radiation has been used to melt refractory oxides in a rotary kilns but no useful glass has ever been produced due to inappropriate raw materials and reactor design. </w:t>
      </w:r>
      <w:r w:rsidR="00404256">
        <w:t>F</w:t>
      </w:r>
      <w:r>
        <w:t xml:space="preserve">rom the existing knowledge it </w:t>
      </w:r>
      <w:r w:rsidR="00DB1956">
        <w:t xml:space="preserve">was </w:t>
      </w:r>
      <w:r>
        <w:t xml:space="preserve">difficult to provide any reliable prediction regarding the feasibility of powered glass melting. </w:t>
      </w:r>
    </w:p>
    <w:p w14:paraId="1ECF36C8" w14:textId="7F112504" w:rsidR="00EF1DD3" w:rsidRDefault="00404256" w:rsidP="00EF1DD3">
      <w:r>
        <w:t>Therefore</w:t>
      </w:r>
      <w:r w:rsidR="00EF1DD3">
        <w:t xml:space="preserve">, in this project a series of experiments to investigate the feasibility of solar powered glass melting </w:t>
      </w:r>
      <w:r w:rsidR="00FF7226">
        <w:t>were</w:t>
      </w:r>
      <w:r w:rsidR="00EF1DD3">
        <w:t xml:space="preserve"> developed. Firstly, silicate glass forming batches </w:t>
      </w:r>
      <w:r w:rsidR="004B255D">
        <w:t xml:space="preserve">were </w:t>
      </w:r>
      <w:r w:rsidR="00EF1DD3">
        <w:t>melted in static refractory containers using concentrated solar radiation because the existing knowledge suggest that this is the most reliable method for producing useful glasses but this has not been demonstrated using concentrated solar radiation before. Also</w:t>
      </w:r>
      <w:r>
        <w:t>, it was proposed that</w:t>
      </w:r>
      <w:r w:rsidR="00EF1DD3">
        <w:t xml:space="preserve"> a falling stream of glass forming glass forming batch </w:t>
      </w:r>
      <w:r w:rsidR="00637921">
        <w:t>was</w:t>
      </w:r>
      <w:r w:rsidR="00EF1DD3">
        <w:t xml:space="preserve"> irradiated by a concentrated solar beam to attempt in-flight melting because this has been shown to be an effective way to utilise other concentrated heat sources for glass melting but it has not been tested with con</w:t>
      </w:r>
      <w:r w:rsidR="00B12411">
        <w:t>centrated solar radiation yet.</w:t>
      </w:r>
      <w:r w:rsidR="00EF1DD3">
        <w:t xml:space="preserve"> These experiments </w:t>
      </w:r>
      <w:r>
        <w:t xml:space="preserve">we </w:t>
      </w:r>
      <w:r w:rsidR="00EF1DD3">
        <w:t xml:space="preserve">considered necessary to develop an initial, quantitative understanding of the effects of concentrated solar radiation with respect to glass melting. This </w:t>
      </w:r>
      <w:r>
        <w:t xml:space="preserve">was </w:t>
      </w:r>
      <w:r w:rsidR="00EF1DD3">
        <w:t xml:space="preserve">considered the </w:t>
      </w:r>
      <w:r w:rsidR="00EF1DD3">
        <w:lastRenderedPageBreak/>
        <w:t xml:space="preserve">most pragmatic initial approach because it is necessary to first demonstrate the ability to realistically produce some useful glass with a realistic solar beam before any further work could be justified. </w:t>
      </w:r>
    </w:p>
    <w:p w14:paraId="28810197" w14:textId="2420042F" w:rsidR="00544126" w:rsidRDefault="00544126">
      <w:pPr>
        <w:spacing w:line="276" w:lineRule="auto"/>
        <w:ind w:firstLine="0"/>
        <w:contextualSpacing w:val="0"/>
        <w:jc w:val="left"/>
      </w:pPr>
      <w:r>
        <w:br w:type="page"/>
      </w:r>
    </w:p>
    <w:p w14:paraId="69D59E05" w14:textId="7B134C3B" w:rsidR="00AB0DB6" w:rsidRPr="00195D88" w:rsidRDefault="00AB0DB6" w:rsidP="00195D88">
      <w:pPr>
        <w:pStyle w:val="Heading1"/>
      </w:pPr>
      <w:bookmarkStart w:id="29" w:name="_Toc473995152"/>
      <w:r w:rsidRPr="00195D88">
        <w:lastRenderedPageBreak/>
        <w:t>Proof of concept experiments</w:t>
      </w:r>
      <w:bookmarkEnd w:id="29"/>
    </w:p>
    <w:p w14:paraId="431C1277" w14:textId="77777777" w:rsidR="00AB0DB6" w:rsidRDefault="00AB0DB6" w:rsidP="00C2720A">
      <w:pPr>
        <w:pStyle w:val="Heading2"/>
        <w:keepLines/>
        <w:numPr>
          <w:ilvl w:val="1"/>
          <w:numId w:val="10"/>
        </w:numPr>
        <w:spacing w:before="100" w:after="100"/>
        <w:contextualSpacing w:val="0"/>
        <w15:collapsed/>
      </w:pPr>
      <w:bookmarkStart w:id="30" w:name="_Toc473995153"/>
      <w:r w:rsidRPr="00260D25">
        <w:t>Introduction</w:t>
      </w:r>
      <w:bookmarkEnd w:id="30"/>
    </w:p>
    <w:p w14:paraId="26FD2CB5" w14:textId="31CC2FEF" w:rsidR="00AB0DB6" w:rsidRDefault="00AB0DB6" w:rsidP="003610C6">
      <w:r>
        <w:t xml:space="preserve">In this chapter, initial experiments conducted to investigate the feasibility of using concentrated radiation to melt glass forming batches are described. This involved, a preliminary experiment melting sand using a solar concentrator, followed </w:t>
      </w:r>
      <w:r w:rsidR="00404256">
        <w:t xml:space="preserve">by </w:t>
      </w:r>
      <w:r>
        <w:t>a series of experiments aiming to use a High Flux Solar Simulator (HFSS) beam to melt pure silica and soda-lime-silica glass forming batches by two prospective methods: 1) by irradiating glass forming batches contained in crucibles and 2) irradiating a falling streams of glass forming batch ‘in-flight’.</w:t>
      </w:r>
    </w:p>
    <w:p w14:paraId="59A8EE8C" w14:textId="77777777" w:rsidR="00AB0DB6" w:rsidRDefault="00AB0DB6" w:rsidP="003610C6">
      <w:r>
        <w:t xml:space="preserve">Due to the lack of existing experimental data regarding use of concentrated solar for melting glass forming batches, a series of experiments were proposed to understand: 1) how quickly, if at all, a substantial glass melt could be produced using a concentrated solar radiation heat source; 2) what quality of glass could be produced and 3) what glass forming batch composition would be most suitable. </w:t>
      </w:r>
    </w:p>
    <w:p w14:paraId="40D4660C" w14:textId="77777777" w:rsidR="00AB0DB6" w:rsidRDefault="00AB0DB6" w:rsidP="003610C6">
      <w:r>
        <w:t>There were concerns that the rapid thermal gradients induced by heating a glass forming batch using a concentrated radiation could destroy any containing refractories, preventing a melt from being sustained. Also, since silicate glasses are mostly transparent to the solar spectrum, there were concerns that most of the incident radiation would transmit though the glass without heating it sufficiently to generate a melt pool.</w:t>
      </w:r>
    </w:p>
    <w:p w14:paraId="2F5BB77F" w14:textId="77777777" w:rsidR="00AB0DB6" w:rsidRDefault="00AB0DB6" w:rsidP="003610C6">
      <w:r>
        <w:t xml:space="preserve">Furthermore, the ‘in-flight’ </w:t>
      </w:r>
      <w:r>
        <w:fldChar w:fldCharType="begin" w:fldLock="1"/>
      </w:r>
      <w:r>
        <w:instrText>ADDIN CSL_CITATION { "citationItems" : [ { "id" : "ITEM-1", "itemData" : { "DOI" : "10.1088/1468-6996/9/2/025013", "ISSN" : "1468-6996", "author" : [ { "dropping-particle" : "", "family" : "Yao", "given" : "Yaochun", "non-dropping-particle" : "", "parse-names" : false, "suffix" : "" }, { "dropping-particle" : "", "family" : "Watanabe", "given" : "Takayuki", "non-dropping-particle" : "", "parse-names" : false, "suffix" : "" }, { "dropping-particle" : "", "family" : "Yano", "given" : "Tetsuji", "non-dropping-particle" : "", "parse-names" : false, "suffix" : "" }, { "dropping-particle" : "", "family" : "Iseda", "given" : "Toru", "non-dropping-particle" : "", "parse-names" : false, "suffix" : "" }, { "dropping-particle" : "", "family" : "Sakamoto", "given" : "Osamu", "non-dropping-particle" : "", "parse-names" : false, "suffix" : "" }, { "dropping-particle" : "", "family" : "Iwamoto", "given" : "Masanori", "non-dropping-particle" : "", "parse-names" : false, "suffix" : "" }, { "dropping-particle" : "", "family" : "Inoue", "given" : "Satoru", "non-dropping-particle" : "", "parse-names" : false, "suffix" : "" } ], "container-title" : "Science and Technology of Advanced Materials", "id" : "ITEM-1", "issue" : "2", "issued" : { "date-parts" : [ [ "2008", "4", "1" ] ] }, "page" : "025013", "title" : "An innovative energy-saving in-flight melting technology and its application to glass production", "type" : "article-journal", "volume" : "9" }, "uris" : [ "http://www.mendeley.com/documents/?uuid=f99be823-2c8d-42d6-a942-fe544333c092" ] } ], "mendeley" : { "formattedCitation" : "(Yao et al. 2008)", "plainTextFormattedCitation" : "(Yao et al. 2008)", "previouslyFormattedCitation" : "(Yao et al. 2008)" }, "properties" : { "noteIndex" : 0 }, "schema" : "https://github.com/citation-style-language/schema/raw/master/csl-citation.json" }</w:instrText>
      </w:r>
      <w:r>
        <w:fldChar w:fldCharType="separate"/>
      </w:r>
      <w:r w:rsidRPr="0041144C">
        <w:rPr>
          <w:noProof/>
        </w:rPr>
        <w:t>(Yao et al. 2008)</w:t>
      </w:r>
      <w:r>
        <w:fldChar w:fldCharType="end"/>
      </w:r>
      <w:r>
        <w:t xml:space="preserve"> method of rapidly melting a falling stream glass forming batches using a concentrated heat source was of particular interest because it appeared to provide a solution to the issue of the generating a substantial quantity of glass from a small heated region. Also, this in-flight melting method would not require the batch to be contained inside a refractory material so it would avoid the issue of thermal shock.</w:t>
      </w:r>
      <w:r>
        <w:br w:type="page"/>
      </w:r>
    </w:p>
    <w:p w14:paraId="6C9B5482" w14:textId="77777777" w:rsidR="00AB0DB6" w:rsidRDefault="00AB0DB6" w:rsidP="00C2720A">
      <w:pPr>
        <w:pStyle w:val="Heading2"/>
        <w:keepLines/>
        <w:numPr>
          <w:ilvl w:val="1"/>
          <w:numId w:val="10"/>
        </w:numPr>
        <w:spacing w:before="100" w:after="100"/>
        <w:ind w:left="788" w:hanging="431"/>
        <w:contextualSpacing w:val="0"/>
      </w:pPr>
      <w:bookmarkStart w:id="31" w:name="_Toc473995154"/>
      <w:r>
        <w:t>Preliminary experiment</w:t>
      </w:r>
      <w:bookmarkEnd w:id="31"/>
      <w:r>
        <w:t xml:space="preserve"> </w:t>
      </w:r>
    </w:p>
    <w:p w14:paraId="1E05E31C" w14:textId="1E812F85" w:rsidR="00AB0DB6" w:rsidRDefault="00AB0DB6" w:rsidP="003610C6">
      <w:pPr>
        <w:rPr>
          <w:noProof/>
        </w:rPr>
      </w:pPr>
      <w:r>
        <w:t>During a visit to the CNRS PROMES solar concentration research centre at Font-Romeo-Odeo, France,</w:t>
      </w:r>
      <w:r w:rsidR="00192975">
        <w:t xml:space="preserve"> in 2012,</w:t>
      </w:r>
      <w:r>
        <w:t xml:space="preserve"> a sample of locally available sand was placed onto a water-cooled steel plate at the focal point of the a solar concentrator to observe the effect of the concentrated radiation. As shown, in </w:t>
      </w:r>
      <w:r>
        <w:fldChar w:fldCharType="begin"/>
      </w:r>
      <w:r>
        <w:instrText xml:space="preserve"> REF _Ref423293167 \h </w:instrText>
      </w:r>
      <w:r>
        <w:fldChar w:fldCharType="separate"/>
      </w:r>
      <w:r w:rsidR="00820EB1" w:rsidRPr="00D273CC">
        <w:t xml:space="preserve">Figure </w:t>
      </w:r>
      <w:r w:rsidR="00820EB1">
        <w:rPr>
          <w:noProof/>
        </w:rPr>
        <w:t>6</w:t>
      </w:r>
      <w:r>
        <w:fldChar w:fldCharType="end"/>
      </w:r>
      <w:r>
        <w:t>, the sample formed a melt pool at its centre. Upon cooling, a piece of glassy material was observed with some sections containing partially fused sand grains, bubbles and inclusions.</w:t>
      </w:r>
      <w:r w:rsidRPr="00B85F47">
        <w:rPr>
          <w:noProof/>
        </w:rPr>
        <w:t xml:space="preserve"> </w:t>
      </w:r>
    </w:p>
    <w:p w14:paraId="62E66197" w14:textId="77777777" w:rsidR="00AB0DB6" w:rsidRPr="000D008A" w:rsidRDefault="00AB0DB6" w:rsidP="003610C6">
      <w:pPr>
        <w:pStyle w:val="Title"/>
      </w:pPr>
      <w:r>
        <w:drawing>
          <wp:inline distT="0" distB="0" distL="0" distR="0" wp14:anchorId="0981861C" wp14:editId="4902A3C2">
            <wp:extent cx="5274860" cy="2973039"/>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289" t="20328" r="13077" b="11874"/>
                    <a:stretch/>
                  </pic:blipFill>
                  <pic:spPr bwMode="auto">
                    <a:xfrm>
                      <a:off x="0" y="0"/>
                      <a:ext cx="5285559" cy="2979069"/>
                    </a:xfrm>
                    <a:prstGeom prst="rect">
                      <a:avLst/>
                    </a:prstGeom>
                    <a:ln>
                      <a:noFill/>
                    </a:ln>
                    <a:extLst>
                      <a:ext uri="{53640926-AAD7-44D8-BBD7-CCE9431645EC}">
                        <a14:shadowObscured xmlns:a14="http://schemas.microsoft.com/office/drawing/2010/main"/>
                      </a:ext>
                    </a:extLst>
                  </pic:spPr>
                </pic:pic>
              </a:graphicData>
            </a:graphic>
          </wp:inline>
        </w:drawing>
      </w:r>
    </w:p>
    <w:p w14:paraId="3B3AD571" w14:textId="77777777" w:rsidR="00AB0DB6" w:rsidRPr="0044059C" w:rsidRDefault="00AB0DB6">
      <w:pPr>
        <w:pStyle w:val="Caption"/>
      </w:pPr>
      <w:bookmarkStart w:id="32" w:name="_Ref423293167"/>
      <w:bookmarkStart w:id="33" w:name="_Ref424110448"/>
      <w:r w:rsidRPr="00D273CC">
        <w:t xml:space="preserve">Figure </w:t>
      </w:r>
      <w:r w:rsidR="00A47317">
        <w:fldChar w:fldCharType="begin"/>
      </w:r>
      <w:r w:rsidR="00A47317">
        <w:instrText xml:space="preserve"> SEQ Figure \* ARABIC </w:instrText>
      </w:r>
      <w:r w:rsidR="00A47317">
        <w:fldChar w:fldCharType="separate"/>
      </w:r>
      <w:r w:rsidR="00820EB1">
        <w:rPr>
          <w:noProof/>
        </w:rPr>
        <w:t>6</w:t>
      </w:r>
      <w:r w:rsidR="00A47317">
        <w:rPr>
          <w:noProof/>
        </w:rPr>
        <w:fldChar w:fldCharType="end"/>
      </w:r>
      <w:bookmarkEnd w:id="32"/>
      <w:r w:rsidRPr="00D273CC">
        <w:t xml:space="preserve">: Photographs of preliminary experiment melting sand using a) a parabolic solar concentrator </w:t>
      </w:r>
      <w:r w:rsidRPr="0044059C">
        <w:t>to b) melt sand, forming c) glassy material</w:t>
      </w:r>
      <w:bookmarkEnd w:id="33"/>
    </w:p>
    <w:p w14:paraId="5B1B25FE" w14:textId="77777777" w:rsidR="00AB0DB6" w:rsidRDefault="00AB0DB6" w:rsidP="00C2720A">
      <w:pPr>
        <w:pStyle w:val="Heading2"/>
        <w:keepLines/>
        <w:numPr>
          <w:ilvl w:val="1"/>
          <w:numId w:val="10"/>
        </w:numPr>
        <w:spacing w:before="100" w:after="100"/>
        <w:contextualSpacing w:val="0"/>
        <w15:collapsed/>
      </w:pPr>
      <w:bookmarkStart w:id="34" w:name="_Toc473995155"/>
      <w:r>
        <w:t>Static melting experiments</w:t>
      </w:r>
      <w:bookmarkEnd w:id="34"/>
    </w:p>
    <w:p w14:paraId="3B8D683A" w14:textId="3182B321" w:rsidR="00AB0DB6" w:rsidRPr="00191DF7" w:rsidRDefault="00AB0DB6" w:rsidP="003610C6">
      <w:r>
        <w:t xml:space="preserve">Subsequently, access was gained to the High Flux Solar Simulator (HFSS) facility at the Paul Scherrer Institute (PSI) in Switzerland to further investigate using concentrated solar radiation to melt glass forming batches, using higher purity raw materials and alternative methods to produce more useful glasses. </w:t>
      </w:r>
    </w:p>
    <w:p w14:paraId="3AE44293" w14:textId="77777777" w:rsidR="00AB0DB6" w:rsidRDefault="00AB0DB6" w:rsidP="00C2720A">
      <w:pPr>
        <w:pStyle w:val="Heading3"/>
        <w:numPr>
          <w:ilvl w:val="2"/>
          <w:numId w:val="10"/>
        </w:numPr>
        <w:spacing w:before="100" w:after="100"/>
        <w:contextualSpacing w:val="0"/>
        <w15:collapsed/>
      </w:pPr>
      <w:r>
        <w:t>High Flux Solar Simulator</w:t>
      </w:r>
    </w:p>
    <w:p w14:paraId="61DAE282" w14:textId="77777777" w:rsidR="00AB0DB6" w:rsidRDefault="00AB0DB6" w:rsidP="003610C6">
      <w:r>
        <w:t>The HFSS consists of an array of ten, independently controlled, xenon arc bulbs (</w:t>
      </w:r>
      <w:r>
        <w:rPr>
          <w:rStyle w:val="paragraph"/>
        </w:rPr>
        <w:t>Ushio UXW, 15 kW</w:t>
      </w:r>
      <w:r w:rsidRPr="00F31CB3">
        <w:rPr>
          <w:rStyle w:val="paragraph"/>
          <w:vertAlign w:val="subscript"/>
        </w:rPr>
        <w:t>el</w:t>
      </w:r>
      <w:r>
        <w:rPr>
          <w:rStyle w:val="paragraph"/>
        </w:rPr>
        <w:t>)</w:t>
      </w:r>
      <w:r>
        <w:t xml:space="preserve">. Each bulb is coupled with an ellipsoidal reflector aiming towards a common focal point. Shutters positioned in the path of the beam enable gradual adjustment of the power supplied to the sample. </w:t>
      </w:r>
    </w:p>
    <w:p w14:paraId="25307EA7" w14:textId="77777777" w:rsidR="00AB0DB6" w:rsidRDefault="00AB0DB6" w:rsidP="003610C6">
      <w:pPr>
        <w:pStyle w:val="Title"/>
      </w:pPr>
      <w:r>
        <w:drawing>
          <wp:inline distT="0" distB="0" distL="0" distR="0" wp14:anchorId="05511D2D" wp14:editId="13D8F6B5">
            <wp:extent cx="3110631" cy="39878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SS labelled colour.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14495" cy="3992753"/>
                    </a:xfrm>
                    <a:prstGeom prst="rect">
                      <a:avLst/>
                    </a:prstGeom>
                  </pic:spPr>
                </pic:pic>
              </a:graphicData>
            </a:graphic>
          </wp:inline>
        </w:drawing>
      </w:r>
    </w:p>
    <w:p w14:paraId="507795F2" w14:textId="610415F8" w:rsidR="00AB0DB6" w:rsidRPr="00573191" w:rsidRDefault="00AB0DB6" w:rsidP="003610C6">
      <w:pPr>
        <w:pStyle w:val="Caption"/>
      </w:pPr>
      <w:bookmarkStart w:id="35" w:name="_Ref377227632"/>
      <w:r w:rsidRPr="00573191">
        <w:t xml:space="preserve">Figure </w:t>
      </w:r>
      <w:r w:rsidR="00A47317">
        <w:fldChar w:fldCharType="begin"/>
      </w:r>
      <w:r w:rsidR="00A47317">
        <w:instrText xml:space="preserve"> SEQ Figure \* ARABIC </w:instrText>
      </w:r>
      <w:r w:rsidR="00A47317">
        <w:fldChar w:fldCharType="separate"/>
      </w:r>
      <w:r w:rsidR="00820EB1">
        <w:rPr>
          <w:noProof/>
        </w:rPr>
        <w:t>7</w:t>
      </w:r>
      <w:r w:rsidR="00A47317">
        <w:rPr>
          <w:noProof/>
        </w:rPr>
        <w:fldChar w:fldCharType="end"/>
      </w:r>
      <w:bookmarkEnd w:id="35"/>
      <w:r w:rsidRPr="00573191">
        <w:t>: Photograph of the High Flux Solar Simu</w:t>
      </w:r>
      <w:r>
        <w:t xml:space="preserve">lator (HFSS): a) </w:t>
      </w:r>
      <w:r w:rsidR="00B2288F">
        <w:t>xenon</w:t>
      </w:r>
      <w:r w:rsidR="00192975">
        <w:t xml:space="preserve"> </w:t>
      </w:r>
      <w:r>
        <w:t>arc bulb;</w:t>
      </w:r>
      <w:r w:rsidRPr="00573191">
        <w:t xml:space="preserve"> b) ellipsoidal reflector</w:t>
      </w:r>
      <w:r>
        <w:t xml:space="preserve"> (rim diameter = 0.95 m each);</w:t>
      </w:r>
      <w:r w:rsidRPr="00573191">
        <w:t xml:space="preserve"> c) shutters.</w:t>
      </w:r>
    </w:p>
    <w:p w14:paraId="16C0577B" w14:textId="77777777" w:rsidR="00AB0DB6" w:rsidRDefault="00AB0DB6" w:rsidP="003610C6">
      <w:r>
        <w:t>The spectral power distribution of solar radiation generally approximates that of a black body at 5505</w:t>
      </w:r>
      <w:r w:rsidRPr="001D2444">
        <w:rPr>
          <w:vertAlign w:val="superscript"/>
        </w:rPr>
        <w:t>o</w:t>
      </w:r>
      <w:r>
        <w:t xml:space="preserve">C which is similar to that of the xenon arc bulbs, but with some significant divergence, mostly in the infra-red region due to the Xe emission lines, as discussed by </w:t>
      </w:r>
      <w:r>
        <w:fldChar w:fldCharType="begin" w:fldLock="1"/>
      </w:r>
      <w:r>
        <w:instrText>ADDIN CSL_CITATION { "citationItems" : [ { "id" : "ITEM-1", "itemData" : { "DOI" : "10.1115/1.2769701", "ISSN" : "01996231", "author" : [ { "dropping-particle" : "", "family" : "Petrasch", "given" : "Jo\u0308rg", "non-dropping-particle" : "", "parse-names" : false, "suffix" : "" }, { "dropping-particle" : "", "family" : "Coray", "given" : "Patrick", "non-dropping-particle" : "", "parse-names" : false, "suffix" : "" }, { "dropping-particle" : "", "family" : "Meier", "given" : "Anton", "non-dropping-particle" : "", "parse-names" : false, "suffix" : "" }, { "dropping-particle" : "", "family" : "Brack", "given" : "Max", "non-dropping-particle" : "", "parse-names" : false, "suffix" : "" }, { "dropping-particle" : "", "family" : "Ha\u0308berling", "given" : "Peter", "non-dropping-particle" : "", "parse-names" : false, "suffix" : "" }, { "dropping-particle" : "", "family" : "Wuillemin", "given" : "Daniel", "non-dropping-particle" : "", "parse-names" : false, "suffix" : "" }, { "dropping-particle" : "", "family" : "Steinfeld", "given" : "Aldo", "non-dropping-particle" : "", "parse-names" : false, "suffix" : "" } ], "container-title" : "Journal of Solar Energy Engineering", "id" : "ITEM-1", "issue" : "4", "issued" : { "date-parts" : [ [ "2007" ] ] }, "page" : "405", "title" : "A Novel 50\u2002kW 11,000 suns High-Flux Solar Simulator Based on an Array of Xenon Arc Lamps", "type" : "article-journal", "volume" : "129" }, "uris" : [ "http://www.mendeley.com/documents/?uuid=4c7fc0ee-f8d4-4da1-abea-f39081b5b884" ] } ], "mendeley" : { "formattedCitation" : "(Petrasch et al. 2007)", "manualFormatting" : "Petrasch et al. (2007)", "plainTextFormattedCitation" : "(Petrasch et al. 2007)", "previouslyFormattedCitation" : "(Petrasch et al. 2007)" }, "properties" : { "noteIndex" : 0 }, "schema" : "https://github.com/citation-style-language/schema/raw/master/csl-citation.json" }</w:instrText>
      </w:r>
      <w:r>
        <w:fldChar w:fldCharType="separate"/>
      </w:r>
      <w:r w:rsidRPr="0022110F">
        <w:rPr>
          <w:noProof/>
        </w:rPr>
        <w:t xml:space="preserve">Petrasch et al. </w:t>
      </w:r>
      <w:r>
        <w:rPr>
          <w:noProof/>
        </w:rPr>
        <w:t>(</w:t>
      </w:r>
      <w:r w:rsidRPr="0022110F">
        <w:rPr>
          <w:noProof/>
        </w:rPr>
        <w:t>2007)</w:t>
      </w:r>
      <w:r>
        <w:fldChar w:fldCharType="end"/>
      </w:r>
      <w:r>
        <w:t xml:space="preserve"> and </w:t>
      </w:r>
      <w:r>
        <w:fldChar w:fldCharType="begin" w:fldLock="1"/>
      </w:r>
      <w:r>
        <w:instrText>ADDIN CSL_CITATION { "citationItems" : [ { "id" : "ITEM-1", "itemData" : { "DOI" : "10.1115/1.4005249", "ISSN" : "01996231", "author" : [ { "dropping-particle" : "", "family" : "Alxneit", "given" : "Ivo", "non-dropping-particle" : "", "parse-names" : false, "suffix" : "" }, { "dropping-particle" : "", "family" : "Schmit", "given" : "Henri", "non-dropping-particle" : "", "parse-names" : false, "suffix" : "" } ], "container-title" : "Journal of Solar Energy Engineering", "id" : "ITEM-1", "issue" : "1", "issued" : { "date-parts" : [ [ "2012" ] ] }, "page" : "011013", "title" : "Spectral Characterization of PSI\u2019s High-Flux Solar Simulator", "type" : "article-journal", "volume" : "134" }, "uris" : [ "http://www.mendeley.com/documents/?uuid=74b3032e-fbe5-420e-b85d-07849913d3b9" ] } ], "mendeley" : { "formattedCitation" : "(Alxneit &amp; Schmit 2012)", "manualFormatting" : "Alxneit &amp; Schmit (2012)", "plainTextFormattedCitation" : "(Alxneit &amp; Schmit 2012)", "previouslyFormattedCitation" : "(Alxneit &amp; Schmit 2012)" }, "properties" : { "noteIndex" : 0 }, "schema" : "https://github.com/citation-style-language/schema/raw/master/csl-citation.json" }</w:instrText>
      </w:r>
      <w:r>
        <w:fldChar w:fldCharType="separate"/>
      </w:r>
      <w:r w:rsidRPr="0022110F">
        <w:rPr>
          <w:noProof/>
        </w:rPr>
        <w:t xml:space="preserve">Alxneit &amp; Schmit </w:t>
      </w:r>
      <w:r>
        <w:rPr>
          <w:noProof/>
        </w:rPr>
        <w:t>(</w:t>
      </w:r>
      <w:r w:rsidRPr="0022110F">
        <w:rPr>
          <w:noProof/>
        </w:rPr>
        <w:t>2012)</w:t>
      </w:r>
      <w:r>
        <w:fldChar w:fldCharType="end"/>
      </w:r>
      <w:r>
        <w:t xml:space="preserve">. Also, there is some slight variation of the spectrum of the concentrated radiation from the HFSS over the area of the focus which would not be expected for real concentrated solar radiation </w:t>
      </w:r>
      <w:r>
        <w:fldChar w:fldCharType="begin" w:fldLock="1"/>
      </w:r>
      <w:r>
        <w:instrText>ADDIN CSL_CITATION { "citationItems" : [ { "id" : "ITEM-1", "itemData" : { "DOI" : "10.1115/1.4005249", "ISSN" : "01996231", "author" : [ { "dropping-particle" : "", "family" : "Alxneit", "given" : "Ivo", "non-dropping-particle" : "", "parse-names" : false, "suffix" : "" }, { "dropping-particle" : "", "family" : "Schmit", "given" : "Henri", "non-dropping-particle" : "", "parse-names" : false, "suffix" : "" } ], "container-title" : "Journal of Solar Energy Engineering", "id" : "ITEM-1", "issue" : "1", "issued" : { "date-parts" : [ [ "2012" ] ] }, "page" : "011013", "title" : "Spectral Characterization of PSI\u2019s High-Flux Solar Simulator", "type" : "article-journal", "volume" : "134" }, "uris" : [ "http://www.mendeley.com/documents/?uuid=74b3032e-fbe5-420e-b85d-07849913d3b9" ] } ], "mendeley" : { "formattedCitation" : "(Alxneit &amp; Schmit 2012)", "plainTextFormattedCitation" : "(Alxneit &amp; Schmit 2012)", "previouslyFormattedCitation" : "(Alxneit &amp; Schmit 2012)" }, "properties" : { "noteIndex" : 0 }, "schema" : "https://github.com/citation-style-language/schema/raw/master/csl-citation.json" }</w:instrText>
      </w:r>
      <w:r>
        <w:fldChar w:fldCharType="separate"/>
      </w:r>
      <w:r w:rsidRPr="0022110F">
        <w:rPr>
          <w:noProof/>
        </w:rPr>
        <w:t>(Alxneit &amp; Schmit 2012)</w:t>
      </w:r>
      <w:r>
        <w:fldChar w:fldCharType="end"/>
      </w:r>
      <w:r>
        <w:t>. The discrepancy between the spectral power distributions of the solar simulator compared to real solar radiation was considered a reasonable compromise, in order to allow for easily controlled and repeatable experiments.</w:t>
      </w:r>
    </w:p>
    <w:p w14:paraId="6BE8D91B" w14:textId="77777777" w:rsidR="00AB0DB6" w:rsidRDefault="00AB0DB6" w:rsidP="00C2720A">
      <w:pPr>
        <w:pStyle w:val="Heading3"/>
        <w:numPr>
          <w:ilvl w:val="2"/>
          <w:numId w:val="10"/>
        </w:numPr>
        <w:spacing w:before="100" w:after="100"/>
        <w:contextualSpacing w:val="0"/>
        <w15:collapsed/>
      </w:pPr>
      <w:r>
        <w:t xml:space="preserve"> Glass forming batches</w:t>
      </w:r>
    </w:p>
    <w:p w14:paraId="5EDDCF54" w14:textId="3993A178" w:rsidR="00AB0DB6" w:rsidRPr="00B15081" w:rsidRDefault="00AB0DB6" w:rsidP="003610C6">
      <w:r>
        <w:t>Standard glass-making grade raw materials (purities: SiO</w:t>
      </w:r>
      <w:r>
        <w:rPr>
          <w:vertAlign w:val="subscript"/>
        </w:rPr>
        <w:t>2</w:t>
      </w:r>
      <w:r>
        <w:t xml:space="preserve"> 99.5%, Na</w:t>
      </w:r>
      <w:r>
        <w:rPr>
          <w:vertAlign w:val="subscript"/>
        </w:rPr>
        <w:t>2</w:t>
      </w:r>
      <w:r>
        <w:t>CO</w:t>
      </w:r>
      <w:r>
        <w:rPr>
          <w:vertAlign w:val="subscript"/>
        </w:rPr>
        <w:t>3</w:t>
      </w:r>
      <w:r>
        <w:t xml:space="preserve"> 99.1%, CaCO</w:t>
      </w:r>
      <w:r>
        <w:rPr>
          <w:vertAlign w:val="subscript"/>
        </w:rPr>
        <w:t>3</w:t>
      </w:r>
      <w:r>
        <w:t xml:space="preserve"> 99.3%) obtained from Glassworks Services Limited, were used to prepare a ternary, soda-lime-silica (SLS) batch in powder form to produce a 15</w:t>
      </w:r>
      <w:r w:rsidRPr="002C7D83">
        <w:t>Na</w:t>
      </w:r>
      <w:r w:rsidRPr="002C7D83">
        <w:rPr>
          <w:vertAlign w:val="subscript"/>
        </w:rPr>
        <w:t>2</w:t>
      </w:r>
      <w:r>
        <w:t xml:space="preserve">O </w:t>
      </w:r>
      <w:r w:rsidRPr="002C7D83">
        <w:t>15</w:t>
      </w:r>
      <w:r>
        <w:t>CaO 70SiO</w:t>
      </w:r>
      <w:r>
        <w:rPr>
          <w:vertAlign w:val="subscript"/>
        </w:rPr>
        <w:t>2</w:t>
      </w:r>
      <w:r>
        <w:t xml:space="preserve"> (mol%) glass. Pure silica batches were also prepared. </w:t>
      </w:r>
      <w:r w:rsidR="00C766E1">
        <w:t>Industrial p</w:t>
      </w:r>
      <w:r>
        <w:t>elletised SLS batch was obtained from Apollo Furnaces Ltd</w:t>
      </w:r>
      <w:r w:rsidR="00E63F83">
        <w:t xml:space="preserve"> and is described </w:t>
      </w:r>
      <w:r w:rsidR="007D3865">
        <w:t>by</w:t>
      </w:r>
      <w:r w:rsidR="00993005">
        <w:t xml:space="preserve"> </w:t>
      </w:r>
      <w:r w:rsidR="00993005">
        <w:fldChar w:fldCharType="begin" w:fldLock="1"/>
      </w:r>
      <w:r w:rsidR="00993005">
        <w:instrText>ADDIN CSL_CITATION { "citationItems" : [ { "id" : "ITEM-1", "itemData" : { "author" : [ { "dropping-particle" : "", "family" : "Leese", "given" : "Samuel", "non-dropping-particle" : "", "parse-names" : false, "suffix" : "" }, { "dropping-particle" : "", "family" : "Robert Sheppardson", "given" : "Peter", "non-dropping-particle" : "", "parse-names" : false, "suffix" : "" } ], "id" : "ITEM-1", "issued" : { "date-parts" : [ [ "2016" ] ] }, "number" : "US 20160083287 A1", "publisher-place" : "United States", "title" : "Pellet and a Method of Manufacturing Glass", "type" : "patent" }, "uris" : [ "http://www.mendeley.com/documents/?uuid=f669d4b4-7f18-44b8-84ad-fc26c310d54b" ] } ], "mendeley" : { "formattedCitation" : "(Leese &amp; Robert Sheppardson 2016)", "manualFormatting" : "Leese &amp; Sheppardson (2016)", "plainTextFormattedCitation" : "(Leese &amp; Robert Sheppardson 2016)", "previouslyFormattedCitation" : "(Leese &amp; Robert Sheppardson 2016)" }, "properties" : { "noteIndex" : 0 }, "schema" : "https://github.com/citation-style-language/schema/raw/master/csl-citation.json" }</w:instrText>
      </w:r>
      <w:r w:rsidR="00993005">
        <w:fldChar w:fldCharType="separate"/>
      </w:r>
      <w:r w:rsidR="00993005" w:rsidRPr="00993005">
        <w:rPr>
          <w:noProof/>
        </w:rPr>
        <w:t xml:space="preserve">Leese &amp; Sheppardson </w:t>
      </w:r>
      <w:r w:rsidR="00993005">
        <w:rPr>
          <w:noProof/>
        </w:rPr>
        <w:t>(</w:t>
      </w:r>
      <w:r w:rsidR="00993005" w:rsidRPr="00993005">
        <w:rPr>
          <w:noProof/>
        </w:rPr>
        <w:t>2016)</w:t>
      </w:r>
      <w:r w:rsidR="00993005">
        <w:fldChar w:fldCharType="end"/>
      </w:r>
      <w:r>
        <w:t>.</w:t>
      </w:r>
      <w:r w:rsidR="007D3865">
        <w:t xml:space="preserve"> </w:t>
      </w:r>
      <w:r w:rsidR="00E63F83">
        <w:t xml:space="preserve">The </w:t>
      </w:r>
      <w:r w:rsidR="00C766E1">
        <w:t>composition</w:t>
      </w:r>
      <w:r w:rsidR="00E63F83">
        <w:t xml:space="preserve"> of this pelletised batch was known only to be within the range </w:t>
      </w:r>
      <w:r w:rsidR="007D3865">
        <w:t>of</w:t>
      </w:r>
      <w:r w:rsidR="00E63F83">
        <w:t xml:space="preserve"> conventional SLS batch </w:t>
      </w:r>
      <w:r w:rsidR="007D3865">
        <w:t>(see section 2.2.4)</w:t>
      </w:r>
      <w:r w:rsidR="005A3EFC">
        <w:t xml:space="preserve"> and designed for the manufacture of clear containers</w:t>
      </w:r>
      <w:r w:rsidR="00E63F83">
        <w:t>.</w:t>
      </w:r>
      <w:r>
        <w:t xml:space="preserve"> </w:t>
      </w:r>
      <w:r w:rsidR="005A3EFC">
        <w:t xml:space="preserve">The Theoretical Energy Required (TER) </w:t>
      </w:r>
      <w:r w:rsidR="005D1B43">
        <w:t>(</w:t>
      </w:r>
      <w:r w:rsidR="005A3EFC">
        <w:t>for the formation of the 15</w:t>
      </w:r>
      <w:r w:rsidR="005A3EFC" w:rsidRPr="002C7D83">
        <w:t>Na</w:t>
      </w:r>
      <w:r w:rsidR="005A3EFC" w:rsidRPr="002C7D83">
        <w:rPr>
          <w:vertAlign w:val="subscript"/>
        </w:rPr>
        <w:t>2</w:t>
      </w:r>
      <w:r w:rsidR="005A3EFC">
        <w:t xml:space="preserve">O </w:t>
      </w:r>
      <w:r w:rsidR="005A3EFC" w:rsidRPr="002C7D83">
        <w:t>15</w:t>
      </w:r>
      <w:r w:rsidR="005A3EFC">
        <w:t>CaO 70SiO</w:t>
      </w:r>
      <w:r w:rsidR="005A3EFC">
        <w:rPr>
          <w:vertAlign w:val="subscript"/>
        </w:rPr>
        <w:t>2</w:t>
      </w:r>
      <w:r w:rsidR="005A3EFC">
        <w:t xml:space="preserve"> (mol%), pure silica and industrial SLS glass</w:t>
      </w:r>
      <w:r w:rsidR="005D1B43">
        <w:t>es</w:t>
      </w:r>
      <w:r w:rsidR="005A3EFC">
        <w:t xml:space="preserve"> </w:t>
      </w:r>
      <w:r w:rsidR="005D1B43">
        <w:t xml:space="preserve">were calculated (Appendix ID11) according to the method proposed by </w:t>
      </w:r>
      <w:r w:rsidR="005D1B43" w:rsidRPr="00207CB0">
        <w:rPr>
          <w:rFonts w:cs="Times New Roman"/>
          <w:noProof/>
          <w:szCs w:val="24"/>
        </w:rPr>
        <w:t>Carvalho</w:t>
      </w:r>
      <w:r w:rsidR="005D1B43">
        <w:rPr>
          <w:rFonts w:cs="Times New Roman"/>
          <w:noProof/>
          <w:szCs w:val="24"/>
        </w:rPr>
        <w:t xml:space="preserve"> (1998) to give </w:t>
      </w:r>
      <w:r w:rsidR="005D1B43">
        <w:t>2532 J g</w:t>
      </w:r>
      <w:r w:rsidR="005D1B43">
        <w:rPr>
          <w:vertAlign w:val="superscript"/>
        </w:rPr>
        <w:t>-1</w:t>
      </w:r>
      <w:r w:rsidR="005D1B43">
        <w:t>, 1956 J g</w:t>
      </w:r>
      <w:r w:rsidR="005D1B43">
        <w:rPr>
          <w:vertAlign w:val="superscript"/>
        </w:rPr>
        <w:t>-1</w:t>
      </w:r>
      <w:r w:rsidR="005D1B43">
        <w:t xml:space="preserve"> and 2622 J g</w:t>
      </w:r>
      <w:r w:rsidR="005D1B43">
        <w:rPr>
          <w:vertAlign w:val="superscript"/>
        </w:rPr>
        <w:t>-1</w:t>
      </w:r>
      <w:r w:rsidR="005D1B43">
        <w:t xml:space="preserve"> respectively</w:t>
      </w:r>
      <w:r w:rsidR="005D1B43">
        <w:rPr>
          <w:rFonts w:cs="Times New Roman"/>
          <w:noProof/>
          <w:szCs w:val="24"/>
        </w:rPr>
        <w:t>. This is discussed further in Section 5.8.1.</w:t>
      </w:r>
      <w:r w:rsidR="005D1B43">
        <w:t xml:space="preserve"> </w:t>
      </w:r>
      <w:r w:rsidRPr="00E2208B">
        <w:t xml:space="preserve">The average pellet mass was 673 mg. Glass melting was conducted using either mullite or alumina crucibles. The former were made in-house by </w:t>
      </w:r>
      <w:r>
        <w:t>slip casting and firing at 1000</w:t>
      </w:r>
      <w:r>
        <w:rPr>
          <w:vertAlign w:val="superscript"/>
        </w:rPr>
        <w:t>o</w:t>
      </w:r>
      <w:r w:rsidRPr="00E2208B">
        <w:t>C. Alumina crucibles were sourced from Almath Crucibles Ltd.</w:t>
      </w:r>
    </w:p>
    <w:p w14:paraId="7E67A05B" w14:textId="77777777" w:rsidR="00AB0DB6" w:rsidRDefault="00AB0DB6" w:rsidP="00C2720A">
      <w:pPr>
        <w:pStyle w:val="Heading3"/>
        <w:numPr>
          <w:ilvl w:val="2"/>
          <w:numId w:val="10"/>
        </w:numPr>
        <w:spacing w:before="100" w:after="100"/>
        <w:contextualSpacing w:val="0"/>
        <w15:collapsed/>
      </w:pPr>
      <w:r>
        <w:t>Setup</w:t>
      </w:r>
    </w:p>
    <w:p w14:paraId="687FB0E7" w14:textId="4960218E" w:rsidR="00AB0DB6" w:rsidRPr="00D95127" w:rsidRDefault="00AB0DB6" w:rsidP="003610C6">
      <w:r>
        <w:t>A series of experiments using the HFSS to melt soda-lime-silica and pure silica glass forming batches in refractory crucibles was conducted. For each experiment</w:t>
      </w:r>
      <w:r w:rsidRPr="00190102">
        <w:t>, the glass forming batch was contained inside a crucible.</w:t>
      </w:r>
      <w:r w:rsidR="00372F28">
        <w:t xml:space="preserve"> Mullite (</w:t>
      </w:r>
      <w:r w:rsidR="00372F28" w:rsidRPr="003D212B">
        <w:t>Al</w:t>
      </w:r>
      <w:r w:rsidR="00372F28">
        <w:rPr>
          <w:vertAlign w:val="subscript"/>
        </w:rPr>
        <w:t>6</w:t>
      </w:r>
      <w:r w:rsidR="00372F28">
        <w:t>Si</w:t>
      </w:r>
      <w:r w:rsidR="00372F28">
        <w:rPr>
          <w:vertAlign w:val="subscript"/>
        </w:rPr>
        <w:t>2</w:t>
      </w:r>
      <w:r w:rsidR="00372F28">
        <w:t>O</w:t>
      </w:r>
      <w:r w:rsidR="00372F28">
        <w:rPr>
          <w:vertAlign w:val="subscript"/>
        </w:rPr>
        <w:t>13</w:t>
      </w:r>
      <w:r w:rsidR="00372F28">
        <w:t xml:space="preserve">) crucibles were slip cast at The University of Sheffield from </w:t>
      </w:r>
      <w:r w:rsidR="00372F28" w:rsidRPr="00372F28">
        <w:t>a mixture of kaolin, ball clay, molochite and calcined alumina with a sodium silicate deflocculant</w:t>
      </w:r>
      <w:r w:rsidR="00372F28">
        <w:t xml:space="preserve"> </w:t>
      </w:r>
      <w:r w:rsidR="00FF1611">
        <w:t>and fired at 1530</w:t>
      </w:r>
      <w:r w:rsidR="00FF1611">
        <w:rPr>
          <w:vertAlign w:val="superscript"/>
        </w:rPr>
        <w:t>o</w:t>
      </w:r>
      <w:r w:rsidR="00FF1611">
        <w:t>C</w:t>
      </w:r>
      <w:r w:rsidR="00372F28">
        <w:t>. Alumina (Al</w:t>
      </w:r>
      <w:r w:rsidR="00372F28">
        <w:rPr>
          <w:vertAlign w:val="subscript"/>
        </w:rPr>
        <w:t>2</w:t>
      </w:r>
      <w:r w:rsidR="00372F28">
        <w:t>O</w:t>
      </w:r>
      <w:r w:rsidR="00372F28">
        <w:rPr>
          <w:vertAlign w:val="subscript"/>
        </w:rPr>
        <w:t>3</w:t>
      </w:r>
      <w:r w:rsidR="00372F28">
        <w:t>) crucibles were supplied by</w:t>
      </w:r>
      <w:r w:rsidRPr="00190102">
        <w:t xml:space="preserve"> </w:t>
      </w:r>
      <w:r w:rsidR="00372F28">
        <w:t xml:space="preserve">Almath Crucibles, UK. </w:t>
      </w:r>
      <w:r w:rsidRPr="00190102">
        <w:t>The crucible was placed inside a</w:t>
      </w:r>
      <w:r w:rsidR="00FF1611">
        <w:t>n insulating</w:t>
      </w:r>
      <w:r w:rsidRPr="00190102">
        <w:t xml:space="preserve"> refractory brick</w:t>
      </w:r>
      <w:r w:rsidR="00FF1611">
        <w:t xml:space="preserve"> (SWP 23, JIC Refractories, UK)</w:t>
      </w:r>
      <w:r>
        <w:t xml:space="preserve"> which was</w:t>
      </w:r>
      <w:r w:rsidRPr="00190102">
        <w:t xml:space="preserve"> carved out to accommodate it. The c</w:t>
      </w:r>
      <w:r>
        <w:t>rucible and refractory brick</w:t>
      </w:r>
      <w:r w:rsidR="00FF1611">
        <w:t xml:space="preserve"> </w:t>
      </w:r>
      <w:r>
        <w:t>were</w:t>
      </w:r>
      <w:r w:rsidRPr="00190102">
        <w:t xml:space="preserve"> surrounded by </w:t>
      </w:r>
      <w:r w:rsidR="00FF1611">
        <w:t>ceramic fibre</w:t>
      </w:r>
      <w:r w:rsidRPr="00190102">
        <w:t xml:space="preserve"> insulation</w:t>
      </w:r>
      <w:r w:rsidR="00FF1611">
        <w:t xml:space="preserve"> (Fibrax Durablanket, Unifrax, France)</w:t>
      </w:r>
      <w:r w:rsidRPr="00190102">
        <w:t xml:space="preserve"> and contained within an existing cavity reactor-receiver i.e. a metallic chamber with removable, water-cooled, compound parabolic concentrator (CPC) leading to a beam inlet aperture in its roof.</w:t>
      </w:r>
      <w:r>
        <w:t xml:space="preserve"> This cavity reactor was used to house the static melting experiments simply for</w:t>
      </w:r>
      <w:r w:rsidRPr="002573C4">
        <w:t xml:space="preserve"> convenience</w:t>
      </w:r>
      <w:r>
        <w:t xml:space="preserve"> because it was already designed to be mounted on the x-y-z table and therefore could be more easily positioned at the correct position with respect to the focal point of the beam. The horizontal beam was reflected down from the 45</w:t>
      </w:r>
      <w:r>
        <w:rPr>
          <w:vertAlign w:val="superscript"/>
        </w:rPr>
        <w:t>o</w:t>
      </w:r>
      <w:r>
        <w:t xml:space="preserve"> mirror, with the focal point aimed just inside the crucible containing the glass forming batch as shown in </w:t>
      </w:r>
      <w:r>
        <w:fldChar w:fldCharType="begin"/>
      </w:r>
      <w:r>
        <w:instrText xml:space="preserve"> REF _Ref421884046 \h  \* MERGEFORMAT </w:instrText>
      </w:r>
      <w:r>
        <w:fldChar w:fldCharType="separate"/>
      </w:r>
      <w:r w:rsidR="00820EB1">
        <w:t xml:space="preserve">Figure </w:t>
      </w:r>
      <w:r w:rsidR="00820EB1">
        <w:rPr>
          <w:noProof/>
        </w:rPr>
        <w:t>8</w:t>
      </w:r>
      <w:r>
        <w:fldChar w:fldCharType="end"/>
      </w:r>
      <w:r>
        <w:t xml:space="preserve"> and </w:t>
      </w:r>
      <w:r>
        <w:fldChar w:fldCharType="begin"/>
      </w:r>
      <w:r>
        <w:instrText xml:space="preserve"> REF _Ref421884145 \h  \* MERGEFORMAT </w:instrText>
      </w:r>
      <w:r>
        <w:fldChar w:fldCharType="separate"/>
      </w:r>
      <w:r w:rsidR="00820EB1">
        <w:rPr>
          <w:noProof/>
        </w:rPr>
        <w:t>Figure</w:t>
      </w:r>
      <w:r w:rsidR="00820EB1">
        <w:t xml:space="preserve"> </w:t>
      </w:r>
      <w:r w:rsidR="00820EB1">
        <w:rPr>
          <w:noProof/>
        </w:rPr>
        <w:t>9</w:t>
      </w:r>
      <w:r>
        <w:fldChar w:fldCharType="end"/>
      </w:r>
      <w:r>
        <w:t>.</w:t>
      </w:r>
    </w:p>
    <w:p w14:paraId="05B272DA" w14:textId="07F42552" w:rsidR="00AB0DB6" w:rsidRDefault="00FF1611" w:rsidP="00AB0DB6">
      <w:pPr>
        <w:pStyle w:val="Title"/>
      </w:pPr>
      <w:r>
        <w:drawing>
          <wp:inline distT="0" distB="0" distL="0" distR="0" wp14:anchorId="28606C7D" wp14:editId="440875D9">
            <wp:extent cx="4111392" cy="302895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8751" t="22407" r="25042" b="41265"/>
                    <a:stretch/>
                  </pic:blipFill>
                  <pic:spPr bwMode="auto">
                    <a:xfrm>
                      <a:off x="0" y="0"/>
                      <a:ext cx="4137850" cy="3048442"/>
                    </a:xfrm>
                    <a:prstGeom prst="rect">
                      <a:avLst/>
                    </a:prstGeom>
                    <a:ln>
                      <a:noFill/>
                    </a:ln>
                    <a:extLst>
                      <a:ext uri="{53640926-AAD7-44D8-BBD7-CCE9431645EC}">
                        <a14:shadowObscured xmlns:a14="http://schemas.microsoft.com/office/drawing/2010/main"/>
                      </a:ext>
                    </a:extLst>
                  </pic:spPr>
                </pic:pic>
              </a:graphicData>
            </a:graphic>
          </wp:inline>
        </w:drawing>
      </w:r>
    </w:p>
    <w:p w14:paraId="29ECBC03" w14:textId="77777777" w:rsidR="00AB0DB6" w:rsidRDefault="00AB0DB6" w:rsidP="003610C6">
      <w:pPr>
        <w:pStyle w:val="Caption"/>
      </w:pPr>
      <w:bookmarkStart w:id="36" w:name="_Ref421884046"/>
      <w:r>
        <w:t xml:space="preserve">Figure </w:t>
      </w:r>
      <w:r w:rsidR="00A47317">
        <w:fldChar w:fldCharType="begin"/>
      </w:r>
      <w:r w:rsidR="00A47317">
        <w:instrText xml:space="preserve"> SEQ Figure \* ARABIC </w:instrText>
      </w:r>
      <w:r w:rsidR="00A47317">
        <w:fldChar w:fldCharType="separate"/>
      </w:r>
      <w:r w:rsidR="00820EB1">
        <w:rPr>
          <w:noProof/>
        </w:rPr>
        <w:t>8</w:t>
      </w:r>
      <w:r w:rsidR="00A47317">
        <w:rPr>
          <w:noProof/>
        </w:rPr>
        <w:fldChar w:fldCharType="end"/>
      </w:r>
      <w:bookmarkEnd w:id="36"/>
      <w:r>
        <w:t>: Setup for static glass melting experiments</w:t>
      </w:r>
    </w:p>
    <w:p w14:paraId="79F57602" w14:textId="77777777" w:rsidR="00AB0DB6" w:rsidRPr="00207252" w:rsidRDefault="00AB0DB6" w:rsidP="00AB0DB6">
      <w:pPr>
        <w:pStyle w:val="Title"/>
      </w:pPr>
      <w:r>
        <w:drawing>
          <wp:inline distT="0" distB="0" distL="0" distR="0" wp14:anchorId="27E2BE92" wp14:editId="40B5B4AA">
            <wp:extent cx="4766700" cy="19119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27" t="29308" r="30270" b="23537"/>
                    <a:stretch/>
                  </pic:blipFill>
                  <pic:spPr bwMode="auto">
                    <a:xfrm>
                      <a:off x="0" y="0"/>
                      <a:ext cx="4806670" cy="1927959"/>
                    </a:xfrm>
                    <a:prstGeom prst="rect">
                      <a:avLst/>
                    </a:prstGeom>
                    <a:ln>
                      <a:noFill/>
                    </a:ln>
                    <a:extLst>
                      <a:ext uri="{53640926-AAD7-44D8-BBD7-CCE9431645EC}">
                        <a14:shadowObscured xmlns:a14="http://schemas.microsoft.com/office/drawing/2010/main"/>
                      </a:ext>
                    </a:extLst>
                  </pic:spPr>
                </pic:pic>
              </a:graphicData>
            </a:graphic>
          </wp:inline>
        </w:drawing>
      </w:r>
    </w:p>
    <w:p w14:paraId="58BD3066" w14:textId="77777777" w:rsidR="00AB0DB6" w:rsidRPr="004538AB" w:rsidRDefault="00AB0DB6" w:rsidP="003610C6">
      <w:pPr>
        <w:pStyle w:val="Caption"/>
      </w:pPr>
      <w:bookmarkStart w:id="37" w:name="_Ref421884145"/>
      <w:r>
        <w:t xml:space="preserve">Figure </w:t>
      </w:r>
      <w:r w:rsidR="00A47317">
        <w:fldChar w:fldCharType="begin"/>
      </w:r>
      <w:r w:rsidR="00A47317">
        <w:instrText xml:space="preserve"> SEQ Figure \* ARABIC </w:instrText>
      </w:r>
      <w:r w:rsidR="00A47317">
        <w:fldChar w:fldCharType="separate"/>
      </w:r>
      <w:r w:rsidR="00820EB1">
        <w:rPr>
          <w:noProof/>
        </w:rPr>
        <w:t>9</w:t>
      </w:r>
      <w:r w:rsidR="00A47317">
        <w:rPr>
          <w:noProof/>
        </w:rPr>
        <w:fldChar w:fldCharType="end"/>
      </w:r>
      <w:bookmarkEnd w:id="37"/>
      <w:r>
        <w:t>: Photographs of setup for static glass melting experiments a) path of concentrated radiation beam from HFSS shown by yellow</w:t>
      </w:r>
      <w:r>
        <w:rPr>
          <w:noProof/>
        </w:rPr>
        <w:t xml:space="preserve"> arrow; b) view through 45</w:t>
      </w:r>
      <w:r>
        <w:rPr>
          <w:noProof/>
          <w:vertAlign w:val="superscript"/>
        </w:rPr>
        <w:t>o</w:t>
      </w:r>
      <w:r>
        <w:rPr>
          <w:noProof/>
        </w:rPr>
        <w:t xml:space="preserve"> of glass forming batch contained inside cavity reactor.</w:t>
      </w:r>
    </w:p>
    <w:p w14:paraId="6CF694B1" w14:textId="77777777" w:rsidR="00AB0DB6" w:rsidRDefault="00AB0DB6" w:rsidP="003610C6">
      <w:r>
        <w:t>The surface of the glass forming batch was viewed through the reflected image in the 45</w:t>
      </w:r>
      <w:r>
        <w:rPr>
          <w:vertAlign w:val="superscript"/>
        </w:rPr>
        <w:t>o</w:t>
      </w:r>
      <w:r>
        <w:t xml:space="preserve"> mirror by a camera which was positioned behind the shutters and was fitted with the appropriate filters. Thermocouples were used to measure temperatures of crucible and/or glass during the experiments. Electrical power supply to the lamps and percentage shutter opening was logged during the experiments. Multiplying the electrical power supply by the percentage shutter opening provided a measure of ‘indicative power’ which was much larger than the actual radiative power supplied to the glass forming batch due to inefficiencies in transfer of electrical energy supplied to the lamps to radiation emitted and then further optical losses i.e. losses associated with inaccuracies in directing the radiation emitted from the lamps to the targeted batch samples. In later experiments (see chapter 6), the actual ‘radiative’ power incident at the focal spot of the beam was measured using a calorimeter and it was found to be around 8% of the indicative power. However, the actual radiative power received was not measured during these experiments.</w:t>
      </w:r>
    </w:p>
    <w:p w14:paraId="4AB329C2" w14:textId="77777777" w:rsidR="00AB0DB6" w:rsidRDefault="00AB0DB6" w:rsidP="00C2720A">
      <w:pPr>
        <w:pStyle w:val="Heading3"/>
        <w:numPr>
          <w:ilvl w:val="2"/>
          <w:numId w:val="10"/>
        </w:numPr>
        <w:spacing w:before="100" w:after="100"/>
        <w:contextualSpacing w:val="0"/>
        <w15:collapsed/>
      </w:pPr>
      <w:r>
        <w:t>Experiments (A1-9)</w:t>
      </w:r>
    </w:p>
    <w:p w14:paraId="5655E133" w14:textId="77777777" w:rsidR="00AB0DB6" w:rsidRDefault="00AB0DB6" w:rsidP="00C2720A">
      <w:pPr>
        <w:pStyle w:val="Heading4"/>
        <w:numPr>
          <w:ilvl w:val="3"/>
          <w:numId w:val="10"/>
        </w:numPr>
        <w:spacing w:before="100" w:after="100"/>
        <w:ind w:left="1728"/>
        <w:contextualSpacing w:val="0"/>
        <w15:collapsed/>
      </w:pPr>
      <w:r>
        <w:t>Pure silica batches (A1-4)</w:t>
      </w:r>
    </w:p>
    <w:p w14:paraId="37AD46AE" w14:textId="74CBB869" w:rsidR="00AB0DB6" w:rsidRDefault="00AB0DB6" w:rsidP="00684240">
      <w:r>
        <w:t xml:space="preserve">Experiment A1: 15 g of pure silica was contained within a small mullite crucible with a 30 mm top inside diameter. Two of the solar simulator’s lamps were switched on and shutters were opened gradually, at a rate of 10 % increase every 90 seconds (s) </w:t>
      </w:r>
      <w:r w:rsidR="00B2288F">
        <w:t>until</w:t>
      </w:r>
      <w:r>
        <w:t xml:space="preserve"> 100% opened, providing a maximum indicative power supply of 19 kW. No melting was observed, but part of the crucible appeared to change colour (</w:t>
      </w:r>
      <w:r>
        <w:fldChar w:fldCharType="begin"/>
      </w:r>
      <w:r>
        <w:instrText xml:space="preserve"> REF _Ref449212773 \h </w:instrText>
      </w:r>
      <w:r>
        <w:fldChar w:fldCharType="separate"/>
      </w:r>
      <w:r w:rsidR="00820EB1">
        <w:t xml:space="preserve">Figure </w:t>
      </w:r>
      <w:r w:rsidR="00820EB1">
        <w:rPr>
          <w:noProof/>
        </w:rPr>
        <w:t>10</w:t>
      </w:r>
      <w:r>
        <w:fldChar w:fldCharType="end"/>
      </w:r>
      <w:r>
        <w:t xml:space="preserve">) so then the shutters were gradually closed and the solar simulator turned off to observe the results. Upon cooling it was observed that no glass was produced and the crucible was partially disintegrated at the region which appeared to change colour. </w:t>
      </w:r>
      <w:r>
        <w:rPr>
          <w:noProof/>
        </w:rPr>
        <w:drawing>
          <wp:inline distT="0" distB="0" distL="0" distR="0" wp14:anchorId="15E0BE7E" wp14:editId="69F8AE5B">
            <wp:extent cx="5393055" cy="14478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957" t="29261" r="10757" b="35271"/>
                    <a:stretch/>
                  </pic:blipFill>
                  <pic:spPr bwMode="auto">
                    <a:xfrm>
                      <a:off x="0" y="0"/>
                      <a:ext cx="5395208" cy="1448378"/>
                    </a:xfrm>
                    <a:prstGeom prst="rect">
                      <a:avLst/>
                    </a:prstGeom>
                    <a:ln>
                      <a:noFill/>
                    </a:ln>
                    <a:extLst>
                      <a:ext uri="{53640926-AAD7-44D8-BBD7-CCE9431645EC}">
                        <a14:shadowObscured xmlns:a14="http://schemas.microsoft.com/office/drawing/2010/main"/>
                      </a:ext>
                    </a:extLst>
                  </pic:spPr>
                </pic:pic>
              </a:graphicData>
            </a:graphic>
          </wp:inline>
        </w:drawing>
      </w:r>
    </w:p>
    <w:p w14:paraId="0D7D634C" w14:textId="77777777" w:rsidR="00AB0DB6" w:rsidRDefault="00AB0DB6" w:rsidP="003610C6">
      <w:pPr>
        <w:pStyle w:val="Caption"/>
      </w:pPr>
      <w:bookmarkStart w:id="38" w:name="_Ref449212773"/>
      <w:r>
        <w:t xml:space="preserve">Figure </w:t>
      </w:r>
      <w:r w:rsidR="00A47317">
        <w:fldChar w:fldCharType="begin"/>
      </w:r>
      <w:r w:rsidR="00A47317">
        <w:instrText xml:space="preserve"> SEQ Figure \* ARABIC </w:instrText>
      </w:r>
      <w:r w:rsidR="00A47317">
        <w:fldChar w:fldCharType="separate"/>
      </w:r>
      <w:r w:rsidR="00820EB1">
        <w:rPr>
          <w:noProof/>
        </w:rPr>
        <w:t>10</w:t>
      </w:r>
      <w:r w:rsidR="00A47317">
        <w:rPr>
          <w:noProof/>
        </w:rPr>
        <w:fldChar w:fldCharType="end"/>
      </w:r>
      <w:bookmarkEnd w:id="38"/>
      <w:r>
        <w:t>: Photograph of initial fused silica batch irradiated by 2 lamps of the HFSS beam with shutters 100% opened. Melting of crucible visible from the dark patch at top-left edge of the crucible.</w:t>
      </w:r>
    </w:p>
    <w:p w14:paraId="1E57052C" w14:textId="3C382A7C" w:rsidR="00AB0DB6" w:rsidRDefault="00AB0DB6" w:rsidP="003610C6">
      <w:r>
        <w:t>Experiment A2: Next, a similar experiment was conducted, this time using an alumina crucible to withstand higher temperatures. In this experiment, 20 g of fused silica batch was contained within the crucible. Again, 2 lamps were used and shutters gradually 100% opened but this time the total electrical power supplied was increased to 24.5 kW. No melting was initially visible (</w:t>
      </w:r>
      <w:r>
        <w:fldChar w:fldCharType="begin"/>
      </w:r>
      <w:r>
        <w:instrText xml:space="preserve"> REF _Ref422295662 \h </w:instrText>
      </w:r>
      <w:r>
        <w:fldChar w:fldCharType="separate"/>
      </w:r>
      <w:r w:rsidR="00820EB1" w:rsidRPr="00B15081">
        <w:t xml:space="preserve">Figure </w:t>
      </w:r>
      <w:r w:rsidR="00820EB1">
        <w:rPr>
          <w:noProof/>
        </w:rPr>
        <w:t>11</w:t>
      </w:r>
      <w:r>
        <w:fldChar w:fldCharType="end"/>
      </w:r>
      <w:r>
        <w:t>a) and then a dark patch appeared in the surrounding bed of alumina powder (</w:t>
      </w:r>
      <w:r>
        <w:fldChar w:fldCharType="begin"/>
      </w:r>
      <w:r>
        <w:instrText xml:space="preserve"> REF _Ref422295662 \h </w:instrText>
      </w:r>
      <w:r>
        <w:fldChar w:fldCharType="separate"/>
      </w:r>
      <w:r w:rsidR="00820EB1" w:rsidRPr="00B15081">
        <w:t xml:space="preserve">Figure </w:t>
      </w:r>
      <w:r w:rsidR="00820EB1">
        <w:rPr>
          <w:noProof/>
        </w:rPr>
        <w:t>11</w:t>
      </w:r>
      <w:r>
        <w:fldChar w:fldCharType="end"/>
      </w:r>
      <w:r>
        <w:t>b). In an attempt to force the batch to melt, the power was further increased by switching on a third lamp and again opening shutters 100%, giving a maximum combined electrical power supply of 34.5 kW but still no melting occurred while the dark patch appeared to be growing. Finally, a change in colour of a section of the batch nearest to the dark patch was observed, but at the same time the crucible appeared to be melting (</w:t>
      </w:r>
      <w:r>
        <w:fldChar w:fldCharType="begin"/>
      </w:r>
      <w:r>
        <w:instrText xml:space="preserve"> REF _Ref422295662 \h </w:instrText>
      </w:r>
      <w:r>
        <w:fldChar w:fldCharType="separate"/>
      </w:r>
      <w:r w:rsidR="00820EB1" w:rsidRPr="00B15081">
        <w:t xml:space="preserve">Figure </w:t>
      </w:r>
      <w:r w:rsidR="00820EB1">
        <w:rPr>
          <w:noProof/>
        </w:rPr>
        <w:t>11</w:t>
      </w:r>
      <w:r>
        <w:fldChar w:fldCharType="end"/>
      </w:r>
      <w:r>
        <w:t>c) so then the shutters were closed to abort the experiment.</w:t>
      </w:r>
    </w:p>
    <w:p w14:paraId="0B6E230F" w14:textId="77777777" w:rsidR="00AB0DB6" w:rsidRDefault="00AB0DB6" w:rsidP="00AB0DB6">
      <w:pPr>
        <w:pStyle w:val="Title"/>
      </w:pPr>
      <w:r w:rsidRPr="00AB0DB6">
        <w:drawing>
          <wp:inline distT="0" distB="0" distL="0" distR="0" wp14:anchorId="0445B6F3" wp14:editId="01882C3F">
            <wp:extent cx="3652943" cy="1021278"/>
            <wp:effectExtent l="0" t="0" r="508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292" t="42195" r="19872" b="30538"/>
                    <a:stretch/>
                  </pic:blipFill>
                  <pic:spPr bwMode="auto">
                    <a:xfrm>
                      <a:off x="0" y="0"/>
                      <a:ext cx="3682647" cy="1029583"/>
                    </a:xfrm>
                    <a:prstGeom prst="rect">
                      <a:avLst/>
                    </a:prstGeom>
                    <a:ln>
                      <a:noFill/>
                    </a:ln>
                    <a:extLst>
                      <a:ext uri="{53640926-AAD7-44D8-BBD7-CCE9431645EC}">
                        <a14:shadowObscured xmlns:a14="http://schemas.microsoft.com/office/drawing/2010/main"/>
                      </a:ext>
                    </a:extLst>
                  </pic:spPr>
                </pic:pic>
              </a:graphicData>
            </a:graphic>
          </wp:inline>
        </w:drawing>
      </w:r>
    </w:p>
    <w:p w14:paraId="1B43A129" w14:textId="31E10A7A" w:rsidR="00AB0DB6" w:rsidRPr="00B15081" w:rsidRDefault="00AB0DB6" w:rsidP="003610C6">
      <w:pPr>
        <w:pStyle w:val="Caption"/>
      </w:pPr>
      <w:bookmarkStart w:id="39" w:name="_Ref422295662"/>
      <w:r w:rsidRPr="00B15081">
        <w:t xml:space="preserve">Figure </w:t>
      </w:r>
      <w:r w:rsidR="00A47317">
        <w:fldChar w:fldCharType="begin"/>
      </w:r>
      <w:r w:rsidR="00A47317">
        <w:instrText xml:space="preserve"> SEQ Figure \* ARABIC </w:instrText>
      </w:r>
      <w:r w:rsidR="00A47317">
        <w:fldChar w:fldCharType="separate"/>
      </w:r>
      <w:r w:rsidR="00820EB1">
        <w:rPr>
          <w:noProof/>
        </w:rPr>
        <w:t>11</w:t>
      </w:r>
      <w:r w:rsidR="00A47317">
        <w:rPr>
          <w:noProof/>
        </w:rPr>
        <w:fldChar w:fldCharType="end"/>
      </w:r>
      <w:bookmarkEnd w:id="39"/>
      <w:r w:rsidRPr="00B15081">
        <w:t>: Photographs of fused silica batch under HFSS beam. a) at beginning of experiment</w:t>
      </w:r>
      <w:r>
        <w:t xml:space="preserve"> A2</w:t>
      </w:r>
      <w:r w:rsidRPr="00B15081">
        <w:t>; b) dark patch appears in surrounding alumina; c) dark patch spreads and crucible begins melting just before experiment aborted.</w:t>
      </w:r>
    </w:p>
    <w:p w14:paraId="0C8A69E7" w14:textId="77777777" w:rsidR="00AB0DB6" w:rsidRDefault="00AB0DB6" w:rsidP="003610C6">
      <w:r>
        <w:t>Upon cooling, it appeared that some of the silica may have seeped out of the crucible into the surrounding alumina powder and underwent some form of reaction (</w:t>
      </w:r>
      <w:r>
        <w:fldChar w:fldCharType="begin"/>
      </w:r>
      <w:r>
        <w:instrText xml:space="preserve"> REF _Ref424050790 \h </w:instrText>
      </w:r>
      <w:r>
        <w:fldChar w:fldCharType="separate"/>
      </w:r>
      <w:r w:rsidR="00820EB1">
        <w:t xml:space="preserve">Figure </w:t>
      </w:r>
      <w:r w:rsidR="00820EB1">
        <w:rPr>
          <w:noProof/>
        </w:rPr>
        <w:t>12</w:t>
      </w:r>
      <w:r>
        <w:fldChar w:fldCharType="end"/>
      </w:r>
      <w:r>
        <w:t>). The silica contained within the crucible appeared to be sintered, forming a single block. The glass produced in this experiment appeared to have shrunk away from the crucible at the side opposite to the leak, separating the glass from the containing crucible at this section (</w:t>
      </w:r>
      <w:r>
        <w:fldChar w:fldCharType="begin"/>
      </w:r>
      <w:r>
        <w:instrText xml:space="preserve"> REF _Ref424050790 \h </w:instrText>
      </w:r>
      <w:r>
        <w:fldChar w:fldCharType="separate"/>
      </w:r>
      <w:r w:rsidR="00820EB1">
        <w:t xml:space="preserve">Figure </w:t>
      </w:r>
      <w:r w:rsidR="00820EB1">
        <w:rPr>
          <w:noProof/>
        </w:rPr>
        <w:t>12</w:t>
      </w:r>
      <w:r>
        <w:fldChar w:fldCharType="end"/>
      </w:r>
      <w:r>
        <w:t>).</w:t>
      </w:r>
    </w:p>
    <w:p w14:paraId="350D8BC0" w14:textId="77777777" w:rsidR="00AB0DB6" w:rsidRDefault="00AB0DB6" w:rsidP="003610C6">
      <w:pPr>
        <w:pStyle w:val="Title"/>
      </w:pPr>
      <w:r>
        <w:drawing>
          <wp:inline distT="0" distB="0" distL="0" distR="0" wp14:anchorId="6016278E" wp14:editId="4CF8550B">
            <wp:extent cx="3365441" cy="1944925"/>
            <wp:effectExtent l="0" t="0" r="698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299" t="18983" r="22768" b="30722"/>
                    <a:stretch/>
                  </pic:blipFill>
                  <pic:spPr bwMode="auto">
                    <a:xfrm>
                      <a:off x="0" y="0"/>
                      <a:ext cx="3382815" cy="1954966"/>
                    </a:xfrm>
                    <a:prstGeom prst="rect">
                      <a:avLst/>
                    </a:prstGeom>
                    <a:ln>
                      <a:noFill/>
                    </a:ln>
                    <a:extLst>
                      <a:ext uri="{53640926-AAD7-44D8-BBD7-CCE9431645EC}">
                        <a14:shadowObscured xmlns:a14="http://schemas.microsoft.com/office/drawing/2010/main"/>
                      </a:ext>
                    </a:extLst>
                  </pic:spPr>
                </pic:pic>
              </a:graphicData>
            </a:graphic>
          </wp:inline>
        </w:drawing>
      </w:r>
    </w:p>
    <w:p w14:paraId="63B70D81" w14:textId="77777777" w:rsidR="00AB0DB6" w:rsidRDefault="00AB0DB6">
      <w:pPr>
        <w:pStyle w:val="Caption"/>
      </w:pPr>
      <w:bookmarkStart w:id="40" w:name="_Ref424050790"/>
      <w:r>
        <w:t xml:space="preserve">Figure </w:t>
      </w:r>
      <w:r w:rsidR="00A47317">
        <w:fldChar w:fldCharType="begin"/>
      </w:r>
      <w:r w:rsidR="00A47317">
        <w:instrText xml:space="preserve"> SEQ Figure \* ARABIC </w:instrText>
      </w:r>
      <w:r w:rsidR="00A47317">
        <w:fldChar w:fldCharType="separate"/>
      </w:r>
      <w:r w:rsidR="00820EB1">
        <w:rPr>
          <w:noProof/>
        </w:rPr>
        <w:t>12</w:t>
      </w:r>
      <w:r w:rsidR="00A47317">
        <w:rPr>
          <w:noProof/>
        </w:rPr>
        <w:fldChar w:fldCharType="end"/>
      </w:r>
      <w:bookmarkEnd w:id="40"/>
      <w:r>
        <w:t>: a) Sintered silica and b) section of alumina powder bed corresponding to dark patch in figure 5 where reaction appears to have occurred during experiment A2.</w:t>
      </w:r>
    </w:p>
    <w:p w14:paraId="56557F4A" w14:textId="77777777" w:rsidR="00192975" w:rsidRDefault="00AB0DB6" w:rsidP="003610C6">
      <w:r>
        <w:t xml:space="preserve">Since it appeared from the previous two experiments (A1-2), that focus of the HFSS was over-heating the crucible and surrounding alumina before sufficient power could be supplied batch itself, it was subsequently decided to run another experiment (A3), this time using a larger crucible so that the centre of the focussed beams could be aimed into the batch, with the top exposed surface of the crucible  and surrounding alumina powder further away from the focal point and therefore under a relatively lower flux intensity. </w:t>
      </w:r>
    </w:p>
    <w:p w14:paraId="008DF605" w14:textId="2B191DF7" w:rsidR="00AB0DB6" w:rsidRDefault="00AB0DB6" w:rsidP="003610C6">
      <w:r>
        <w:t>Experiment A3: In this experiment, 40</w:t>
      </w:r>
      <w:r w:rsidR="00192975">
        <w:t xml:space="preserve"> </w:t>
      </w:r>
      <w:r>
        <w:t>g of silica was contained inside a larger crucible with a 41 mm top inside diameter. This time 3 lamps were switched on with a combined electrical power supply of 34.5 kW and the shutters were gradually opened. Video data during this experiment was lost but the following description was recorded based on live observations and data logs of shutter opening and lamp power. A bright spot was observable on the batch surface which appeared to be the point receiving the greatest incident radiation intensity but no melting was observed until 80% shutter opening, when a colour change was observed on the surface of the batch corresponding to the nucleation of a melt which coincided with the aforementioned bright spot. The shutters were then opened further which caused the melt pool to grow and spread with increasing speed but still very slowly and eventually enveloped the entire surface of the batch. At 100% shutter opening some unknown gases began to evolve from the experiment, so the shutters were reduce to 90% and the gaseous emissions appeared to subside. Then, the shutters were closed. After the beam was completely switched off the glass and surrounding refractories were observed to be still glowing red hot (</w:t>
      </w:r>
      <w:r>
        <w:fldChar w:fldCharType="begin"/>
      </w:r>
      <w:r>
        <w:instrText xml:space="preserve"> REF _Ref424055061 \h </w:instrText>
      </w:r>
      <w:r>
        <w:fldChar w:fldCharType="separate"/>
      </w:r>
      <w:r w:rsidR="00820EB1">
        <w:t xml:space="preserve">Figure </w:t>
      </w:r>
      <w:r w:rsidR="00820EB1">
        <w:rPr>
          <w:noProof/>
        </w:rPr>
        <w:t>13</w:t>
      </w:r>
      <w:r>
        <w:fldChar w:fldCharType="end"/>
      </w:r>
      <w:r>
        <w:t xml:space="preserve">). </w:t>
      </w:r>
    </w:p>
    <w:p w14:paraId="6123BD5C" w14:textId="77777777" w:rsidR="00AB0DB6" w:rsidRDefault="00AB0DB6" w:rsidP="003610C6">
      <w:pPr>
        <w:pStyle w:val="Title"/>
      </w:pPr>
      <w:r>
        <w:drawing>
          <wp:inline distT="0" distB="0" distL="0" distR="0" wp14:anchorId="6DE35FDC" wp14:editId="46E16518">
            <wp:extent cx="5731510" cy="4298950"/>
            <wp:effectExtent l="0" t="0" r="2540" b="63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iO2 melt extra power glow.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3245E52" w14:textId="77777777" w:rsidR="00AB0DB6" w:rsidRDefault="00AB0DB6">
      <w:pPr>
        <w:pStyle w:val="Caption"/>
      </w:pPr>
      <w:bookmarkStart w:id="41" w:name="_Ref424055061"/>
      <w:r>
        <w:t xml:space="preserve">Figure </w:t>
      </w:r>
      <w:r w:rsidR="00A47317">
        <w:fldChar w:fldCharType="begin"/>
      </w:r>
      <w:r w:rsidR="00A47317">
        <w:instrText xml:space="preserve"> SEQ Figure \* ARABIC </w:instrText>
      </w:r>
      <w:r w:rsidR="00A47317">
        <w:fldChar w:fldCharType="separate"/>
      </w:r>
      <w:r w:rsidR="00820EB1">
        <w:rPr>
          <w:noProof/>
        </w:rPr>
        <w:t>13</w:t>
      </w:r>
      <w:r w:rsidR="00A47317">
        <w:rPr>
          <w:noProof/>
        </w:rPr>
        <w:fldChar w:fldCharType="end"/>
      </w:r>
      <w:bookmarkEnd w:id="41"/>
      <w:r>
        <w:t>: Photograph of fused silica glass inside cavity reactor visible through the mirror soon after the beam was switched off- still glowing red hot. Experiment A3.</w:t>
      </w:r>
    </w:p>
    <w:p w14:paraId="15434450" w14:textId="77777777" w:rsidR="00AB0DB6" w:rsidRDefault="00AB0DB6" w:rsidP="003610C6">
      <w:r>
        <w:t>Upon cooling, a block of fused silica glass appeared to have been successfully produced with only a very small quantity of remaining silica remaining around the outer edge inside the crucible which later fell onto the surface of the glass (</w:t>
      </w:r>
      <w:r>
        <w:fldChar w:fldCharType="begin"/>
      </w:r>
      <w:r>
        <w:instrText xml:space="preserve"> REF _Ref424115767 \h </w:instrText>
      </w:r>
      <w:r>
        <w:fldChar w:fldCharType="separate"/>
      </w:r>
      <w:r w:rsidR="00820EB1">
        <w:t xml:space="preserve">Figure </w:t>
      </w:r>
      <w:r w:rsidR="00820EB1">
        <w:rPr>
          <w:noProof/>
        </w:rPr>
        <w:t>14</w:t>
      </w:r>
      <w:r>
        <w:fldChar w:fldCharType="end"/>
      </w:r>
      <w:r>
        <w:t xml:space="preserve">). </w:t>
      </w:r>
    </w:p>
    <w:p w14:paraId="50A06057" w14:textId="77777777" w:rsidR="00AB0DB6" w:rsidRDefault="00AB0DB6" w:rsidP="003610C6">
      <w:pPr>
        <w:pStyle w:val="Title"/>
      </w:pPr>
      <w:r>
        <w:drawing>
          <wp:inline distT="0" distB="0" distL="0" distR="0" wp14:anchorId="4FF03265" wp14:editId="4CCA1D04">
            <wp:extent cx="3062176" cy="1563746"/>
            <wp:effectExtent l="0" t="0" r="508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698" t="29694" r="27435" b="31373"/>
                    <a:stretch/>
                  </pic:blipFill>
                  <pic:spPr bwMode="auto">
                    <a:xfrm>
                      <a:off x="0" y="0"/>
                      <a:ext cx="3074765" cy="1570175"/>
                    </a:xfrm>
                    <a:prstGeom prst="rect">
                      <a:avLst/>
                    </a:prstGeom>
                    <a:ln>
                      <a:noFill/>
                    </a:ln>
                    <a:extLst>
                      <a:ext uri="{53640926-AAD7-44D8-BBD7-CCE9431645EC}">
                        <a14:shadowObscured xmlns:a14="http://schemas.microsoft.com/office/drawing/2010/main"/>
                      </a:ext>
                    </a:extLst>
                  </pic:spPr>
                </pic:pic>
              </a:graphicData>
            </a:graphic>
          </wp:inline>
        </w:drawing>
      </w:r>
    </w:p>
    <w:p w14:paraId="339CDB0C" w14:textId="77777777" w:rsidR="00AB0DB6" w:rsidRDefault="00AB0DB6">
      <w:pPr>
        <w:pStyle w:val="Caption"/>
      </w:pPr>
      <w:bookmarkStart w:id="42" w:name="_Ref424115767"/>
      <w:r>
        <w:t xml:space="preserve">Figure </w:t>
      </w:r>
      <w:r w:rsidR="00A47317">
        <w:fldChar w:fldCharType="begin"/>
      </w:r>
      <w:r w:rsidR="00A47317">
        <w:instrText xml:space="preserve"> SEQ Figure \* ARABIC </w:instrText>
      </w:r>
      <w:r w:rsidR="00A47317">
        <w:fldChar w:fldCharType="separate"/>
      </w:r>
      <w:r w:rsidR="00820EB1">
        <w:rPr>
          <w:noProof/>
        </w:rPr>
        <w:t>14</w:t>
      </w:r>
      <w:r w:rsidR="00A47317">
        <w:rPr>
          <w:noProof/>
        </w:rPr>
        <w:fldChar w:fldCharType="end"/>
      </w:r>
      <w:bookmarkEnd w:id="42"/>
      <w:r>
        <w:t>: Photographs of a) fused silica melt surface cooling and b) fused silica glass produced from experiment A3</w:t>
      </w:r>
    </w:p>
    <w:p w14:paraId="238C355A" w14:textId="7D9F5149" w:rsidR="00AB0DB6" w:rsidRDefault="00AB0DB6" w:rsidP="003610C6">
      <w:r>
        <w:t>Experiment A4: Finally, a 55</w:t>
      </w:r>
      <w:r w:rsidR="00192975">
        <w:t xml:space="preserve"> </w:t>
      </w:r>
      <w:r>
        <w:t>g silica batch experiment was conducted aiming to observe the effect of increasing the power supplied further on the melting rate and glass produced. This time, taking extra care to avoid cracking the crucible by increasing power slowly up to a maximum of 4 lamps with 100% shutter opening corresponding to an indicative power supply of 41.8 kW and  resulting in a maximum crucible temperature of around 1340</w:t>
      </w:r>
      <w:r>
        <w:rPr>
          <w:vertAlign w:val="superscript"/>
        </w:rPr>
        <w:t>o</w:t>
      </w:r>
      <w:r>
        <w:t>C (</w:t>
      </w:r>
      <w:r>
        <w:fldChar w:fldCharType="begin"/>
      </w:r>
      <w:r>
        <w:instrText xml:space="preserve"> REF _Ref451029414 \h </w:instrText>
      </w:r>
      <w:r>
        <w:fldChar w:fldCharType="separate"/>
      </w:r>
      <w:r w:rsidR="00820EB1">
        <w:t xml:space="preserve">Figure </w:t>
      </w:r>
      <w:r w:rsidR="00820EB1">
        <w:rPr>
          <w:noProof/>
        </w:rPr>
        <w:t>15</w:t>
      </w:r>
      <w:r>
        <w:fldChar w:fldCharType="end"/>
      </w:r>
      <w:r>
        <w:t xml:space="preserve">). </w:t>
      </w:r>
    </w:p>
    <w:p w14:paraId="54E776F1" w14:textId="77777777" w:rsidR="00AB0DB6" w:rsidRDefault="00AB0DB6" w:rsidP="00AB0DB6">
      <w:pPr>
        <w:pStyle w:val="Title"/>
      </w:pPr>
      <w:r>
        <w:drawing>
          <wp:inline distT="0" distB="0" distL="0" distR="0" wp14:anchorId="00C7F182" wp14:editId="1188AD8B">
            <wp:extent cx="5731510" cy="32397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un 10 temp power time series.tif"/>
                    <pic:cNvPicPr/>
                  </pic:nvPicPr>
                  <pic:blipFill>
                    <a:blip r:embed="rId26">
                      <a:extLst>
                        <a:ext uri="{28A0092B-C50C-407E-A947-70E740481C1C}">
                          <a14:useLocalDpi xmlns:a14="http://schemas.microsoft.com/office/drawing/2010/main" val="0"/>
                        </a:ext>
                      </a:extLst>
                    </a:blip>
                    <a:stretch>
                      <a:fillRect/>
                    </a:stretch>
                  </pic:blipFill>
                  <pic:spPr>
                    <a:xfrm>
                      <a:off x="0" y="0"/>
                      <a:ext cx="5731510" cy="3239770"/>
                    </a:xfrm>
                    <a:prstGeom prst="rect">
                      <a:avLst/>
                    </a:prstGeom>
                  </pic:spPr>
                </pic:pic>
              </a:graphicData>
            </a:graphic>
          </wp:inline>
        </w:drawing>
      </w:r>
    </w:p>
    <w:p w14:paraId="4ECACCB3" w14:textId="77777777" w:rsidR="00AB0DB6" w:rsidRDefault="00AB0DB6">
      <w:pPr>
        <w:pStyle w:val="Caption"/>
      </w:pPr>
      <w:bookmarkStart w:id="43" w:name="_Ref451029414"/>
      <w:r>
        <w:t xml:space="preserve">Figure </w:t>
      </w:r>
      <w:r w:rsidR="00A47317">
        <w:fldChar w:fldCharType="begin"/>
      </w:r>
      <w:r w:rsidR="00A47317">
        <w:instrText xml:space="preserve"> SEQ Figure \* ARABIC </w:instrText>
      </w:r>
      <w:r w:rsidR="00A47317">
        <w:fldChar w:fldCharType="separate"/>
      </w:r>
      <w:r w:rsidR="00820EB1">
        <w:rPr>
          <w:noProof/>
        </w:rPr>
        <w:t>15</w:t>
      </w:r>
      <w:r w:rsidR="00A47317">
        <w:rPr>
          <w:noProof/>
        </w:rPr>
        <w:fldChar w:fldCharType="end"/>
      </w:r>
      <w:bookmarkEnd w:id="43"/>
      <w:r>
        <w:t>: Indicative power and crucible temperature time series for the final silica glass melting experiment (A4).</w:t>
      </w:r>
    </w:p>
    <w:p w14:paraId="551BBE00" w14:textId="5980FF0E" w:rsidR="00AB0DB6" w:rsidRDefault="00AB0DB6" w:rsidP="003610C6">
      <w:r>
        <w:t>A melting zone nucleated from two points on the surface of the batch and with the crucible appearing to still be intact the batch was held at temperature until the batch appeared completely melted with a smooth, reflective surface (</w:t>
      </w:r>
      <w:r>
        <w:fldChar w:fldCharType="begin"/>
      </w:r>
      <w:r>
        <w:instrText xml:space="preserve"> REF _Ref451029475 \h </w:instrText>
      </w:r>
      <w:r>
        <w:fldChar w:fldCharType="separate"/>
      </w:r>
      <w:r w:rsidR="00820EB1" w:rsidRPr="00463BAC">
        <w:t xml:space="preserve">Figure </w:t>
      </w:r>
      <w:r w:rsidR="00820EB1">
        <w:rPr>
          <w:noProof/>
        </w:rPr>
        <w:t>16</w:t>
      </w:r>
      <w:r>
        <w:fldChar w:fldCharType="end"/>
      </w:r>
      <w:r>
        <w:t xml:space="preserve">). </w:t>
      </w:r>
      <w:r>
        <w:fldChar w:fldCharType="begin"/>
      </w:r>
      <w:r>
        <w:instrText xml:space="preserve"> REF _Ref424116949 \h </w:instrText>
      </w:r>
      <w:r>
        <w:fldChar w:fldCharType="separate"/>
      </w:r>
      <w:r w:rsidR="00820EB1">
        <w:t xml:space="preserve">Figure </w:t>
      </w:r>
      <w:r w:rsidR="00820EB1">
        <w:rPr>
          <w:noProof/>
        </w:rPr>
        <w:t>17</w:t>
      </w:r>
      <w:r>
        <w:fldChar w:fldCharType="end"/>
      </w:r>
      <w:r>
        <w:t xml:space="preserve"> shows a sample the glass produced upon cooling.</w:t>
      </w:r>
    </w:p>
    <w:p w14:paraId="2454F113" w14:textId="77777777" w:rsidR="00AB0DB6" w:rsidRDefault="00AB0DB6" w:rsidP="00AB0DB6">
      <w:pPr>
        <w:pStyle w:val="Title"/>
      </w:pPr>
      <w:bookmarkStart w:id="44" w:name="_Ref422405328"/>
      <w:r w:rsidRPr="00AB0DB6">
        <w:drawing>
          <wp:inline distT="0" distB="0" distL="0" distR="0" wp14:anchorId="43767282" wp14:editId="3213AF5F">
            <wp:extent cx="5620553" cy="732598"/>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511" t="52130" r="3079" b="28071"/>
                    <a:stretch/>
                  </pic:blipFill>
                  <pic:spPr bwMode="auto">
                    <a:xfrm>
                      <a:off x="0" y="0"/>
                      <a:ext cx="5668333" cy="738826"/>
                    </a:xfrm>
                    <a:prstGeom prst="rect">
                      <a:avLst/>
                    </a:prstGeom>
                    <a:ln>
                      <a:noFill/>
                    </a:ln>
                    <a:extLst>
                      <a:ext uri="{53640926-AAD7-44D8-BBD7-CCE9431645EC}">
                        <a14:shadowObscured xmlns:a14="http://schemas.microsoft.com/office/drawing/2010/main"/>
                      </a:ext>
                    </a:extLst>
                  </pic:spPr>
                </pic:pic>
              </a:graphicData>
            </a:graphic>
          </wp:inline>
        </w:drawing>
      </w:r>
    </w:p>
    <w:p w14:paraId="69B12F08" w14:textId="77777777" w:rsidR="00AB0DB6" w:rsidRPr="00463BAC" w:rsidRDefault="00AB0DB6" w:rsidP="003610C6">
      <w:pPr>
        <w:pStyle w:val="Caption"/>
      </w:pPr>
      <w:r w:rsidRPr="00463BAC">
        <w:tab/>
      </w:r>
      <w:bookmarkStart w:id="45" w:name="_Ref451029475"/>
      <w:r w:rsidRPr="00463BAC">
        <w:t xml:space="preserve">Figure </w:t>
      </w:r>
      <w:r w:rsidR="00A47317">
        <w:fldChar w:fldCharType="begin"/>
      </w:r>
      <w:r w:rsidR="00A47317">
        <w:instrText xml:space="preserve"> SEQ Figure \* ARABIC </w:instrText>
      </w:r>
      <w:r w:rsidR="00A47317">
        <w:fldChar w:fldCharType="separate"/>
      </w:r>
      <w:r w:rsidR="00820EB1">
        <w:rPr>
          <w:noProof/>
        </w:rPr>
        <w:t>16</w:t>
      </w:r>
      <w:r w:rsidR="00A47317">
        <w:rPr>
          <w:noProof/>
        </w:rPr>
        <w:fldChar w:fldCharType="end"/>
      </w:r>
      <w:bookmarkEnd w:id="44"/>
      <w:bookmarkEnd w:id="45"/>
      <w:r w:rsidRPr="00463BAC">
        <w:t>: Progression of fused silica melt during experiment A4.</w:t>
      </w:r>
    </w:p>
    <w:p w14:paraId="4D662A89" w14:textId="77777777" w:rsidR="00AB0DB6" w:rsidRDefault="00AB0DB6" w:rsidP="00AB0DB6">
      <w:pPr>
        <w:pStyle w:val="Title"/>
      </w:pPr>
      <w:bookmarkStart w:id="46" w:name="_Ref422405959"/>
      <w:r>
        <w:drawing>
          <wp:inline distT="0" distB="0" distL="0" distR="0" wp14:anchorId="383B8BE8" wp14:editId="5F730631">
            <wp:extent cx="3409950" cy="28668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7284" t="19803" r="37845" b="13104"/>
                    <a:stretch/>
                  </pic:blipFill>
                  <pic:spPr bwMode="auto">
                    <a:xfrm>
                      <a:off x="0" y="0"/>
                      <a:ext cx="3423296" cy="2878105"/>
                    </a:xfrm>
                    <a:prstGeom prst="rect">
                      <a:avLst/>
                    </a:prstGeom>
                    <a:ln>
                      <a:noFill/>
                    </a:ln>
                    <a:extLst>
                      <a:ext uri="{53640926-AAD7-44D8-BBD7-CCE9431645EC}">
                        <a14:shadowObscured xmlns:a14="http://schemas.microsoft.com/office/drawing/2010/main"/>
                      </a:ext>
                    </a:extLst>
                  </pic:spPr>
                </pic:pic>
              </a:graphicData>
            </a:graphic>
          </wp:inline>
        </w:drawing>
      </w:r>
    </w:p>
    <w:p w14:paraId="637AA16F" w14:textId="77777777" w:rsidR="00AB0DB6" w:rsidRPr="00AC15BC" w:rsidRDefault="00AB0DB6">
      <w:pPr>
        <w:pStyle w:val="Caption"/>
      </w:pPr>
      <w:bookmarkStart w:id="47" w:name="_Ref424116949"/>
      <w:r>
        <w:t xml:space="preserve">Figure </w:t>
      </w:r>
      <w:r w:rsidR="00A47317">
        <w:fldChar w:fldCharType="begin"/>
      </w:r>
      <w:r w:rsidR="00A47317">
        <w:instrText xml:space="preserve"> SEQ Figure \* ARABIC </w:instrText>
      </w:r>
      <w:r w:rsidR="00A47317">
        <w:fldChar w:fldCharType="separate"/>
      </w:r>
      <w:r w:rsidR="00820EB1">
        <w:rPr>
          <w:noProof/>
        </w:rPr>
        <w:t>17</w:t>
      </w:r>
      <w:r w:rsidR="00A47317">
        <w:rPr>
          <w:noProof/>
        </w:rPr>
        <w:fldChar w:fldCharType="end"/>
      </w:r>
      <w:bookmarkEnd w:id="46"/>
      <w:bookmarkEnd w:id="47"/>
      <w:r>
        <w:t>: Fused silica glass produced from static melting experiment A4.</w:t>
      </w:r>
    </w:p>
    <w:p w14:paraId="72900D17" w14:textId="77777777" w:rsidR="00AB0DB6" w:rsidRDefault="00AB0DB6" w:rsidP="00C2720A">
      <w:pPr>
        <w:pStyle w:val="Heading4"/>
        <w:numPr>
          <w:ilvl w:val="3"/>
          <w:numId w:val="10"/>
        </w:numPr>
        <w:spacing w:before="100" w:after="100"/>
        <w:ind w:left="1728"/>
        <w:contextualSpacing w:val="0"/>
        <w15:collapsed/>
      </w:pPr>
      <w:bookmarkStart w:id="48" w:name="_Ref451281401"/>
      <w:r>
        <w:t>Soda-lime-silica powdered batches (A5-7)</w:t>
      </w:r>
      <w:bookmarkEnd w:id="48"/>
    </w:p>
    <w:p w14:paraId="1B532F88" w14:textId="77777777" w:rsidR="00AB0DB6" w:rsidRDefault="00AB0DB6" w:rsidP="003610C6">
      <w:r>
        <w:t>Experiment A5: The initial soda-lime-silica melt consisted of 19 g of powder batch inside a small crucible of 30 mm top inside diameter. Two lamps were switched on with an electrical power supply of 19.1 kW and the shutters were gradually opened at a rate of 10% every 90 seconds. By 80% shutter opening, foam and small bubbles were visible on the glass forming batch surface (</w:t>
      </w:r>
      <w:r>
        <w:fldChar w:fldCharType="begin"/>
      </w:r>
      <w:r>
        <w:instrText xml:space="preserve"> REF _Ref451030016 \h </w:instrText>
      </w:r>
      <w:r>
        <w:fldChar w:fldCharType="separate"/>
      </w:r>
      <w:r w:rsidR="00820EB1">
        <w:t xml:space="preserve">Figure </w:t>
      </w:r>
      <w:r w:rsidR="00820EB1">
        <w:rPr>
          <w:noProof/>
        </w:rPr>
        <w:t>18</w:t>
      </w:r>
      <w:r>
        <w:fldChar w:fldCharType="end"/>
      </w:r>
      <w:r>
        <w:t>a). The shutters were held at 80% opening, corresponding to an indicative power of 15.3 kW, for 14.5 minutes. During this period, large bubbles evolved and as they collapsed drew in some of the foam from the surface (</w:t>
      </w:r>
      <w:r>
        <w:fldChar w:fldCharType="begin"/>
      </w:r>
      <w:r>
        <w:instrText xml:space="preserve"> REF _Ref451030016 \h </w:instrText>
      </w:r>
      <w:r>
        <w:fldChar w:fldCharType="separate"/>
      </w:r>
      <w:r w:rsidR="00820EB1">
        <w:t xml:space="preserve">Figure </w:t>
      </w:r>
      <w:r w:rsidR="00820EB1">
        <w:rPr>
          <w:noProof/>
        </w:rPr>
        <w:t>18</w:t>
      </w:r>
      <w:r>
        <w:fldChar w:fldCharType="end"/>
      </w:r>
      <w:r>
        <w:t>b). At 22m:22s from the start of experiment A5 (</w:t>
      </w:r>
      <w:r>
        <w:fldChar w:fldCharType="begin"/>
      </w:r>
      <w:r>
        <w:instrText xml:space="preserve"> REF _Ref451030016 \h </w:instrText>
      </w:r>
      <w:r>
        <w:fldChar w:fldCharType="separate"/>
      </w:r>
      <w:r w:rsidR="00820EB1">
        <w:t xml:space="preserve">Figure </w:t>
      </w:r>
      <w:r w:rsidR="00820EB1">
        <w:rPr>
          <w:noProof/>
        </w:rPr>
        <w:t>18</w:t>
      </w:r>
      <w:r>
        <w:fldChar w:fldCharType="end"/>
      </w:r>
      <w:r>
        <w:t>c), the bubbling ceased and then the remaining foam dissipated, leaving a clear, static, melt surface with a reflected image of the two solar simulator lamps on its surface (</w:t>
      </w:r>
      <w:r>
        <w:fldChar w:fldCharType="begin"/>
      </w:r>
      <w:r>
        <w:instrText xml:space="preserve"> REF _Ref451030016 \h </w:instrText>
      </w:r>
      <w:r>
        <w:fldChar w:fldCharType="separate"/>
      </w:r>
      <w:r w:rsidR="00820EB1">
        <w:t xml:space="preserve">Figure </w:t>
      </w:r>
      <w:r w:rsidR="00820EB1">
        <w:rPr>
          <w:noProof/>
        </w:rPr>
        <w:t>18</w:t>
      </w:r>
      <w:r>
        <w:fldChar w:fldCharType="end"/>
      </w:r>
      <w:r>
        <w:t xml:space="preserve">d). </w:t>
      </w:r>
    </w:p>
    <w:p w14:paraId="615337C4" w14:textId="77777777" w:rsidR="00AB0DB6" w:rsidRDefault="00AB0DB6" w:rsidP="003610C6">
      <w:pPr>
        <w:pStyle w:val="Title"/>
      </w:pPr>
      <w:bookmarkStart w:id="49" w:name="_Ref422408018"/>
      <w:bookmarkStart w:id="50" w:name="_Ref424136762"/>
      <w:r>
        <w:drawing>
          <wp:inline distT="0" distB="0" distL="0" distR="0" wp14:anchorId="5AC16782" wp14:editId="48ACBAAC">
            <wp:extent cx="5208357" cy="38385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461" t="13300" r="32195" b="15468"/>
                    <a:stretch/>
                  </pic:blipFill>
                  <pic:spPr bwMode="auto">
                    <a:xfrm>
                      <a:off x="0" y="0"/>
                      <a:ext cx="5219536" cy="3846814"/>
                    </a:xfrm>
                    <a:prstGeom prst="rect">
                      <a:avLst/>
                    </a:prstGeom>
                    <a:ln>
                      <a:noFill/>
                    </a:ln>
                    <a:extLst>
                      <a:ext uri="{53640926-AAD7-44D8-BBD7-CCE9431645EC}">
                        <a14:shadowObscured xmlns:a14="http://schemas.microsoft.com/office/drawing/2010/main"/>
                      </a:ext>
                    </a:extLst>
                  </pic:spPr>
                </pic:pic>
              </a:graphicData>
            </a:graphic>
          </wp:inline>
        </w:drawing>
      </w:r>
    </w:p>
    <w:p w14:paraId="508F3F5B" w14:textId="77777777" w:rsidR="00AB0DB6" w:rsidRDefault="00AB0DB6">
      <w:pPr>
        <w:pStyle w:val="Caption"/>
      </w:pPr>
      <w:bookmarkStart w:id="51" w:name="_Ref451030016"/>
      <w:r>
        <w:t xml:space="preserve">Figure </w:t>
      </w:r>
      <w:r w:rsidR="00A47317">
        <w:fldChar w:fldCharType="begin"/>
      </w:r>
      <w:r w:rsidR="00A47317">
        <w:instrText xml:space="preserve"> SEQ Figure \* ARABIC </w:instrText>
      </w:r>
      <w:r w:rsidR="00A47317">
        <w:fldChar w:fldCharType="separate"/>
      </w:r>
      <w:r w:rsidR="00820EB1">
        <w:rPr>
          <w:noProof/>
        </w:rPr>
        <w:t>18</w:t>
      </w:r>
      <w:r w:rsidR="00A47317">
        <w:rPr>
          <w:noProof/>
        </w:rPr>
        <w:fldChar w:fldCharType="end"/>
      </w:r>
      <w:bookmarkEnd w:id="49"/>
      <w:bookmarkEnd w:id="50"/>
      <w:bookmarkEnd w:id="51"/>
      <w:r>
        <w:t>: Crucible temperature and indicative power time series with snapshots showing progression of 19 g soda-lime-silica melt during experiment A5 at the maximum indicative power of 15.32 kW  at the following times after the start of the experiment: a) 12m:02s; b) 18m:20s; c) 22m:22s; d) 25m:08s.</w:t>
      </w:r>
    </w:p>
    <w:p w14:paraId="227E6824" w14:textId="77777777" w:rsidR="00AB0DB6" w:rsidRDefault="00AB0DB6" w:rsidP="003610C6">
      <w:r>
        <w:t>Upon cooling, a completely transparent glass was revealed (</w:t>
      </w:r>
      <w:r>
        <w:fldChar w:fldCharType="begin"/>
      </w:r>
      <w:r>
        <w:instrText xml:space="preserve"> REF _Ref451030196 \h </w:instrText>
      </w:r>
      <w:r>
        <w:fldChar w:fldCharType="separate"/>
      </w:r>
      <w:r w:rsidR="00820EB1">
        <w:t xml:space="preserve">Figure </w:t>
      </w:r>
      <w:r w:rsidR="00820EB1">
        <w:rPr>
          <w:noProof/>
        </w:rPr>
        <w:t>19</w:t>
      </w:r>
      <w:r>
        <w:fldChar w:fldCharType="end"/>
      </w:r>
      <w:r>
        <w:t xml:space="preserve">). It appeared that the entire contents of the crucible had fully melted. This was the first example of producing a transparent glass using a concentrated radiation heat source. </w:t>
      </w:r>
    </w:p>
    <w:p w14:paraId="666DFE00" w14:textId="77777777" w:rsidR="00AB0DB6" w:rsidRDefault="00AB0DB6" w:rsidP="003610C6">
      <w:pPr>
        <w:pStyle w:val="Title"/>
      </w:pPr>
      <w:bookmarkStart w:id="52" w:name="_Ref422831057"/>
      <w:r>
        <w:drawing>
          <wp:inline distT="0" distB="0" distL="0" distR="0" wp14:anchorId="25822729" wp14:editId="0D251F19">
            <wp:extent cx="2881424" cy="1959790"/>
            <wp:effectExtent l="0" t="0" r="0"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255" t="22766" r="29098" b="28066"/>
                    <a:stretch/>
                  </pic:blipFill>
                  <pic:spPr bwMode="auto">
                    <a:xfrm>
                      <a:off x="0" y="0"/>
                      <a:ext cx="2893286" cy="1967858"/>
                    </a:xfrm>
                    <a:prstGeom prst="rect">
                      <a:avLst/>
                    </a:prstGeom>
                    <a:ln>
                      <a:noFill/>
                    </a:ln>
                    <a:extLst>
                      <a:ext uri="{53640926-AAD7-44D8-BBD7-CCE9431645EC}">
                        <a14:shadowObscured xmlns:a14="http://schemas.microsoft.com/office/drawing/2010/main"/>
                      </a:ext>
                    </a:extLst>
                  </pic:spPr>
                </pic:pic>
              </a:graphicData>
            </a:graphic>
          </wp:inline>
        </w:drawing>
      </w:r>
    </w:p>
    <w:p w14:paraId="24B6266F" w14:textId="77777777" w:rsidR="00AB0DB6" w:rsidRDefault="00AB0DB6" w:rsidP="003610C6">
      <w:pPr>
        <w:pStyle w:val="Caption"/>
      </w:pPr>
      <w:bookmarkStart w:id="53" w:name="_Ref451030196"/>
      <w:r>
        <w:t xml:space="preserve">Figure </w:t>
      </w:r>
      <w:r w:rsidR="00A47317">
        <w:fldChar w:fldCharType="begin"/>
      </w:r>
      <w:r w:rsidR="00A47317">
        <w:instrText xml:space="preserve"> SEQ Figure \* ARABIC </w:instrText>
      </w:r>
      <w:r w:rsidR="00A47317">
        <w:fldChar w:fldCharType="separate"/>
      </w:r>
      <w:r w:rsidR="00820EB1">
        <w:rPr>
          <w:noProof/>
        </w:rPr>
        <w:t>19</w:t>
      </w:r>
      <w:r w:rsidR="00A47317">
        <w:rPr>
          <w:noProof/>
        </w:rPr>
        <w:fldChar w:fldCharType="end"/>
      </w:r>
      <w:bookmarkEnd w:id="53"/>
      <w:r>
        <w:t xml:space="preserve">: </w:t>
      </w:r>
      <w:r w:rsidRPr="007E54F7">
        <w:t>First soda-lime-silica glass sample produced from experiment A5.</w:t>
      </w:r>
    </w:p>
    <w:bookmarkEnd w:id="52"/>
    <w:p w14:paraId="7AED4165" w14:textId="77777777" w:rsidR="00AB0DB6" w:rsidRDefault="00AB0DB6" w:rsidP="003610C6">
      <w:r>
        <w:t>Experiment A6: Next, a larger (80 g) soda-lime-silica batch was tested, this time in a graphite-clay crucible (‘</w:t>
      </w:r>
      <w:r w:rsidRPr="0044059C">
        <w:rPr>
          <w:i/>
        </w:rPr>
        <w:t>Super Salamander</w:t>
      </w:r>
      <w:r>
        <w:t>’, Morgan Ceramics). Again, 2 lamps were switched on and shutters gradually opened but this time before any melt could be produced unknown fumes were observed evolving from the experiment. It was suspected that this may have been due to a reaction of the graphite in the crucible with the silica in the batch and there was no extractor to remove the fumes so, for safety, the experiment was aborted after only 4.5 minutes of switching the lamps on, when the temperature of the crucible measured only 462</w:t>
      </w:r>
      <w:r>
        <w:rPr>
          <w:vertAlign w:val="superscript"/>
        </w:rPr>
        <w:t>o</w:t>
      </w:r>
      <w:r>
        <w:t>C.  Subsequently, it was decided to use mullite or alumina crucibles rather than graphite ones.</w:t>
      </w:r>
    </w:p>
    <w:p w14:paraId="7AF2AE0F" w14:textId="44C5A656" w:rsidR="00AB0DB6" w:rsidRDefault="00AB0DB6" w:rsidP="003610C6">
      <w:r>
        <w:t>Experiment A7: Finally, the largest available mullite crucible was filled with 232.9g of soda-lime-silica powdered batch to test the maximum possible limits. During this experiment the glass temperature was measured (</w:t>
      </w:r>
      <w:r>
        <w:fldChar w:fldCharType="begin"/>
      </w:r>
      <w:r>
        <w:instrText xml:space="preserve"> REF _Ref451030327 \h </w:instrText>
      </w:r>
      <w:r>
        <w:fldChar w:fldCharType="separate"/>
      </w:r>
      <w:r w:rsidR="00820EB1">
        <w:t xml:space="preserve">Figure </w:t>
      </w:r>
      <w:r w:rsidR="00820EB1">
        <w:rPr>
          <w:noProof/>
        </w:rPr>
        <w:t>20</w:t>
      </w:r>
      <w:r>
        <w:fldChar w:fldCharType="end"/>
      </w:r>
      <w:r>
        <w:t>) using a thermocouple immersed directly inside the glass batch. There was no ava</w:t>
      </w:r>
      <w:r w:rsidR="004720AE">
        <w:t>ilable crucible large enough to</w:t>
      </w:r>
      <w:r>
        <w:t xml:space="preserve"> function as the outer safety crucible so the inner crucible was placed directly inside a carved out refractory insulation brick instead. A total three lamps were used and the shutters were gradually opened to 80% when the glass temperature approached 1500</w:t>
      </w:r>
      <w:r>
        <w:rPr>
          <w:vertAlign w:val="superscript"/>
        </w:rPr>
        <w:t>o</w:t>
      </w:r>
      <w:r>
        <w:t>C and the glass appeared to be reacting vigorously and foaming substantially (</w:t>
      </w:r>
      <w:r w:rsidR="00DE242A">
        <w:t>Figure 20</w:t>
      </w:r>
      <w:r>
        <w:t>a). The shutters were held at 80% opening with the three lamps on, providing an indicative power of 25.1 kW for 16 minutes and then the glass temperature appeared to be decreasing and there was significant foam on the melt surface (</w:t>
      </w:r>
      <w:r>
        <w:fldChar w:fldCharType="begin"/>
      </w:r>
      <w:r>
        <w:instrText xml:space="preserve"> REF _Ref451030327 \h </w:instrText>
      </w:r>
      <w:r>
        <w:fldChar w:fldCharType="separate"/>
      </w:r>
      <w:r w:rsidR="00820EB1">
        <w:t xml:space="preserve">Figure </w:t>
      </w:r>
      <w:r w:rsidR="00820EB1">
        <w:rPr>
          <w:noProof/>
        </w:rPr>
        <w:t>20</w:t>
      </w:r>
      <w:r>
        <w:fldChar w:fldCharType="end"/>
      </w:r>
      <w:r>
        <w:t>b) so the shutters were opened slightly more to 90 % giving a maximum indicative power of 28.2 kW for a further 36 minutes by when most of the reactions appeared to have completed and foam dissipated, leaving a static, reflective melt surface (</w:t>
      </w:r>
      <w:r>
        <w:fldChar w:fldCharType="begin"/>
      </w:r>
      <w:r>
        <w:instrText xml:space="preserve"> REF _Ref451030327 \h </w:instrText>
      </w:r>
      <w:r>
        <w:fldChar w:fldCharType="separate"/>
      </w:r>
      <w:r w:rsidR="00820EB1">
        <w:t xml:space="preserve">Figure </w:t>
      </w:r>
      <w:r w:rsidR="00820EB1">
        <w:rPr>
          <w:noProof/>
        </w:rPr>
        <w:t>20</w:t>
      </w:r>
      <w:r>
        <w:fldChar w:fldCharType="end"/>
      </w:r>
      <w:r>
        <w:t>c). Then, in order to demonstrate an annealing process, the shutters were gradually closed and lamps switched to slow cool the glass to its transition temperature of around 500</w:t>
      </w:r>
      <w:r>
        <w:rPr>
          <w:vertAlign w:val="superscript"/>
        </w:rPr>
        <w:t>o</w:t>
      </w:r>
      <w:r>
        <w:t>C. It was held at this temperature (requiring 1 lamp on with around 40% shutter opening corresponding to around 4.2 kW) for half an hour and then the shutters were gradually closed to allow the glass to eventually cool down to room temperature.</w:t>
      </w:r>
    </w:p>
    <w:p w14:paraId="4B0C64B8" w14:textId="77777777" w:rsidR="00AB0DB6" w:rsidRDefault="00AB0DB6" w:rsidP="003610C6">
      <w:pPr>
        <w:pStyle w:val="Title"/>
      </w:pPr>
      <w:bookmarkStart w:id="54" w:name="_Ref422905616"/>
      <w:r>
        <w:drawing>
          <wp:inline distT="0" distB="0" distL="0" distR="0" wp14:anchorId="6426B555" wp14:editId="3C076102">
            <wp:extent cx="5731510" cy="30861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 with snapshots ID12.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3086100"/>
                    </a:xfrm>
                    <a:prstGeom prst="rect">
                      <a:avLst/>
                    </a:prstGeom>
                  </pic:spPr>
                </pic:pic>
              </a:graphicData>
            </a:graphic>
          </wp:inline>
        </w:drawing>
      </w:r>
    </w:p>
    <w:p w14:paraId="3580B6A5" w14:textId="77777777" w:rsidR="00AB0DB6" w:rsidRPr="0019762F" w:rsidRDefault="00AB0DB6" w:rsidP="003610C6">
      <w:pPr>
        <w:pStyle w:val="Caption"/>
      </w:pPr>
      <w:bookmarkStart w:id="55" w:name="_Ref451030327"/>
      <w:r>
        <w:t xml:space="preserve">Figure </w:t>
      </w:r>
      <w:r w:rsidR="00A47317">
        <w:fldChar w:fldCharType="begin"/>
      </w:r>
      <w:r w:rsidR="00A47317">
        <w:instrText xml:space="preserve"> SEQ Figure \* ARABIC </w:instrText>
      </w:r>
      <w:r w:rsidR="00A47317">
        <w:fldChar w:fldCharType="separate"/>
      </w:r>
      <w:r w:rsidR="00820EB1">
        <w:rPr>
          <w:noProof/>
        </w:rPr>
        <w:t>20</w:t>
      </w:r>
      <w:r w:rsidR="00A47317">
        <w:rPr>
          <w:noProof/>
        </w:rPr>
        <w:fldChar w:fldCharType="end"/>
      </w:r>
      <w:bookmarkEnd w:id="55"/>
      <w:r>
        <w:t xml:space="preserve">: </w:t>
      </w:r>
      <w:bookmarkEnd w:id="54"/>
      <w:r>
        <w:t>Temperature and indicative power profiles for 233g soda-lime-silica glass forming batch melt and corresponding snapshots of melt surface during experiment A7 seen through 6 cm dia aperture. a) 80% shutter opening / 12m:37s from start of experiment; b) 90% / ~50-60min; c) 90% shutter opening 28m:13s.</w:t>
      </w:r>
    </w:p>
    <w:p w14:paraId="25EB9C94" w14:textId="77777777" w:rsidR="00AB0DB6" w:rsidRDefault="00AB0DB6" w:rsidP="003610C6">
      <w:r>
        <w:t>Upon cooling, the glass produced again appeared fully transparent with no unreacted batch remaining. However, despite the attempt to anneal at the transition temperature it had still cracked and there were still some trapped bubbles, more so from deeper in the melt than the surface (</w:t>
      </w:r>
      <w:r>
        <w:fldChar w:fldCharType="begin"/>
      </w:r>
      <w:r>
        <w:instrText xml:space="preserve"> REF _Ref422906759 \h </w:instrText>
      </w:r>
      <w:r>
        <w:fldChar w:fldCharType="separate"/>
      </w:r>
      <w:r w:rsidR="00820EB1">
        <w:t xml:space="preserve">Figure </w:t>
      </w:r>
      <w:r w:rsidR="00820EB1">
        <w:rPr>
          <w:noProof/>
        </w:rPr>
        <w:t>21</w:t>
      </w:r>
      <w:r>
        <w:fldChar w:fldCharType="end"/>
      </w:r>
      <w:r>
        <w:t>).</w:t>
      </w:r>
    </w:p>
    <w:p w14:paraId="5AE29BED" w14:textId="77777777" w:rsidR="00AB0DB6" w:rsidRPr="00B46739" w:rsidRDefault="00AB0DB6" w:rsidP="00AB0DB6">
      <w:pPr>
        <w:pStyle w:val="Title"/>
      </w:pPr>
      <w:r>
        <w:drawing>
          <wp:inline distT="0" distB="0" distL="0" distR="0" wp14:anchorId="02216F7C" wp14:editId="57BE8EC9">
            <wp:extent cx="5454503" cy="2032071"/>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0207" t="20126" r="12600" b="28726"/>
                    <a:stretch/>
                  </pic:blipFill>
                  <pic:spPr bwMode="auto">
                    <a:xfrm>
                      <a:off x="0" y="0"/>
                      <a:ext cx="5480778" cy="2041860"/>
                    </a:xfrm>
                    <a:prstGeom prst="rect">
                      <a:avLst/>
                    </a:prstGeom>
                    <a:ln>
                      <a:noFill/>
                    </a:ln>
                    <a:extLst>
                      <a:ext uri="{53640926-AAD7-44D8-BBD7-CCE9431645EC}">
                        <a14:shadowObscured xmlns:a14="http://schemas.microsoft.com/office/drawing/2010/main"/>
                      </a:ext>
                    </a:extLst>
                  </pic:spPr>
                </pic:pic>
              </a:graphicData>
            </a:graphic>
          </wp:inline>
        </w:drawing>
      </w:r>
    </w:p>
    <w:p w14:paraId="4284BBD9" w14:textId="77777777" w:rsidR="00AB0DB6" w:rsidRDefault="00AB0DB6">
      <w:pPr>
        <w:pStyle w:val="Caption"/>
      </w:pPr>
      <w:bookmarkStart w:id="56" w:name="_Ref422906759"/>
      <w:r>
        <w:t xml:space="preserve">Figure </w:t>
      </w:r>
      <w:r w:rsidR="00A47317">
        <w:fldChar w:fldCharType="begin"/>
      </w:r>
      <w:r w:rsidR="00A47317">
        <w:instrText xml:space="preserve"> SEQ Figure \* ARABIC </w:instrText>
      </w:r>
      <w:r w:rsidR="00A47317">
        <w:fldChar w:fldCharType="separate"/>
      </w:r>
      <w:r w:rsidR="00820EB1">
        <w:rPr>
          <w:noProof/>
        </w:rPr>
        <w:t>21</w:t>
      </w:r>
      <w:r w:rsidR="00A47317">
        <w:rPr>
          <w:noProof/>
        </w:rPr>
        <w:fldChar w:fldCharType="end"/>
      </w:r>
      <w:bookmarkEnd w:id="56"/>
      <w:r>
        <w:t>: Soda-lime-silica glass produced from 233g powdered SLS batch during experiment A7.</w:t>
      </w:r>
    </w:p>
    <w:p w14:paraId="79274B1F" w14:textId="0BC9EDA3" w:rsidR="00AB0DB6" w:rsidRPr="0001512F" w:rsidRDefault="00AB0DB6" w:rsidP="003610C6">
      <w:pPr>
        <w:ind w:firstLine="0"/>
      </w:pPr>
      <w:r>
        <w:t>The 233 g of soda-lime-silica batch would have formed 191 g of glass, with the difference in mass due to the CO</w:t>
      </w:r>
      <w:r>
        <w:softHyphen/>
      </w:r>
      <w:r>
        <w:rPr>
          <w:vertAlign w:val="subscript"/>
        </w:rPr>
        <w:t xml:space="preserve">2 </w:t>
      </w:r>
      <w:r>
        <w:rPr>
          <w:vertAlign w:val="subscript"/>
        </w:rPr>
        <w:softHyphen/>
      </w:r>
      <w:r>
        <w:t>gas produced from the decomposition of carbonates during the glass forming process. Based on a typical density for soda-lime-silica glass of 2470 kg/m</w:t>
      </w:r>
      <w:r>
        <w:rPr>
          <w:vertAlign w:val="superscript"/>
        </w:rPr>
        <w:t>3</w:t>
      </w:r>
      <w:r>
        <w:t>, the 191</w:t>
      </w:r>
      <w:r w:rsidR="00A42417">
        <w:t xml:space="preserve"> </w:t>
      </w:r>
      <w:r>
        <w:t>g of glass produced corresponds to a volume of around 77 cm</w:t>
      </w:r>
      <w:r>
        <w:rPr>
          <w:vertAlign w:val="superscript"/>
        </w:rPr>
        <w:t>3</w:t>
      </w:r>
      <w:r>
        <w:t>.</w:t>
      </w:r>
    </w:p>
    <w:p w14:paraId="7379D58D" w14:textId="77777777" w:rsidR="00AB0DB6" w:rsidRDefault="00AB0DB6" w:rsidP="00C2720A">
      <w:pPr>
        <w:pStyle w:val="Heading4"/>
        <w:numPr>
          <w:ilvl w:val="3"/>
          <w:numId w:val="10"/>
        </w:numPr>
        <w:spacing w:before="100" w:after="100"/>
        <w:ind w:left="1728"/>
        <w:contextualSpacing w:val="0"/>
        <w15:collapsed/>
      </w:pPr>
      <w:r>
        <w:t>Soda-lime-silica pelletised batches (A8-9)</w:t>
      </w:r>
    </w:p>
    <w:p w14:paraId="240274A4" w14:textId="05E94E48" w:rsidR="00AB0DB6" w:rsidRDefault="00AB0DB6" w:rsidP="003610C6">
      <w:r>
        <w:t xml:space="preserve">Experiment A8: For the first experiment using the pelletised soda-lime-silica batch, only 10 g was tested in order to make sure it was safe to melt due to concerns about too much foam being generated and therefore possibly damaging the mirror immediately above it, since this batch contained additional </w:t>
      </w:r>
      <w:r w:rsidR="00EB5F44">
        <w:t>fining</w:t>
      </w:r>
      <w:r>
        <w:t xml:space="preserve"> agents and there was no previous experience with how it would react to the beam. Using two lamps, each with reduced electrical power </w:t>
      </w:r>
      <w:r w:rsidR="00116EF6">
        <w:t xml:space="preserve">of </w:t>
      </w:r>
      <w:r>
        <w:t xml:space="preserve">10.5 kW, the </w:t>
      </w:r>
      <w:r w:rsidRPr="000378C3">
        <w:t>shutters were gradually op</w:t>
      </w:r>
      <w:r>
        <w:t xml:space="preserve">ened at a rate of 10 % every 90 s. By </w:t>
      </w:r>
      <w:r w:rsidRPr="000378C3">
        <w:t>70</w:t>
      </w:r>
      <w:r>
        <w:t xml:space="preserve"> </w:t>
      </w:r>
      <w:r w:rsidRPr="000378C3">
        <w:t>%</w:t>
      </w:r>
      <w:r>
        <w:t xml:space="preserve"> shutter opening</w:t>
      </w:r>
      <w:r w:rsidRPr="000378C3">
        <w:t xml:space="preserve"> </w:t>
      </w:r>
      <w:r>
        <w:t>the batch could be observed melting and bubbling (</w:t>
      </w:r>
      <w:r>
        <w:fldChar w:fldCharType="begin"/>
      </w:r>
      <w:r>
        <w:instrText xml:space="preserve"> REF _Ref422914176 \h </w:instrText>
      </w:r>
      <w:r>
        <w:fldChar w:fldCharType="separate"/>
      </w:r>
      <w:r w:rsidR="00820EB1" w:rsidRPr="00886839">
        <w:t xml:space="preserve">Figure </w:t>
      </w:r>
      <w:r w:rsidR="00820EB1">
        <w:rPr>
          <w:noProof/>
        </w:rPr>
        <w:t>22</w:t>
      </w:r>
      <w:r>
        <w:fldChar w:fldCharType="end"/>
      </w:r>
      <w:r>
        <w:t>a) but by 80 % opening, localised melting of the crucible was observed so the shutter opening was returned to 70 % (</w:t>
      </w:r>
      <w:r w:rsidRPr="000378C3">
        <w:t xml:space="preserve">corresponding to an </w:t>
      </w:r>
      <w:r>
        <w:t>indicative power of 14.8 kW) and held at this setting for 18 minutes. During this time the crucible temperature stayed at around 1480</w:t>
      </w:r>
      <w:r>
        <w:rPr>
          <w:vertAlign w:val="superscript"/>
        </w:rPr>
        <w:t>o</w:t>
      </w:r>
      <w:r>
        <w:t>C and the melt proceeded initially in a similar way to the powdered soda-lime-silica batch (</w:t>
      </w:r>
      <w:r>
        <w:fldChar w:fldCharType="begin"/>
      </w:r>
      <w:r>
        <w:instrText xml:space="preserve"> REF _Ref422914176 \h </w:instrText>
      </w:r>
      <w:r>
        <w:fldChar w:fldCharType="separate"/>
      </w:r>
      <w:r w:rsidR="00820EB1" w:rsidRPr="00886839">
        <w:t xml:space="preserve">Figure </w:t>
      </w:r>
      <w:r w:rsidR="00820EB1">
        <w:rPr>
          <w:noProof/>
        </w:rPr>
        <w:t>22</w:t>
      </w:r>
      <w:r>
        <w:fldChar w:fldCharType="end"/>
      </w:r>
      <w:r>
        <w:t>a) but with larger quantity and smaller sized bubbles evolved. However, after 18 minutes (</w:t>
      </w:r>
      <w:r>
        <w:fldChar w:fldCharType="begin"/>
      </w:r>
      <w:r>
        <w:instrText xml:space="preserve"> REF _Ref422914176 \h </w:instrText>
      </w:r>
      <w:r>
        <w:fldChar w:fldCharType="separate"/>
      </w:r>
      <w:r w:rsidR="00820EB1" w:rsidRPr="00886839">
        <w:t xml:space="preserve">Figure </w:t>
      </w:r>
      <w:r w:rsidR="00820EB1">
        <w:rPr>
          <w:noProof/>
        </w:rPr>
        <w:t>22</w:t>
      </w:r>
      <w:r>
        <w:fldChar w:fldCharType="end"/>
      </w:r>
      <w:r>
        <w:t>b) the rate at which bubbles on the surface were dissipating was so slow that it was decided to terminate the experiment by gradually closing shutters.</w:t>
      </w:r>
    </w:p>
    <w:p w14:paraId="0D417925" w14:textId="77777777" w:rsidR="00AB0DB6" w:rsidRDefault="00AB0DB6" w:rsidP="003610C6">
      <w:pPr>
        <w:pStyle w:val="Title"/>
      </w:pPr>
      <w:r>
        <w:drawing>
          <wp:inline distT="0" distB="0" distL="0" distR="0" wp14:anchorId="44788B57" wp14:editId="5F865CAC">
            <wp:extent cx="3721159" cy="1807121"/>
            <wp:effectExtent l="0" t="0" r="0" b="31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931" t="20456" r="16116" b="23444"/>
                    <a:stretch/>
                  </pic:blipFill>
                  <pic:spPr bwMode="auto">
                    <a:xfrm>
                      <a:off x="0" y="0"/>
                      <a:ext cx="3722804" cy="1807920"/>
                    </a:xfrm>
                    <a:prstGeom prst="rect">
                      <a:avLst/>
                    </a:prstGeom>
                    <a:ln>
                      <a:noFill/>
                    </a:ln>
                    <a:extLst>
                      <a:ext uri="{53640926-AAD7-44D8-BBD7-CCE9431645EC}">
                        <a14:shadowObscured xmlns:a14="http://schemas.microsoft.com/office/drawing/2010/main"/>
                      </a:ext>
                    </a:extLst>
                  </pic:spPr>
                </pic:pic>
              </a:graphicData>
            </a:graphic>
          </wp:inline>
        </w:drawing>
      </w:r>
    </w:p>
    <w:p w14:paraId="23D13172" w14:textId="77777777" w:rsidR="00AB0DB6" w:rsidRPr="00886839" w:rsidRDefault="00AB0DB6" w:rsidP="003610C6">
      <w:pPr>
        <w:pStyle w:val="Caption"/>
      </w:pPr>
      <w:bookmarkStart w:id="57" w:name="_Ref422914176"/>
      <w:r w:rsidRPr="00886839">
        <w:t xml:space="preserve">Figure </w:t>
      </w:r>
      <w:r w:rsidR="00A47317">
        <w:fldChar w:fldCharType="begin"/>
      </w:r>
      <w:r w:rsidR="00A47317">
        <w:instrText xml:space="preserve"> SEQ Figure \* ARABIC </w:instrText>
      </w:r>
      <w:r w:rsidR="00A47317">
        <w:fldChar w:fldCharType="separate"/>
      </w:r>
      <w:r w:rsidR="00820EB1">
        <w:rPr>
          <w:noProof/>
        </w:rPr>
        <w:t>22</w:t>
      </w:r>
      <w:r w:rsidR="00A47317">
        <w:rPr>
          <w:noProof/>
        </w:rPr>
        <w:fldChar w:fldCharType="end"/>
      </w:r>
      <w:bookmarkEnd w:id="57"/>
      <w:r w:rsidRPr="00886839">
        <w:t>: Initial pelletised soda-lime-silica batch melt</w:t>
      </w:r>
      <w:r>
        <w:t xml:space="preserve"> progression during experiment A8</w:t>
      </w:r>
      <w:r w:rsidRPr="00886839">
        <w:t>. a) Early melting of pellets; b) final remaining bubbles on melt surface after 18 minutes at 1470-</w:t>
      </w:r>
      <w:r w:rsidRPr="00EA722F">
        <w:t>1490</w:t>
      </w:r>
      <w:r>
        <w:rPr>
          <w:vertAlign w:val="superscript"/>
        </w:rPr>
        <w:t>o</w:t>
      </w:r>
      <w:r w:rsidRPr="00EA722F">
        <w:t>C</w:t>
      </w:r>
      <w:r>
        <w:t>.</w:t>
      </w:r>
    </w:p>
    <w:p w14:paraId="2B62B450" w14:textId="06CB7F53" w:rsidR="00AB0DB6" w:rsidRDefault="00AB0DB6" w:rsidP="003610C6">
      <w:pPr>
        <w:ind w:firstLine="0"/>
        <w:rPr>
          <w:noProof/>
        </w:rPr>
      </w:pPr>
      <w:r>
        <w:t>Upon cooling, the glass produced appeared even clearer than the powdered soda-lime-silica batch and with fewer bubbles. Also, the crucible and glass survived, unbroken (</w:t>
      </w:r>
      <w:r>
        <w:fldChar w:fldCharType="begin"/>
      </w:r>
      <w:r>
        <w:instrText xml:space="preserve"> REF _Ref422914497 \h </w:instrText>
      </w:r>
      <w:r>
        <w:fldChar w:fldCharType="separate"/>
      </w:r>
      <w:r w:rsidR="00820EB1">
        <w:t xml:space="preserve">Figure </w:t>
      </w:r>
      <w:r w:rsidR="00820EB1">
        <w:rPr>
          <w:noProof/>
        </w:rPr>
        <w:t>23</w:t>
      </w:r>
      <w:r>
        <w:fldChar w:fldCharType="end"/>
      </w:r>
      <w:r>
        <w:t>).</w:t>
      </w:r>
      <w:r w:rsidRPr="00120C1C">
        <w:rPr>
          <w:noProof/>
        </w:rPr>
        <w:t xml:space="preserve"> </w:t>
      </w:r>
    </w:p>
    <w:p w14:paraId="04AC28FF" w14:textId="77777777" w:rsidR="00AB0DB6" w:rsidRDefault="00AB0DB6" w:rsidP="003610C6">
      <w:pPr>
        <w:pStyle w:val="Title"/>
      </w:pPr>
      <w:r>
        <mc:AlternateContent>
          <mc:Choice Requires="wps">
            <w:drawing>
              <wp:anchor distT="0" distB="0" distL="114300" distR="114300" simplePos="0" relativeHeight="251661312" behindDoc="0" locked="0" layoutInCell="1" allowOverlap="1" wp14:anchorId="409E2B0B" wp14:editId="0EE628CE">
                <wp:simplePos x="0" y="0"/>
                <wp:positionH relativeFrom="column">
                  <wp:posOffset>1132205</wp:posOffset>
                </wp:positionH>
                <wp:positionV relativeFrom="paragraph">
                  <wp:posOffset>1882775</wp:posOffset>
                </wp:positionV>
                <wp:extent cx="3581400" cy="354330"/>
                <wp:effectExtent l="0" t="0" r="0" b="7620"/>
                <wp:wrapTopAndBottom/>
                <wp:docPr id="50" name="Text Box 50"/>
                <wp:cNvGraphicFramePr/>
                <a:graphic xmlns:a="http://schemas.openxmlformats.org/drawingml/2006/main">
                  <a:graphicData uri="http://schemas.microsoft.com/office/word/2010/wordprocessingShape">
                    <wps:wsp>
                      <wps:cNvSpPr txBox="1"/>
                      <wps:spPr>
                        <a:xfrm>
                          <a:off x="0" y="0"/>
                          <a:ext cx="3581400" cy="354330"/>
                        </a:xfrm>
                        <a:prstGeom prst="rect">
                          <a:avLst/>
                        </a:prstGeom>
                        <a:solidFill>
                          <a:prstClr val="white"/>
                        </a:solidFill>
                        <a:ln>
                          <a:noFill/>
                        </a:ln>
                        <a:effectLst/>
                      </wps:spPr>
                      <wps:txbx>
                        <w:txbxContent>
                          <w:p w14:paraId="1EF39001" w14:textId="77777777" w:rsidR="00EA7B23" w:rsidRPr="0044059C" w:rsidRDefault="00EA7B23">
                            <w:pPr>
                              <w:pStyle w:val="Caption"/>
                            </w:pPr>
                            <w:bookmarkStart w:id="58" w:name="_Ref422914497"/>
                            <w:r>
                              <w:t xml:space="preserve">Figure </w:t>
                            </w:r>
                            <w:r>
                              <w:fldChar w:fldCharType="begin"/>
                            </w:r>
                            <w:r>
                              <w:instrText xml:space="preserve"> SEQ Figure \* ARABIC </w:instrText>
                            </w:r>
                            <w:r>
                              <w:fldChar w:fldCharType="separate"/>
                            </w:r>
                            <w:r>
                              <w:rPr>
                                <w:noProof/>
                              </w:rPr>
                              <w:t>23</w:t>
                            </w:r>
                            <w:r>
                              <w:rPr>
                                <w:noProof/>
                              </w:rPr>
                              <w:fldChar w:fldCharType="end"/>
                            </w:r>
                            <w:bookmarkEnd w:id="58"/>
                            <w:r>
                              <w:t>: Glass produced during experiment A8 from 10 g of pelletised soda-lime-silica batch.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E2B0B" id="_x0000_t202" coordsize="21600,21600" o:spt="202" path="m,l,21600r21600,l21600,xe">
                <v:stroke joinstyle="miter"/>
                <v:path gradientshapeok="t" o:connecttype="rect"/>
              </v:shapetype>
              <v:shape id="Text Box 50" o:spid="_x0000_s1026" type="#_x0000_t202" style="position:absolute;left:0;text-align:left;margin-left:89.15pt;margin-top:148.25pt;width:282pt;height:27.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" stroked="f">
                <v:textbox inset="0,0,0,0">
                  <w:txbxContent>
                    <w:p w14:paraId="1EF39001" w14:textId="77777777" w:rsidR="00EA7B23" w:rsidRPr="0044059C" w:rsidRDefault="00EA7B23">
                      <w:pPr>
                        <w:pStyle w:val="Caption"/>
                      </w:pPr>
                      <w:bookmarkStart w:id="59" w:name="_Ref422914497"/>
                      <w:r>
                        <w:t xml:space="preserve">Figure </w:t>
                      </w:r>
                      <w:r>
                        <w:fldChar w:fldCharType="begin"/>
                      </w:r>
                      <w:r>
                        <w:instrText xml:space="preserve"> SEQ Figure \* ARABIC </w:instrText>
                      </w:r>
                      <w:r>
                        <w:fldChar w:fldCharType="separate"/>
                      </w:r>
                      <w:r>
                        <w:rPr>
                          <w:noProof/>
                        </w:rPr>
                        <w:t>23</w:t>
                      </w:r>
                      <w:r>
                        <w:rPr>
                          <w:noProof/>
                        </w:rPr>
                        <w:fldChar w:fldCharType="end"/>
                      </w:r>
                      <w:bookmarkEnd w:id="59"/>
                      <w:r>
                        <w:t>: Glass produced during experiment A8 from 10 g of pelletised soda-lime-silica batch.</w:t>
                      </w:r>
                    </w:p>
                  </w:txbxContent>
                </v:textbox>
                <w10:wrap type="topAndBottom"/>
              </v:shape>
            </w:pict>
          </mc:Fallback>
        </mc:AlternateContent>
      </w:r>
      <w:r>
        <w:drawing>
          <wp:inline distT="0" distB="0" distL="0" distR="0" wp14:anchorId="2EB81837" wp14:editId="6785C45A">
            <wp:extent cx="1905000" cy="18732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567" t="18718" r="32196" b="23153"/>
                    <a:stretch/>
                  </pic:blipFill>
                  <pic:spPr bwMode="auto">
                    <a:xfrm>
                      <a:off x="0" y="0"/>
                      <a:ext cx="1905000" cy="1873250"/>
                    </a:xfrm>
                    <a:prstGeom prst="rect">
                      <a:avLst/>
                    </a:prstGeom>
                    <a:ln>
                      <a:noFill/>
                    </a:ln>
                    <a:extLst>
                      <a:ext uri="{53640926-AAD7-44D8-BBD7-CCE9431645EC}">
                        <a14:shadowObscured xmlns:a14="http://schemas.microsoft.com/office/drawing/2010/main"/>
                      </a:ext>
                    </a:extLst>
                  </pic:spPr>
                </pic:pic>
              </a:graphicData>
            </a:graphic>
          </wp:inline>
        </w:drawing>
      </w:r>
    </w:p>
    <w:p w14:paraId="5BAD807F" w14:textId="7090BC87" w:rsidR="00AB0DB6" w:rsidRPr="00BA5E84" w:rsidRDefault="00AB0DB6" w:rsidP="003610C6">
      <w:r>
        <w:t xml:space="preserve">Experiment A9: Next, 58.5 g of pelletised soda-lime-silica batch was loaded in a larger mullite crucible. Again, 2 lamps were switched on, with and electrical power supply of 21 kW and the shutters gradually opened. </w:t>
      </w:r>
      <w:r w:rsidRPr="00E924A0">
        <w:t>As soon as the shutters were sufficiently opened to clearly view the melt surface</w:t>
      </w:r>
      <w:r>
        <w:t xml:space="preserve"> (</w:t>
      </w:r>
      <w:r>
        <w:fldChar w:fldCharType="begin"/>
      </w:r>
      <w:r>
        <w:instrText xml:space="preserve"> REF _Ref423885953 \h </w:instrText>
      </w:r>
      <w:r>
        <w:fldChar w:fldCharType="separate"/>
      </w:r>
      <w:r w:rsidR="00820EB1">
        <w:t xml:space="preserve">Figure </w:t>
      </w:r>
      <w:r w:rsidR="00820EB1">
        <w:rPr>
          <w:noProof/>
        </w:rPr>
        <w:t>24</w:t>
      </w:r>
      <w:r>
        <w:fldChar w:fldCharType="end"/>
      </w:r>
      <w:r w:rsidRPr="00E924A0">
        <w:t>a</w:t>
      </w:r>
      <w:r>
        <w:t>)</w:t>
      </w:r>
      <w:r w:rsidRPr="00E924A0">
        <w:t>, it could be seen tha</w:t>
      </w:r>
      <w:r>
        <w:t>t</w:t>
      </w:r>
      <w:r w:rsidRPr="00E924A0">
        <w:t xml:space="preserve"> melting was already underway with glass bubbling</w:t>
      </w:r>
      <w:r>
        <w:t xml:space="preserve"> in a pool</w:t>
      </w:r>
      <w:r w:rsidRPr="00E924A0">
        <w:t xml:space="preserve"> near the centre surrounded </w:t>
      </w:r>
      <w:r w:rsidR="00116EF6">
        <w:t xml:space="preserve">by </w:t>
      </w:r>
      <w:r w:rsidRPr="00E924A0">
        <w:t>un</w:t>
      </w:r>
      <w:r>
        <w:t>m</w:t>
      </w:r>
      <w:r w:rsidRPr="00E924A0">
        <w:t>elted pellets around the edge of the crucible</w:t>
      </w:r>
      <w:r>
        <w:t>. A</w:t>
      </w:r>
      <w:r w:rsidRPr="00BA5E84">
        <w:t>s the shutters were opened further</w:t>
      </w:r>
      <w:r>
        <w:t xml:space="preserve"> (</w:t>
      </w:r>
      <w:r>
        <w:fldChar w:fldCharType="begin"/>
      </w:r>
      <w:r>
        <w:instrText xml:space="preserve"> REF _Ref423885953 \h </w:instrText>
      </w:r>
      <w:r>
        <w:fldChar w:fldCharType="separate"/>
      </w:r>
      <w:r w:rsidR="00820EB1">
        <w:t xml:space="preserve">Figure </w:t>
      </w:r>
      <w:r w:rsidR="00820EB1">
        <w:rPr>
          <w:noProof/>
        </w:rPr>
        <w:t>24</w:t>
      </w:r>
      <w:r>
        <w:fldChar w:fldCharType="end"/>
      </w:r>
      <w:r w:rsidRPr="00BA5E84">
        <w:t xml:space="preserve">b), the melting proceeded more vigorously with large bubbles </w:t>
      </w:r>
      <w:r>
        <w:t>developing and the pool gradually expanding. As the large bubbles burst on the surface they sucked in the nearby pellets on the surface and so eventually</w:t>
      </w:r>
      <w:r w:rsidRPr="00BA5E84">
        <w:t xml:space="preserve"> </w:t>
      </w:r>
      <w:r>
        <w:t>all</w:t>
      </w:r>
      <w:r w:rsidRPr="00BA5E84">
        <w:t xml:space="preserve"> the remaining pellets</w:t>
      </w:r>
      <w:r>
        <w:t xml:space="preserve"> on the surface were enveloped by the melt pool</w:t>
      </w:r>
      <w:r w:rsidRPr="00BA5E84">
        <w:t xml:space="preserve"> (</w:t>
      </w:r>
      <w:r>
        <w:fldChar w:fldCharType="begin"/>
      </w:r>
      <w:r>
        <w:instrText xml:space="preserve"> REF _Ref423885953 \h </w:instrText>
      </w:r>
      <w:r>
        <w:fldChar w:fldCharType="separate"/>
      </w:r>
      <w:r w:rsidR="00820EB1">
        <w:t xml:space="preserve">Figure </w:t>
      </w:r>
      <w:r w:rsidR="00820EB1">
        <w:rPr>
          <w:noProof/>
        </w:rPr>
        <w:t>24</w:t>
      </w:r>
      <w:r>
        <w:fldChar w:fldCharType="end"/>
      </w:r>
      <w:r w:rsidRPr="00BA5E84">
        <w:t>c).</w:t>
      </w:r>
      <w:r>
        <w:t xml:space="preserve"> Gradually the frequency of the bubbles evolving decreased and </w:t>
      </w:r>
      <w:r w:rsidR="004720AE">
        <w:t>i</w:t>
      </w:r>
      <w:r>
        <w:t>t appeared that the bubbles were mostly evolving from the same locations, below which unmelted pellets could be seen (</w:t>
      </w:r>
      <w:r>
        <w:fldChar w:fldCharType="begin"/>
      </w:r>
      <w:r>
        <w:instrText xml:space="preserve"> REF _Ref423885953 \h </w:instrText>
      </w:r>
      <w:r>
        <w:fldChar w:fldCharType="separate"/>
      </w:r>
      <w:r w:rsidR="00820EB1">
        <w:t xml:space="preserve">Figure </w:t>
      </w:r>
      <w:r w:rsidR="00820EB1">
        <w:rPr>
          <w:noProof/>
        </w:rPr>
        <w:t>24</w:t>
      </w:r>
      <w:r>
        <w:fldChar w:fldCharType="end"/>
      </w:r>
      <w:r>
        <w:t>d</w:t>
      </w:r>
      <w:r w:rsidRPr="00BA5E84">
        <w:t>)</w:t>
      </w:r>
      <w:r>
        <w:t>. E</w:t>
      </w:r>
      <w:r w:rsidRPr="00BA5E84">
        <w:t>ventually</w:t>
      </w:r>
      <w:r>
        <w:t>,</w:t>
      </w:r>
      <w:r w:rsidRPr="00BA5E84">
        <w:t xml:space="preserve"> </w:t>
      </w:r>
      <w:r>
        <w:t xml:space="preserve">the large bubbles which appeared to be evolving from the remaining reacting batch below the surface </w:t>
      </w:r>
      <w:r w:rsidRPr="00BA5E84">
        <w:t>subsided, leaving only</w:t>
      </w:r>
      <w:r>
        <w:t xml:space="preserve"> much smaller </w:t>
      </w:r>
      <w:r w:rsidRPr="00BA5E84">
        <w:t>bubbles or foam on the surface</w:t>
      </w:r>
      <w:r>
        <w:t xml:space="preserve"> (</w:t>
      </w:r>
      <w:r>
        <w:fldChar w:fldCharType="begin"/>
      </w:r>
      <w:r>
        <w:instrText xml:space="preserve"> REF _Ref423885953 \h </w:instrText>
      </w:r>
      <w:r>
        <w:fldChar w:fldCharType="separate"/>
      </w:r>
      <w:r w:rsidR="00820EB1">
        <w:t xml:space="preserve">Figure </w:t>
      </w:r>
      <w:r w:rsidR="00820EB1">
        <w:rPr>
          <w:noProof/>
        </w:rPr>
        <w:t>24</w:t>
      </w:r>
      <w:r>
        <w:fldChar w:fldCharType="end"/>
      </w:r>
      <w:r>
        <w:t>e)</w:t>
      </w:r>
      <w:r w:rsidRPr="00BA5E84">
        <w:t xml:space="preserve">. Finally the shutters were opened to 90%, giving a maximum indicative power supply of </w:t>
      </w:r>
      <w:r>
        <w:t>18.8 kW</w:t>
      </w:r>
      <w:r w:rsidRPr="00BA5E84">
        <w:t xml:space="preserve"> and </w:t>
      </w:r>
      <w:r>
        <w:t>then</w:t>
      </w:r>
      <w:r w:rsidRPr="00BA5E84">
        <w:t xml:space="preserve"> most of the foam</w:t>
      </w:r>
      <w:r>
        <w:t xml:space="preserve"> slowly</w:t>
      </w:r>
      <w:r w:rsidRPr="00BA5E84">
        <w:t xml:space="preserve"> </w:t>
      </w:r>
      <w:r>
        <w:t>cleared</w:t>
      </w:r>
      <w:r w:rsidRPr="00BA5E84">
        <w:t xml:space="preserve"> leaving a reflective surface. </w:t>
      </w:r>
    </w:p>
    <w:p w14:paraId="2A277B61" w14:textId="77777777" w:rsidR="00AB0DB6" w:rsidRDefault="00AB0DB6">
      <w:pPr>
        <w:pStyle w:val="Caption"/>
      </w:pPr>
      <w:bookmarkStart w:id="60" w:name="_Ref423856876"/>
    </w:p>
    <w:bookmarkEnd w:id="60"/>
    <w:p w14:paraId="47B4F9A7" w14:textId="05554BF6" w:rsidR="00AB0DB6" w:rsidRDefault="00AB0DB6" w:rsidP="00AB0DB6">
      <w:pPr>
        <w:pStyle w:val="Title"/>
      </w:pPr>
      <w:r>
        <w:drawing>
          <wp:inline distT="0" distB="0" distL="0" distR="0" wp14:anchorId="11CAB0C0" wp14:editId="74D703C9">
            <wp:extent cx="5730898" cy="3274060"/>
            <wp:effectExtent l="0" t="0" r="0" b="254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D11 graph with snaphots.tif"/>
                    <pic:cNvPicPr/>
                  </pic:nvPicPr>
                  <pic:blipFill>
                    <a:blip r:embed="rId35">
                      <a:extLst>
                        <a:ext uri="{28A0092B-C50C-407E-A947-70E740481C1C}">
                          <a14:useLocalDpi xmlns:a14="http://schemas.microsoft.com/office/drawing/2010/main" val="0"/>
                        </a:ext>
                      </a:extLst>
                    </a:blip>
                    <a:stretch>
                      <a:fillRect/>
                    </a:stretch>
                  </pic:blipFill>
                  <pic:spPr>
                    <a:xfrm>
                      <a:off x="0" y="0"/>
                      <a:ext cx="5730898" cy="3274060"/>
                    </a:xfrm>
                    <a:prstGeom prst="rect">
                      <a:avLst/>
                    </a:prstGeom>
                  </pic:spPr>
                </pic:pic>
              </a:graphicData>
            </a:graphic>
          </wp:inline>
        </w:drawing>
      </w:r>
    </w:p>
    <w:p w14:paraId="04DA451A" w14:textId="729039AE" w:rsidR="00AB0DB6" w:rsidRPr="00A74F4C" w:rsidRDefault="00AB0DB6">
      <w:pPr>
        <w:pStyle w:val="Caption"/>
      </w:pPr>
      <w:bookmarkStart w:id="61" w:name="_Ref423885953"/>
      <w:bookmarkStart w:id="62" w:name="_Ref423885950"/>
      <w:r>
        <w:t xml:space="preserve">Figure </w:t>
      </w:r>
      <w:r w:rsidR="00A47317">
        <w:fldChar w:fldCharType="begin"/>
      </w:r>
      <w:r w:rsidR="00A47317">
        <w:instrText xml:space="preserve"> SEQ Figure \* ARABIC </w:instrText>
      </w:r>
      <w:r w:rsidR="00A47317">
        <w:fldChar w:fldCharType="separate"/>
      </w:r>
      <w:r w:rsidR="00820EB1">
        <w:rPr>
          <w:noProof/>
        </w:rPr>
        <w:t>24</w:t>
      </w:r>
      <w:r w:rsidR="00A47317">
        <w:rPr>
          <w:noProof/>
        </w:rPr>
        <w:fldChar w:fldCharType="end"/>
      </w:r>
      <w:bookmarkEnd w:id="61"/>
      <w:r>
        <w:t>: Graph showing variations in indicative power supplied and temperature measured at two positions on the crucible during the final soda-lime-silica pelletised batch static melting experiment</w:t>
      </w:r>
      <w:bookmarkEnd w:id="62"/>
      <w:r>
        <w:t xml:space="preserve"> with corresponding snapshots of melt surface. a) 70% shutter opening / 10m:29s from the start of experiment; b) 75% / 11m:44s; c) 80% / 16m:13s; d) 85% / 22m:55s; e) 85% / 25m:19s; f) 90% / 42m:00s.</w:t>
      </w:r>
    </w:p>
    <w:p w14:paraId="4499AA39" w14:textId="209FCB72" w:rsidR="00AB0DB6" w:rsidRDefault="00AB0DB6" w:rsidP="003610C6">
      <w:pPr>
        <w:ind w:firstLine="0"/>
      </w:pPr>
      <w:r>
        <w:t>Then the shutters were gradually closed to observe the result. The glass produced (</w:t>
      </w:r>
      <w:r>
        <w:fldChar w:fldCharType="begin"/>
      </w:r>
      <w:r>
        <w:instrText xml:space="preserve"> REF _Ref423806573 \h </w:instrText>
      </w:r>
      <w:r>
        <w:fldChar w:fldCharType="separate"/>
      </w:r>
      <w:r w:rsidR="00820EB1">
        <w:t xml:space="preserve">Figure </w:t>
      </w:r>
      <w:r w:rsidR="00820EB1">
        <w:rPr>
          <w:noProof/>
        </w:rPr>
        <w:t>25</w:t>
      </w:r>
      <w:r>
        <w:fldChar w:fldCharType="end"/>
      </w:r>
      <w:r>
        <w:t xml:space="preserve">) </w:t>
      </w:r>
      <w:r w:rsidR="009A675A">
        <w:t xml:space="preserve">was </w:t>
      </w:r>
      <w:r>
        <w:t>transparent (with a green tint which is probably due to iron impurities in the batch) with smooth, reflective surfaces and very few bubbles. This was arguably the best quality glass produced from these static melting experiments.</w:t>
      </w:r>
    </w:p>
    <w:p w14:paraId="562413E3" w14:textId="77777777" w:rsidR="00AB0DB6" w:rsidRDefault="00AB0DB6" w:rsidP="00AB0DB6">
      <w:pPr>
        <w:pStyle w:val="Title"/>
      </w:pPr>
      <w:r>
        <w:drawing>
          <wp:inline distT="0" distB="0" distL="0" distR="0" wp14:anchorId="0FA06BAF" wp14:editId="184FBFB1">
            <wp:extent cx="3663950" cy="238760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944" t="13596" r="17130" b="12315"/>
                    <a:stretch/>
                  </pic:blipFill>
                  <pic:spPr bwMode="auto">
                    <a:xfrm>
                      <a:off x="0" y="0"/>
                      <a:ext cx="3663950" cy="2387600"/>
                    </a:xfrm>
                    <a:prstGeom prst="rect">
                      <a:avLst/>
                    </a:prstGeom>
                    <a:ln>
                      <a:noFill/>
                    </a:ln>
                    <a:extLst>
                      <a:ext uri="{53640926-AAD7-44D8-BBD7-CCE9431645EC}">
                        <a14:shadowObscured xmlns:a14="http://schemas.microsoft.com/office/drawing/2010/main"/>
                      </a:ext>
                    </a:extLst>
                  </pic:spPr>
                </pic:pic>
              </a:graphicData>
            </a:graphic>
          </wp:inline>
        </w:drawing>
      </w:r>
    </w:p>
    <w:p w14:paraId="411BDABC" w14:textId="77777777" w:rsidR="00AB0DB6" w:rsidRPr="00DE25F2" w:rsidRDefault="00AB0DB6">
      <w:pPr>
        <w:pStyle w:val="Caption"/>
      </w:pPr>
      <w:bookmarkStart w:id="63" w:name="_Ref423806573"/>
      <w:bookmarkStart w:id="64" w:name="_Ref422986804"/>
      <w:r>
        <w:t xml:space="preserve">Figure </w:t>
      </w:r>
      <w:r w:rsidR="00A47317">
        <w:fldChar w:fldCharType="begin"/>
      </w:r>
      <w:r w:rsidR="00A47317">
        <w:instrText xml:space="preserve"> SEQ Figure \* ARABIC </w:instrText>
      </w:r>
      <w:r w:rsidR="00A47317">
        <w:fldChar w:fldCharType="separate"/>
      </w:r>
      <w:r w:rsidR="00820EB1">
        <w:rPr>
          <w:noProof/>
        </w:rPr>
        <w:t>25</w:t>
      </w:r>
      <w:r w:rsidR="00A47317">
        <w:rPr>
          <w:noProof/>
        </w:rPr>
        <w:fldChar w:fldCharType="end"/>
      </w:r>
      <w:bookmarkEnd w:id="63"/>
      <w:r>
        <w:t>: Glass produced from soda-lime-silica pelletised batch</w:t>
      </w:r>
      <w:bookmarkEnd w:id="64"/>
      <w:r>
        <w:t xml:space="preserve"> in experiment A9.</w:t>
      </w:r>
    </w:p>
    <w:p w14:paraId="64A32E05" w14:textId="2CB9B66C" w:rsidR="00AB0DB6" w:rsidRDefault="00AB0DB6" w:rsidP="00C2720A">
      <w:pPr>
        <w:pStyle w:val="Heading3"/>
        <w:numPr>
          <w:ilvl w:val="2"/>
          <w:numId w:val="10"/>
        </w:numPr>
        <w:spacing w:before="100" w:after="100"/>
        <w:contextualSpacing w:val="0"/>
        <w15:collapsed/>
      </w:pPr>
      <w:r>
        <w:t>XRD results</w:t>
      </w:r>
    </w:p>
    <w:p w14:paraId="1D39D014" w14:textId="4D19EDAF" w:rsidR="009A675A" w:rsidRDefault="00AB0DB6">
      <w:r>
        <w:t>Comparison of the XRD results (</w:t>
      </w:r>
      <w:r>
        <w:fldChar w:fldCharType="begin"/>
      </w:r>
      <w:r>
        <w:instrText xml:space="preserve"> REF _Ref451030592 \h </w:instrText>
      </w:r>
      <w:r>
        <w:fldChar w:fldCharType="end"/>
      </w:r>
      <w:r>
        <w:t xml:space="preserve">) of the batches and corresponding glasses produced during these static melting experiments, revealed that in every case the crystalline raw materials (seen by the peaks in the XRD trace of the raw materials) were completely converted into x-ray amorphous glasses (shown by the broad peak in the glasses’ XRD traces). </w:t>
      </w:r>
    </w:p>
    <w:p w14:paraId="18071295" w14:textId="77777777" w:rsidR="003A2313" w:rsidRDefault="003A2313" w:rsidP="00F52EC2">
      <w:pPr>
        <w:jc w:val="center"/>
      </w:pPr>
      <w:r>
        <w:rPr>
          <w:noProof/>
        </w:rPr>
        <w:drawing>
          <wp:inline distT="0" distB="0" distL="0" distR="0" wp14:anchorId="04782ABE" wp14:editId="7304BE57">
            <wp:extent cx="3545457" cy="217343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055" t="11081" r="16274" b="17311"/>
                    <a:stretch/>
                  </pic:blipFill>
                  <pic:spPr bwMode="auto">
                    <a:xfrm>
                      <a:off x="0" y="0"/>
                      <a:ext cx="3546302" cy="2173953"/>
                    </a:xfrm>
                    <a:prstGeom prst="rect">
                      <a:avLst/>
                    </a:prstGeom>
                    <a:ln>
                      <a:noFill/>
                    </a:ln>
                    <a:extLst>
                      <a:ext uri="{53640926-AAD7-44D8-BBD7-CCE9431645EC}">
                        <a14:shadowObscured xmlns:a14="http://schemas.microsoft.com/office/drawing/2010/main"/>
                      </a:ext>
                    </a:extLst>
                  </pic:spPr>
                </pic:pic>
              </a:graphicData>
            </a:graphic>
          </wp:inline>
        </w:drawing>
      </w:r>
    </w:p>
    <w:p w14:paraId="5D988549" w14:textId="77777777" w:rsidR="003A2313" w:rsidRDefault="003A2313" w:rsidP="00F52EC2">
      <w:pPr>
        <w:jc w:val="center"/>
      </w:pPr>
      <w:r>
        <w:rPr>
          <w:noProof/>
        </w:rPr>
        <w:drawing>
          <wp:inline distT="0" distB="0" distL="0" distR="0" wp14:anchorId="71DE20F7" wp14:editId="339E5E68">
            <wp:extent cx="3545037" cy="2164515"/>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378" t="14492" r="15949" b="14185"/>
                    <a:stretch/>
                  </pic:blipFill>
                  <pic:spPr bwMode="auto">
                    <a:xfrm>
                      <a:off x="0" y="0"/>
                      <a:ext cx="3546355" cy="2165320"/>
                    </a:xfrm>
                    <a:prstGeom prst="rect">
                      <a:avLst/>
                    </a:prstGeom>
                    <a:ln>
                      <a:noFill/>
                    </a:ln>
                    <a:extLst>
                      <a:ext uri="{53640926-AAD7-44D8-BBD7-CCE9431645EC}">
                        <a14:shadowObscured xmlns:a14="http://schemas.microsoft.com/office/drawing/2010/main"/>
                      </a:ext>
                    </a:extLst>
                  </pic:spPr>
                </pic:pic>
              </a:graphicData>
            </a:graphic>
          </wp:inline>
        </w:drawing>
      </w:r>
    </w:p>
    <w:p w14:paraId="632959D8" w14:textId="4EDA038E" w:rsidR="00AB0DB6" w:rsidRDefault="003A2313" w:rsidP="00F52EC2">
      <w:pPr>
        <w:jc w:val="center"/>
      </w:pPr>
      <w:r>
        <w:rPr>
          <w:noProof/>
        </w:rPr>
        <w:drawing>
          <wp:inline distT="0" distB="0" distL="0" distR="0" wp14:anchorId="61AF545F" wp14:editId="31F321B4">
            <wp:extent cx="3553064" cy="2199005"/>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064" t="8808" r="16094" b="18709"/>
                    <a:stretch/>
                  </pic:blipFill>
                  <pic:spPr bwMode="auto">
                    <a:xfrm>
                      <a:off x="0" y="0"/>
                      <a:ext cx="3555536" cy="2200535"/>
                    </a:xfrm>
                    <a:prstGeom prst="rect">
                      <a:avLst/>
                    </a:prstGeom>
                    <a:ln>
                      <a:noFill/>
                    </a:ln>
                    <a:extLst>
                      <a:ext uri="{53640926-AAD7-44D8-BBD7-CCE9431645EC}">
                        <a14:shadowObscured xmlns:a14="http://schemas.microsoft.com/office/drawing/2010/main"/>
                      </a:ext>
                    </a:extLst>
                  </pic:spPr>
                </pic:pic>
              </a:graphicData>
            </a:graphic>
          </wp:inline>
        </w:drawing>
      </w:r>
    </w:p>
    <w:p w14:paraId="1174F750" w14:textId="77777777" w:rsidR="009A675A" w:rsidRDefault="009A675A" w:rsidP="009A675A">
      <w:pPr>
        <w:pStyle w:val="Caption"/>
      </w:pPr>
      <w:bookmarkStart w:id="65" w:name="_Ref422987715"/>
      <w:bookmarkStart w:id="66" w:name="_Ref422987709"/>
      <w:r>
        <w:t xml:space="preserve">Figure </w:t>
      </w:r>
      <w:r w:rsidR="00A47317">
        <w:fldChar w:fldCharType="begin"/>
      </w:r>
      <w:r w:rsidR="00A47317">
        <w:instrText xml:space="preserve"> SEQ Figure \* ARABIC </w:instrText>
      </w:r>
      <w:r w:rsidR="00A47317">
        <w:fldChar w:fldCharType="separate"/>
      </w:r>
      <w:r w:rsidR="00820EB1">
        <w:rPr>
          <w:noProof/>
        </w:rPr>
        <w:t>26</w:t>
      </w:r>
      <w:r w:rsidR="00A47317">
        <w:rPr>
          <w:noProof/>
        </w:rPr>
        <w:fldChar w:fldCharType="end"/>
      </w:r>
      <w:r>
        <w:t xml:space="preserve">: </w:t>
      </w:r>
      <w:r w:rsidRPr="00B338BC">
        <w:t>XRD traces comparing crystalline raw materials to glass produced from static melting experiments. a) pure silica, b) soda-lime-silica powdered batch, c) soda-lime-silica pelletised batch.</w:t>
      </w:r>
    </w:p>
    <w:p w14:paraId="439D9ED0" w14:textId="77777777" w:rsidR="00AB0DB6" w:rsidRDefault="00AB0DB6" w:rsidP="00C2720A">
      <w:pPr>
        <w:pStyle w:val="Heading2"/>
        <w:keepLines/>
        <w:numPr>
          <w:ilvl w:val="1"/>
          <w:numId w:val="10"/>
        </w:numPr>
        <w:spacing w:before="100" w:after="100"/>
        <w:contextualSpacing w:val="0"/>
        <w15:collapsed/>
      </w:pPr>
      <w:bookmarkStart w:id="67" w:name="_Toc457232991"/>
      <w:bookmarkStart w:id="68" w:name="_Toc457232992"/>
      <w:bookmarkStart w:id="69" w:name="_Toc457232993"/>
      <w:bookmarkStart w:id="70" w:name="_Toc473995156"/>
      <w:bookmarkEnd w:id="65"/>
      <w:bookmarkEnd w:id="66"/>
      <w:bookmarkEnd w:id="67"/>
      <w:bookmarkEnd w:id="68"/>
      <w:bookmarkEnd w:id="69"/>
      <w:r>
        <w:t>In-flight melting experiments</w:t>
      </w:r>
      <w:bookmarkEnd w:id="70"/>
    </w:p>
    <w:p w14:paraId="10E264A9" w14:textId="77777777" w:rsidR="00AB0DB6" w:rsidRDefault="00AB0DB6" w:rsidP="00C2720A">
      <w:pPr>
        <w:pStyle w:val="Heading3"/>
        <w:numPr>
          <w:ilvl w:val="2"/>
          <w:numId w:val="10"/>
        </w:numPr>
        <w:spacing w:before="100" w:after="100"/>
        <w:contextualSpacing w:val="0"/>
        <w15:collapsed/>
      </w:pPr>
      <w:r>
        <w:t>Setup</w:t>
      </w:r>
    </w:p>
    <w:p w14:paraId="583C6BBA" w14:textId="77777777" w:rsidR="00AB0DB6" w:rsidRDefault="00AB0DB6">
      <w:r>
        <w:t xml:space="preserve">For the in-flight melting experiment, a borosilicate glass funnel was used to contain the glass forming batch. A series of preliminary experiments were conducted to find the batch particle size and funnel outlet tube size to generate a flowrate of ~60 g/min because this was the flow rate used by </w:t>
      </w:r>
      <w:r w:rsidRPr="0007737D">
        <w:t xml:space="preserve"> </w:t>
      </w:r>
      <w:r>
        <w:t>Liu, (2011) who demonstrated in-flight soda-lime-silica glass melting using an electric ac arc heat source with a similar power to that which could be provided by the HFSS beam (~50 kW</w:t>
      </w:r>
      <w:r>
        <w:rPr>
          <w:vertAlign w:val="subscript"/>
        </w:rPr>
        <w:t>th</w:t>
      </w:r>
      <w:r>
        <w:t>).The funnel was accurately positioned such that the focal point of the HFSS beam was located just below the outlet of the funnel tube, to lie in the path of the falling from of batch. A linear actuator connector to a steel bar was set up such that the end of the steel bar closed the end of the funnel outlet tube to hold the batch until the linear actuator was activated to pull the bar away from the funnel outlet to release the falling batch stream. A mobile phone was fixed on the funnel, functioning as a remotely controlled agitator i.e. when required it was called, causing it to vibrate thus agitating the batch particles to encourage them to flow. All equipment near the focal point of the beam was wrapped in aluminium foil to reflect radiation to avoid overheating. Refractory insulation bricks were setup behind the experimental setup to prevent the radiation passing through to damage any other equipment in the room (</w:t>
      </w:r>
      <w:r>
        <w:fldChar w:fldCharType="begin"/>
      </w:r>
      <w:r>
        <w:instrText xml:space="preserve"> REF _Ref422994386 \h </w:instrText>
      </w:r>
      <w:r>
        <w:fldChar w:fldCharType="separate"/>
      </w:r>
      <w:r w:rsidR="00820EB1">
        <w:t xml:space="preserve">Figure </w:t>
      </w:r>
      <w:r w:rsidR="00820EB1">
        <w:rPr>
          <w:noProof/>
        </w:rPr>
        <w:t>27</w:t>
      </w:r>
      <w:r>
        <w:fldChar w:fldCharType="end"/>
      </w:r>
      <w:r>
        <w:t>).</w:t>
      </w:r>
    </w:p>
    <w:p w14:paraId="20FDB196" w14:textId="77777777" w:rsidR="00AB0DB6" w:rsidRDefault="00AB0DB6" w:rsidP="003610C6">
      <w:pPr>
        <w:pStyle w:val="Title"/>
      </w:pPr>
      <w:r>
        <w:drawing>
          <wp:inline distT="0" distB="0" distL="0" distR="0" wp14:anchorId="51ADAE66" wp14:editId="0F08506E">
            <wp:extent cx="5339860" cy="2583712"/>
            <wp:effectExtent l="0" t="0" r="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7262" t="24415" r="13325" b="15852"/>
                    <a:stretch/>
                  </pic:blipFill>
                  <pic:spPr bwMode="auto">
                    <a:xfrm>
                      <a:off x="0" y="0"/>
                      <a:ext cx="5380122" cy="2603193"/>
                    </a:xfrm>
                    <a:prstGeom prst="rect">
                      <a:avLst/>
                    </a:prstGeom>
                    <a:ln>
                      <a:noFill/>
                    </a:ln>
                    <a:extLst>
                      <a:ext uri="{53640926-AAD7-44D8-BBD7-CCE9431645EC}">
                        <a14:shadowObscured xmlns:a14="http://schemas.microsoft.com/office/drawing/2010/main"/>
                      </a:ext>
                    </a:extLst>
                  </pic:spPr>
                </pic:pic>
              </a:graphicData>
            </a:graphic>
          </wp:inline>
        </w:drawing>
      </w:r>
    </w:p>
    <w:p w14:paraId="3F929A5D" w14:textId="77777777" w:rsidR="00AB0DB6" w:rsidRDefault="00AB0DB6">
      <w:pPr>
        <w:pStyle w:val="Caption"/>
      </w:pPr>
      <w:bookmarkStart w:id="71" w:name="_Ref422994386"/>
      <w:r>
        <w:t xml:space="preserve">Figure </w:t>
      </w:r>
      <w:r w:rsidR="00A47317">
        <w:fldChar w:fldCharType="begin"/>
      </w:r>
      <w:r w:rsidR="00A47317">
        <w:instrText xml:space="preserve"> SEQ Figure \* ARABIC </w:instrText>
      </w:r>
      <w:r w:rsidR="00A47317">
        <w:fldChar w:fldCharType="separate"/>
      </w:r>
      <w:r w:rsidR="00820EB1">
        <w:rPr>
          <w:noProof/>
        </w:rPr>
        <w:t>27</w:t>
      </w:r>
      <w:r w:rsidR="00A47317">
        <w:rPr>
          <w:noProof/>
        </w:rPr>
        <w:fldChar w:fldCharType="end"/>
      </w:r>
      <w:bookmarkEnd w:id="71"/>
      <w:r>
        <w:t>: In-flight melting experimental setup</w:t>
      </w:r>
    </w:p>
    <w:p w14:paraId="7638B793" w14:textId="77777777" w:rsidR="00AB0DB6" w:rsidRPr="00AD1DB0" w:rsidRDefault="00AB0DB6" w:rsidP="00C2720A">
      <w:pPr>
        <w:pStyle w:val="Heading3"/>
        <w:numPr>
          <w:ilvl w:val="2"/>
          <w:numId w:val="10"/>
        </w:numPr>
        <w:spacing w:before="100" w:after="100"/>
        <w:contextualSpacing w:val="0"/>
        <w15:collapsed/>
      </w:pPr>
      <w:r>
        <w:t>Experiments (A10-11)</w:t>
      </w:r>
    </w:p>
    <w:p w14:paraId="78E781C7" w14:textId="77777777" w:rsidR="00AB0DB6" w:rsidRDefault="00AB0DB6" w:rsidP="003610C6">
      <w:r>
        <w:t xml:space="preserve">Two in-flight melting experiments were conducted using: </w:t>
      </w:r>
    </w:p>
    <w:p w14:paraId="646AA767" w14:textId="77777777" w:rsidR="00AB0DB6" w:rsidRDefault="00AB0DB6" w:rsidP="003610C6">
      <w:r>
        <w:t xml:space="preserve">1) 7 g of crushed soda-lime-silica pelletised batch (experiment A10); </w:t>
      </w:r>
    </w:p>
    <w:p w14:paraId="6AA4FAD9" w14:textId="77777777" w:rsidR="00AB0DB6" w:rsidRDefault="00AB0DB6" w:rsidP="003610C6">
      <w:r>
        <w:t xml:space="preserve">2) 20 g of silica sand (experiment A11). </w:t>
      </w:r>
    </w:p>
    <w:p w14:paraId="56384E44" w14:textId="77777777" w:rsidR="00AB0DB6" w:rsidRDefault="00AB0DB6" w:rsidP="003610C6">
      <w:pPr>
        <w:ind w:firstLine="0"/>
      </w:pPr>
      <w:r>
        <w:t>For both experiments (A10-11) all 10 bulbs of the HFSS were switched used and the shutters 100% opened (corresponding to an indicative power of around 107 kW) as soon as the batches were released. The falling steams of batch particles irradiated by the full power of the beam were visible from the camera positioned behind the shutters (</w:t>
      </w:r>
      <w:r>
        <w:fldChar w:fldCharType="begin"/>
      </w:r>
      <w:r>
        <w:instrText xml:space="preserve"> REF _Ref451030688 \h </w:instrText>
      </w:r>
      <w:r>
        <w:fldChar w:fldCharType="separate"/>
      </w:r>
      <w:r w:rsidR="00820EB1">
        <w:t xml:space="preserve">Figure </w:t>
      </w:r>
      <w:r w:rsidR="00820EB1">
        <w:rPr>
          <w:noProof/>
        </w:rPr>
        <w:t>28</w:t>
      </w:r>
      <w:r>
        <w:fldChar w:fldCharType="end"/>
      </w:r>
      <w:r>
        <w:t>).</w:t>
      </w:r>
    </w:p>
    <w:p w14:paraId="491F7513" w14:textId="77777777" w:rsidR="00AB0DB6" w:rsidRDefault="00AB0DB6" w:rsidP="00AB0DB6">
      <w:pPr>
        <w:pStyle w:val="Title"/>
      </w:pPr>
      <w:bookmarkStart w:id="72" w:name="_Ref422995989"/>
      <w:r>
        <w:drawing>
          <wp:inline distT="0" distB="0" distL="0" distR="0" wp14:anchorId="4D02497A" wp14:editId="6BC9AC07">
            <wp:extent cx="1466850" cy="2911915"/>
            <wp:effectExtent l="0" t="0" r="0" b="31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9110" t="9064" r="38511" b="11921"/>
                    <a:stretch/>
                  </pic:blipFill>
                  <pic:spPr bwMode="auto">
                    <a:xfrm>
                      <a:off x="0" y="0"/>
                      <a:ext cx="1469351" cy="2916881"/>
                    </a:xfrm>
                    <a:prstGeom prst="rect">
                      <a:avLst/>
                    </a:prstGeom>
                    <a:ln>
                      <a:noFill/>
                    </a:ln>
                    <a:extLst>
                      <a:ext uri="{53640926-AAD7-44D8-BBD7-CCE9431645EC}">
                        <a14:shadowObscured xmlns:a14="http://schemas.microsoft.com/office/drawing/2010/main"/>
                      </a:ext>
                    </a:extLst>
                  </pic:spPr>
                </pic:pic>
              </a:graphicData>
            </a:graphic>
          </wp:inline>
        </w:drawing>
      </w:r>
    </w:p>
    <w:p w14:paraId="56DB22BB" w14:textId="77777777" w:rsidR="00AB0DB6" w:rsidRDefault="00AB0DB6" w:rsidP="003610C6">
      <w:pPr>
        <w:pStyle w:val="Caption"/>
      </w:pPr>
      <w:bookmarkStart w:id="73" w:name="_Ref451030688"/>
      <w:r>
        <w:t xml:space="preserve">Figure </w:t>
      </w:r>
      <w:r w:rsidR="00A47317">
        <w:fldChar w:fldCharType="begin"/>
      </w:r>
      <w:r w:rsidR="00A47317">
        <w:instrText xml:space="preserve"> SEQ Figure \* ARABIC </w:instrText>
      </w:r>
      <w:r w:rsidR="00A47317">
        <w:fldChar w:fldCharType="separate"/>
      </w:r>
      <w:r w:rsidR="00820EB1">
        <w:rPr>
          <w:noProof/>
        </w:rPr>
        <w:t>28</w:t>
      </w:r>
      <w:r w:rsidR="00A47317">
        <w:rPr>
          <w:noProof/>
        </w:rPr>
        <w:fldChar w:fldCharType="end"/>
      </w:r>
      <w:bookmarkEnd w:id="73"/>
      <w:r>
        <w:t xml:space="preserve">: </w:t>
      </w:r>
      <w:r w:rsidRPr="00E8028C">
        <w:t>Falling streams of a) soda-lime-silica (A10) and b) pure silica batches (A11), in the path of the focal point of the HFSS beam running at full power.</w:t>
      </w:r>
    </w:p>
    <w:bookmarkEnd w:id="72"/>
    <w:p w14:paraId="2FD04F0E" w14:textId="3DD80109" w:rsidR="00AB0DB6" w:rsidRDefault="00AB0DB6" w:rsidP="003610C6">
      <w:r>
        <w:t xml:space="preserve">The difference in the appearance of the streams seen in </w:t>
      </w:r>
      <w:r>
        <w:fldChar w:fldCharType="begin"/>
      </w:r>
      <w:r>
        <w:instrText xml:space="preserve"> REF _Ref451030688 \h </w:instrText>
      </w:r>
      <w:r>
        <w:fldChar w:fldCharType="separate"/>
      </w:r>
      <w:r w:rsidR="00820EB1">
        <w:t xml:space="preserve">Figure </w:t>
      </w:r>
      <w:r w:rsidR="00820EB1">
        <w:rPr>
          <w:noProof/>
        </w:rPr>
        <w:t>28</w:t>
      </w:r>
      <w:r>
        <w:fldChar w:fldCharType="end"/>
      </w:r>
      <w:r>
        <w:t xml:space="preserve"> was due to the difference in the shape of the particles. The soda-lime-silica stream (</w:t>
      </w:r>
      <w:r>
        <w:fldChar w:fldCharType="begin"/>
      </w:r>
      <w:r>
        <w:instrText xml:space="preserve"> REF _Ref451030688 \h </w:instrText>
      </w:r>
      <w:r>
        <w:fldChar w:fldCharType="separate"/>
      </w:r>
      <w:r w:rsidR="00820EB1">
        <w:t xml:space="preserve">Figure </w:t>
      </w:r>
      <w:r w:rsidR="00820EB1">
        <w:rPr>
          <w:noProof/>
        </w:rPr>
        <w:t>28</w:t>
      </w:r>
      <w:r>
        <w:fldChar w:fldCharType="end"/>
      </w:r>
      <w:r>
        <w:t>a) was made from crushed pellets so had more irregularly shaped particles compared to the silica sand stream (</w:t>
      </w:r>
      <w:r>
        <w:fldChar w:fldCharType="begin"/>
      </w:r>
      <w:r>
        <w:instrText xml:space="preserve"> REF _Ref451030688 \h </w:instrText>
      </w:r>
      <w:r>
        <w:fldChar w:fldCharType="separate"/>
      </w:r>
      <w:r w:rsidR="00820EB1">
        <w:t xml:space="preserve">Figure </w:t>
      </w:r>
      <w:r w:rsidR="00820EB1">
        <w:rPr>
          <w:noProof/>
        </w:rPr>
        <w:t>28</w:t>
      </w:r>
      <w:r>
        <w:fldChar w:fldCharType="end"/>
      </w:r>
      <w:r>
        <w:t>b) which consisted of more spherical particles and therefore better flowability. For each experiment after the batch contained inside the funnel had run out, the beam was switched off and the material collected in the container below to observe results.</w:t>
      </w:r>
    </w:p>
    <w:p w14:paraId="65758DDF" w14:textId="77777777" w:rsidR="00AB0DB6" w:rsidRDefault="00AB0DB6" w:rsidP="00C2720A">
      <w:pPr>
        <w:pStyle w:val="Heading3"/>
        <w:numPr>
          <w:ilvl w:val="2"/>
          <w:numId w:val="10"/>
        </w:numPr>
        <w:spacing w:before="100" w:after="100"/>
        <w:contextualSpacing w:val="0"/>
        <w15:collapsed/>
      </w:pPr>
      <w:r>
        <w:t xml:space="preserve">Results </w:t>
      </w:r>
    </w:p>
    <w:p w14:paraId="69D09048" w14:textId="77777777" w:rsidR="00AB0DB6" w:rsidRDefault="00AB0DB6" w:rsidP="003610C6">
      <w:r>
        <w:t>Neither of the two batches which underwent the in-flight melting experiments appeared to show any visible signs of melting or change. Comparing the XRD results of the batches before and after being subjected to the in-flight melting experiments (</w:t>
      </w:r>
      <w:r>
        <w:fldChar w:fldCharType="begin"/>
      </w:r>
      <w:r>
        <w:instrText xml:space="preserve"> REF _Ref451014561 \h </w:instrText>
      </w:r>
      <w:r>
        <w:fldChar w:fldCharType="separate"/>
      </w:r>
      <w:r w:rsidR="00820EB1">
        <w:t xml:space="preserve">Figure </w:t>
      </w:r>
      <w:r w:rsidR="00820EB1">
        <w:rPr>
          <w:noProof/>
        </w:rPr>
        <w:t>29</w:t>
      </w:r>
      <w:r>
        <w:fldChar w:fldCharType="end"/>
      </w:r>
      <w:r>
        <w:t xml:space="preserve">), some small differences in the SLS pattern can be seen which would be consistent with very limited reactions occurring. </w:t>
      </w:r>
    </w:p>
    <w:p w14:paraId="013C060F" w14:textId="77777777" w:rsidR="00AB0DB6" w:rsidRDefault="00AB0DB6" w:rsidP="00AB0DB6">
      <w:pPr>
        <w:pStyle w:val="Title"/>
      </w:pPr>
      <w:bookmarkStart w:id="74" w:name="_Ref422997651"/>
      <w:r>
        <w:drawing>
          <wp:inline distT="0" distB="0" distL="0" distR="0" wp14:anchorId="32D97929" wp14:editId="5C09F408">
            <wp:extent cx="3708276" cy="4200525"/>
            <wp:effectExtent l="0" t="0" r="698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0689" t="9853" r="31752" b="14483"/>
                    <a:stretch/>
                  </pic:blipFill>
                  <pic:spPr bwMode="auto">
                    <a:xfrm>
                      <a:off x="0" y="0"/>
                      <a:ext cx="3724042" cy="4218384"/>
                    </a:xfrm>
                    <a:prstGeom prst="rect">
                      <a:avLst/>
                    </a:prstGeom>
                    <a:ln>
                      <a:noFill/>
                    </a:ln>
                    <a:extLst>
                      <a:ext uri="{53640926-AAD7-44D8-BBD7-CCE9431645EC}">
                        <a14:shadowObscured xmlns:a14="http://schemas.microsoft.com/office/drawing/2010/main"/>
                      </a:ext>
                    </a:extLst>
                  </pic:spPr>
                </pic:pic>
              </a:graphicData>
            </a:graphic>
          </wp:inline>
        </w:drawing>
      </w:r>
    </w:p>
    <w:p w14:paraId="76C11023" w14:textId="77777777" w:rsidR="00AB0DB6" w:rsidRPr="00287FA0" w:rsidRDefault="00AB0DB6">
      <w:pPr>
        <w:pStyle w:val="Caption"/>
      </w:pPr>
      <w:bookmarkStart w:id="75" w:name="_Ref451014561"/>
      <w:r>
        <w:t xml:space="preserve">Figure </w:t>
      </w:r>
      <w:r w:rsidR="00A47317">
        <w:fldChar w:fldCharType="begin"/>
      </w:r>
      <w:r w:rsidR="00A47317">
        <w:instrText xml:space="preserve"> SEQ Figure \* ARABIC </w:instrText>
      </w:r>
      <w:r w:rsidR="00A47317">
        <w:fldChar w:fldCharType="separate"/>
      </w:r>
      <w:r w:rsidR="00820EB1">
        <w:rPr>
          <w:noProof/>
        </w:rPr>
        <w:t>29</w:t>
      </w:r>
      <w:r w:rsidR="00A47317">
        <w:rPr>
          <w:noProof/>
        </w:rPr>
        <w:fldChar w:fldCharType="end"/>
      </w:r>
      <w:bookmarkEnd w:id="74"/>
      <w:bookmarkEnd w:id="75"/>
      <w:r>
        <w:t>: XRD results comparing glass forming batches before and after in-flight melting experiments for a) pure silica and b) soda-lime-silica batches.</w:t>
      </w:r>
    </w:p>
    <w:p w14:paraId="679512BD" w14:textId="77777777" w:rsidR="00AB0DB6" w:rsidRDefault="00AB0DB6" w:rsidP="00C2720A">
      <w:pPr>
        <w:pStyle w:val="Heading2"/>
        <w:keepLines/>
        <w:numPr>
          <w:ilvl w:val="1"/>
          <w:numId w:val="10"/>
        </w:numPr>
        <w:spacing w:before="100" w:after="100"/>
        <w:contextualSpacing w:val="0"/>
        <w15:collapsed/>
      </w:pPr>
      <w:bookmarkStart w:id="76" w:name="_Toc473995157"/>
      <w:r>
        <w:t>Discussion</w:t>
      </w:r>
      <w:bookmarkEnd w:id="76"/>
    </w:p>
    <w:p w14:paraId="5CFCC3FC" w14:textId="77777777" w:rsidR="00AB0DB6" w:rsidRDefault="00AB0DB6" w:rsidP="00C2720A">
      <w:pPr>
        <w:pStyle w:val="Heading3"/>
        <w:numPr>
          <w:ilvl w:val="2"/>
          <w:numId w:val="10"/>
        </w:numPr>
        <w:spacing w:before="100" w:after="100"/>
        <w:contextualSpacing w:val="0"/>
        <w15:collapsed/>
      </w:pPr>
      <w:r>
        <w:t>Preliminary experiment</w:t>
      </w:r>
    </w:p>
    <w:p w14:paraId="67F786E4" w14:textId="77777777" w:rsidR="00AB0DB6" w:rsidRDefault="00AB0DB6" w:rsidP="003610C6">
      <w:r>
        <w:t xml:space="preserve">The preliminary solar melting experiment using impure silica sand, produced a partially formed, poor quality glass, resembling that produced by </w:t>
      </w:r>
      <w:r>
        <w:fldChar w:fldCharType="begin" w:fldLock="1"/>
      </w:r>
      <w:r>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"manualFormatting" : "Trombe (1954)", "plainTextFormattedCitation" : "(Trombe 1954)", "previouslyFormattedCitation" : "(Trombe 1954)" }, "properties" : { "noteIndex" : 0 }, "schema" : "https://github.com/citation-style-language/schema/raw/master/csl-citation.json" }</w:instrText>
      </w:r>
      <w:r>
        <w:fldChar w:fldCharType="separate"/>
      </w:r>
      <w:r w:rsidRPr="0041144C">
        <w:rPr>
          <w:noProof/>
        </w:rPr>
        <w:t xml:space="preserve">Trombe </w:t>
      </w:r>
      <w:r>
        <w:rPr>
          <w:noProof/>
        </w:rPr>
        <w:t>(</w:t>
      </w:r>
      <w:r w:rsidRPr="0041144C">
        <w:rPr>
          <w:noProof/>
        </w:rPr>
        <w:t>1954)</w:t>
      </w:r>
      <w:r>
        <w:fldChar w:fldCharType="end"/>
      </w:r>
      <w:r>
        <w:t>. This was the first experimental evidence in this project w</w:t>
      </w:r>
      <w:r w:rsidRPr="00360993">
        <w:t>hich</w:t>
      </w:r>
      <w:r>
        <w:t xml:space="preserve"> showed that, a glass melt pool could be produced using a concentrated solar beam. Although the colouring in the sand suggested it would more readily absorb the visible wavelengths of the solar radiation than the purer raw materials considered for producing better qualities of glasses, since a melt pool could be produced even on a water-cooled plate, this provided confidence to pursue further experiments using commercial purity raw materials contained inside refractory insulated crucibles.</w:t>
      </w:r>
    </w:p>
    <w:p w14:paraId="1DFECBB2" w14:textId="77777777" w:rsidR="00AB0DB6" w:rsidRDefault="00AB0DB6" w:rsidP="00C2720A">
      <w:pPr>
        <w:pStyle w:val="Heading3"/>
        <w:numPr>
          <w:ilvl w:val="2"/>
          <w:numId w:val="10"/>
        </w:numPr>
        <w:spacing w:before="100" w:after="100"/>
        <w:contextualSpacing w:val="0"/>
        <w15:collapsed/>
      </w:pPr>
      <w:r>
        <w:t xml:space="preserve"> Fused silica static melts</w:t>
      </w:r>
    </w:p>
    <w:p w14:paraId="52D93099" w14:textId="77777777" w:rsidR="00AB0DB6" w:rsidRPr="002E2E9F" w:rsidRDefault="00AB0DB6" w:rsidP="003610C6">
      <w:r>
        <w:t xml:space="preserve">The initial static melting experiment attempting to melt a small batch of pure silica sand contained inside a small mullite crucible was unsuccessful. It appeared that the focal point of the beam was directed close to the edge of the crucible rather than the centre of the batch and therefore the crucible began melting before the batch. Therefore, in subsequent experiments, larger re-crystallised alumina crucibles were used to contain the fused silica batches. These had the dual advantage of a higher melting point than the mullite and greater distance of the exposed top surface of the crucible away from the focal point of the beam. This allowed more power to be supplied to the batch without melting the crucible and eventually resulted in complete melting of the contained silica. However, it appeared that the viscosity and bubble content of the fused silica glass produced was far too high to be considered for most useful applications. </w:t>
      </w:r>
    </w:p>
    <w:p w14:paraId="712A3B9D" w14:textId="77777777" w:rsidR="00AB0DB6" w:rsidRDefault="00AB0DB6" w:rsidP="00C2720A">
      <w:pPr>
        <w:pStyle w:val="Heading3"/>
        <w:numPr>
          <w:ilvl w:val="2"/>
          <w:numId w:val="10"/>
        </w:numPr>
        <w:spacing w:before="100" w:after="100"/>
        <w:contextualSpacing w:val="0"/>
        <w15:collapsed/>
      </w:pPr>
      <w:r>
        <w:t>Soda-lime-silica static melts</w:t>
      </w:r>
    </w:p>
    <w:p w14:paraId="7C3DF4A9" w14:textId="22AC7E5A" w:rsidR="00AB0DB6" w:rsidRDefault="00AB0DB6" w:rsidP="003610C6">
      <w:r>
        <w:t xml:space="preserve">The larger soda-lime-silica static melting experiments were surprisingly successful since the initial aim was to generate a small melt pool on the surface of a 10 g batch, with no expectation for bubble removal or quality of glass. But by the end of this series of experiments, there was no crucible available at the time large enough to contain the volumes of molten glass being generated, with the entire contents of the largest crucible, 232 g of soda-lime-silica batch, completely melted. Furthermore, the glass produced contained far fewer bubbles than expected considering the relatively short period of time they were held at </w:t>
      </w:r>
      <w:r w:rsidR="00116EF6">
        <w:t xml:space="preserve">the </w:t>
      </w:r>
      <w:r>
        <w:t>melting temperature which was in the order of tens of minutes, compared to conventional melts which are typically held at melting temperature for tens of hours. In addition, all the soda-lime-silica melts appeared to generate melts which appeared sufficiently fluid to potentially undergo subsequent forming processes. However, this claim could not be properly substantiated without further experiments which would require a setup which would enable a fluid stream of the molten glass produced to be observed.</w:t>
      </w:r>
    </w:p>
    <w:p w14:paraId="6FDFF6B2" w14:textId="4E78127E" w:rsidR="00AB0DB6" w:rsidRDefault="00AB0DB6" w:rsidP="003610C6">
      <w:r>
        <w:t xml:space="preserve">The soda-lime-silica pelletised batch produced particularly good quality glass, even better than the equivalent powdered batch. This was probably due to the fact that the batch mixture was more homogenous in the pelletised form whereas the unbound powders could be segregated. This is particularly significant for smaller volume melts with short melting times because in such scenarios there is little opportunity for the batch to homogenise by mixing </w:t>
      </w:r>
      <w:r w:rsidR="003A2313">
        <w:t>due to</w:t>
      </w:r>
      <w:r>
        <w:t xml:space="preserve"> convection currents as is the case in more conventional large scale melting tanks. Therefore, pelletised soda-lime-silica appears to be the most promising batch type for future solar-heated glass melting process development.</w:t>
      </w:r>
    </w:p>
    <w:p w14:paraId="7E07FBE1" w14:textId="6E606069" w:rsidR="00AB0DB6" w:rsidRDefault="00AB0DB6" w:rsidP="003610C6">
      <w:r>
        <w:t>The larger soda-lime-silica melts generated large volumes of bubbles and foam (</w:t>
      </w:r>
      <w:r>
        <w:fldChar w:fldCharType="begin"/>
      </w:r>
      <w:r>
        <w:instrText xml:space="preserve"> REF _Ref451030327 \h </w:instrText>
      </w:r>
      <w:r>
        <w:fldChar w:fldCharType="separate"/>
      </w:r>
      <w:r w:rsidR="00820EB1">
        <w:t xml:space="preserve">Figure </w:t>
      </w:r>
      <w:r w:rsidR="00820EB1">
        <w:rPr>
          <w:noProof/>
        </w:rPr>
        <w:t>20</w:t>
      </w:r>
      <w:r>
        <w:fldChar w:fldCharType="end"/>
      </w:r>
      <w:r>
        <w:t>) over a long period of time before the melt surface could clarify. Also, long after the batch on the surface had melted away it could be seen there was still unmelted batch below (</w:t>
      </w:r>
      <w:r>
        <w:fldChar w:fldCharType="begin"/>
      </w:r>
      <w:r>
        <w:instrText xml:space="preserve"> REF _Ref422906759 \h </w:instrText>
      </w:r>
      <w:r>
        <w:fldChar w:fldCharType="separate"/>
      </w:r>
      <w:r w:rsidR="00820EB1">
        <w:t xml:space="preserve">Figure </w:t>
      </w:r>
      <w:r w:rsidR="00820EB1">
        <w:rPr>
          <w:noProof/>
        </w:rPr>
        <w:t>21</w:t>
      </w:r>
      <w:r>
        <w:fldChar w:fldCharType="end"/>
      </w:r>
      <w:r>
        <w:t>). Furthermore, the glass produced showed significantly more trapped bubbles in the sections deeper in the melt compared to nearer the surface (</w:t>
      </w:r>
      <w:r>
        <w:fldChar w:fldCharType="begin"/>
      </w:r>
      <w:r>
        <w:instrText xml:space="preserve"> REF _Ref422906759 \h </w:instrText>
      </w:r>
      <w:r>
        <w:fldChar w:fldCharType="separate"/>
      </w:r>
      <w:r w:rsidR="00820EB1">
        <w:t xml:space="preserve">Figure </w:t>
      </w:r>
      <w:r w:rsidR="00820EB1">
        <w:rPr>
          <w:noProof/>
        </w:rPr>
        <w:t>21</w:t>
      </w:r>
      <w:r>
        <w:fldChar w:fldCharType="end"/>
      </w:r>
      <w:r>
        <w:t xml:space="preserve">). Therefore, in order to avoid these issues related to melting and removal of </w:t>
      </w:r>
      <w:r w:rsidR="00945C75">
        <w:t>gases</w:t>
      </w:r>
      <w:r>
        <w:t xml:space="preserve"> from batches deep below the melt surface, a batch feeding system </w:t>
      </w:r>
      <w:r w:rsidR="003A2313" w:rsidRPr="003A2313">
        <w:t>was thought to be desirable to feed a single layer of pellets as a batch blanket</w:t>
      </w:r>
      <w:r w:rsidR="003A2313" w:rsidRPr="003A2313" w:rsidDel="003A2313">
        <w:t xml:space="preserve"> </w:t>
      </w:r>
      <w:r>
        <w:t>covering the top of the melt surface</w:t>
      </w:r>
      <w:r w:rsidR="003A2313">
        <w:t>. This would</w:t>
      </w:r>
      <w:r>
        <w:t xml:space="preserve"> allow existing batch on the surface to melt down and gases to be removed before feeding subsequent layers on top.</w:t>
      </w:r>
    </w:p>
    <w:p w14:paraId="1356D243" w14:textId="77777777" w:rsidR="00AB0DB6" w:rsidRDefault="00AB0DB6" w:rsidP="00C2720A">
      <w:pPr>
        <w:pStyle w:val="Heading3"/>
        <w:numPr>
          <w:ilvl w:val="2"/>
          <w:numId w:val="10"/>
        </w:numPr>
        <w:spacing w:before="100" w:after="100"/>
        <w:contextualSpacing w:val="0"/>
        <w15:collapsed/>
      </w:pPr>
      <w:r>
        <w:t xml:space="preserve">Volume of solar heater glass melting </w:t>
      </w:r>
    </w:p>
    <w:p w14:paraId="04CD20FF" w14:textId="2911F340" w:rsidR="00AB0DB6" w:rsidRPr="00AE7B34" w:rsidRDefault="00AB0DB6" w:rsidP="003610C6">
      <w:r>
        <w:t xml:space="preserve">Prior to these experiments, it was envisaged that glass could only be melted at the point where the focal of the beam was directly incident and so secondary heating would be necessary to melt larger volumes of glass. However, these experiments </w:t>
      </w:r>
      <w:r w:rsidR="003A2313">
        <w:t>indicated</w:t>
      </w:r>
      <w:r>
        <w:t xml:space="preserve"> that larger volumes of glass can be produced using a concentrated solar beam than originally envisaged, This might be due to the fact that as the glass forming batch melts, it becomes more transparent to the incoming solar radiation, which allows the solar radiation to transmit through the initial melt to heat the remaining unmelted batch, which eventually results in the complete melt pool.</w:t>
      </w:r>
    </w:p>
    <w:p w14:paraId="4C778325" w14:textId="77777777" w:rsidR="00AB0DB6" w:rsidRDefault="00AB0DB6" w:rsidP="00C2720A">
      <w:pPr>
        <w:pStyle w:val="Heading3"/>
        <w:numPr>
          <w:ilvl w:val="2"/>
          <w:numId w:val="10"/>
        </w:numPr>
        <w:spacing w:before="100" w:after="100"/>
        <w:contextualSpacing w:val="0"/>
        <w15:collapsed/>
      </w:pPr>
      <w:r>
        <w:t>Effect of bubbles</w:t>
      </w:r>
    </w:p>
    <w:p w14:paraId="1FEEF83D" w14:textId="4AE47CBA" w:rsidR="00AB0DB6" w:rsidRPr="00C85306" w:rsidRDefault="00AB0DB6" w:rsidP="003610C6">
      <w:r>
        <w:t xml:space="preserve">The bubbles inside the melt on the surface of the glass forming melt would be expected to cause scattering of the radiation. In conventional melts </w:t>
      </w:r>
      <w:r w:rsidRPr="00743C21">
        <w:t xml:space="preserve">heated by gas flames the scattering of radiation by bubbles in the melt usually has the effect of reducing the rate of heat transfer through the melt </w:t>
      </w:r>
      <w:r>
        <w:fldChar w:fldCharType="begin" w:fldLock="1"/>
      </w:r>
      <w:r>
        <w:instrText>ADDIN CSL_CITATION { "citationItems" : [ { "id" : "ITEM-1", "itemData" : { "ISSN" : "0862-5468", "abstract" : "The contemporary approach to modeling of the glass melting process involves presentation of concentration fields of inhomogeneities in a modeled melting space. In addition to kinetics of single inhomogeneities in the melt, their distribution in the space is therefore calculated This work presents three distribution models necessary for modeling refining process and glass quality control. The distribution model of components of oxidation-reduction reactions and two models of particle distribution (bubbles, solid particles) in the melting space. The model applicability is discussed and examples of model applications are presented. The methods and procedures of data acquisition for refining models are described.", "author" : [ { "dropping-particle" : "", "family" : "Klouzek", "given" : "Jaroslav", "non-dropping-particle" : "", "parse-names" : false, "suffix" : "" }, { "dropping-particle" : "", "family" : "Nemec", "given" : "Lubomir", "non-dropping-particle" : "", "parse-names" : false, "suffix" : "" } ], "container-title" : "Ceramics", "id" : "ITEM-1", "issue" : "4", "issued" : { "date-parts" : [ [ "2003" ] ] }, "language" : "eng", "note" : "effect of bubbles on glass melt heat transfer", "page" : "155-161", "publisher" : "\u00dastav chemie skeln\u00fdch a keramick\u00fdch materi\u00e1l\u016f \u010cSAV", "title" : "Modelling of glass refining kinetics. Part 2: Bubble distribution models and methods of measurement of refining properties", "type" : "article-journal", "volume" : "47" }, "uris" : [ "http://www.mendeley.com/documents/?uuid=deefed5a-2a6f-44ee-a3f7-39153d544414" ] } ], "mendeley" : { "formattedCitation" : "(Klouzek &amp; Nemec 2003)", "plainTextFormattedCitation" : "(Klouzek &amp; Nemec 2003)", "previouslyFormattedCitation" : "(Klouzek &amp; Nemec 2003)" }, "properties" : { "noteIndex" : 0 }, "schema" : "https://github.com/citation-style-language/schema/raw/master/csl-citation.json" }</w:instrText>
      </w:r>
      <w:r>
        <w:fldChar w:fldCharType="separate"/>
      </w:r>
      <w:r w:rsidRPr="00380BDC">
        <w:rPr>
          <w:noProof/>
        </w:rPr>
        <w:t>(Klouzek &amp; Nemec 2003)</w:t>
      </w:r>
      <w:r>
        <w:fldChar w:fldCharType="end"/>
      </w:r>
      <w:r w:rsidRPr="00743C21">
        <w:fldChar w:fldCharType="begin"/>
      </w:r>
      <w:r w:rsidRPr="00743C21">
        <w:instrText xml:space="preserve"> ADDIN EN.CITE &lt;EndNote&gt;&lt;Cite&gt;&lt;Author&gt;Jaroslav Klouzek&lt;/Author&gt;&lt;Year&gt;2003&lt;/Year&gt;&lt;RecNum&gt;17&lt;/RecNum&gt;&lt;DisplayText&gt;(Jaroslav Klouzek, 2003)&lt;/DisplayText&gt;&lt;record&gt;&lt;rec-number&gt;17&lt;/rec-number&gt;&lt;foreign-keys&gt;&lt;key app="EN" db-id="xee9ssrtop9evrexzdkx52v40st0rwpr0p9f"&gt;17&lt;/key&gt;&lt;/foreign-keys&gt;&lt;ref-type name="Conference Paper"&gt;47&lt;/ref-type&gt;&lt;contributors&gt;&lt;authors&gt;&lt;author&gt;Jaroslav Klouzek, Lubomir Nemec&lt;/author&gt;&lt;/authors&gt;&lt;/contributors&gt;&lt;titles&gt;&lt;title&gt;Modelling of Glass Refining Kinetics Part 2. Bubble distribution models and methods of refining properties&lt;/title&gt;&lt;secondary-title&gt;Joint Workplace of the Institute of Inorganic Chemistry of the Academy of Science of the Czech Republic and the Institue of Chemical Technology in Prague&lt;/secondary-title&gt;&lt;/titles&gt;&lt;dates&gt;&lt;year&gt;2003&lt;/year&gt;&lt;/dates&gt;&lt;pub-location&gt;Technika 5, 166 28 Prague, Czech Republic&lt;/pub-location&gt;&lt;urls&gt;&lt;/urls&gt;&lt;/record&gt;&lt;/Cite&gt;&lt;/EndNote&gt;</w:instrText>
      </w:r>
      <w:r w:rsidRPr="00743C21">
        <w:fldChar w:fldCharType="end"/>
      </w:r>
      <w:r w:rsidRPr="00743C21">
        <w:t>. However</w:t>
      </w:r>
      <w:r>
        <w:t>,</w:t>
      </w:r>
      <w:r w:rsidRPr="00743C21">
        <w:t xml:space="preserve"> since silicate glasses are much more transparent to solar radiation compared to radiation from flames it may be possible the scattering effect of the bubbles causes solar radiation which would otherwise transmit all the way through </w:t>
      </w:r>
      <w:r>
        <w:t>the glass melt without being absorbed, to instead, be absorbed inside the melt and therefore improving the heat transfer to the melt. Furthermore, it may be possible that the solar radiation transmitted through the melt could interact with the bubbles by multiple internal reflections causing them to heat up and possibly collapse, which could explain the reason why there were fewer bubbles in the glasses produced than expected considering the short retention times at temperature.</w:t>
      </w:r>
      <w:r w:rsidR="00D96ACB">
        <w:t xml:space="preserve"> Alternatively, the relatively short retention time required for bubble removal might be explained by the smaller volume and depth of melt compared to conventional tanks.</w:t>
      </w:r>
    </w:p>
    <w:p w14:paraId="2DB5EED0" w14:textId="77777777" w:rsidR="00AB0DB6" w:rsidRDefault="00AB0DB6" w:rsidP="00C2720A">
      <w:pPr>
        <w:pStyle w:val="Heading3"/>
        <w:numPr>
          <w:ilvl w:val="2"/>
          <w:numId w:val="10"/>
        </w:numPr>
        <w:spacing w:before="100" w:after="100"/>
        <w:contextualSpacing w:val="0"/>
        <w15:collapsed/>
      </w:pPr>
      <w:r>
        <w:t xml:space="preserve">Graphite-clay refractory crucibles </w:t>
      </w:r>
    </w:p>
    <w:p w14:paraId="3797734F" w14:textId="77777777" w:rsidR="00AB0DB6" w:rsidRDefault="00AB0DB6" w:rsidP="003610C6">
      <w:r>
        <w:t xml:space="preserve">The fumes observed evolving from the graphite-clay crucible during the static soda-lime-silica melting experiments could have been due to either: 1) vaporisation of a binder since the crucibles used were new. If so this could be resolved by preheating the crucible in an oven with a suitable extractor to remove any binder; 2) reaction of the silica in the batch with the graphite in the crucible forming </w:t>
      </w:r>
      <w:r w:rsidRPr="008814EA">
        <w:t>carbon monoxide</w:t>
      </w:r>
      <w:r>
        <w:t xml:space="preserve">. </w:t>
      </w:r>
    </w:p>
    <w:p w14:paraId="482F7E0F" w14:textId="77777777" w:rsidR="00AB0DB6" w:rsidRDefault="00AB0DB6" w:rsidP="00C2720A">
      <w:pPr>
        <w:pStyle w:val="Heading3"/>
        <w:numPr>
          <w:ilvl w:val="2"/>
          <w:numId w:val="10"/>
        </w:numPr>
        <w:spacing w:before="100" w:after="100"/>
        <w:contextualSpacing w:val="0"/>
        <w15:collapsed/>
      </w:pPr>
      <w:r>
        <w:t>Temperature measurements</w:t>
      </w:r>
    </w:p>
    <w:p w14:paraId="6103CF8D" w14:textId="505BBEA5" w:rsidR="00AB0DB6" w:rsidRDefault="00AB0DB6" w:rsidP="003610C6">
      <w:r>
        <w:t xml:space="preserve">One of the major difficulties encountered in this series of experiments was the measurement of glass melting temperatures. A pyrometer could not be used for measuring the required temperatures due to the high radiation flux at the focal point of the beam which would have caused too much interference. It might have been possible to switch off the beam temporarily to use a pyrometer to measure the glass melt temperature but there would be rapid cooling as soon as the beam was switched off, which would have incurred a large error on such temperature measurements. Furthermore, switching off the beam immediately would cause thermal shock issues. Therefore, thermocouples were used to measure temperature rather than an optical pyrometer. One or two thermocouples were positioned at arbitrary positions on the crucible which introduced inconsistencies in the measurements. For example, </w:t>
      </w:r>
      <w:r>
        <w:fldChar w:fldCharType="begin"/>
      </w:r>
      <w:r>
        <w:instrText xml:space="preserve"> REF _Ref423885953 \h </w:instrText>
      </w:r>
      <w:r>
        <w:fldChar w:fldCharType="separate"/>
      </w:r>
      <w:r w:rsidR="00820EB1">
        <w:t xml:space="preserve">Figure </w:t>
      </w:r>
      <w:r w:rsidR="00820EB1">
        <w:rPr>
          <w:noProof/>
        </w:rPr>
        <w:t>24</w:t>
      </w:r>
      <w:r>
        <w:fldChar w:fldCharType="end"/>
      </w:r>
      <w:r>
        <w:t xml:space="preserve"> shows the temperatures measured at two different positions on the same crucible which varied by several hundred</w:t>
      </w:r>
      <w:r w:rsidR="00D96ACB">
        <w:t xml:space="preserve"> </w:t>
      </w:r>
      <w:r w:rsidR="00B2288F">
        <w:t>Celsius</w:t>
      </w:r>
      <w:r>
        <w:t>. In this particular experiment, the thermocouple in position A appeared to consistently measure a lower temperature than the than the thermocouple at position B, except for the last few minutes of the experiments as the beam was switched off. Also, the thermocouple at position A appeared to give a dampened response to the changes indicative power supply which is most clearly shown during the incremental increases in power supply during the heat up phase where thermocouple B gives much more distinct increases in temperature than thermocouple corresponding to the step increases in power supplied. This seems to suggest that thermocouple A may have been further away from the focal point of the beam, which would explain the lower temperature for most of the experiment. Also, thermocouple A might have been more insulated from the beam as this would explain the dampened response and higher temperature after the beam was switched off. Therefore, it was difficult to find representative series of measurements indicative of the glass melting temperatures.</w:t>
      </w:r>
    </w:p>
    <w:p w14:paraId="6A3E46B6" w14:textId="7100F8C2" w:rsidR="00AB0DB6" w:rsidRDefault="00AB0DB6" w:rsidP="003610C6">
      <w:r>
        <w:t xml:space="preserve">In the final soda-lime-silica powdered batch melt, a S-type thermocouple was directly immersed inside the glass melt itself but the data temperature data obtained from this reading could be of questionable reliability since the glass would be electrically conductive at melting temperatures and therefore could interfere with the temperature signal from the thermocouple tip. Therefore, following these experiments it was </w:t>
      </w:r>
      <w:r w:rsidR="00D96ACB">
        <w:t xml:space="preserve">decided for subsequent experiments </w:t>
      </w:r>
      <w:r>
        <w:t>that a thermocouple could be contained inside a fused silica tube which could in turn be immersed in the glass in order to obtain more representative glass melting temperature data.</w:t>
      </w:r>
    </w:p>
    <w:p w14:paraId="722BA2EF" w14:textId="77777777" w:rsidR="00AB0DB6" w:rsidRDefault="00AB0DB6" w:rsidP="003610C6">
      <w:r>
        <w:t>Also, there was an issue of limited visibility of the melt surface when the shutters were not fully opened as the only camera capable of viewing the melt was positioned behind the shutters. Since it was necessary to open the shutters gradually in order to avoid thermally shocking the refractory crucibles, this meant it was impossible to see how and when exactly the melt initiated for the soda-lime-silica batches which appeared to have already begun melting before the shutters were sufficiently open to view them.</w:t>
      </w:r>
    </w:p>
    <w:p w14:paraId="0F169D78" w14:textId="77777777" w:rsidR="00AB0DB6" w:rsidRDefault="00AB0DB6" w:rsidP="00C2720A">
      <w:pPr>
        <w:pStyle w:val="Heading3"/>
        <w:numPr>
          <w:ilvl w:val="2"/>
          <w:numId w:val="10"/>
        </w:numPr>
        <w:spacing w:before="100" w:after="100"/>
        <w:contextualSpacing w:val="0"/>
        <w15:collapsed/>
      </w:pPr>
      <w:r>
        <w:t>In-flight melting experiments</w:t>
      </w:r>
    </w:p>
    <w:p w14:paraId="71A3B4C5" w14:textId="77777777" w:rsidR="00AB0DB6" w:rsidRDefault="00AB0DB6" w:rsidP="003610C6">
      <w:r>
        <w:t xml:space="preserve">Regarding the in-flight melting, it appeared that the main problem was that the region surrounding falling stream of glass was too cold so any heat absorbed by the batch particles would be rapidly re-radiated to their surroundings. However, it was difficult to know for sure, since the temperature of the falling steam of particles was not measured. As explained above, the use of a pyrometer to measure temperature was impossible due the inference of the radiation from the HFSS beam. Also, positioning a thermocouple in the path of the falling stream near the focus of the beam would not provide a representative temperature of the falling particles because the thermocouple would be stationary at the focal point and therefore much hotter than the particles which quickly fall past the focal point. It may still be possible to possible to melt glass forming batch by the in-flight method if the concentrated solar radiative heating were combined with a secondary heat source to provide sufficient heating to the surroundings, similar to the hybrid oxy-gas flame/plasma arc heated in-flight glass melting by </w:t>
      </w:r>
      <w:r>
        <w:fldChar w:fldCharType="begin" w:fldLock="1"/>
      </w:r>
      <w:r>
        <w:instrText>ADDIN CSL_CITATION { "citationItems" : [ { "id" : "ITEM-1", "itemData" : { "DOI" : "10.1016/j.tsf.2010.11.056", "ISSN" : "00406090", "author" : [ { "dropping-particle" : "", "family" : "Liu", "given" : "Yaping", "non-dropping-particle" : "", "parse-names" : false, "suffix" : "" }, { "dropping-particle" : "", "family" : "Tsuruoka", "given" : "Yosuke", "non-dropping-particle" : "", "parse-names" : false, "suffix" : "" }, { "dropping-particle" : "", "family" : "Tanaka", "given" : "Manabu", "non-dropping-particle" : "", "parse-names" : false, "suffix" : "" }, { "dropping-particle" : "", "family" : "Ichihashi", "given" : "Toshio", "non-dropping-particle" : "", "parse-names" : false, "suffix" : "" }, { "dropping-particle" : "", "family" : "Yano", "given" : "Tetsuji", "non-dropping-particle" : "", "parse-names" : false, "suffix" : "" }, { "dropping-particle" : "", "family" : "Watanabe", "given" : "Takayuki", "non-dropping-particle" : "", "parse-names" : false, "suffix" : "" } ], "container-title" : "Thin Solid Films", "id" : "ITEM-1", "issue" : "20", "issued" : { "date-parts" : [ [ "2011", "8" ] ] }, "page" : "7005-7008", "publisher" : "Elsevier B.V.", "title" : "In-flight melting behavior of different glass raw materials by hybrid heating of twelve-phase ac arc with oxygen burner", "type" : "article-journal", "volume" : "519" }, "uris" : [ "http://www.mendeley.com/documents/?uuid=abab9d17-9d6f-4d67-a56e-42dd9f7c88e2" ] } ], "mendeley" : { "formattedCitation" : "(Liu et al. 2011)", "manualFormatting" : "Liu et al (2011)", "plainTextFormattedCitation" : "(Liu et al. 2011)", "previouslyFormattedCitation" : "(Liu et al. 2011)" }, "properties" : { "noteIndex" : 0 }, "schema" : "https://github.com/citation-style-language/schema/raw/master/csl-citation.json" }</w:instrText>
      </w:r>
      <w:r>
        <w:fldChar w:fldCharType="separate"/>
      </w:r>
      <w:r>
        <w:rPr>
          <w:noProof/>
        </w:rPr>
        <w:t>Liu et al (</w:t>
      </w:r>
      <w:r w:rsidRPr="00493ACE">
        <w:rPr>
          <w:noProof/>
        </w:rPr>
        <w:t>2011)</w:t>
      </w:r>
      <w:r>
        <w:fldChar w:fldCharType="end"/>
      </w:r>
      <w:r>
        <w:t>. However, since the static melting experiments already appeared much more promising compared to the in-flight, it was decided to focus on melting batches contained inside refractories instead.</w:t>
      </w:r>
    </w:p>
    <w:p w14:paraId="305AE1E7" w14:textId="77777777" w:rsidR="00AB0DB6" w:rsidRDefault="00AB0DB6" w:rsidP="00C2720A">
      <w:pPr>
        <w:pStyle w:val="Heading3"/>
        <w:numPr>
          <w:ilvl w:val="2"/>
          <w:numId w:val="10"/>
        </w:numPr>
        <w:spacing w:before="100" w:after="100"/>
        <w:contextualSpacing w:val="0"/>
        <w15:collapsed/>
      </w:pPr>
      <w:r>
        <w:t>Indicative power</w:t>
      </w:r>
    </w:p>
    <w:p w14:paraId="299929F8" w14:textId="77777777" w:rsidR="00AB0DB6" w:rsidRDefault="00AB0DB6" w:rsidP="003610C6">
      <w:r>
        <w:t xml:space="preserve">Since there was no measurement of the radiative flux on the melt surfaces, the only data available regarding the power supplied to the samples from the HFSS beam during these experiments is from data recorded from the bulb electrical power consumption and shutter opening. This was used to calculate an ‘indicative power’ which was simply the sum of electrical power supplied to the bulbs multiplied by the percentage shutter opening. However, due to optical errors, each bulb actually provides slightly different distributions of radiant power to the focal point so comparing the sum of electrical power supplied from different sets of bulbs is not a perfect measure of relative radiant power supplied to the melt surfaces. The indicative power recorded did not provide the actual radiant power supplied to the melt surface as required to calculate the thermal efficiency of the solar glass melting process. </w:t>
      </w:r>
    </w:p>
    <w:p w14:paraId="73EBDAC5" w14:textId="77777777" w:rsidR="00AB0DB6" w:rsidRDefault="00AB0DB6" w:rsidP="00C2720A">
      <w:pPr>
        <w:pStyle w:val="Heading3"/>
        <w:numPr>
          <w:ilvl w:val="2"/>
          <w:numId w:val="10"/>
        </w:numPr>
        <w:spacing w:before="100" w:after="100"/>
        <w:contextualSpacing w:val="0"/>
        <w15:collapsed/>
      </w:pPr>
      <w:r>
        <w:t>Radiant power</w:t>
      </w:r>
    </w:p>
    <w:p w14:paraId="3A34A2F0" w14:textId="77777777" w:rsidR="00AB0DB6" w:rsidRDefault="00AB0DB6" w:rsidP="003610C6">
      <w:r>
        <w:t xml:space="preserve">Two methods could be used to directly measure the radiant power supplied to the glass forming batch surface: 1) a thermogauge could be used to measure the flux intensity at a series of points covering the surface area of the glass forming batch. Then, by integrating this flux distribution over the aforementioned surface, the incident radiant power could be estimated; 2) a calorimeter consisting of a water-cooled chamber with a beam inlet aperture could be used to measure the total thermal energy entering it by measuring the flow rate and temperature difference of the water  inlet and outlet flows. </w:t>
      </w:r>
    </w:p>
    <w:p w14:paraId="105BB645" w14:textId="77777777" w:rsidR="00AB0DB6" w:rsidRDefault="00AB0DB6" w:rsidP="003610C6">
      <w:r>
        <w:t xml:space="preserve">However, it was too difficult to provide access for a thermogauge to the location of the surface of the glass forming batch as it was contained inside the cavity reactor. Flux measurements could not be taken without the cavity reactor would not be representative as they would not account for the effect of the CPC secondary concentrator at the beam inlet of the reactor on the flux distribution of the beam at the melt surface. Also, since the surface areas of glass forming batches tested in the static melting experiments varied significantly, it was too difficult to find a calorimeter with the same beam inlet apertures to provide comparable results. </w:t>
      </w:r>
    </w:p>
    <w:p w14:paraId="296C29D1" w14:textId="69092D98" w:rsidR="00AB0DB6" w:rsidRDefault="00AB0DB6" w:rsidP="003610C6">
      <w:r>
        <w:t xml:space="preserve">Therefore, it </w:t>
      </w:r>
      <w:r w:rsidR="00AB1344">
        <w:t>was concluded that subsequent</w:t>
      </w:r>
      <w:r>
        <w:t xml:space="preserve"> experiments </w:t>
      </w:r>
      <w:r w:rsidR="00AB1344">
        <w:t xml:space="preserve">would be </w:t>
      </w:r>
      <w:r>
        <w:t>designed to accommodate radiant power measurements at the melt surface by use of a thermoga</w:t>
      </w:r>
      <w:r w:rsidR="00AB1344">
        <w:t>u</w:t>
      </w:r>
      <w:r>
        <w:t>ge or calorimeter.</w:t>
      </w:r>
    </w:p>
    <w:p w14:paraId="358D0BF8" w14:textId="77777777" w:rsidR="00AB0DB6" w:rsidRDefault="00AB0DB6" w:rsidP="00C2720A">
      <w:pPr>
        <w:pStyle w:val="Heading3"/>
        <w:numPr>
          <w:ilvl w:val="2"/>
          <w:numId w:val="10"/>
        </w:numPr>
        <w:spacing w:before="100" w:after="100"/>
        <w:contextualSpacing w:val="0"/>
        <w15:collapsed/>
      </w:pPr>
      <w:r>
        <w:t>Beam inlet aperture window</w:t>
      </w:r>
    </w:p>
    <w:p w14:paraId="7F110926" w14:textId="77777777" w:rsidR="00AB0DB6" w:rsidRDefault="00AB0DB6" w:rsidP="003610C6">
      <w:r>
        <w:t>The existing cavity reactor used to house the static melting experiments featured an optional water-cooled quartz glass window at the beam inlet aperture. Although this window could have reduced convective and re-radiation heat losses from the otherwise exposed melt surface, this window was not used due to: 1) the risk of damage to the window by gases evolved from the reacting glass forming batches and 2) the loss of power due to absorption of part of the radiation from the beam by the window. However use of such windows for future solar glass melting reactor designs could be considered.</w:t>
      </w:r>
    </w:p>
    <w:p w14:paraId="4B98F1C3" w14:textId="77777777" w:rsidR="00AB0DB6" w:rsidRDefault="00AB0DB6" w:rsidP="00C2720A">
      <w:pPr>
        <w:pStyle w:val="Heading3"/>
        <w:numPr>
          <w:ilvl w:val="2"/>
          <w:numId w:val="10"/>
        </w:numPr>
        <w:spacing w:before="100" w:after="100"/>
        <w:contextualSpacing w:val="0"/>
        <w15:collapsed/>
      </w:pPr>
      <w:r>
        <w:t>Annealing</w:t>
      </w:r>
    </w:p>
    <w:p w14:paraId="4C8AE2F8" w14:textId="4E5A08C8" w:rsidR="00AB0DB6" w:rsidRDefault="00AB0DB6" w:rsidP="003610C6">
      <w:r>
        <w:t>Only the smallest melt managed to survive the rapid cooling after the beam was switched off with the glass and containing refractory crucible in once piece. Despite attempting to anneal at the glass forming temperature for half an hour and slow cool the largest soda-lime-silica melt (</w:t>
      </w:r>
      <w:r w:rsidR="00813C20">
        <w:t xml:space="preserve">experiment A7, see section </w:t>
      </w:r>
      <w:r w:rsidR="00813C20">
        <w:fldChar w:fldCharType="begin"/>
      </w:r>
      <w:r w:rsidR="00813C20">
        <w:instrText xml:space="preserve"> REF _Ref451281401 \n \h </w:instrText>
      </w:r>
      <w:r w:rsidR="00813C20">
        <w:fldChar w:fldCharType="separate"/>
      </w:r>
      <w:r w:rsidR="00820EB1">
        <w:t>3.3.4.2</w:t>
      </w:r>
      <w:r w:rsidR="00813C20">
        <w:fldChar w:fldCharType="end"/>
      </w:r>
      <w:r>
        <w:t>), this proved insufficient to relieve the internal stresses causing the glass to crack on cooling. Annealing and slow cooling in the order of hours or even days would probably be required to produce a properly annealed glass of  such a large section thickness which would be very difficult with a real direct concentrated solar radiation heat source due limitations of the natural daily variations of solar energy availability. Therefore, it seems future solar glass melting experiments should focus on using the solar beam only for melting the batch and then secondary heating for the annealing and slow cooling process.</w:t>
      </w:r>
    </w:p>
    <w:p w14:paraId="07321A57" w14:textId="77777777" w:rsidR="00AB0DB6" w:rsidRDefault="00AB0DB6" w:rsidP="00C2720A">
      <w:pPr>
        <w:pStyle w:val="Heading2"/>
        <w:keepLines/>
        <w:numPr>
          <w:ilvl w:val="1"/>
          <w:numId w:val="10"/>
        </w:numPr>
        <w:spacing w:before="100" w:after="100"/>
        <w:contextualSpacing w:val="0"/>
        <w15:collapsed/>
      </w:pPr>
      <w:bookmarkStart w:id="77" w:name="_Toc473995158"/>
      <w:r>
        <w:t>Conclusions</w:t>
      </w:r>
      <w:bookmarkEnd w:id="77"/>
    </w:p>
    <w:p w14:paraId="282931B5" w14:textId="20272046" w:rsidR="00AB0DB6" w:rsidRDefault="00AB0DB6" w:rsidP="003610C6">
      <w:r>
        <w:t xml:space="preserve">The first experiments using concentrated radiation to simulate solar powered glass melting </w:t>
      </w:r>
      <w:r w:rsidR="00AF199A">
        <w:t>were</w:t>
      </w:r>
      <w:r>
        <w:t xml:space="preserve"> conducted. In one series of experiments, an ‘in-flight’ melting method was tested, which involved directly irradiating a falling streams of various silicate glass forming batch particles with a High Flux Solar Simulator (HFSS) beam. This method was not successful, probably due to the insufficient residence time of the particles passing through the focal point of the beam and too cold surroundings such that the falling particles would lose any gained heat before they could melt. Another series of experiments involved melting stationary glass forming batches contained inside conventional refractory crucibles. This proved much more successful with pure silica, powdered and pelletised soda-lime-silica glass forming batches all forming complete melt pools and demonstrating complete conversion of all the crystalline raw materials to fully x-ray amorphous glasses. All soda-lime-silica batches produced sufficiently fluid melts to demonstrate removal of bubbles and homogenisation so produced transparent glasses whereas the pure silica melt was too viscous to produce useable glass melt. Soda-lime-silica pelletised batches gave the most promising results, rapidly forming the highest quality glasses with least bubbles. </w:t>
      </w:r>
    </w:p>
    <w:p w14:paraId="4F64A5C6" w14:textId="77777777" w:rsidR="00AB0DB6" w:rsidRDefault="00AB0DB6" w:rsidP="003610C6">
      <w:r>
        <w:t>The main limitations of these experiments was a lack of data regarding actual radiant power on the glass forming batch surface and glass forming batch temperatures which made it difficult to evaluate the feasibility of ever generating a flow of molten glass as required for any useful application. Also since the rate of melting was observed to be limited by the depth of the batch, future solar glass melting experiments should involve melting one layer of batch at a time, fed onto the surface of an existing melt. Furthermore, it was found that selection of the size and material of the refractories used to contain the glass forming batches, depending on the flux intensities supplied were critical to enable a melt pool to be generated and sustained. Finally, from this series of experiments it was realised that although the primary energy required to melt glass forming batches could be provided by direct concentrated solar radiation, a secondary source capable of providing a steady supply of heat over longer periods would probably be better suited for the subsequent annealing and slow cooling process.</w:t>
      </w:r>
    </w:p>
    <w:p w14:paraId="63387F89" w14:textId="1665B08A" w:rsidR="00AB0DB6" w:rsidRPr="003913AB" w:rsidRDefault="00AB0DB6" w:rsidP="003610C6">
      <w:r>
        <w:t xml:space="preserve">Therefore subsequent experiments focussed on melting soda-lime-silica pelletised batches, in crucibles rather than in-flight with the aim of demonstrating a flow of molten glass produced using a concentrated solar beam and evaluating the efficiency thereof by measuring melting temperatures, flux intensities and flow rates. In summary, the experiments described in this chapter </w:t>
      </w:r>
      <w:r w:rsidR="00AB1344">
        <w:t>proved</w:t>
      </w:r>
      <w:r>
        <w:t xml:space="preserve"> the basic feasibility of making useful glasses using a concentrated solar radiation heat source and provided essential </w:t>
      </w:r>
      <w:r w:rsidR="00AB1344">
        <w:t xml:space="preserve">insights </w:t>
      </w:r>
      <w:r>
        <w:t xml:space="preserve">required for </w:t>
      </w:r>
      <w:r w:rsidR="00AB1344">
        <w:t xml:space="preserve">the design of subsequent </w:t>
      </w:r>
      <w:r>
        <w:t>experiment</w:t>
      </w:r>
      <w:r w:rsidR="00AB1344">
        <w:t>s</w:t>
      </w:r>
      <w:r>
        <w:t xml:space="preserve"> to develop this novel field of solar glass melting.</w:t>
      </w:r>
    </w:p>
    <w:p w14:paraId="7B4D4A39" w14:textId="72A8840A" w:rsidR="00AB0DB6" w:rsidRDefault="00AB0DB6">
      <w:pPr>
        <w:spacing w:line="276" w:lineRule="auto"/>
        <w:ind w:firstLine="0"/>
        <w:contextualSpacing w:val="0"/>
        <w:jc w:val="left"/>
      </w:pPr>
      <w:r>
        <w:br w:type="page"/>
      </w:r>
    </w:p>
    <w:p w14:paraId="73AC0816" w14:textId="77777777" w:rsidR="003610C6" w:rsidRPr="00195D88" w:rsidRDefault="003610C6" w:rsidP="00195D88">
      <w:pPr>
        <w:pStyle w:val="Heading1"/>
      </w:pPr>
      <w:bookmarkStart w:id="78" w:name="_Toc473995159"/>
      <w:r w:rsidRPr="00195D88">
        <w:t>Glass melt flow experiments</w:t>
      </w:r>
      <w:bookmarkEnd w:id="78"/>
    </w:p>
    <w:p w14:paraId="29BF1D0B" w14:textId="0F593AEF" w:rsidR="003610C6" w:rsidRPr="00DA675B" w:rsidRDefault="0048450F" w:rsidP="00C2720A">
      <w:pPr>
        <w:pStyle w:val="Heading2"/>
        <w:keepLines/>
        <w:numPr>
          <w:ilvl w:val="1"/>
          <w:numId w:val="11"/>
        </w:numPr>
        <w:spacing w:before="100" w:after="100"/>
        <w:ind w:left="788" w:hanging="431"/>
        <w:contextualSpacing w:val="0"/>
      </w:pPr>
      <w:bookmarkStart w:id="79" w:name="_Toc473995160"/>
      <w:r>
        <w:t>Introduction</w:t>
      </w:r>
      <w:bookmarkEnd w:id="79"/>
    </w:p>
    <w:p w14:paraId="23C9FBF3" w14:textId="0816C617" w:rsidR="003610C6" w:rsidRDefault="003610C6">
      <w:r>
        <w:t xml:space="preserve">In order to demonstrate a viable glass making process powered by concentrated solar heat, it is necessary to sustain a flow of the glass melt beyond the focal point of the beam. Due to the </w:t>
      </w:r>
      <w:r>
        <w:lastRenderedPageBreak/>
        <w:t>unique set of features related to the utilisation of concentrated solar radiation for glass melting, this is significant new challenge which is addressed in this chapter. The high intensity radiation from a solar beam is concentrated over a small area, with the flux rapidly diminishing with increasing distance from the focal point. Furthermore, glass melts are partially transparent to solar radiation</w:t>
      </w:r>
      <w:r w:rsidR="0007470E">
        <w:t xml:space="preserve"> so</w:t>
      </w:r>
      <w:r>
        <w:t xml:space="preserve"> it </w:t>
      </w:r>
      <w:r w:rsidR="00BB0FF5">
        <w:t xml:space="preserve">was </w:t>
      </w:r>
      <w:r>
        <w:t>difficult to predict the temperature fields and the flow of glass forming melts generated by solar irradiation. In the previous series of experiments (A1-12, see chapter 3), glass forming batches contained inside refractory crucibles were successfully melted using concentrated simulated solar radiation (see section 3.3). However, since the experiment could not be accessed while the beam was on, it was not possible to determine whether the melts produced could be sustained at sufficient fluidity as required for any useful glass making process. Therefore, in order to demonstrate a flow of molten glass using a concentrated solar beam, the experimental series B1-6 were conducted are described as follows.</w:t>
      </w:r>
    </w:p>
    <w:p w14:paraId="16D361A9" w14:textId="77777777" w:rsidR="003610C6" w:rsidRPr="00DB6F8E" w:rsidRDefault="003610C6" w:rsidP="00C2720A">
      <w:pPr>
        <w:pStyle w:val="Heading2"/>
        <w:keepLines/>
        <w:numPr>
          <w:ilvl w:val="1"/>
          <w:numId w:val="11"/>
        </w:numPr>
        <w:spacing w:before="100" w:after="100"/>
        <w:contextualSpacing w:val="0"/>
        <w15:collapsed/>
      </w:pPr>
      <w:bookmarkStart w:id="80" w:name="_Toc473995161"/>
      <w:r>
        <w:t>Setup</w:t>
      </w:r>
      <w:bookmarkEnd w:id="80"/>
    </w:p>
    <w:p w14:paraId="465655B4" w14:textId="77777777" w:rsidR="003610C6" w:rsidRDefault="003610C6" w:rsidP="00C2720A">
      <w:pPr>
        <w:pStyle w:val="Heading3"/>
        <w:numPr>
          <w:ilvl w:val="2"/>
          <w:numId w:val="11"/>
        </w:numPr>
        <w:spacing w:before="100" w:after="100"/>
        <w:contextualSpacing w:val="0"/>
        <w15:collapsed/>
      </w:pPr>
      <w:r>
        <w:t xml:space="preserve"> High Flux Solar Simulator (HFSS)</w:t>
      </w:r>
    </w:p>
    <w:p w14:paraId="7922B4E7" w14:textId="60884582" w:rsidR="003610C6" w:rsidRDefault="003610C6">
      <w:r>
        <w:t xml:space="preserve">The HFSS was again used to provide a controlled source of concentrated simulated </w:t>
      </w:r>
      <w:r w:rsidR="00BB0FF5" w:rsidRPr="00BB0FF5">
        <w:t xml:space="preserve"> </w:t>
      </w:r>
      <w:r w:rsidR="00BB0FF5">
        <w:t xml:space="preserve">solar </w:t>
      </w:r>
      <w:r>
        <w:t>radiation as required for the following experiments. As described previously (see section 3.3.1), the HFSS consists of an array of xenon arc lamps with concentrating optics to provide a simulated beam of high intensity solar radiation. The power supplied to the experiments was controllable by adjusting the number of lamps in use and by incremental opening of shutters between the HFSS and the glass melting experiment. Shutter openings and the electrical power supply to the lamps were logged at 1 second intervals over the course of the following experiments using a data acquisition system. The ‘</w:t>
      </w:r>
      <w:r w:rsidRPr="00A46A0D">
        <w:rPr>
          <w:i/>
        </w:rPr>
        <w:t>indicative power</w:t>
      </w:r>
      <w:r>
        <w:t>’ was calculated over by multiplying the percentage shutter opening by the total electrical power supplied (</w:t>
      </w:r>
      <w:r>
        <w:fldChar w:fldCharType="begin"/>
      </w:r>
      <w:r>
        <w:instrText xml:space="preserve"> REF _Ref441585384 \h </w:instrText>
      </w:r>
      <w:r>
        <w:fldChar w:fldCharType="separate"/>
      </w:r>
      <w:r w:rsidR="00820EB1">
        <w:t xml:space="preserve">Table </w:t>
      </w:r>
      <w:r w:rsidR="00820EB1">
        <w:rPr>
          <w:noProof/>
        </w:rPr>
        <w:t>2</w:t>
      </w:r>
      <w:r>
        <w:fldChar w:fldCharType="end"/>
      </w:r>
      <w:r>
        <w:t>) to the lamps in use.</w:t>
      </w:r>
    </w:p>
    <w:p w14:paraId="4382EBF1" w14:textId="77777777" w:rsidR="003610C6" w:rsidRDefault="003610C6" w:rsidP="00C2720A">
      <w:pPr>
        <w:pStyle w:val="Heading3"/>
        <w:numPr>
          <w:ilvl w:val="2"/>
          <w:numId w:val="11"/>
        </w:numPr>
        <w:spacing w:before="100" w:after="100"/>
        <w:contextualSpacing w:val="0"/>
        <w15:collapsed/>
      </w:pPr>
      <w:r>
        <w:t xml:space="preserve"> </w:t>
      </w:r>
      <w:bookmarkStart w:id="81" w:name="_Ref441684388"/>
      <w:r>
        <w:t>Glass forming batch</w:t>
      </w:r>
      <w:bookmarkEnd w:id="81"/>
    </w:p>
    <w:p w14:paraId="10A2574B" w14:textId="19FF16FE" w:rsidR="003610C6" w:rsidRDefault="003610C6">
      <w:r>
        <w:t>Pelletised soda-lime-silica glass forming batch (</w:t>
      </w:r>
      <w:r>
        <w:fldChar w:fldCharType="begin"/>
      </w:r>
      <w:r>
        <w:instrText xml:space="preserve"> REF _Ref419201293 \h </w:instrText>
      </w:r>
      <w:r>
        <w:fldChar w:fldCharType="separate"/>
      </w:r>
      <w:r w:rsidR="00820EB1">
        <w:t xml:space="preserve">Figure </w:t>
      </w:r>
      <w:r w:rsidR="00820EB1">
        <w:rPr>
          <w:noProof/>
        </w:rPr>
        <w:t>30</w:t>
      </w:r>
      <w:r>
        <w:fldChar w:fldCharType="end"/>
      </w:r>
      <w:r>
        <w:t xml:space="preserve">d) supplied by Apollo Furnaces ltd was used for the following experiments due to its capability to rapidly form a homogenous melt with few bubbles under solar beam irradiation as already demonstrated (see section 3.3.4.3) and explained (see section 3.5.3). The was considered particularly important for these experiments due to the short retention time of the melt in the path of the beam. The average density of the pellets was determined by measuring the diameters (Ø) of a random sample of 14 pellets, taking the average of three measurements per pellet using a Vernier </w:t>
      </w:r>
      <w:r w:rsidR="00B2288F">
        <w:t>calliper</w:t>
      </w:r>
      <w:r>
        <w:t xml:space="preserve"> (± 0.01 mm), to estimate the volume (V) for each pellet by </w:t>
      </w:r>
      <m:oMath>
        <m:sSub>
          <m:sSubPr>
            <m:ctrlPr>
              <w:rPr>
                <w:rFonts w:ascii="Cambria Math" w:hAnsi="Cambria Math"/>
                <w:i/>
              </w:rPr>
            </m:ctrlPr>
          </m:sSubPr>
          <m:e>
            <m:r>
              <w:rPr>
                <w:rFonts w:ascii="Cambria Math" w:hAnsi="Cambria Math"/>
              </w:rPr>
              <m:t>V</m:t>
            </m:r>
          </m:e>
          <m:sub>
            <m:r>
              <w:rPr>
                <w:rFonts w:ascii="Cambria Math" w:hAnsi="Cambria Math"/>
              </w:rPr>
              <m:t>sphere</m:t>
            </m:r>
          </m:sub>
        </m:sSub>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3</m:t>
            </m:r>
          </m:den>
        </m:f>
        <m:r>
          <w:rPr>
            <w:rFonts w:ascii="Cambria Math" w:hAnsi="Cambria Math"/>
          </w:rPr>
          <m:t>π</m:t>
        </m:r>
        <m:sSup>
          <m:sSupPr>
            <m:ctrlPr>
              <w:rPr>
                <w:rFonts w:ascii="Cambria Math" w:hAnsi="Cambria Math"/>
              </w:rPr>
            </m:ctrlPr>
          </m:sSupPr>
          <m:e>
            <m:r>
              <m:rPr>
                <m:sty m:val="p"/>
              </m:rPr>
              <w:rPr>
                <w:rFonts w:ascii="Cambria Math" w:hAnsi="Cambria Math"/>
              </w:rPr>
              <m:t>(</m:t>
            </m:r>
            <m:f>
              <m:fPr>
                <m:type m:val="skw"/>
                <m:ctrlPr>
                  <w:rPr>
                    <w:rFonts w:ascii="Cambria Math" w:hAnsi="Cambria Math"/>
                  </w:rPr>
                </m:ctrlPr>
              </m:fPr>
              <m:num>
                <m:r>
                  <m:rPr>
                    <m:sty m:val="p"/>
                  </m:rPr>
                  <w:rPr>
                    <w:rFonts w:ascii="Cambria Math" w:hAnsi="Cambria Math"/>
                  </w:rPr>
                  <m:t>Ø</m:t>
                </m:r>
              </m:num>
              <m:den>
                <m:r>
                  <w:rPr>
                    <w:rFonts w:ascii="Cambria Math" w:hAnsi="Cambria Math"/>
                  </w:rPr>
                  <m:t>2</m:t>
                </m:r>
              </m:den>
            </m:f>
            <m:r>
              <m:rPr>
                <m:sty m:val="p"/>
              </m:rPr>
              <w:rPr>
                <w:rFonts w:ascii="Cambria Math"/>
              </w:rPr>
              <m:t>)</m:t>
            </m:r>
          </m:e>
          <m:sup>
            <m:r>
              <w:rPr>
                <w:rFonts w:ascii="Cambria Math" w:hAnsi="Cambria Math"/>
              </w:rPr>
              <m:t>3</m:t>
            </m:r>
          </m:sup>
        </m:sSup>
      </m:oMath>
      <w:r>
        <w:t xml:space="preserve">  as the pellets were approximately spherical. Then each pellet’s volume was divided by its mass, measured using a four decimal point scale. The average density obtained from these measurements was 1.69 g/cc with a variation from the mean of +8.5 to -9.4%. </w:t>
      </w:r>
    </w:p>
    <w:p w14:paraId="3EFB8A73" w14:textId="77777777" w:rsidR="003610C6" w:rsidRDefault="003610C6" w:rsidP="00C2720A">
      <w:pPr>
        <w:pStyle w:val="Heading3"/>
        <w:numPr>
          <w:ilvl w:val="2"/>
          <w:numId w:val="11"/>
        </w:numPr>
        <w:spacing w:before="100" w:after="100"/>
        <w:contextualSpacing w:val="0"/>
        <w15:collapsed/>
      </w:pPr>
      <w:r>
        <w:t>Modified crucible</w:t>
      </w:r>
    </w:p>
    <w:p w14:paraId="52FB2C14" w14:textId="2ADA782C" w:rsidR="003610C6" w:rsidRDefault="003610C6">
      <w:r>
        <w:t>Shallow, round, mullite and alumina crucibles</w:t>
      </w:r>
      <w:r w:rsidR="00FF1611">
        <w:t xml:space="preserve"> (as described in section 3.3.3)</w:t>
      </w:r>
      <w:r>
        <w:t xml:space="preserve">, of varied sizes, but all around 2-3 cm deep and 4-6 cm diameter, were modified with the addition of a spout to allow molten glass to flow out and a weir to prevent un-melted batch from passing </w:t>
      </w:r>
      <w:r w:rsidR="00BB0FF5">
        <w:t xml:space="preserve">into the spout </w:t>
      </w:r>
      <w:r>
        <w:t>(</w:t>
      </w:r>
      <w:r>
        <w:fldChar w:fldCharType="begin"/>
      </w:r>
      <w:r>
        <w:instrText xml:space="preserve"> REF _Ref419201293 \h </w:instrText>
      </w:r>
      <w:r>
        <w:fldChar w:fldCharType="separate"/>
      </w:r>
      <w:r w:rsidR="00820EB1">
        <w:t xml:space="preserve">Figure </w:t>
      </w:r>
      <w:r w:rsidR="00820EB1">
        <w:rPr>
          <w:noProof/>
        </w:rPr>
        <w:t>30</w:t>
      </w:r>
      <w:r>
        <w:fldChar w:fldCharType="end"/>
      </w:r>
      <w:r>
        <w:t>). The modified crucibles were constructed from three different standard crucible geometries for the main crucible, weir (</w:t>
      </w:r>
      <w:r>
        <w:fldChar w:fldCharType="begin"/>
      </w:r>
      <w:r>
        <w:instrText xml:space="preserve"> REF _Ref419201293 \h </w:instrText>
      </w:r>
      <w:r>
        <w:fldChar w:fldCharType="separate"/>
      </w:r>
      <w:r w:rsidR="00820EB1">
        <w:t xml:space="preserve">Figure </w:t>
      </w:r>
      <w:r w:rsidR="00820EB1">
        <w:rPr>
          <w:noProof/>
        </w:rPr>
        <w:t>30</w:t>
      </w:r>
      <w:r>
        <w:fldChar w:fldCharType="end"/>
      </w:r>
      <w:r>
        <w:t>b) and spout (</w:t>
      </w:r>
      <w:r>
        <w:fldChar w:fldCharType="begin"/>
      </w:r>
      <w:r>
        <w:instrText xml:space="preserve"> REF _Ref419201293 \h </w:instrText>
      </w:r>
      <w:r>
        <w:fldChar w:fldCharType="separate"/>
      </w:r>
      <w:r w:rsidR="00820EB1">
        <w:t xml:space="preserve">Figure </w:t>
      </w:r>
      <w:r w:rsidR="00820EB1">
        <w:rPr>
          <w:noProof/>
        </w:rPr>
        <w:t>30</w:t>
      </w:r>
      <w:r>
        <w:fldChar w:fldCharType="end"/>
      </w:r>
      <w:r>
        <w:t xml:space="preserve">a). These three parts were modified from their original geometries in order to </w:t>
      </w:r>
      <w:r w:rsidR="00BB0FF5">
        <w:t xml:space="preserve">be </w:t>
      </w:r>
      <w:r>
        <w:t>fit</w:t>
      </w:r>
      <w:r w:rsidR="00BB0FF5">
        <w:t>ted</w:t>
      </w:r>
      <w:r>
        <w:t xml:space="preserve"> together by the following methods. In the case of the slip cast mullite these parts were cut with a scalpel while still malleable, before firing. Since the alumina crucibles were supplied already fired</w:t>
      </w:r>
      <w:r w:rsidR="00747D71">
        <w:t>,</w:t>
      </w:r>
      <w:r>
        <w:t xml:space="preserve"> a diamond-tipped, water-cooled circular saw was required to cut them to shape. Finally, the parts were assembled and joined together using alumina cement (JIC Refractories, </w:t>
      </w:r>
      <w:r w:rsidRPr="009A6778">
        <w:t>Jonsett TA</w:t>
      </w:r>
      <w:r>
        <w:t xml:space="preserve">) to produce the modified crucibles as shown in </w:t>
      </w:r>
      <w:r>
        <w:fldChar w:fldCharType="begin"/>
      </w:r>
      <w:r>
        <w:instrText xml:space="preserve"> REF _Ref419201293 \h </w:instrText>
      </w:r>
      <w:r>
        <w:fldChar w:fldCharType="separate"/>
      </w:r>
      <w:r w:rsidR="00820EB1">
        <w:t xml:space="preserve">Figure </w:t>
      </w:r>
      <w:r w:rsidR="00820EB1">
        <w:rPr>
          <w:noProof/>
        </w:rPr>
        <w:t>30</w:t>
      </w:r>
      <w:r>
        <w:fldChar w:fldCharType="end"/>
      </w:r>
      <w:r>
        <w:t>. The alumina cement was allowed to dry over a few days and then heated to 1000</w:t>
      </w:r>
      <w:r>
        <w:rPr>
          <w:vertAlign w:val="superscript"/>
        </w:rPr>
        <w:t>o</w:t>
      </w:r>
      <w:r>
        <w:t xml:space="preserve">C to set. The diameter of the crucibles were selected to fit within the  </w:t>
      </w:r>
      <w:r>
        <w:rPr>
          <w:rFonts w:cs="Times New Roman"/>
        </w:rPr>
        <w:t>̴</w:t>
      </w:r>
      <w:r>
        <w:t xml:space="preserve"> 6 cm </w:t>
      </w:r>
      <w:r>
        <w:rPr>
          <w:rFonts w:cs="Times New Roman"/>
        </w:rPr>
        <w:t>Ø</w:t>
      </w:r>
      <w:r>
        <w:t xml:space="preserve"> focal spot of the beam and a shallow depth chosen in order to enable complete and rapid melting. The exact dimensions of each of the modified crucibles used in the following experiments (B1-6) are provided in appendix (ID 2). The modified crucibles were filled with the glass forming batch, surrounded by </w:t>
      </w:r>
      <w:r w:rsidR="00FF1611">
        <w:t xml:space="preserve">ceramic fibre </w:t>
      </w:r>
      <w:r>
        <w:t>insulation</w:t>
      </w:r>
      <w:r w:rsidR="00FF1611">
        <w:t xml:space="preserve"> (Fibrax Durablanket, Unifrax, France)</w:t>
      </w:r>
      <w:r w:rsidR="00FF1611" w:rsidRPr="00190102">
        <w:t xml:space="preserve"> </w:t>
      </w:r>
      <w:r>
        <w:t xml:space="preserve"> and contained within a larger mullite crucible as shown in </w:t>
      </w:r>
      <w:r>
        <w:fldChar w:fldCharType="begin"/>
      </w:r>
      <w:r>
        <w:instrText xml:space="preserve"> REF _Ref419201293 \h </w:instrText>
      </w:r>
      <w:r>
        <w:fldChar w:fldCharType="separate"/>
      </w:r>
      <w:r w:rsidR="00820EB1">
        <w:t xml:space="preserve">Figure </w:t>
      </w:r>
      <w:r w:rsidR="00820EB1">
        <w:rPr>
          <w:noProof/>
        </w:rPr>
        <w:t>30</w:t>
      </w:r>
      <w:r>
        <w:fldChar w:fldCharType="end"/>
      </w:r>
      <w:r>
        <w:t xml:space="preserve">. </w:t>
      </w:r>
    </w:p>
    <w:p w14:paraId="08D6CDFD" w14:textId="77777777" w:rsidR="003610C6" w:rsidRDefault="003610C6"/>
    <w:p w14:paraId="33A92AC4" w14:textId="77777777" w:rsidR="003610C6" w:rsidRDefault="003610C6" w:rsidP="003610C6">
      <w:pPr>
        <w:pStyle w:val="Title"/>
      </w:pPr>
      <w:r w:rsidRPr="00A52C50">
        <w:drawing>
          <wp:inline distT="0" distB="0" distL="0" distR="0" wp14:anchorId="63306B01" wp14:editId="5385FD2C">
            <wp:extent cx="3211857" cy="2550725"/>
            <wp:effectExtent l="0" t="0" r="762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2741" t="27881" r="27425" b="15856"/>
                    <a:stretch/>
                  </pic:blipFill>
                  <pic:spPr bwMode="auto">
                    <a:xfrm>
                      <a:off x="0" y="0"/>
                      <a:ext cx="3228626" cy="2564042"/>
                    </a:xfrm>
                    <a:prstGeom prst="rect">
                      <a:avLst/>
                    </a:prstGeom>
                    <a:ln>
                      <a:noFill/>
                    </a:ln>
                    <a:extLst>
                      <a:ext uri="{53640926-AAD7-44D8-BBD7-CCE9431645EC}">
                        <a14:shadowObscured xmlns:a14="http://schemas.microsoft.com/office/drawing/2010/main"/>
                      </a:ext>
                    </a:extLst>
                  </pic:spPr>
                </pic:pic>
              </a:graphicData>
            </a:graphic>
          </wp:inline>
        </w:drawing>
      </w:r>
    </w:p>
    <w:p w14:paraId="7BDA8275" w14:textId="77777777" w:rsidR="003610C6" w:rsidRDefault="003610C6">
      <w:pPr>
        <w:pStyle w:val="Caption"/>
      </w:pPr>
      <w:bookmarkStart w:id="82" w:name="_Ref419201293"/>
      <w:r>
        <w:t xml:space="preserve">Figure </w:t>
      </w:r>
      <w:r w:rsidR="00A47317">
        <w:fldChar w:fldCharType="begin"/>
      </w:r>
      <w:r w:rsidR="00A47317">
        <w:instrText xml:space="preserve"> SEQ Figure \* ARABIC </w:instrText>
      </w:r>
      <w:r w:rsidR="00A47317">
        <w:fldChar w:fldCharType="separate"/>
      </w:r>
      <w:r w:rsidR="00820EB1">
        <w:rPr>
          <w:noProof/>
        </w:rPr>
        <w:t>30</w:t>
      </w:r>
      <w:r w:rsidR="00A47317">
        <w:rPr>
          <w:noProof/>
        </w:rPr>
        <w:fldChar w:fldCharType="end"/>
      </w:r>
      <w:bookmarkEnd w:id="82"/>
      <w:r>
        <w:t>: A m</w:t>
      </w:r>
      <w:r w:rsidRPr="008E5780">
        <w:t xml:space="preserve">odified crucible with </w:t>
      </w:r>
      <w:r>
        <w:t>a</w:t>
      </w:r>
      <w:r w:rsidRPr="008E5780">
        <w:t xml:space="preserve">) spout and </w:t>
      </w:r>
      <w:r>
        <w:t>b</w:t>
      </w:r>
      <w:r w:rsidRPr="008E5780">
        <w:t xml:space="preserve">) weir, surrounded by </w:t>
      </w:r>
      <w:r>
        <w:t>c)</w:t>
      </w:r>
      <w:r w:rsidRPr="008E5780">
        <w:t xml:space="preserve"> insulating wool and con</w:t>
      </w:r>
      <w:r>
        <w:t>tained within a larger crucible; d) Industrial SLS pellets contained inside feed compartment of crucible; e) location of temperature measurements.</w:t>
      </w:r>
    </w:p>
    <w:p w14:paraId="08CBB9DE" w14:textId="77777777" w:rsidR="003610C6" w:rsidRDefault="003610C6" w:rsidP="00A47317">
      <w:pPr>
        <w:pStyle w:val="Heading3"/>
        <w:numPr>
          <w:ilvl w:val="2"/>
          <w:numId w:val="11"/>
        </w:numPr>
        <w:spacing w:before="100" w:after="100"/>
        <w:contextualSpacing w:val="0"/>
        <w15:collapsed/>
      </w:pPr>
      <w:r>
        <w:t>Temperature measurements</w:t>
      </w:r>
    </w:p>
    <w:p w14:paraId="0AA63AC4" w14:textId="77777777" w:rsidR="003610C6" w:rsidRPr="002839BE" w:rsidRDefault="003610C6">
      <w:pPr>
        <w:rPr>
          <w:lang w:val="en-US"/>
        </w:rPr>
      </w:pPr>
      <w:r>
        <w:t xml:space="preserve">A thermocouple was located contacting with the outer surface of the crucible, near the outlet </w:t>
      </w:r>
      <w:r>
        <w:fldChar w:fldCharType="begin"/>
      </w:r>
      <w:r>
        <w:instrText xml:space="preserve"> REF _Ref419201293 \h </w:instrText>
      </w:r>
      <w:r>
        <w:fldChar w:fldCharType="separate"/>
      </w:r>
      <w:r w:rsidR="00820EB1">
        <w:t xml:space="preserve">Figure </w:t>
      </w:r>
      <w:r w:rsidR="00820EB1">
        <w:rPr>
          <w:noProof/>
        </w:rPr>
        <w:t>30</w:t>
      </w:r>
      <w:r>
        <w:fldChar w:fldCharType="end"/>
      </w:r>
      <w:r>
        <w:t xml:space="preserve">. The thermocouple was connected to a data acquisition system to log temperature measurements every second during the course of the experiments. </w:t>
      </w:r>
    </w:p>
    <w:p w14:paraId="26291EC3" w14:textId="77777777" w:rsidR="003610C6" w:rsidRDefault="003610C6" w:rsidP="00A47317">
      <w:pPr>
        <w:pStyle w:val="Heading3"/>
        <w:numPr>
          <w:ilvl w:val="2"/>
          <w:numId w:val="11"/>
        </w:numPr>
        <w:spacing w:before="100" w:after="100"/>
        <w:contextualSpacing w:val="0"/>
        <w15:collapsed/>
      </w:pPr>
      <w:r>
        <w:t>Batch feeder</w:t>
      </w:r>
    </w:p>
    <w:p w14:paraId="128DE31A" w14:textId="082AA3C3" w:rsidR="003610C6" w:rsidRDefault="003610C6" w:rsidP="003610C6">
      <w:r>
        <w:t>A batch feeder was specially made for the following experiments, to enable feeding of the pelletised glass forming batch into the modified crucibles while the beam was still on. The batch feeder (</w:t>
      </w:r>
      <w:r>
        <w:fldChar w:fldCharType="begin"/>
      </w:r>
      <w:r>
        <w:instrText xml:space="preserve"> REF _Ref419201434 \h </w:instrText>
      </w:r>
      <w:r>
        <w:fldChar w:fldCharType="separate"/>
      </w:r>
      <w:r w:rsidR="00820EB1">
        <w:t xml:space="preserve">Figure </w:t>
      </w:r>
      <w:r w:rsidR="00820EB1">
        <w:rPr>
          <w:noProof/>
        </w:rPr>
        <w:t>31</w:t>
      </w:r>
      <w:r>
        <w:fldChar w:fldCharType="end"/>
      </w:r>
      <w:r w:rsidRPr="003A2E4A">
        <w:t xml:space="preserve">) </w:t>
      </w:r>
      <w:r>
        <w:t>was constructed from thick, welded steel sections and electrical components were located sufficiently far away focus of the beam in order to survive temporary exposure to the high intensity radiation from the beam. The batch feeder was remotely controlled so that it could be operated without direct manual intervention as users were forbidden to enter the experimental room (except in emergencies) while the beam was on due to safety regulations. As shown in (</w:t>
      </w:r>
      <w:r>
        <w:fldChar w:fldCharType="begin"/>
      </w:r>
      <w:r>
        <w:instrText xml:space="preserve"> REF _Ref419201434 \h </w:instrText>
      </w:r>
      <w:r>
        <w:fldChar w:fldCharType="separate"/>
      </w:r>
      <w:r w:rsidR="00820EB1">
        <w:t xml:space="preserve">Figure </w:t>
      </w:r>
      <w:r w:rsidR="00820EB1">
        <w:rPr>
          <w:noProof/>
        </w:rPr>
        <w:t>31</w:t>
      </w:r>
      <w:r>
        <w:fldChar w:fldCharType="end"/>
      </w:r>
      <w:r>
        <w:t>), the batch feeder consisted</w:t>
      </w:r>
      <w:r w:rsidRPr="003A2E4A">
        <w:t xml:space="preserve"> </w:t>
      </w:r>
      <w:r>
        <w:t>of:</w:t>
      </w:r>
    </w:p>
    <w:p w14:paraId="684E2220" w14:textId="77777777" w:rsidR="003610C6" w:rsidRDefault="003610C6" w:rsidP="00C2720A">
      <w:pPr>
        <w:pStyle w:val="ListParagraph"/>
        <w:numPr>
          <w:ilvl w:val="0"/>
          <w:numId w:val="14"/>
        </w:numPr>
        <w:spacing w:before="100" w:after="100"/>
        <w15:collapsed/>
      </w:pPr>
      <w:r>
        <w:t>A d</w:t>
      </w:r>
      <w:r w:rsidRPr="00346399">
        <w:t>ispenser</w:t>
      </w:r>
      <w:r>
        <w:t xml:space="preserve">, from which </w:t>
      </w:r>
      <w:r w:rsidRPr="00346399">
        <w:t>a small number of pellets</w:t>
      </w:r>
      <w:r>
        <w:t xml:space="preserve"> at a time were fed into the melting zone;</w:t>
      </w:r>
    </w:p>
    <w:p w14:paraId="188022FC" w14:textId="77777777" w:rsidR="003610C6" w:rsidRDefault="003610C6" w:rsidP="00C2720A">
      <w:pPr>
        <w:pStyle w:val="ListParagraph"/>
        <w:numPr>
          <w:ilvl w:val="0"/>
          <w:numId w:val="14"/>
        </w:numPr>
        <w:spacing w:before="100" w:after="100"/>
        <w15:collapsed/>
      </w:pPr>
      <w:r>
        <w:t>An agitator, which</w:t>
      </w:r>
      <w:r w:rsidRPr="00346399">
        <w:t xml:space="preserve"> </w:t>
      </w:r>
      <w:r>
        <w:t>controlled the flow of pellets. It was activated when required to feed, causing the pellets to flow out on demand;</w:t>
      </w:r>
    </w:p>
    <w:p w14:paraId="06CACC9B" w14:textId="77777777" w:rsidR="003610C6" w:rsidRDefault="003610C6" w:rsidP="00C2720A">
      <w:pPr>
        <w:pStyle w:val="ListParagraph"/>
        <w:numPr>
          <w:ilvl w:val="0"/>
          <w:numId w:val="14"/>
        </w:numPr>
        <w:spacing w:before="100" w:after="100"/>
        <w15:collapsed/>
      </w:pPr>
      <w:r>
        <w:t>A hopper, which contained a</w:t>
      </w:r>
      <w:r w:rsidRPr="005A3593">
        <w:t xml:space="preserve"> store of pellets to gradually replenish the number</w:t>
      </w:r>
      <w:r>
        <w:t xml:space="preserve"> of pellets in the dispenser; </w:t>
      </w:r>
    </w:p>
    <w:p w14:paraId="2D180C7C" w14:textId="77777777" w:rsidR="003610C6" w:rsidRDefault="003610C6" w:rsidP="00C2720A">
      <w:pPr>
        <w:pStyle w:val="ListParagraph"/>
        <w:numPr>
          <w:ilvl w:val="0"/>
          <w:numId w:val="14"/>
        </w:numPr>
        <w:spacing w:before="100" w:after="100"/>
        <w15:collapsed/>
      </w:pPr>
      <w:r>
        <w:t xml:space="preserve">A linear actuator, </w:t>
      </w:r>
      <w:r w:rsidRPr="003A2E4A">
        <w:t>(Gimson</w:t>
      </w:r>
      <w:r>
        <w:t xml:space="preserve"> Robotics, stroke length 700mm) that</w:t>
      </w:r>
      <w:r w:rsidRPr="005A3593">
        <w:t xml:space="preserve"> move</w:t>
      </w:r>
      <w:r>
        <w:t>d the</w:t>
      </w:r>
      <w:r w:rsidRPr="005A3593">
        <w:t xml:space="preserve"> dispenser tip </w:t>
      </w:r>
      <w:r>
        <w:t xml:space="preserve">to the </w:t>
      </w:r>
      <w:r w:rsidRPr="005A3593">
        <w:t xml:space="preserve">melting zone </w:t>
      </w:r>
      <w:r>
        <w:t>for</w:t>
      </w:r>
      <w:r w:rsidRPr="005A3593">
        <w:t xml:space="preserve"> feeding</w:t>
      </w:r>
      <w:r>
        <w:t xml:space="preserve"> and away from the melting zone after feeding to prevent overheating of the batch feeder.</w:t>
      </w:r>
    </w:p>
    <w:p w14:paraId="0EA3B10A" w14:textId="77777777" w:rsidR="003610C6" w:rsidRDefault="003610C6">
      <w:r w:rsidRPr="003A2E4A">
        <w:t xml:space="preserve">The temperature at the tip of the batch feeder was monitored. </w:t>
      </w:r>
      <w:r>
        <w:t xml:space="preserve">When in position, an agitator was operated in pulses to cause the required quantity of pellets to flow under gravity from the hopper, through the dispenser and into the crucible. The agitator motor speed, the angle of the dispenser and the space between the outlet of the hopper and the dispenser were all adjustable in order to limit the pellet feed rate as required. </w:t>
      </w:r>
    </w:p>
    <w:p w14:paraId="38CB84C1" w14:textId="77777777" w:rsidR="003610C6" w:rsidRDefault="003610C6" w:rsidP="003610C6">
      <w:pPr>
        <w:pStyle w:val="Title"/>
      </w:pPr>
      <w:r>
        <w:drawing>
          <wp:inline distT="0" distB="0" distL="0" distR="0" wp14:anchorId="564E6BD5" wp14:editId="198BA4F8">
            <wp:extent cx="5731241" cy="3828415"/>
            <wp:effectExtent l="0" t="0" r="317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5_ batch feeder.jpg"/>
                    <pic:cNvPicPr/>
                  </pic:nvPicPr>
                  <pic:blipFill>
                    <a:blip r:embed="rId44">
                      <a:extLst>
                        <a:ext uri="{28A0092B-C50C-407E-A947-70E740481C1C}">
                          <a14:useLocalDpi xmlns:a14="http://schemas.microsoft.com/office/drawing/2010/main" val="0"/>
                        </a:ext>
                      </a:extLst>
                    </a:blip>
                    <a:stretch>
                      <a:fillRect/>
                    </a:stretch>
                  </pic:blipFill>
                  <pic:spPr>
                    <a:xfrm>
                      <a:off x="0" y="0"/>
                      <a:ext cx="5731241" cy="3828415"/>
                    </a:xfrm>
                    <a:prstGeom prst="rect">
                      <a:avLst/>
                    </a:prstGeom>
                  </pic:spPr>
                </pic:pic>
              </a:graphicData>
            </a:graphic>
          </wp:inline>
        </w:drawing>
      </w:r>
    </w:p>
    <w:p w14:paraId="72B0BBD3" w14:textId="77777777" w:rsidR="003610C6" w:rsidRDefault="003610C6">
      <w:pPr>
        <w:pStyle w:val="Caption"/>
      </w:pPr>
      <w:bookmarkStart w:id="83" w:name="_Ref419201434"/>
      <w:r>
        <w:t xml:space="preserve">Figure </w:t>
      </w:r>
      <w:r w:rsidR="00A47317">
        <w:fldChar w:fldCharType="begin"/>
      </w:r>
      <w:r w:rsidR="00A47317">
        <w:instrText xml:space="preserve"> SEQ Figure \* ARABIC </w:instrText>
      </w:r>
      <w:r w:rsidR="00A47317">
        <w:fldChar w:fldCharType="separate"/>
      </w:r>
      <w:r w:rsidR="00820EB1">
        <w:rPr>
          <w:noProof/>
        </w:rPr>
        <w:t>31</w:t>
      </w:r>
      <w:r w:rsidR="00A47317">
        <w:rPr>
          <w:noProof/>
        </w:rPr>
        <w:fldChar w:fldCharType="end"/>
      </w:r>
      <w:bookmarkEnd w:id="83"/>
      <w:r>
        <w:t>: R</w:t>
      </w:r>
      <w:r w:rsidRPr="00346399">
        <w:t>emotely controlled intermittently operated batch fe</w:t>
      </w:r>
      <w:r>
        <w:t>eder consisting of: a) d</w:t>
      </w:r>
      <w:r w:rsidRPr="00346399">
        <w:t>ispenser</w:t>
      </w:r>
      <w:r>
        <w:t>; b) a</w:t>
      </w:r>
      <w:r w:rsidRPr="00346399">
        <w:t>gitator</w:t>
      </w:r>
      <w:r>
        <w:t>; c) hopper; d) linear actuator.</w:t>
      </w:r>
    </w:p>
    <w:p w14:paraId="01227415" w14:textId="77777777" w:rsidR="003610C6" w:rsidRDefault="003610C6" w:rsidP="00A47317">
      <w:pPr>
        <w:pStyle w:val="Heading3"/>
        <w:numPr>
          <w:ilvl w:val="2"/>
          <w:numId w:val="11"/>
        </w:numPr>
        <w:spacing w:before="100" w:after="100"/>
        <w:contextualSpacing w:val="0"/>
        <w15:collapsed/>
      </w:pPr>
      <w:r>
        <w:t>Overall setup</w:t>
      </w:r>
    </w:p>
    <w:p w14:paraId="21CC08CC" w14:textId="69663DB9" w:rsidR="003610C6" w:rsidRDefault="003610C6">
      <w:r>
        <w:t xml:space="preserve">As shown in </w:t>
      </w:r>
      <w:r>
        <w:fldChar w:fldCharType="begin"/>
      </w:r>
      <w:r>
        <w:instrText xml:space="preserve"> REF _Ref430439741 \h </w:instrText>
      </w:r>
      <w:r>
        <w:fldChar w:fldCharType="separate"/>
      </w:r>
      <w:r w:rsidR="00820EB1">
        <w:t xml:space="preserve">Figure </w:t>
      </w:r>
      <w:r w:rsidR="00820EB1">
        <w:rPr>
          <w:noProof/>
        </w:rPr>
        <w:t>32</w:t>
      </w:r>
      <w:r>
        <w:fldChar w:fldCharType="end"/>
      </w:r>
      <w:r>
        <w:t>, a water-cooled mirror at 45</w:t>
      </w:r>
      <w:r>
        <w:rPr>
          <w:vertAlign w:val="superscript"/>
        </w:rPr>
        <w:t>o</w:t>
      </w:r>
      <w:r>
        <w:t xml:space="preserve"> to the horizontal HFSS beam, was used to reflect the beam vertically into the glass forming batch. An XYZ table was used to accurately position, the centre of the crucible containing the glass forming batch such that it coincided with the centre of focus of the beam. The batch feeder was positioned such that when the lin</w:t>
      </w:r>
      <w:r w:rsidR="000355AC">
        <w:t>ear actuator was fully extended</w:t>
      </w:r>
      <w:r>
        <w:t xml:space="preserve"> it could feed the batch into the crucible and then it could be retracted to move away from the path of the beam to cool down between feeds. </w:t>
      </w:r>
    </w:p>
    <w:p w14:paraId="2B7A324F" w14:textId="77777777" w:rsidR="003610C6" w:rsidRDefault="003610C6" w:rsidP="003610C6">
      <w:pPr>
        <w:pStyle w:val="Title"/>
      </w:pPr>
      <w:bookmarkStart w:id="84" w:name="_Ref424228166"/>
      <w:r>
        <w:drawing>
          <wp:inline distT="0" distB="0" distL="0" distR="0" wp14:anchorId="1D4488BA" wp14:editId="693DF7BF">
            <wp:extent cx="4572000" cy="3518968"/>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734" t="7142" r="31067" b="11821"/>
                    <a:stretch/>
                  </pic:blipFill>
                  <pic:spPr bwMode="auto">
                    <a:xfrm>
                      <a:off x="0" y="0"/>
                      <a:ext cx="4593414" cy="3535450"/>
                    </a:xfrm>
                    <a:prstGeom prst="rect">
                      <a:avLst/>
                    </a:prstGeom>
                    <a:ln>
                      <a:noFill/>
                    </a:ln>
                    <a:extLst>
                      <a:ext uri="{53640926-AAD7-44D8-BBD7-CCE9431645EC}">
                        <a14:shadowObscured xmlns:a14="http://schemas.microsoft.com/office/drawing/2010/main"/>
                      </a:ext>
                    </a:extLst>
                  </pic:spPr>
                </pic:pic>
              </a:graphicData>
            </a:graphic>
          </wp:inline>
        </w:drawing>
      </w:r>
    </w:p>
    <w:p w14:paraId="09E8C886" w14:textId="77777777" w:rsidR="003610C6" w:rsidRDefault="003610C6">
      <w:pPr>
        <w:pStyle w:val="Caption"/>
      </w:pPr>
      <w:bookmarkStart w:id="85" w:name="_Ref430439741"/>
      <w:r>
        <w:t xml:space="preserve">Figure </w:t>
      </w:r>
      <w:r w:rsidR="00A47317">
        <w:fldChar w:fldCharType="begin"/>
      </w:r>
      <w:r w:rsidR="00A47317">
        <w:instrText xml:space="preserve"> SEQ Figure \* ARABIC </w:instrText>
      </w:r>
      <w:r w:rsidR="00A47317">
        <w:fldChar w:fldCharType="separate"/>
      </w:r>
      <w:r w:rsidR="00820EB1">
        <w:rPr>
          <w:noProof/>
        </w:rPr>
        <w:t>32</w:t>
      </w:r>
      <w:r w:rsidR="00A47317">
        <w:rPr>
          <w:noProof/>
        </w:rPr>
        <w:fldChar w:fldCharType="end"/>
      </w:r>
      <w:bookmarkEnd w:id="84"/>
      <w:bookmarkEnd w:id="85"/>
      <w:r>
        <w:t>: a) Overview of the glass melt flow experimental setup with details in red square as follows; b) zoomed-in view below the 45</w:t>
      </w:r>
      <w:r>
        <w:rPr>
          <w:vertAlign w:val="superscript"/>
        </w:rPr>
        <w:t>o</w:t>
      </w:r>
      <w:r>
        <w:t xml:space="preserve"> mirror with the batch feeder in position to feed c) when the feeder’s linear actuator is retracted to move away the from the path of the beam to cool down.</w:t>
      </w:r>
    </w:p>
    <w:p w14:paraId="426160E8" w14:textId="77777777" w:rsidR="003610C6" w:rsidRDefault="003610C6">
      <w:r>
        <w:t xml:space="preserve">Initially, a water bucket was positioned below the outlet spout of the modified crucible to collect the glass produced. Later, this water bucket was replaced with collecting crucible inside a heater to provide additional heat to encourage the glass flow. </w:t>
      </w:r>
    </w:p>
    <w:p w14:paraId="2CCF8A86" w14:textId="5C8E16E1" w:rsidR="003610C6" w:rsidRDefault="003610C6">
      <w:r w:rsidRPr="006079F6">
        <w:t>A video camera with protective filters, positioned behind the shutters, was used to observe the melting zone vi</w:t>
      </w:r>
      <w:r>
        <w:t>a the reflected image in the 45</w:t>
      </w:r>
      <w:r>
        <w:rPr>
          <w:vertAlign w:val="superscript"/>
        </w:rPr>
        <w:t>o</w:t>
      </w:r>
      <w:r w:rsidRPr="006079F6">
        <w:t xml:space="preserve"> mirror.</w:t>
      </w:r>
      <w:r>
        <w:t xml:space="preserve"> </w:t>
      </w:r>
      <w:r w:rsidRPr="006079F6">
        <w:t>Glass samples produced were crushed to fine powder</w:t>
      </w:r>
      <w:r>
        <w:t>s</w:t>
      </w:r>
      <w:r w:rsidRPr="006079F6">
        <w:t xml:space="preserve"> and analysed </w:t>
      </w:r>
      <w:r>
        <w:t>using</w:t>
      </w:r>
      <w:r w:rsidRPr="006079F6">
        <w:t xml:space="preserve"> a Siemens D5000 X-ray diffractometer using Cu</w:t>
      </w:r>
      <w:r>
        <w:t>-K</w:t>
      </w:r>
      <w:r w:rsidRPr="006079F6">
        <w:t xml:space="preserve">α radiation, in order to determine whether the </w:t>
      </w:r>
      <w:r>
        <w:t xml:space="preserve">crystalline </w:t>
      </w:r>
      <w:r w:rsidRPr="006079F6">
        <w:t>raw materials has been converted into</w:t>
      </w:r>
      <w:r>
        <w:t xml:space="preserve"> x-ray amorphous glass. All length measurements of crucible geometries and frozen glass flow distances were measured using Vernier </w:t>
      </w:r>
      <w:r w:rsidR="00B2288F">
        <w:t>callipers</w:t>
      </w:r>
      <w:r>
        <w:t xml:space="preserve"> with a precision of </w:t>
      </w:r>
      <w:r w:rsidRPr="00D93ABD">
        <w:t>±</w:t>
      </w:r>
      <w:r>
        <w:t xml:space="preserve"> 0.01 mm. The mass of pellets fed was </w:t>
      </w:r>
      <w:r w:rsidR="00BB0FF5">
        <w:t xml:space="preserve">estimated </w:t>
      </w:r>
      <w:r>
        <w:t xml:space="preserve">by measuring the diameter of each pellet from the images captured from the video of the melt surface and </w:t>
      </w:r>
      <w:r w:rsidR="00BB0FF5">
        <w:t xml:space="preserve">scaling the results </w:t>
      </w:r>
      <w:r>
        <w:t>according to the measured size of the crucible. Then, from the diameters, the mass</w:t>
      </w:r>
      <w:r w:rsidR="004F26C0">
        <w:t xml:space="preserve"> </w:t>
      </w:r>
      <w:r>
        <w:t xml:space="preserve">of each pellet was estimated by the same method as explained in section </w:t>
      </w:r>
      <w:r>
        <w:fldChar w:fldCharType="begin"/>
      </w:r>
      <w:r>
        <w:instrText xml:space="preserve"> REF _Ref441684388 \n \h </w:instrText>
      </w:r>
      <w:r>
        <w:fldChar w:fldCharType="separate"/>
      </w:r>
      <w:r w:rsidR="00820EB1">
        <w:t>4.2.2</w:t>
      </w:r>
      <w:r>
        <w:fldChar w:fldCharType="end"/>
      </w:r>
      <w:r>
        <w:t xml:space="preserve">. All times provided in the descriptions of the following experiments are measured from the moment the shutters were first opened, marking the start of the experiment as logged by the data acquisition system. These times are accurate to the nearest second and given in the format </w:t>
      </w:r>
      <w:r w:rsidRPr="00F52EC2">
        <w:rPr>
          <w:i/>
        </w:rPr>
        <w:t>X minutes: Y seconds</w:t>
      </w:r>
      <w:r>
        <w:t xml:space="preserve">. </w:t>
      </w:r>
    </w:p>
    <w:p w14:paraId="3101F792" w14:textId="77777777" w:rsidR="003610C6" w:rsidRDefault="003610C6" w:rsidP="00C2720A">
      <w:pPr>
        <w:pStyle w:val="Heading3"/>
        <w:numPr>
          <w:ilvl w:val="2"/>
          <w:numId w:val="11"/>
        </w:numPr>
        <w:spacing w:before="100" w:after="100"/>
        <w:contextualSpacing w:val="0"/>
        <w15:collapsed/>
      </w:pPr>
      <w:r>
        <w:t xml:space="preserve">Flux measurements </w:t>
      </w:r>
    </w:p>
    <w:p w14:paraId="33835B0E" w14:textId="24CBDAB6" w:rsidR="003610C6" w:rsidRPr="00D5649F" w:rsidRDefault="003610C6">
      <w:r>
        <w:t xml:space="preserve">In a separate experiment, a </w:t>
      </w:r>
      <w:r w:rsidRPr="00086F76">
        <w:t>TG1000-58F</w:t>
      </w:r>
      <w:r>
        <w:t xml:space="preserve"> thermogauge was used to measure the flux distribution produced. The thermoga</w:t>
      </w:r>
      <w:r w:rsidR="004F26C0">
        <w:t>u</w:t>
      </w:r>
      <w:r>
        <w:t xml:space="preserve">ge was calibrated by the manufacturer (Vatell Corp., </w:t>
      </w:r>
      <w:r w:rsidRPr="00086F76">
        <w:t>Christiansburg, VA, US</w:t>
      </w:r>
      <w:r>
        <w:t xml:space="preserve">) for </w:t>
      </w:r>
      <w:r w:rsidRPr="00D93ABD">
        <w:t>±</w:t>
      </w:r>
      <w:r>
        <w:t xml:space="preserve">3% accuracy </w:t>
      </w:r>
      <w:r w:rsidRPr="00D93ABD">
        <w:t>with a repeatability of ± 1%</w:t>
      </w:r>
      <w:r>
        <w:t>.</w:t>
      </w:r>
      <w:r w:rsidRPr="00D93ABD">
        <w:t xml:space="preserve"> </w:t>
      </w:r>
      <w:r>
        <w:t>15 flux measurements were taken at equal intervals covering a region in and around the surface of the melt. Each flux measurement gave the average flux intensity over a 1.5 cm diameter circular area corresponding to the 15 black circles shown in (</w:t>
      </w:r>
      <w:r>
        <w:fldChar w:fldCharType="begin"/>
      </w:r>
      <w:r>
        <w:instrText xml:space="preserve"> REF _Ref439514551 \h </w:instrText>
      </w:r>
      <w:r>
        <w:fldChar w:fldCharType="separate"/>
      </w:r>
      <w:r w:rsidR="00820EB1">
        <w:t xml:space="preserve">Figure </w:t>
      </w:r>
      <w:r w:rsidR="00820EB1">
        <w:rPr>
          <w:noProof/>
        </w:rPr>
        <w:t>47</w:t>
      </w:r>
      <w:r>
        <w:fldChar w:fldCharType="end"/>
      </w:r>
      <w:r>
        <w:t>). These flux measurements were repeated for the most common HFSS beam settings (</w:t>
      </w:r>
      <w:r>
        <w:fldChar w:fldCharType="begin"/>
      </w:r>
      <w:r>
        <w:instrText xml:space="preserve"> REF _Ref441585384 \h </w:instrText>
      </w:r>
      <w:r>
        <w:fldChar w:fldCharType="separate"/>
      </w:r>
      <w:r w:rsidR="00820EB1">
        <w:t xml:space="preserve">Table </w:t>
      </w:r>
      <w:r w:rsidR="00820EB1">
        <w:rPr>
          <w:noProof/>
        </w:rPr>
        <w:t>2</w:t>
      </w:r>
      <w:r>
        <w:fldChar w:fldCharType="end"/>
      </w:r>
      <w:r>
        <w:t xml:space="preserve">) used during the course of experiments B1-6. The </w:t>
      </w:r>
      <w:r w:rsidRPr="00D5649F">
        <w:rPr>
          <w:i/>
        </w:rPr>
        <w:t xml:space="preserve">‘gross radiative power’ </w:t>
      </w:r>
      <w:r>
        <w:t xml:space="preserve">was calculated by integrating the flux measurements over the  </w:t>
      </w:r>
      <w:r>
        <w:rPr>
          <w:rFonts w:cs="Times New Roman"/>
        </w:rPr>
        <w:t>̴</w:t>
      </w:r>
      <w:r>
        <w:t xml:space="preserve"> 6 cm diameter focal spot of the beam and compared </w:t>
      </w:r>
      <w:r w:rsidR="004F26C0">
        <w:t xml:space="preserve">them </w:t>
      </w:r>
      <w:r>
        <w:t xml:space="preserve">to the corresponding </w:t>
      </w:r>
      <w:r w:rsidRPr="00783528">
        <w:rPr>
          <w:i/>
        </w:rPr>
        <w:t>‘indicative power’</w:t>
      </w:r>
      <w:r>
        <w:rPr>
          <w:i/>
        </w:rPr>
        <w:t xml:space="preserve"> (4.2.1) </w:t>
      </w:r>
      <w:r w:rsidRPr="00783528">
        <w:t>for eac</w:t>
      </w:r>
      <w:r>
        <w:t xml:space="preserve">h setting to find the average ratio between the two measures of power supplied as shown in </w:t>
      </w:r>
      <w:r>
        <w:fldChar w:fldCharType="begin"/>
      </w:r>
      <w:r>
        <w:instrText xml:space="preserve"> REF _Ref441585384 \h </w:instrText>
      </w:r>
      <w:r>
        <w:fldChar w:fldCharType="separate"/>
      </w:r>
      <w:r w:rsidR="00820EB1">
        <w:t xml:space="preserve">Table </w:t>
      </w:r>
      <w:r w:rsidR="00820EB1">
        <w:rPr>
          <w:noProof/>
        </w:rPr>
        <w:t>2</w:t>
      </w:r>
      <w:r>
        <w:fldChar w:fldCharType="end"/>
      </w:r>
      <w:r>
        <w:t>. This ratio was then used to infer the gross radiative power for B1-6 based on the indicative power logged during the course of experiments B1-6 and used for comparison in the following descriptions.</w:t>
      </w:r>
    </w:p>
    <w:p w14:paraId="5148F8B5" w14:textId="77777777" w:rsidR="003610C6" w:rsidRDefault="003610C6">
      <w:pPr>
        <w:pStyle w:val="Caption"/>
      </w:pPr>
      <w:bookmarkStart w:id="86" w:name="_Ref441585384"/>
      <w:r>
        <w:t xml:space="preserve">Table </w:t>
      </w:r>
      <w:r w:rsidR="00A47317">
        <w:fldChar w:fldCharType="begin"/>
      </w:r>
      <w:r w:rsidR="00A47317">
        <w:instrText xml:space="preserve"> SEQ Table \* ARABIC </w:instrText>
      </w:r>
      <w:r w:rsidR="00A47317">
        <w:fldChar w:fldCharType="separate"/>
      </w:r>
      <w:r w:rsidR="00486837">
        <w:rPr>
          <w:noProof/>
        </w:rPr>
        <w:t>2</w:t>
      </w:r>
      <w:r w:rsidR="00A47317">
        <w:rPr>
          <w:noProof/>
        </w:rPr>
        <w:fldChar w:fldCharType="end"/>
      </w:r>
      <w:bookmarkEnd w:id="86"/>
      <w:r>
        <w:t>: HFSS settings used during flux measurements used to infer the gross radiative power during experiments B1-6.</w:t>
      </w:r>
    </w:p>
    <w:tbl>
      <w:tblPr>
        <w:tblStyle w:val="TableGrid"/>
        <w:tblW w:w="0" w:type="auto"/>
        <w:tblInd w:w="357" w:type="dxa"/>
        <w:tblLook w:val="04A0" w:firstRow="1" w:lastRow="0" w:firstColumn="1" w:lastColumn="0" w:noHBand="0" w:noVBand="1"/>
      </w:tblPr>
      <w:tblGrid>
        <w:gridCol w:w="985"/>
        <w:gridCol w:w="1072"/>
        <w:gridCol w:w="1151"/>
        <w:gridCol w:w="1114"/>
        <w:gridCol w:w="1186"/>
        <w:gridCol w:w="1138"/>
        <w:gridCol w:w="1491"/>
      </w:tblGrid>
      <w:tr w:rsidR="003610C6" w:rsidRPr="00662E57" w14:paraId="61240F27" w14:textId="77777777" w:rsidTr="003610C6">
        <w:tc>
          <w:tcPr>
            <w:tcW w:w="1056" w:type="dxa"/>
            <w:vAlign w:val="center"/>
          </w:tcPr>
          <w:p w14:paraId="777A22AC" w14:textId="77777777" w:rsidR="003610C6" w:rsidRPr="00662E57" w:rsidRDefault="003610C6" w:rsidP="003610C6">
            <w:pPr>
              <w:pStyle w:val="NoSpacing"/>
            </w:pPr>
            <w:r w:rsidRPr="00662E57">
              <w:t>HFSS beam setting ID</w:t>
            </w:r>
          </w:p>
        </w:tc>
        <w:tc>
          <w:tcPr>
            <w:tcW w:w="1173" w:type="dxa"/>
            <w:vAlign w:val="center"/>
          </w:tcPr>
          <w:p w14:paraId="23912868" w14:textId="77777777" w:rsidR="003610C6" w:rsidRPr="00662E57" w:rsidRDefault="003610C6" w:rsidP="003610C6">
            <w:pPr>
              <w:pStyle w:val="NoSpacing"/>
            </w:pPr>
            <w:r w:rsidRPr="00662E57">
              <w:t># Lamps</w:t>
            </w:r>
          </w:p>
        </w:tc>
        <w:tc>
          <w:tcPr>
            <w:tcW w:w="1202" w:type="dxa"/>
            <w:vAlign w:val="center"/>
          </w:tcPr>
          <w:p w14:paraId="12C7E471" w14:textId="77777777" w:rsidR="003610C6" w:rsidRPr="00662E57" w:rsidRDefault="003610C6" w:rsidP="003610C6">
            <w:pPr>
              <w:pStyle w:val="NoSpacing"/>
            </w:pPr>
            <w:r w:rsidRPr="00662E57">
              <w:t>Total electrical power (kW)</w:t>
            </w:r>
          </w:p>
        </w:tc>
        <w:tc>
          <w:tcPr>
            <w:tcW w:w="1188" w:type="dxa"/>
            <w:vAlign w:val="center"/>
          </w:tcPr>
          <w:p w14:paraId="1993818B" w14:textId="77777777" w:rsidR="003610C6" w:rsidRPr="00662E57" w:rsidRDefault="003610C6" w:rsidP="003610C6">
            <w:pPr>
              <w:pStyle w:val="NoSpacing"/>
            </w:pPr>
            <w:r w:rsidRPr="00662E57">
              <w:t>Shutter opening</w:t>
            </w:r>
          </w:p>
        </w:tc>
        <w:tc>
          <w:tcPr>
            <w:tcW w:w="1221" w:type="dxa"/>
            <w:vAlign w:val="center"/>
          </w:tcPr>
          <w:p w14:paraId="4ADD77B4" w14:textId="77777777" w:rsidR="003610C6" w:rsidRPr="00662E57" w:rsidRDefault="003610C6" w:rsidP="003610C6">
            <w:pPr>
              <w:pStyle w:val="NoSpacing"/>
            </w:pPr>
            <w:r w:rsidRPr="00662E57">
              <w:t>Indicative power (kW)</w:t>
            </w:r>
          </w:p>
        </w:tc>
        <w:tc>
          <w:tcPr>
            <w:tcW w:w="1197" w:type="dxa"/>
            <w:vAlign w:val="center"/>
          </w:tcPr>
          <w:p w14:paraId="2D4615CD" w14:textId="77777777" w:rsidR="003610C6" w:rsidRPr="00662E57" w:rsidRDefault="003610C6" w:rsidP="003610C6">
            <w:pPr>
              <w:pStyle w:val="NoSpacing"/>
            </w:pPr>
            <w:r w:rsidRPr="00662E57">
              <w:t>Gross radiative power  (kW)</w:t>
            </w:r>
          </w:p>
        </w:tc>
        <w:tc>
          <w:tcPr>
            <w:tcW w:w="1622" w:type="dxa"/>
            <w:vAlign w:val="center"/>
          </w:tcPr>
          <w:p w14:paraId="74BF120A" w14:textId="77777777" w:rsidR="003610C6" w:rsidRPr="00662E57" w:rsidRDefault="003610C6" w:rsidP="003610C6">
            <w:pPr>
              <w:pStyle w:val="NoSpacing"/>
            </w:pPr>
            <w:r w:rsidRPr="00662E57">
              <w:t>Indicative: gross radiative power ratio</w:t>
            </w:r>
          </w:p>
        </w:tc>
      </w:tr>
      <w:tr w:rsidR="003610C6" w:rsidRPr="00662E57" w14:paraId="1D0265B8" w14:textId="77777777" w:rsidTr="003610C6">
        <w:tc>
          <w:tcPr>
            <w:tcW w:w="1056" w:type="dxa"/>
            <w:vAlign w:val="center"/>
          </w:tcPr>
          <w:p w14:paraId="3F663F62" w14:textId="77777777" w:rsidR="003610C6" w:rsidRPr="00662E57" w:rsidRDefault="003610C6" w:rsidP="003610C6">
            <w:pPr>
              <w:pStyle w:val="NoSpacing"/>
            </w:pPr>
            <w:r w:rsidRPr="00662E57">
              <w:t>1</w:t>
            </w:r>
          </w:p>
        </w:tc>
        <w:tc>
          <w:tcPr>
            <w:tcW w:w="1173" w:type="dxa"/>
            <w:vAlign w:val="center"/>
          </w:tcPr>
          <w:p w14:paraId="509A61E0" w14:textId="77777777" w:rsidR="003610C6" w:rsidRPr="00662E57" w:rsidRDefault="003610C6" w:rsidP="003610C6">
            <w:pPr>
              <w:pStyle w:val="NoSpacing"/>
            </w:pPr>
            <w:r w:rsidRPr="00662E57">
              <w:t>4</w:t>
            </w:r>
          </w:p>
        </w:tc>
        <w:tc>
          <w:tcPr>
            <w:tcW w:w="1202" w:type="dxa"/>
            <w:vAlign w:val="center"/>
          </w:tcPr>
          <w:p w14:paraId="4DA9AEF5" w14:textId="77777777" w:rsidR="003610C6" w:rsidRPr="00662E57" w:rsidRDefault="003610C6" w:rsidP="003610C6">
            <w:pPr>
              <w:pStyle w:val="NoSpacing"/>
            </w:pPr>
            <w:r w:rsidRPr="00662E57">
              <w:t>44.81</w:t>
            </w:r>
          </w:p>
        </w:tc>
        <w:tc>
          <w:tcPr>
            <w:tcW w:w="1188" w:type="dxa"/>
            <w:vAlign w:val="center"/>
          </w:tcPr>
          <w:p w14:paraId="01A9CC04" w14:textId="77777777" w:rsidR="003610C6" w:rsidRPr="00662E57" w:rsidRDefault="003610C6" w:rsidP="003610C6">
            <w:pPr>
              <w:pStyle w:val="NoSpacing"/>
            </w:pPr>
            <w:r w:rsidRPr="00662E57">
              <w:t>85%</w:t>
            </w:r>
          </w:p>
        </w:tc>
        <w:tc>
          <w:tcPr>
            <w:tcW w:w="1221" w:type="dxa"/>
            <w:vAlign w:val="center"/>
          </w:tcPr>
          <w:p w14:paraId="6A047537" w14:textId="77777777" w:rsidR="003610C6" w:rsidRPr="00662E57" w:rsidRDefault="003610C6" w:rsidP="003610C6">
            <w:pPr>
              <w:pStyle w:val="NoSpacing"/>
            </w:pPr>
            <w:r w:rsidRPr="00662E57">
              <w:t>38.09</w:t>
            </w:r>
          </w:p>
        </w:tc>
        <w:tc>
          <w:tcPr>
            <w:tcW w:w="1197" w:type="dxa"/>
            <w:vAlign w:val="center"/>
          </w:tcPr>
          <w:p w14:paraId="4811AEED" w14:textId="77777777" w:rsidR="003610C6" w:rsidRPr="00662E57" w:rsidRDefault="003610C6" w:rsidP="003610C6">
            <w:pPr>
              <w:pStyle w:val="NoSpacing"/>
            </w:pPr>
            <w:r w:rsidRPr="00662E57">
              <w:t>3.00</w:t>
            </w:r>
          </w:p>
        </w:tc>
        <w:tc>
          <w:tcPr>
            <w:tcW w:w="1622" w:type="dxa"/>
            <w:vAlign w:val="center"/>
          </w:tcPr>
          <w:p w14:paraId="69708746" w14:textId="77777777" w:rsidR="003610C6" w:rsidRPr="00662E57" w:rsidRDefault="003610C6" w:rsidP="003610C6">
            <w:pPr>
              <w:pStyle w:val="NoSpacing"/>
            </w:pPr>
            <w:r w:rsidRPr="00662E57">
              <w:t>0.079</w:t>
            </w:r>
          </w:p>
        </w:tc>
      </w:tr>
      <w:tr w:rsidR="003610C6" w:rsidRPr="00662E57" w14:paraId="5F5EB7C8" w14:textId="77777777" w:rsidTr="003610C6">
        <w:tc>
          <w:tcPr>
            <w:tcW w:w="1056" w:type="dxa"/>
            <w:vAlign w:val="center"/>
          </w:tcPr>
          <w:p w14:paraId="0004FCCB" w14:textId="77777777" w:rsidR="003610C6" w:rsidRPr="00662E57" w:rsidRDefault="003610C6" w:rsidP="003610C6">
            <w:pPr>
              <w:pStyle w:val="NoSpacing"/>
            </w:pPr>
            <w:r w:rsidRPr="00662E57">
              <w:t>2</w:t>
            </w:r>
          </w:p>
        </w:tc>
        <w:tc>
          <w:tcPr>
            <w:tcW w:w="1173" w:type="dxa"/>
            <w:vAlign w:val="center"/>
          </w:tcPr>
          <w:p w14:paraId="5A62AD05" w14:textId="77777777" w:rsidR="003610C6" w:rsidRPr="00662E57" w:rsidRDefault="003610C6" w:rsidP="003610C6">
            <w:pPr>
              <w:pStyle w:val="NoSpacing"/>
            </w:pPr>
            <w:r w:rsidRPr="00662E57">
              <w:t>3</w:t>
            </w:r>
          </w:p>
        </w:tc>
        <w:tc>
          <w:tcPr>
            <w:tcW w:w="1202" w:type="dxa"/>
            <w:vAlign w:val="center"/>
          </w:tcPr>
          <w:p w14:paraId="16947848" w14:textId="77777777" w:rsidR="003610C6" w:rsidRPr="00662E57" w:rsidRDefault="003610C6" w:rsidP="003610C6">
            <w:pPr>
              <w:pStyle w:val="NoSpacing"/>
            </w:pPr>
            <w:r w:rsidRPr="00662E57">
              <w:t>32.25</w:t>
            </w:r>
          </w:p>
        </w:tc>
        <w:tc>
          <w:tcPr>
            <w:tcW w:w="1188" w:type="dxa"/>
            <w:vAlign w:val="center"/>
          </w:tcPr>
          <w:p w14:paraId="58D70CDD" w14:textId="77777777" w:rsidR="003610C6" w:rsidRPr="00662E57" w:rsidRDefault="003610C6" w:rsidP="003610C6">
            <w:pPr>
              <w:pStyle w:val="NoSpacing"/>
            </w:pPr>
            <w:r w:rsidRPr="00662E57">
              <w:t>100%</w:t>
            </w:r>
          </w:p>
        </w:tc>
        <w:tc>
          <w:tcPr>
            <w:tcW w:w="1221" w:type="dxa"/>
            <w:vAlign w:val="center"/>
          </w:tcPr>
          <w:p w14:paraId="4D1568A7" w14:textId="77777777" w:rsidR="003610C6" w:rsidRPr="00662E57" w:rsidRDefault="003610C6" w:rsidP="003610C6">
            <w:pPr>
              <w:pStyle w:val="NoSpacing"/>
            </w:pPr>
            <w:r w:rsidRPr="00662E57">
              <w:t>32.25</w:t>
            </w:r>
          </w:p>
        </w:tc>
        <w:tc>
          <w:tcPr>
            <w:tcW w:w="1197" w:type="dxa"/>
            <w:vAlign w:val="center"/>
          </w:tcPr>
          <w:p w14:paraId="495CBDDC" w14:textId="77777777" w:rsidR="003610C6" w:rsidRPr="00662E57" w:rsidRDefault="003610C6" w:rsidP="003610C6">
            <w:pPr>
              <w:pStyle w:val="NoSpacing"/>
            </w:pPr>
            <w:r w:rsidRPr="00662E57">
              <w:t>2.68</w:t>
            </w:r>
          </w:p>
        </w:tc>
        <w:tc>
          <w:tcPr>
            <w:tcW w:w="1622" w:type="dxa"/>
            <w:vAlign w:val="center"/>
          </w:tcPr>
          <w:p w14:paraId="05EC900B" w14:textId="77777777" w:rsidR="003610C6" w:rsidRPr="00662E57" w:rsidRDefault="003610C6" w:rsidP="003610C6">
            <w:pPr>
              <w:pStyle w:val="NoSpacing"/>
            </w:pPr>
            <w:r w:rsidRPr="00662E57">
              <w:t>0.083</w:t>
            </w:r>
          </w:p>
        </w:tc>
      </w:tr>
      <w:tr w:rsidR="003610C6" w:rsidRPr="00662E57" w14:paraId="0D8A8551" w14:textId="77777777" w:rsidTr="003610C6">
        <w:tc>
          <w:tcPr>
            <w:tcW w:w="1056" w:type="dxa"/>
            <w:vAlign w:val="center"/>
          </w:tcPr>
          <w:p w14:paraId="4FBD5FED" w14:textId="77777777" w:rsidR="003610C6" w:rsidRPr="00662E57" w:rsidRDefault="003610C6" w:rsidP="003610C6">
            <w:pPr>
              <w:pStyle w:val="NoSpacing"/>
            </w:pPr>
            <w:r w:rsidRPr="00662E57">
              <w:t>3</w:t>
            </w:r>
          </w:p>
        </w:tc>
        <w:tc>
          <w:tcPr>
            <w:tcW w:w="1173" w:type="dxa"/>
            <w:vAlign w:val="center"/>
          </w:tcPr>
          <w:p w14:paraId="2F15F2FF" w14:textId="77777777" w:rsidR="003610C6" w:rsidRPr="00662E57" w:rsidRDefault="003610C6" w:rsidP="003610C6">
            <w:pPr>
              <w:pStyle w:val="NoSpacing"/>
            </w:pPr>
            <w:r w:rsidRPr="00662E57">
              <w:t>2</w:t>
            </w:r>
          </w:p>
        </w:tc>
        <w:tc>
          <w:tcPr>
            <w:tcW w:w="1202" w:type="dxa"/>
            <w:vAlign w:val="center"/>
          </w:tcPr>
          <w:p w14:paraId="7817E9B0" w14:textId="77777777" w:rsidR="003610C6" w:rsidRPr="00662E57" w:rsidRDefault="003610C6" w:rsidP="003610C6">
            <w:pPr>
              <w:pStyle w:val="NoSpacing"/>
            </w:pPr>
            <w:r w:rsidRPr="00662E57">
              <w:t>21.91</w:t>
            </w:r>
          </w:p>
        </w:tc>
        <w:tc>
          <w:tcPr>
            <w:tcW w:w="1188" w:type="dxa"/>
            <w:vAlign w:val="center"/>
          </w:tcPr>
          <w:p w14:paraId="486D08F6" w14:textId="77777777" w:rsidR="003610C6" w:rsidRPr="00662E57" w:rsidRDefault="003610C6" w:rsidP="003610C6">
            <w:pPr>
              <w:pStyle w:val="NoSpacing"/>
            </w:pPr>
            <w:r w:rsidRPr="00662E57">
              <w:t>100%</w:t>
            </w:r>
          </w:p>
        </w:tc>
        <w:tc>
          <w:tcPr>
            <w:tcW w:w="1221" w:type="dxa"/>
            <w:vAlign w:val="center"/>
          </w:tcPr>
          <w:p w14:paraId="19FDA14F" w14:textId="77777777" w:rsidR="003610C6" w:rsidRPr="00662E57" w:rsidRDefault="003610C6" w:rsidP="003610C6">
            <w:pPr>
              <w:pStyle w:val="NoSpacing"/>
            </w:pPr>
            <w:r w:rsidRPr="00662E57">
              <w:t>21.91</w:t>
            </w:r>
          </w:p>
        </w:tc>
        <w:tc>
          <w:tcPr>
            <w:tcW w:w="1197" w:type="dxa"/>
            <w:vAlign w:val="center"/>
          </w:tcPr>
          <w:p w14:paraId="3222024E" w14:textId="77777777" w:rsidR="003610C6" w:rsidRPr="00662E57" w:rsidRDefault="003610C6" w:rsidP="003610C6">
            <w:pPr>
              <w:pStyle w:val="NoSpacing"/>
            </w:pPr>
            <w:r w:rsidRPr="00662E57">
              <w:t>1.74</w:t>
            </w:r>
          </w:p>
        </w:tc>
        <w:tc>
          <w:tcPr>
            <w:tcW w:w="1622" w:type="dxa"/>
            <w:vAlign w:val="center"/>
          </w:tcPr>
          <w:p w14:paraId="5DBF436D" w14:textId="77777777" w:rsidR="003610C6" w:rsidRPr="00662E57" w:rsidRDefault="003610C6" w:rsidP="003610C6">
            <w:pPr>
              <w:pStyle w:val="NoSpacing"/>
            </w:pPr>
            <w:r w:rsidRPr="00662E57">
              <w:t>0.079</w:t>
            </w:r>
          </w:p>
        </w:tc>
      </w:tr>
      <w:tr w:rsidR="003610C6" w14:paraId="2FC0A8BF" w14:textId="77777777" w:rsidTr="003610C6">
        <w:tc>
          <w:tcPr>
            <w:tcW w:w="7037" w:type="dxa"/>
            <w:gridSpan w:val="6"/>
          </w:tcPr>
          <w:p w14:paraId="16292A4D" w14:textId="77777777" w:rsidR="003610C6" w:rsidRDefault="003610C6" w:rsidP="003610C6">
            <w:pPr>
              <w:pStyle w:val="NoSpacing"/>
            </w:pPr>
            <w:r>
              <w:t>Average</w:t>
            </w:r>
          </w:p>
        </w:tc>
        <w:tc>
          <w:tcPr>
            <w:tcW w:w="1622" w:type="dxa"/>
          </w:tcPr>
          <w:p w14:paraId="44489674" w14:textId="77777777" w:rsidR="003610C6" w:rsidRPr="00BC628A" w:rsidRDefault="003610C6" w:rsidP="003610C6">
            <w:pPr>
              <w:pStyle w:val="NoSpacing"/>
            </w:pPr>
            <w:r w:rsidRPr="00BC628A">
              <w:t>0.080</w:t>
            </w:r>
          </w:p>
        </w:tc>
      </w:tr>
    </w:tbl>
    <w:p w14:paraId="0D16819B" w14:textId="6EEA97B0" w:rsidR="003610C6" w:rsidRDefault="003610C6" w:rsidP="00F52EC2">
      <w:pPr>
        <w:pStyle w:val="Heading2"/>
        <w:keepLines/>
        <w:numPr>
          <w:ilvl w:val="1"/>
          <w:numId w:val="11"/>
        </w:numPr>
        <w:spacing w:before="360" w:after="100"/>
        <w:ind w:left="788" w:hanging="431"/>
        <w:contextualSpacing w:val="0"/>
        <w15:collapsed/>
      </w:pPr>
      <w:bookmarkStart w:id="87" w:name="_Toc473995162"/>
      <w:r>
        <w:t>Experiments</w:t>
      </w:r>
      <w:r w:rsidR="003F0407">
        <w:t xml:space="preserve"> (B1-6)</w:t>
      </w:r>
      <w:bookmarkEnd w:id="87"/>
    </w:p>
    <w:p w14:paraId="3376BF19" w14:textId="77777777" w:rsidR="003610C6" w:rsidRDefault="003610C6">
      <w:pPr>
        <w:rPr>
          <w:lang w:val="en-US"/>
        </w:rPr>
      </w:pPr>
      <w:r>
        <w:rPr>
          <w:lang w:val="en-US"/>
        </w:rPr>
        <w:t>The complete dataset of the glass melt flow experiments (B1-6) is provided in Appendix 3. A summary of these experiments, including the most significant data is provided as follows.</w:t>
      </w:r>
    </w:p>
    <w:p w14:paraId="6D8DE6DD" w14:textId="5DC72BD0" w:rsidR="003610C6" w:rsidRDefault="003610C6">
      <w:pPr>
        <w:rPr>
          <w:lang w:val="en-US"/>
        </w:rPr>
      </w:pPr>
      <w:r>
        <w:rPr>
          <w:lang w:val="en-US"/>
        </w:rPr>
        <w:t>For the initial experiment (B1), the modified crucible was pre-loaded, half full with powdered soda-lime-silica batch. Initially, 2 lamps were switched on, with a combined electrical power supply of 21.9 kW and the shutters were gradually opened up to 90%, delivering a gross radiative power supply of 1.57 kW by 04m:47s when the initial charge of powered soda-lime-silica batch could be seen melting (</w:t>
      </w:r>
      <w:r w:rsidR="00270BFB">
        <w:rPr>
          <w:lang w:val="en-US"/>
        </w:rPr>
        <w:fldChar w:fldCharType="begin"/>
      </w:r>
      <w:r w:rsidR="00270BFB">
        <w:rPr>
          <w:lang w:val="en-US"/>
        </w:rPr>
        <w:instrText xml:space="preserve"> REF _Ref451031473 \h </w:instrText>
      </w:r>
      <w:r w:rsidR="00270BFB">
        <w:rPr>
          <w:lang w:val="en-US"/>
        </w:rPr>
      </w:r>
      <w:r w:rsidR="00270BFB">
        <w:rPr>
          <w:lang w:val="en-US"/>
        </w:rPr>
        <w:fldChar w:fldCharType="separate"/>
      </w:r>
      <w:r w:rsidR="00820EB1">
        <w:t xml:space="preserve">Figure </w:t>
      </w:r>
      <w:r w:rsidR="00820EB1">
        <w:rPr>
          <w:noProof/>
        </w:rPr>
        <w:t>33</w:t>
      </w:r>
      <w:r w:rsidR="00270BFB">
        <w:rPr>
          <w:lang w:val="en-US"/>
        </w:rPr>
        <w:fldChar w:fldCharType="end"/>
      </w:r>
      <w:r>
        <w:rPr>
          <w:lang w:val="en-US"/>
        </w:rPr>
        <w:t>a), as shown by foam and some specular reflection appearing on the batch surface. While holding the power supply at the same level, the melting gradually became more clearly visible (</w:t>
      </w:r>
      <w:r>
        <w:rPr>
          <w:lang w:val="en-US"/>
        </w:rPr>
        <w:fldChar w:fldCharType="begin"/>
      </w:r>
      <w:r>
        <w:rPr>
          <w:lang w:val="en-US"/>
        </w:rPr>
        <w:instrText xml:space="preserve"> REF _Ref451031473 \h </w:instrText>
      </w:r>
      <w:r>
        <w:rPr>
          <w:lang w:val="en-US"/>
        </w:rPr>
      </w:r>
      <w:r>
        <w:rPr>
          <w:lang w:val="en-US"/>
        </w:rPr>
        <w:fldChar w:fldCharType="separate"/>
      </w:r>
      <w:r w:rsidR="00820EB1">
        <w:t xml:space="preserve">Figure </w:t>
      </w:r>
      <w:r w:rsidR="00820EB1">
        <w:rPr>
          <w:noProof/>
        </w:rPr>
        <w:t>33</w:t>
      </w:r>
      <w:r>
        <w:rPr>
          <w:lang w:val="en-US"/>
        </w:rPr>
        <w:fldChar w:fldCharType="end"/>
      </w:r>
      <w:r>
        <w:rPr>
          <w:lang w:val="en-US"/>
        </w:rPr>
        <w:t>b) as some of the foam dissipated, revealing a more reflective surface, so much so that the reflected image of the HFSS lamps, albeit greatly distorted, began to appear (</w:t>
      </w:r>
      <w:r>
        <w:rPr>
          <w:lang w:val="en-US"/>
        </w:rPr>
        <w:fldChar w:fldCharType="begin"/>
      </w:r>
      <w:r>
        <w:rPr>
          <w:lang w:val="en-US"/>
        </w:rPr>
        <w:instrText xml:space="preserve"> REF _Ref451031473 \h </w:instrText>
      </w:r>
      <w:r>
        <w:rPr>
          <w:lang w:val="en-US"/>
        </w:rPr>
      </w:r>
      <w:r>
        <w:rPr>
          <w:lang w:val="en-US"/>
        </w:rPr>
        <w:fldChar w:fldCharType="separate"/>
      </w:r>
      <w:r w:rsidR="00820EB1">
        <w:t xml:space="preserve">Figure </w:t>
      </w:r>
      <w:r w:rsidR="00820EB1">
        <w:rPr>
          <w:noProof/>
        </w:rPr>
        <w:t>33</w:t>
      </w:r>
      <w:r>
        <w:rPr>
          <w:lang w:val="en-US"/>
        </w:rPr>
        <w:fldChar w:fldCharType="end"/>
      </w:r>
      <w:r>
        <w:rPr>
          <w:lang w:val="en-US"/>
        </w:rPr>
        <w:t xml:space="preserve">b). Then, at </w:t>
      </w:r>
      <w:r w:rsidRPr="007777C3">
        <w:rPr>
          <w:lang w:val="en-US"/>
        </w:rPr>
        <w:t>09m:42s</w:t>
      </w:r>
      <w:r>
        <w:rPr>
          <w:lang w:val="en-US"/>
        </w:rPr>
        <w:t>,</w:t>
      </w:r>
      <w:r w:rsidRPr="007777C3">
        <w:rPr>
          <w:lang w:val="en-US"/>
        </w:rPr>
        <w:t xml:space="preserve"> </w:t>
      </w:r>
      <w:r>
        <w:rPr>
          <w:lang w:val="en-US"/>
        </w:rPr>
        <w:t>the shutters were closed temporarily to allow the batch feeder to move into position to feed.</w:t>
      </w:r>
    </w:p>
    <w:p w14:paraId="77DEA2BE" w14:textId="77777777" w:rsidR="003610C6" w:rsidRDefault="003610C6" w:rsidP="003610C6">
      <w:pPr>
        <w:pStyle w:val="Title"/>
      </w:pPr>
      <w:bookmarkStart w:id="88" w:name="_Ref439004443"/>
      <w:r>
        <w:drawing>
          <wp:inline distT="0" distB="0" distL="0" distR="0" wp14:anchorId="095652BA" wp14:editId="77989C50">
            <wp:extent cx="3274315" cy="1300096"/>
            <wp:effectExtent l="0" t="0" r="254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999" t="22326" r="6077" b="14877"/>
                    <a:stretch/>
                  </pic:blipFill>
                  <pic:spPr bwMode="auto">
                    <a:xfrm>
                      <a:off x="0" y="0"/>
                      <a:ext cx="3337577" cy="1325215"/>
                    </a:xfrm>
                    <a:prstGeom prst="rect">
                      <a:avLst/>
                    </a:prstGeom>
                    <a:ln>
                      <a:noFill/>
                    </a:ln>
                    <a:extLst>
                      <a:ext uri="{53640926-AAD7-44D8-BBD7-CCE9431645EC}">
                        <a14:shadowObscured xmlns:a14="http://schemas.microsoft.com/office/drawing/2010/main"/>
                      </a:ext>
                    </a:extLst>
                  </pic:spPr>
                </pic:pic>
              </a:graphicData>
            </a:graphic>
          </wp:inline>
        </w:drawing>
      </w:r>
    </w:p>
    <w:p w14:paraId="331659F8" w14:textId="77777777" w:rsidR="003610C6" w:rsidRDefault="003610C6" w:rsidP="003610C6">
      <w:pPr>
        <w:pStyle w:val="Caption"/>
      </w:pPr>
      <w:bookmarkStart w:id="89" w:name="_Ref451031473"/>
      <w:r>
        <w:t xml:space="preserve">Figure </w:t>
      </w:r>
      <w:r w:rsidR="00A47317">
        <w:fldChar w:fldCharType="begin"/>
      </w:r>
      <w:r w:rsidR="00A47317">
        <w:instrText xml:space="preserve"> SEQ Figure \* ARABIC </w:instrText>
      </w:r>
      <w:r w:rsidR="00A47317">
        <w:fldChar w:fldCharType="separate"/>
      </w:r>
      <w:r w:rsidR="00820EB1">
        <w:rPr>
          <w:noProof/>
        </w:rPr>
        <w:t>33</w:t>
      </w:r>
      <w:r w:rsidR="00A47317">
        <w:rPr>
          <w:noProof/>
        </w:rPr>
        <w:fldChar w:fldCharType="end"/>
      </w:r>
      <w:bookmarkEnd w:id="89"/>
      <w:r>
        <w:t>: Video snapshots showing the initial charge of powdered SLS batch melting down during experiment B1 at a) 04m: 47s and b)</w:t>
      </w:r>
      <w:r w:rsidRPr="007777C3">
        <w:t xml:space="preserve"> 09</w:t>
      </w:r>
      <w:r>
        <w:t>m:</w:t>
      </w:r>
      <w:r w:rsidRPr="007777C3">
        <w:t>42s</w:t>
      </w:r>
      <w:r>
        <w:t>. Scale bar based on 5.52 cm outer diameter of the main crucible.</w:t>
      </w:r>
    </w:p>
    <w:bookmarkEnd w:id="88"/>
    <w:p w14:paraId="7B865E2D" w14:textId="77777777" w:rsidR="003610C6" w:rsidRDefault="003610C6">
      <w:pPr>
        <w:rPr>
          <w:lang w:val="en-US"/>
        </w:rPr>
      </w:pPr>
      <w:r>
        <w:rPr>
          <w:lang w:val="en-US"/>
        </w:rPr>
        <w:t xml:space="preserve">At </w:t>
      </w:r>
      <w:r w:rsidRPr="003850D9">
        <w:rPr>
          <w:lang w:val="en-US"/>
        </w:rPr>
        <w:t>11</w:t>
      </w:r>
      <w:r>
        <w:rPr>
          <w:lang w:val="en-US"/>
        </w:rPr>
        <w:t>m</w:t>
      </w:r>
      <w:r w:rsidRPr="003850D9">
        <w:rPr>
          <w:lang w:val="en-US"/>
        </w:rPr>
        <w:t>:17</w:t>
      </w:r>
      <w:r>
        <w:rPr>
          <w:lang w:val="en-US"/>
        </w:rPr>
        <w:t>s (</w:t>
      </w:r>
      <w:r>
        <w:rPr>
          <w:lang w:val="en-US"/>
        </w:rPr>
        <w:fldChar w:fldCharType="begin"/>
      </w:r>
      <w:r>
        <w:rPr>
          <w:lang w:val="en-US"/>
        </w:rPr>
        <w:instrText xml:space="preserve"> REF _Ref451031533 \h </w:instrText>
      </w:r>
      <w:r>
        <w:rPr>
          <w:lang w:val="en-US"/>
        </w:rPr>
      </w:r>
      <w:r>
        <w:rPr>
          <w:lang w:val="en-US"/>
        </w:rPr>
        <w:fldChar w:fldCharType="separate"/>
      </w:r>
      <w:r w:rsidR="00820EB1">
        <w:t xml:space="preserve">Figure </w:t>
      </w:r>
      <w:r w:rsidR="00820EB1">
        <w:rPr>
          <w:noProof/>
        </w:rPr>
        <w:t>34</w:t>
      </w:r>
      <w:r>
        <w:rPr>
          <w:lang w:val="en-US"/>
        </w:rPr>
        <w:fldChar w:fldCharType="end"/>
      </w:r>
      <w:r>
        <w:rPr>
          <w:lang w:val="en-US"/>
        </w:rPr>
        <w:t xml:space="preserve">a), the shutters were re-opened, revealing the new charge of soda-lime-silica pellets floating on the surface of the melt, which at this point, was almost completely covered by foam. The shutters were opened further to 100% at </w:t>
      </w:r>
      <w:r w:rsidRPr="00FC2CAD">
        <w:rPr>
          <w:lang w:val="en-US"/>
        </w:rPr>
        <w:t>12</w:t>
      </w:r>
      <w:r>
        <w:rPr>
          <w:lang w:val="en-US"/>
        </w:rPr>
        <w:t>m</w:t>
      </w:r>
      <w:r w:rsidRPr="00FC2CAD">
        <w:rPr>
          <w:lang w:val="en-US"/>
        </w:rPr>
        <w:t>:35</w:t>
      </w:r>
      <w:r>
        <w:rPr>
          <w:lang w:val="en-US"/>
        </w:rPr>
        <w:t>s, providing a gross radiative power supply of 1.75 kW. The pellets gradually melted and the foam dissipated (</w:t>
      </w:r>
      <w:r>
        <w:rPr>
          <w:lang w:val="en-US"/>
        </w:rPr>
        <w:fldChar w:fldCharType="begin"/>
      </w:r>
      <w:r>
        <w:rPr>
          <w:lang w:val="en-US"/>
        </w:rPr>
        <w:instrText xml:space="preserve"> REF _Ref451031533 \h </w:instrText>
      </w:r>
      <w:r>
        <w:rPr>
          <w:lang w:val="en-US"/>
        </w:rPr>
      </w:r>
      <w:r>
        <w:rPr>
          <w:lang w:val="en-US"/>
        </w:rPr>
        <w:fldChar w:fldCharType="separate"/>
      </w:r>
      <w:r w:rsidR="00820EB1">
        <w:t xml:space="preserve">Figure </w:t>
      </w:r>
      <w:r w:rsidR="00820EB1">
        <w:rPr>
          <w:noProof/>
        </w:rPr>
        <w:t>34</w:t>
      </w:r>
      <w:r>
        <w:rPr>
          <w:lang w:val="en-US"/>
        </w:rPr>
        <w:fldChar w:fldCharType="end"/>
      </w:r>
      <w:r>
        <w:rPr>
          <w:lang w:val="en-US"/>
        </w:rPr>
        <w:t xml:space="preserve"> b,c) to reveal an increasingly reflective melt surface. By </w:t>
      </w:r>
      <w:r w:rsidRPr="006C461E">
        <w:t>14</w:t>
      </w:r>
      <w:r>
        <w:t>m</w:t>
      </w:r>
      <w:r w:rsidRPr="006C461E">
        <w:t>:06</w:t>
      </w:r>
      <w:r>
        <w:t>s</w:t>
      </w:r>
      <w:r>
        <w:rPr>
          <w:lang w:val="en-US"/>
        </w:rPr>
        <w:t xml:space="preserve"> (</w:t>
      </w:r>
      <w:r>
        <w:rPr>
          <w:lang w:val="en-US"/>
        </w:rPr>
        <w:fldChar w:fldCharType="begin"/>
      </w:r>
      <w:r>
        <w:rPr>
          <w:lang w:val="en-US"/>
        </w:rPr>
        <w:instrText xml:space="preserve"> REF _Ref451031533 \h </w:instrText>
      </w:r>
      <w:r>
        <w:rPr>
          <w:lang w:val="en-US"/>
        </w:rPr>
      </w:r>
      <w:r>
        <w:rPr>
          <w:lang w:val="en-US"/>
        </w:rPr>
        <w:fldChar w:fldCharType="separate"/>
      </w:r>
      <w:r w:rsidR="00820EB1">
        <w:t xml:space="preserve">Figure </w:t>
      </w:r>
      <w:r w:rsidR="00820EB1">
        <w:rPr>
          <w:noProof/>
        </w:rPr>
        <w:t>34</w:t>
      </w:r>
      <w:r>
        <w:rPr>
          <w:lang w:val="en-US"/>
        </w:rPr>
        <w:fldChar w:fldCharType="end"/>
      </w:r>
      <w:r>
        <w:rPr>
          <w:lang w:val="en-US"/>
        </w:rPr>
        <w:t>d) all the pellets had melted down and most of the foam had dissipated so then the shutters were temporarily closed again for the next feed.</w:t>
      </w:r>
    </w:p>
    <w:p w14:paraId="6CD7D171" w14:textId="77777777" w:rsidR="003610C6" w:rsidRDefault="003610C6" w:rsidP="003610C6">
      <w:pPr>
        <w:pStyle w:val="Title"/>
      </w:pPr>
      <w:bookmarkStart w:id="90" w:name="_Ref439006075"/>
      <w:r>
        <w:drawing>
          <wp:inline distT="0" distB="0" distL="0" distR="0" wp14:anchorId="3A4AB9EA" wp14:editId="49FD5FAB">
            <wp:extent cx="5391807" cy="1072750"/>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33" t="40673" r="3153" b="25848"/>
                    <a:stretch/>
                  </pic:blipFill>
                  <pic:spPr bwMode="auto">
                    <a:xfrm>
                      <a:off x="0" y="0"/>
                      <a:ext cx="5421960" cy="1078749"/>
                    </a:xfrm>
                    <a:prstGeom prst="rect">
                      <a:avLst/>
                    </a:prstGeom>
                    <a:ln>
                      <a:noFill/>
                    </a:ln>
                    <a:extLst>
                      <a:ext uri="{53640926-AAD7-44D8-BBD7-CCE9431645EC}">
                        <a14:shadowObscured xmlns:a14="http://schemas.microsoft.com/office/drawing/2010/main"/>
                      </a:ext>
                    </a:extLst>
                  </pic:spPr>
                </pic:pic>
              </a:graphicData>
            </a:graphic>
          </wp:inline>
        </w:drawing>
      </w:r>
    </w:p>
    <w:p w14:paraId="2E8AC7E0" w14:textId="77777777" w:rsidR="003610C6" w:rsidRDefault="003610C6" w:rsidP="003610C6">
      <w:pPr>
        <w:pStyle w:val="Caption"/>
      </w:pPr>
      <w:bookmarkStart w:id="91" w:name="_Ref451031533"/>
      <w:r>
        <w:t xml:space="preserve">Figure </w:t>
      </w:r>
      <w:r w:rsidR="00A47317">
        <w:fldChar w:fldCharType="begin"/>
      </w:r>
      <w:r w:rsidR="00A47317">
        <w:instrText xml:space="preserve"> SEQ Figure \* ARABIC </w:instrText>
      </w:r>
      <w:r w:rsidR="00A47317">
        <w:fldChar w:fldCharType="separate"/>
      </w:r>
      <w:r w:rsidR="00820EB1">
        <w:rPr>
          <w:noProof/>
        </w:rPr>
        <w:t>34</w:t>
      </w:r>
      <w:r w:rsidR="00A47317">
        <w:rPr>
          <w:noProof/>
        </w:rPr>
        <w:fldChar w:fldCharType="end"/>
      </w:r>
      <w:bookmarkEnd w:id="91"/>
      <w:r w:rsidRPr="00DF4772">
        <w:t>: Video snapshots showing newly fed batch melting down during experiment B1 at a) 11m:17s; b) 00:12:04; c) 12m:50s; d) 14m:06s. Scale bar based on 5.52 cm outer diameter of the main crucible.</w:t>
      </w:r>
    </w:p>
    <w:bookmarkEnd w:id="90"/>
    <w:p w14:paraId="1D229E8A" w14:textId="77777777" w:rsidR="003610C6" w:rsidRDefault="003610C6">
      <w:pPr>
        <w:rPr>
          <w:lang w:val="en-US"/>
        </w:rPr>
      </w:pPr>
      <w:r>
        <w:rPr>
          <w:lang w:val="en-US"/>
        </w:rPr>
        <w:t xml:space="preserve">The shutters were re-opened to 100% after feeding and a similar process was observed with the next new charge of pellets, initially floating on foam at </w:t>
      </w:r>
      <w:r w:rsidRPr="004014F0">
        <w:rPr>
          <w:lang w:val="en-US"/>
        </w:rPr>
        <w:t>15</w:t>
      </w:r>
      <w:r>
        <w:rPr>
          <w:lang w:val="en-US"/>
        </w:rPr>
        <w:t>m</w:t>
      </w:r>
      <w:r w:rsidRPr="004014F0">
        <w:rPr>
          <w:lang w:val="en-US"/>
        </w:rPr>
        <w:t>:47</w:t>
      </w:r>
      <w:r>
        <w:rPr>
          <w:lang w:val="en-US"/>
        </w:rPr>
        <w:t>s and gradually melting to reveal an increasingly clarified melt surface. However, this time, more time was allowed for the last of the residual foam and bubbles to dissipate, remaining mostly near the outer edge of the melt 17m:57s (</w:t>
      </w:r>
      <w:r>
        <w:rPr>
          <w:lang w:val="en-US"/>
        </w:rPr>
        <w:fldChar w:fldCharType="begin"/>
      </w:r>
      <w:r>
        <w:rPr>
          <w:lang w:val="en-US"/>
        </w:rPr>
        <w:instrText xml:space="preserve"> REF _Ref451031617 \h </w:instrText>
      </w:r>
      <w:r>
        <w:rPr>
          <w:lang w:val="en-US"/>
        </w:rPr>
      </w:r>
      <w:r>
        <w:rPr>
          <w:lang w:val="en-US"/>
        </w:rPr>
        <w:fldChar w:fldCharType="separate"/>
      </w:r>
      <w:r w:rsidR="00820EB1">
        <w:t xml:space="preserve">Figure </w:t>
      </w:r>
      <w:r w:rsidR="00820EB1">
        <w:rPr>
          <w:noProof/>
        </w:rPr>
        <w:t>35</w:t>
      </w:r>
      <w:r>
        <w:rPr>
          <w:lang w:val="en-US"/>
        </w:rPr>
        <w:fldChar w:fldCharType="end"/>
      </w:r>
      <w:r>
        <w:rPr>
          <w:lang w:val="en-US"/>
        </w:rPr>
        <w:t xml:space="preserve">). The melt was nearly completely clear by </w:t>
      </w:r>
      <w:r w:rsidRPr="004F41DC">
        <w:rPr>
          <w:lang w:val="en-US"/>
        </w:rPr>
        <w:t>19</w:t>
      </w:r>
      <w:r>
        <w:rPr>
          <w:lang w:val="en-US"/>
        </w:rPr>
        <w:t>m</w:t>
      </w:r>
      <w:r w:rsidRPr="004F41DC">
        <w:rPr>
          <w:lang w:val="en-US"/>
        </w:rPr>
        <w:t>:51</w:t>
      </w:r>
      <w:r>
        <w:rPr>
          <w:lang w:val="en-US"/>
        </w:rPr>
        <w:t>s except for some very small bubbles still evolving from the melt. At this point the shutters were closed for the next feed.</w:t>
      </w:r>
    </w:p>
    <w:p w14:paraId="5428D685" w14:textId="77777777" w:rsidR="003610C6" w:rsidRDefault="003610C6" w:rsidP="003610C6">
      <w:pPr>
        <w:pStyle w:val="Title"/>
      </w:pPr>
      <w:r>
        <w:drawing>
          <wp:inline distT="0" distB="0" distL="0" distR="0" wp14:anchorId="0CAEAF3C" wp14:editId="4A30DC6F">
            <wp:extent cx="3143589" cy="1248279"/>
            <wp:effectExtent l="0" t="0" r="0" b="952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72" t="22811" r="3642" b="11238"/>
                    <a:stretch/>
                  </pic:blipFill>
                  <pic:spPr bwMode="auto">
                    <a:xfrm>
                      <a:off x="0" y="0"/>
                      <a:ext cx="3178316" cy="1262069"/>
                    </a:xfrm>
                    <a:prstGeom prst="rect">
                      <a:avLst/>
                    </a:prstGeom>
                    <a:ln>
                      <a:noFill/>
                    </a:ln>
                    <a:extLst>
                      <a:ext uri="{53640926-AAD7-44D8-BBD7-CCE9431645EC}">
                        <a14:shadowObscured xmlns:a14="http://schemas.microsoft.com/office/drawing/2010/main"/>
                      </a:ext>
                    </a:extLst>
                  </pic:spPr>
                </pic:pic>
              </a:graphicData>
            </a:graphic>
          </wp:inline>
        </w:drawing>
      </w:r>
    </w:p>
    <w:p w14:paraId="3DBA839C" w14:textId="77777777" w:rsidR="003610C6" w:rsidRDefault="003610C6">
      <w:pPr>
        <w:pStyle w:val="Caption"/>
        <w:rPr>
          <w:lang w:val="en-US"/>
        </w:rPr>
      </w:pPr>
      <w:bookmarkStart w:id="92" w:name="_Ref451031617"/>
      <w:r>
        <w:t xml:space="preserve">Figure </w:t>
      </w:r>
      <w:r w:rsidR="00A47317">
        <w:fldChar w:fldCharType="begin"/>
      </w:r>
      <w:r w:rsidR="00A47317">
        <w:instrText xml:space="preserve"> SEQ Figure \* ARABIC </w:instrText>
      </w:r>
      <w:r w:rsidR="00A47317">
        <w:fldChar w:fldCharType="separate"/>
      </w:r>
      <w:r w:rsidR="00820EB1">
        <w:rPr>
          <w:noProof/>
        </w:rPr>
        <w:t>35</w:t>
      </w:r>
      <w:r w:rsidR="00A47317">
        <w:rPr>
          <w:noProof/>
        </w:rPr>
        <w:fldChar w:fldCharType="end"/>
      </w:r>
      <w:bookmarkEnd w:id="92"/>
      <w:r>
        <w:t xml:space="preserve">: Clarification of the residual foam around the edge of the melt during experiment B1 from a) </w:t>
      </w:r>
      <w:r>
        <w:rPr>
          <w:lang w:val="en-US"/>
        </w:rPr>
        <w:t>17m:57s to b)</w:t>
      </w:r>
      <w:r w:rsidRPr="00E128CA">
        <w:rPr>
          <w:lang w:val="en-US"/>
        </w:rPr>
        <w:t xml:space="preserve"> </w:t>
      </w:r>
      <w:r w:rsidRPr="004F41DC">
        <w:rPr>
          <w:lang w:val="en-US"/>
        </w:rPr>
        <w:t>19</w:t>
      </w:r>
      <w:r>
        <w:rPr>
          <w:lang w:val="en-US"/>
        </w:rPr>
        <w:t>m</w:t>
      </w:r>
      <w:r w:rsidRPr="004F41DC">
        <w:rPr>
          <w:lang w:val="en-US"/>
        </w:rPr>
        <w:t>:51</w:t>
      </w:r>
      <w:r>
        <w:rPr>
          <w:lang w:val="en-US"/>
        </w:rPr>
        <w:t xml:space="preserve">s. </w:t>
      </w:r>
      <w:r>
        <w:t>Scale bar based on 5.52 cm outer diameter of the main crucible.</w:t>
      </w:r>
    </w:p>
    <w:p w14:paraId="3757C29A" w14:textId="637A4C62" w:rsidR="003610C6" w:rsidRDefault="003610C6">
      <w:pPr>
        <w:rPr>
          <w:lang w:val="en-US"/>
        </w:rPr>
      </w:pPr>
      <w:r>
        <w:rPr>
          <w:lang w:val="en-US"/>
        </w:rPr>
        <w:t xml:space="preserve">At </w:t>
      </w:r>
      <w:r w:rsidRPr="00B43650">
        <w:rPr>
          <w:lang w:val="en-US"/>
        </w:rPr>
        <w:t>22</w:t>
      </w:r>
      <w:r>
        <w:rPr>
          <w:lang w:val="en-US"/>
        </w:rPr>
        <w:t>m</w:t>
      </w:r>
      <w:r w:rsidRPr="00B43650">
        <w:rPr>
          <w:lang w:val="en-US"/>
        </w:rPr>
        <w:t>:38</w:t>
      </w:r>
      <w:r>
        <w:rPr>
          <w:lang w:val="en-US"/>
        </w:rPr>
        <w:t>s,</w:t>
      </w:r>
      <w:r w:rsidRPr="00B43650">
        <w:rPr>
          <w:lang w:val="en-US"/>
        </w:rPr>
        <w:t xml:space="preserve"> </w:t>
      </w:r>
      <w:r>
        <w:rPr>
          <w:lang w:val="en-US"/>
        </w:rPr>
        <w:t>the shutters re-opened to reveal too many pellets had been fed (</w:t>
      </w:r>
      <w:r>
        <w:rPr>
          <w:lang w:val="en-US"/>
        </w:rPr>
        <w:fldChar w:fldCharType="begin"/>
      </w:r>
      <w:r>
        <w:rPr>
          <w:lang w:val="en-US"/>
        </w:rPr>
        <w:instrText xml:space="preserve"> REF _Ref451031668 \h </w:instrText>
      </w:r>
      <w:r>
        <w:rPr>
          <w:lang w:val="en-US"/>
        </w:rPr>
      </w:r>
      <w:r>
        <w:rPr>
          <w:lang w:val="en-US"/>
        </w:rPr>
        <w:fldChar w:fldCharType="separate"/>
      </w:r>
      <w:r w:rsidR="00820EB1">
        <w:t xml:space="preserve">Figure </w:t>
      </w:r>
      <w:r w:rsidR="00820EB1">
        <w:rPr>
          <w:noProof/>
        </w:rPr>
        <w:t>36</w:t>
      </w:r>
      <w:r>
        <w:rPr>
          <w:lang w:val="en-US"/>
        </w:rPr>
        <w:fldChar w:fldCharType="end"/>
      </w:r>
      <w:r>
        <w:rPr>
          <w:lang w:val="en-US"/>
        </w:rPr>
        <w:t>a)  – so much so that that they had flowed over the weir and even out of the crucible</w:t>
      </w:r>
      <w:r w:rsidR="00747D71">
        <w:rPr>
          <w:lang w:val="en-US"/>
        </w:rPr>
        <w:t xml:space="preserve"> </w:t>
      </w:r>
      <w:r>
        <w:rPr>
          <w:lang w:val="en-US"/>
        </w:rPr>
        <w:t>into the surrounding insulation. Also, one pellets had partially blocked the outlet spout. Then, as the pellets melted down, it became clear that the weir had broken (</w:t>
      </w:r>
      <w:r>
        <w:rPr>
          <w:lang w:val="en-US"/>
        </w:rPr>
        <w:fldChar w:fldCharType="begin"/>
      </w:r>
      <w:r>
        <w:rPr>
          <w:lang w:val="en-US"/>
        </w:rPr>
        <w:instrText xml:space="preserve"> REF _Ref451031668 \h </w:instrText>
      </w:r>
      <w:r>
        <w:rPr>
          <w:lang w:val="en-US"/>
        </w:rPr>
      </w:r>
      <w:r>
        <w:rPr>
          <w:lang w:val="en-US"/>
        </w:rPr>
        <w:fldChar w:fldCharType="separate"/>
      </w:r>
      <w:r w:rsidR="00820EB1">
        <w:t xml:space="preserve">Figure </w:t>
      </w:r>
      <w:r w:rsidR="00820EB1">
        <w:rPr>
          <w:noProof/>
        </w:rPr>
        <w:t>36</w:t>
      </w:r>
      <w:r>
        <w:rPr>
          <w:lang w:val="en-US"/>
        </w:rPr>
        <w:fldChar w:fldCharType="end"/>
      </w:r>
      <w:r>
        <w:rPr>
          <w:lang w:val="en-US"/>
        </w:rPr>
        <w:t xml:space="preserve">b) </w:t>
      </w:r>
      <w:r w:rsidR="00747D71">
        <w:rPr>
          <w:lang w:val="en-US"/>
        </w:rPr>
        <w:t>so that</w:t>
      </w:r>
      <w:r>
        <w:rPr>
          <w:lang w:val="en-US"/>
        </w:rPr>
        <w:t xml:space="preserve"> it completely sank into melt. To avoid risk of further damage to the crucible, the shutters were partially closed to 80% at 25m:10s to reduce the beam intensity. The shutters were held in this setting until it was clear that the crucible was still intact, so then the shutters were re-opened to 90% at </w:t>
      </w:r>
      <w:r w:rsidRPr="00420F56">
        <w:rPr>
          <w:lang w:val="en-US"/>
        </w:rPr>
        <w:t>27</w:t>
      </w:r>
      <w:r>
        <w:rPr>
          <w:lang w:val="en-US"/>
        </w:rPr>
        <w:t>m</w:t>
      </w:r>
      <w:r w:rsidRPr="00420F56">
        <w:rPr>
          <w:lang w:val="en-US"/>
        </w:rPr>
        <w:t>:47</w:t>
      </w:r>
      <w:r>
        <w:rPr>
          <w:lang w:val="en-US"/>
        </w:rPr>
        <w:t>s (</w:t>
      </w:r>
      <w:r>
        <w:rPr>
          <w:lang w:val="en-US"/>
        </w:rPr>
        <w:fldChar w:fldCharType="begin"/>
      </w:r>
      <w:r>
        <w:rPr>
          <w:lang w:val="en-US"/>
        </w:rPr>
        <w:instrText xml:space="preserve"> REF _Ref451031668 \h </w:instrText>
      </w:r>
      <w:r>
        <w:rPr>
          <w:lang w:val="en-US"/>
        </w:rPr>
      </w:r>
      <w:r>
        <w:rPr>
          <w:lang w:val="en-US"/>
        </w:rPr>
        <w:fldChar w:fldCharType="separate"/>
      </w:r>
      <w:r w:rsidR="00820EB1">
        <w:t xml:space="preserve">Figure </w:t>
      </w:r>
      <w:r w:rsidR="00820EB1">
        <w:rPr>
          <w:noProof/>
        </w:rPr>
        <w:t>36</w:t>
      </w:r>
      <w:r>
        <w:rPr>
          <w:lang w:val="en-US"/>
        </w:rPr>
        <w:fldChar w:fldCharType="end"/>
      </w:r>
      <w:r>
        <w:rPr>
          <w:lang w:val="en-US"/>
        </w:rPr>
        <w:t xml:space="preserve">c). The melt continued to clarify and then at </w:t>
      </w:r>
      <w:r w:rsidRPr="00420F56">
        <w:rPr>
          <w:lang w:val="en-US"/>
        </w:rPr>
        <w:t>28</w:t>
      </w:r>
      <w:r>
        <w:rPr>
          <w:lang w:val="en-US"/>
        </w:rPr>
        <w:t>m</w:t>
      </w:r>
      <w:r w:rsidRPr="00420F56">
        <w:rPr>
          <w:lang w:val="en-US"/>
        </w:rPr>
        <w:t>:29</w:t>
      </w:r>
      <w:r>
        <w:rPr>
          <w:lang w:val="en-US"/>
        </w:rPr>
        <w:t>s, for the first time, the melt appeared to start flowing down the outlet spout (</w:t>
      </w:r>
      <w:r>
        <w:rPr>
          <w:lang w:val="en-US"/>
        </w:rPr>
        <w:fldChar w:fldCharType="begin"/>
      </w:r>
      <w:r>
        <w:rPr>
          <w:lang w:val="en-US"/>
        </w:rPr>
        <w:instrText xml:space="preserve"> REF _Ref451031668 \h </w:instrText>
      </w:r>
      <w:r>
        <w:rPr>
          <w:lang w:val="en-US"/>
        </w:rPr>
      </w:r>
      <w:r>
        <w:rPr>
          <w:lang w:val="en-US"/>
        </w:rPr>
        <w:fldChar w:fldCharType="separate"/>
      </w:r>
      <w:r w:rsidR="00820EB1">
        <w:t xml:space="preserve">Figure </w:t>
      </w:r>
      <w:r w:rsidR="00820EB1">
        <w:rPr>
          <w:noProof/>
        </w:rPr>
        <w:t>36</w:t>
      </w:r>
      <w:r>
        <w:rPr>
          <w:lang w:val="en-US"/>
        </w:rPr>
        <w:fldChar w:fldCharType="end"/>
      </w:r>
      <w:r>
        <w:rPr>
          <w:lang w:val="en-US"/>
        </w:rPr>
        <w:t>d). Even some of the pellets outside the crucible, in the surrounding insulation had melted (</w:t>
      </w:r>
      <w:r>
        <w:rPr>
          <w:lang w:val="en-US"/>
        </w:rPr>
        <w:fldChar w:fldCharType="begin"/>
      </w:r>
      <w:r>
        <w:rPr>
          <w:lang w:val="en-US"/>
        </w:rPr>
        <w:instrText xml:space="preserve"> REF _Ref451031668 \h </w:instrText>
      </w:r>
      <w:r>
        <w:rPr>
          <w:lang w:val="en-US"/>
        </w:rPr>
      </w:r>
      <w:r>
        <w:rPr>
          <w:lang w:val="en-US"/>
        </w:rPr>
        <w:fldChar w:fldCharType="separate"/>
      </w:r>
      <w:r w:rsidR="00820EB1">
        <w:t xml:space="preserve">Figure </w:t>
      </w:r>
      <w:r w:rsidR="00820EB1">
        <w:rPr>
          <w:noProof/>
        </w:rPr>
        <w:t>36</w:t>
      </w:r>
      <w:r>
        <w:rPr>
          <w:lang w:val="en-US"/>
        </w:rPr>
        <w:fldChar w:fldCharType="end"/>
      </w:r>
      <w:r>
        <w:rPr>
          <w:lang w:val="en-US"/>
        </w:rPr>
        <w:t xml:space="preserve">). </w:t>
      </w:r>
    </w:p>
    <w:p w14:paraId="3CD15A00" w14:textId="77777777" w:rsidR="003610C6" w:rsidRDefault="003610C6" w:rsidP="003610C6">
      <w:pPr>
        <w:pStyle w:val="Title"/>
      </w:pPr>
      <w:bookmarkStart w:id="93" w:name="_Ref439071039"/>
      <w:r>
        <w:drawing>
          <wp:inline distT="0" distB="0" distL="0" distR="0" wp14:anchorId="27CCC0C7" wp14:editId="750C47DD">
            <wp:extent cx="5519057" cy="1123612"/>
            <wp:effectExtent l="0" t="0" r="5715" b="63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48" t="46178" r="3138" b="19600"/>
                    <a:stretch/>
                  </pic:blipFill>
                  <pic:spPr bwMode="auto">
                    <a:xfrm>
                      <a:off x="0" y="0"/>
                      <a:ext cx="5576448" cy="1135296"/>
                    </a:xfrm>
                    <a:prstGeom prst="rect">
                      <a:avLst/>
                    </a:prstGeom>
                    <a:ln>
                      <a:noFill/>
                    </a:ln>
                    <a:extLst>
                      <a:ext uri="{53640926-AAD7-44D8-BBD7-CCE9431645EC}">
                        <a14:shadowObscured xmlns:a14="http://schemas.microsoft.com/office/drawing/2010/main"/>
                      </a:ext>
                    </a:extLst>
                  </pic:spPr>
                </pic:pic>
              </a:graphicData>
            </a:graphic>
          </wp:inline>
        </w:drawing>
      </w:r>
    </w:p>
    <w:p w14:paraId="4676737D" w14:textId="77777777" w:rsidR="003610C6" w:rsidRDefault="003610C6" w:rsidP="003610C6">
      <w:pPr>
        <w:pStyle w:val="Caption"/>
      </w:pPr>
      <w:bookmarkStart w:id="94" w:name="_Ref451031668"/>
      <w:r>
        <w:t xml:space="preserve">Figure </w:t>
      </w:r>
      <w:r w:rsidR="00A47317">
        <w:fldChar w:fldCharType="begin"/>
      </w:r>
      <w:r w:rsidR="00A47317">
        <w:instrText xml:space="preserve"> SEQ Figure \* ARABIC </w:instrText>
      </w:r>
      <w:r w:rsidR="00A47317">
        <w:fldChar w:fldCharType="separate"/>
      </w:r>
      <w:r w:rsidR="00820EB1">
        <w:rPr>
          <w:noProof/>
        </w:rPr>
        <w:t>36</w:t>
      </w:r>
      <w:r w:rsidR="00A47317">
        <w:rPr>
          <w:noProof/>
        </w:rPr>
        <w:fldChar w:fldCharType="end"/>
      </w:r>
      <w:bookmarkEnd w:id="94"/>
      <w:r w:rsidRPr="001E43CC">
        <w:t>: Successful progression of melt despite overfeed during experiment B1 at: a) 22m:38s; b) 24m:15s; c) 27m:47s; d) 28m:29s. Scale bar based on 5.52 cm outer diameter of the main crucible.</w:t>
      </w:r>
    </w:p>
    <w:bookmarkEnd w:id="93"/>
    <w:p w14:paraId="493952CF" w14:textId="77777777" w:rsidR="003610C6" w:rsidRDefault="003610C6">
      <w:pPr>
        <w:rPr>
          <w:lang w:val="en-US"/>
        </w:rPr>
      </w:pPr>
      <w:r>
        <w:rPr>
          <w:lang w:val="en-US"/>
        </w:rPr>
        <w:t>In order to maintain a sufficient level of melt in the crucible for the flow to be sustained, at 28m:29s, the shutters were closed for the next feed. However, when the shutters were reopened (</w:t>
      </w:r>
      <w:r>
        <w:rPr>
          <w:lang w:val="en-US"/>
        </w:rPr>
        <w:fldChar w:fldCharType="begin"/>
      </w:r>
      <w:r>
        <w:rPr>
          <w:lang w:val="en-US"/>
        </w:rPr>
        <w:instrText xml:space="preserve"> REF _Ref451031751 \h </w:instrText>
      </w:r>
      <w:r>
        <w:rPr>
          <w:lang w:val="en-US"/>
        </w:rPr>
      </w:r>
      <w:r>
        <w:rPr>
          <w:lang w:val="en-US"/>
        </w:rPr>
        <w:fldChar w:fldCharType="separate"/>
      </w:r>
      <w:r w:rsidR="00820EB1">
        <w:t xml:space="preserve">Figure </w:t>
      </w:r>
      <w:r w:rsidR="00820EB1">
        <w:rPr>
          <w:noProof/>
        </w:rPr>
        <w:t>37</w:t>
      </w:r>
      <w:r>
        <w:rPr>
          <w:lang w:val="en-US"/>
        </w:rPr>
        <w:fldChar w:fldCharType="end"/>
      </w:r>
      <w:r>
        <w:rPr>
          <w:lang w:val="en-US"/>
        </w:rPr>
        <w:t xml:space="preserve">a), it became apparent that too many pellets had been fed again. From </w:t>
      </w:r>
      <w:r w:rsidRPr="00967617">
        <w:t>33</w:t>
      </w:r>
      <w:r>
        <w:t>m</w:t>
      </w:r>
      <w:r w:rsidRPr="00967617">
        <w:t>:19</w:t>
      </w:r>
      <w:r>
        <w:t>-</w:t>
      </w:r>
      <w:r>
        <w:rPr>
          <w:lang w:val="en-US"/>
        </w:rPr>
        <w:t>34s (</w:t>
      </w:r>
      <w:r>
        <w:rPr>
          <w:lang w:val="en-US"/>
        </w:rPr>
        <w:fldChar w:fldCharType="begin"/>
      </w:r>
      <w:r>
        <w:rPr>
          <w:lang w:val="en-US"/>
        </w:rPr>
        <w:instrText xml:space="preserve"> REF _Ref451031751 \h </w:instrText>
      </w:r>
      <w:r>
        <w:rPr>
          <w:lang w:val="en-US"/>
        </w:rPr>
      </w:r>
      <w:r>
        <w:rPr>
          <w:lang w:val="en-US"/>
        </w:rPr>
        <w:fldChar w:fldCharType="separate"/>
      </w:r>
      <w:r w:rsidR="00820EB1">
        <w:t xml:space="preserve">Figure </w:t>
      </w:r>
      <w:r w:rsidR="00820EB1">
        <w:rPr>
          <w:noProof/>
        </w:rPr>
        <w:t>37</w:t>
      </w:r>
      <w:r>
        <w:rPr>
          <w:lang w:val="en-US"/>
        </w:rPr>
        <w:fldChar w:fldCharType="end"/>
      </w:r>
      <w:r>
        <w:rPr>
          <w:lang w:val="en-US"/>
        </w:rPr>
        <w:t xml:space="preserve"> b-d) the melt was flowing out over the side of the crucible into the surrounding insulation instead of the spout, because the spout was blocked with unmelted pellets, so the experiment was aborted.</w:t>
      </w:r>
    </w:p>
    <w:p w14:paraId="372AA538" w14:textId="77777777" w:rsidR="003610C6" w:rsidRDefault="003610C6" w:rsidP="003610C6">
      <w:pPr>
        <w:pStyle w:val="Title"/>
      </w:pPr>
      <w:bookmarkStart w:id="95" w:name="_Ref439076780"/>
      <w:r>
        <w:drawing>
          <wp:inline distT="0" distB="0" distL="0" distR="0" wp14:anchorId="732DE49D" wp14:editId="42A85AA3">
            <wp:extent cx="5512526" cy="1123820"/>
            <wp:effectExtent l="0" t="0" r="0" b="63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05" t="43580" r="5035" b="23186"/>
                    <a:stretch/>
                  </pic:blipFill>
                  <pic:spPr bwMode="auto">
                    <a:xfrm>
                      <a:off x="0" y="0"/>
                      <a:ext cx="5576013" cy="1136763"/>
                    </a:xfrm>
                    <a:prstGeom prst="rect">
                      <a:avLst/>
                    </a:prstGeom>
                    <a:ln>
                      <a:noFill/>
                    </a:ln>
                    <a:extLst>
                      <a:ext uri="{53640926-AAD7-44D8-BBD7-CCE9431645EC}">
                        <a14:shadowObscured xmlns:a14="http://schemas.microsoft.com/office/drawing/2010/main"/>
                      </a:ext>
                    </a:extLst>
                  </pic:spPr>
                </pic:pic>
              </a:graphicData>
            </a:graphic>
          </wp:inline>
        </w:drawing>
      </w:r>
    </w:p>
    <w:p w14:paraId="7A111CE6" w14:textId="77777777" w:rsidR="003610C6" w:rsidRDefault="003610C6" w:rsidP="003610C6">
      <w:pPr>
        <w:pStyle w:val="Caption"/>
      </w:pPr>
      <w:bookmarkStart w:id="96" w:name="_Ref451031751"/>
      <w:r>
        <w:t xml:space="preserve">Figure </w:t>
      </w:r>
      <w:r w:rsidR="00A47317">
        <w:fldChar w:fldCharType="begin"/>
      </w:r>
      <w:r w:rsidR="00A47317">
        <w:instrText xml:space="preserve"> SEQ Figure \* ARABIC </w:instrText>
      </w:r>
      <w:r w:rsidR="00A47317">
        <w:fldChar w:fldCharType="separate"/>
      </w:r>
      <w:r w:rsidR="00820EB1">
        <w:rPr>
          <w:noProof/>
        </w:rPr>
        <w:t>37</w:t>
      </w:r>
      <w:r w:rsidR="00A47317">
        <w:rPr>
          <w:noProof/>
        </w:rPr>
        <w:fldChar w:fldCharType="end"/>
      </w:r>
      <w:bookmarkEnd w:id="96"/>
      <w:r w:rsidRPr="004D1B87">
        <w:t>: Overfeed in experiment B1 at a) 32m:13s, resulting in overflow of the melt at: b) 33m:19s; c) 34m:04s; d) 35m:34s. Scale bar based on 5.52 cm outer diameter of the main crucible.</w:t>
      </w:r>
    </w:p>
    <w:bookmarkEnd w:id="95"/>
    <w:p w14:paraId="7D8E8F4C" w14:textId="77777777" w:rsidR="003610C6" w:rsidRPr="00FA0432" w:rsidRDefault="003610C6">
      <w:pPr>
        <w:rPr>
          <w:lang w:val="en-US"/>
        </w:rPr>
      </w:pPr>
      <w:r>
        <w:t>Observation of the crucible after cooling (</w:t>
      </w:r>
      <w:r>
        <w:fldChar w:fldCharType="begin"/>
      </w:r>
      <w:r>
        <w:instrText xml:space="preserve"> REF _Ref440622722 \h </w:instrText>
      </w:r>
      <w:r>
        <w:fldChar w:fldCharType="separate"/>
      </w:r>
      <w:r w:rsidR="00820EB1">
        <w:t xml:space="preserve">Figure </w:t>
      </w:r>
      <w:r w:rsidR="00820EB1">
        <w:rPr>
          <w:noProof/>
        </w:rPr>
        <w:t>38</w:t>
      </w:r>
      <w:r>
        <w:fldChar w:fldCharType="end"/>
      </w:r>
      <w:r>
        <w:t xml:space="preserve">) showed that glass melt flowed 17 mm down the spout which corresponded to 45 mm from the centre of the crucible. </w:t>
      </w:r>
      <w:r>
        <w:rPr>
          <w:lang w:val="en-US"/>
        </w:rPr>
        <w:t xml:space="preserve">It was concluded that, the failure of the initial experiment B1 was mainly due to overfeeding. </w:t>
      </w:r>
    </w:p>
    <w:p w14:paraId="611C5E9A" w14:textId="77777777" w:rsidR="003610C6" w:rsidRDefault="003610C6" w:rsidP="003610C6">
      <w:pPr>
        <w:pStyle w:val="Title"/>
      </w:pPr>
      <w:r>
        <w:drawing>
          <wp:inline distT="0" distB="0" distL="0" distR="0" wp14:anchorId="4FAA05F1" wp14:editId="48B2C983">
            <wp:extent cx="3153410" cy="2057400"/>
            <wp:effectExtent l="0" t="0" r="889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8576" t="21082" r="26385" b="15052"/>
                    <a:stretch/>
                  </pic:blipFill>
                  <pic:spPr bwMode="auto">
                    <a:xfrm>
                      <a:off x="0" y="0"/>
                      <a:ext cx="3154588" cy="2058169"/>
                    </a:xfrm>
                    <a:prstGeom prst="rect">
                      <a:avLst/>
                    </a:prstGeom>
                    <a:ln>
                      <a:noFill/>
                    </a:ln>
                    <a:extLst>
                      <a:ext uri="{53640926-AAD7-44D8-BBD7-CCE9431645EC}">
                        <a14:shadowObscured xmlns:a14="http://schemas.microsoft.com/office/drawing/2010/main"/>
                      </a:ext>
                    </a:extLst>
                  </pic:spPr>
                </pic:pic>
              </a:graphicData>
            </a:graphic>
          </wp:inline>
        </w:drawing>
      </w:r>
    </w:p>
    <w:p w14:paraId="18662DDD" w14:textId="77777777" w:rsidR="003610C6" w:rsidRDefault="003610C6">
      <w:pPr>
        <w:pStyle w:val="Caption"/>
        <w:rPr>
          <w:lang w:val="en-US"/>
        </w:rPr>
      </w:pPr>
      <w:bookmarkStart w:id="97" w:name="_Ref440622722"/>
      <w:r>
        <w:t xml:space="preserve">Figure </w:t>
      </w:r>
      <w:r w:rsidR="00A47317">
        <w:fldChar w:fldCharType="begin"/>
      </w:r>
      <w:r w:rsidR="00A47317">
        <w:instrText xml:space="preserve"> SEQ Figure \* ARABIC </w:instrText>
      </w:r>
      <w:r w:rsidR="00A47317">
        <w:fldChar w:fldCharType="separate"/>
      </w:r>
      <w:r w:rsidR="00820EB1">
        <w:rPr>
          <w:noProof/>
        </w:rPr>
        <w:t>38</w:t>
      </w:r>
      <w:r w:rsidR="00A47317">
        <w:rPr>
          <w:noProof/>
        </w:rPr>
        <w:fldChar w:fldCharType="end"/>
      </w:r>
      <w:bookmarkEnd w:id="97"/>
      <w:r>
        <w:t>: Photograph of the glass containing modified crucible after experiment B1.</w:t>
      </w:r>
    </w:p>
    <w:p w14:paraId="22FA2AB0" w14:textId="77777777" w:rsidR="003610C6" w:rsidRDefault="003610C6">
      <w:pPr>
        <w:rPr>
          <w:lang w:val="en-US"/>
        </w:rPr>
      </w:pPr>
      <w:r>
        <w:rPr>
          <w:lang w:val="en-US"/>
        </w:rPr>
        <w:t xml:space="preserve">Therefore, in the following experiments B2-7, it was decided that the feed rate should be limited to prevent unmelted batch blocking the outlet spout. Also, the crucibles were pre-loaded with pelletised rather than powdered SLS batch. Furthermore, since the previous experiment (B1) proved that higher been intensities than initially envisaged could be tolerated, experiment B2 started more aggressively, with 3 lamps on at a combined electrical power supply of 32.6 kW and gradually opening the shutters up to 90% to give a gross radiative power supply of 2.61 kW by 06m:09s. As shown in </w:t>
      </w:r>
      <w:r>
        <w:rPr>
          <w:lang w:val="en-US"/>
        </w:rPr>
        <w:fldChar w:fldCharType="begin"/>
      </w:r>
      <w:r>
        <w:rPr>
          <w:lang w:val="en-US"/>
        </w:rPr>
        <w:instrText xml:space="preserve"> REF _Ref451031844 \h </w:instrText>
      </w:r>
      <w:r>
        <w:rPr>
          <w:lang w:val="en-US"/>
        </w:rPr>
      </w:r>
      <w:r>
        <w:rPr>
          <w:lang w:val="en-US"/>
        </w:rPr>
        <w:fldChar w:fldCharType="separate"/>
      </w:r>
      <w:r w:rsidR="00820EB1">
        <w:t xml:space="preserve">Figure </w:t>
      </w:r>
      <w:r w:rsidR="00820EB1">
        <w:rPr>
          <w:noProof/>
        </w:rPr>
        <w:t>39</w:t>
      </w:r>
      <w:r>
        <w:rPr>
          <w:lang w:val="en-US"/>
        </w:rPr>
        <w:fldChar w:fldCharType="end"/>
      </w:r>
      <w:r>
        <w:rPr>
          <w:lang w:val="en-US"/>
        </w:rPr>
        <w:t xml:space="preserve">, as the pre-loaded pellets melted down, a part of the crucible remained empty, exposing the base of the crucible to direct irradiation from the beam. It was feared that this could cause the crucible to fracture due to thermal shock but the crucible remained intact. </w:t>
      </w:r>
    </w:p>
    <w:p w14:paraId="72446CA3" w14:textId="77777777" w:rsidR="003610C6" w:rsidRDefault="003610C6" w:rsidP="003610C6">
      <w:pPr>
        <w:pStyle w:val="Title"/>
      </w:pPr>
      <w:bookmarkStart w:id="98" w:name="_Ref439153770"/>
      <w:r>
        <w:drawing>
          <wp:inline distT="0" distB="0" distL="0" distR="0" wp14:anchorId="0DE99410" wp14:editId="54E1EBC0">
            <wp:extent cx="4375876" cy="1159730"/>
            <wp:effectExtent l="0" t="0" r="5715" b="254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6601" t="44386" r="2655" b="12841"/>
                    <a:stretch/>
                  </pic:blipFill>
                  <pic:spPr bwMode="auto">
                    <a:xfrm>
                      <a:off x="0" y="0"/>
                      <a:ext cx="4427677" cy="1173459"/>
                    </a:xfrm>
                    <a:prstGeom prst="rect">
                      <a:avLst/>
                    </a:prstGeom>
                    <a:ln>
                      <a:noFill/>
                    </a:ln>
                    <a:extLst>
                      <a:ext uri="{53640926-AAD7-44D8-BBD7-CCE9431645EC}">
                        <a14:shadowObscured xmlns:a14="http://schemas.microsoft.com/office/drawing/2010/main"/>
                      </a:ext>
                    </a:extLst>
                  </pic:spPr>
                </pic:pic>
              </a:graphicData>
            </a:graphic>
          </wp:inline>
        </w:drawing>
      </w:r>
    </w:p>
    <w:p w14:paraId="4608AD17" w14:textId="77777777" w:rsidR="003610C6" w:rsidRDefault="003610C6" w:rsidP="003610C6">
      <w:pPr>
        <w:pStyle w:val="Caption"/>
      </w:pPr>
      <w:bookmarkStart w:id="99" w:name="_Ref451031844"/>
      <w:r>
        <w:t xml:space="preserve">Figure </w:t>
      </w:r>
      <w:r w:rsidR="00A47317">
        <w:fldChar w:fldCharType="begin"/>
      </w:r>
      <w:r w:rsidR="00A47317">
        <w:instrText xml:space="preserve"> SEQ Figure \* ARABIC </w:instrText>
      </w:r>
      <w:r w:rsidR="00A47317">
        <w:fldChar w:fldCharType="separate"/>
      </w:r>
      <w:r w:rsidR="00820EB1">
        <w:rPr>
          <w:noProof/>
        </w:rPr>
        <w:t>39</w:t>
      </w:r>
      <w:r w:rsidR="00A47317">
        <w:rPr>
          <w:noProof/>
        </w:rPr>
        <w:fldChar w:fldCharType="end"/>
      </w:r>
      <w:bookmarkEnd w:id="99"/>
      <w:r w:rsidRPr="009405E6">
        <w:t>: Melting of the initial pelletised batch during experiment B2 at a) 05m:09s; b) 06m:09s ; c) 07m:09s. Scale bar based on 5.58 cm outer diameter of the main crucible.</w:t>
      </w:r>
    </w:p>
    <w:bookmarkEnd w:id="98"/>
    <w:p w14:paraId="55E51934" w14:textId="77777777" w:rsidR="003610C6" w:rsidRDefault="003610C6">
      <w:r>
        <w:t>Once the initial charge had melted down, the shutters were closed for the next feed. This was followed by a series of feeds, each time closing the shutters to 40% to feed a few pellets and then re-opening up to 100%</w:t>
      </w:r>
      <w:r>
        <w:rPr>
          <w:lang w:val="en-US"/>
        </w:rPr>
        <w:t xml:space="preserve"> </w:t>
      </w:r>
      <w:r>
        <w:t>until the pellets had melted. After each feed, the melt gradually crept further down the spout. However, after further feeding, the melt began flowing increasingly over the side of the spout into the surrounding insulation, instead of down the spout (</w:t>
      </w:r>
      <w:r>
        <w:fldChar w:fldCharType="begin"/>
      </w:r>
      <w:r>
        <w:instrText xml:space="preserve"> REF _Ref440123500 \h </w:instrText>
      </w:r>
      <w:r>
        <w:fldChar w:fldCharType="separate"/>
      </w:r>
      <w:r w:rsidR="00820EB1">
        <w:t xml:space="preserve">Figure </w:t>
      </w:r>
      <w:r w:rsidR="00820EB1">
        <w:rPr>
          <w:noProof/>
        </w:rPr>
        <w:t>40</w:t>
      </w:r>
      <w:r>
        <w:fldChar w:fldCharType="end"/>
      </w:r>
      <w:r>
        <w:t>) so the shutters were closed to abort the experiment.</w:t>
      </w:r>
    </w:p>
    <w:p w14:paraId="5104D587" w14:textId="77777777" w:rsidR="003610C6" w:rsidRDefault="003610C6" w:rsidP="003610C6">
      <w:pPr>
        <w:pStyle w:val="Title"/>
      </w:pPr>
      <w:r>
        <w:drawing>
          <wp:inline distT="0" distB="0" distL="0" distR="0" wp14:anchorId="7A1DF897" wp14:editId="6AD6C2DF">
            <wp:extent cx="4949682" cy="1361440"/>
            <wp:effectExtent l="0" t="0" r="381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94" t="35873" r="6862" b="19736"/>
                    <a:stretch/>
                  </pic:blipFill>
                  <pic:spPr bwMode="auto">
                    <a:xfrm>
                      <a:off x="0" y="0"/>
                      <a:ext cx="5051821" cy="1389534"/>
                    </a:xfrm>
                    <a:prstGeom prst="rect">
                      <a:avLst/>
                    </a:prstGeom>
                    <a:ln>
                      <a:noFill/>
                    </a:ln>
                    <a:extLst>
                      <a:ext uri="{53640926-AAD7-44D8-BBD7-CCE9431645EC}">
                        <a14:shadowObscured xmlns:a14="http://schemas.microsoft.com/office/drawing/2010/main"/>
                      </a:ext>
                    </a:extLst>
                  </pic:spPr>
                </pic:pic>
              </a:graphicData>
            </a:graphic>
          </wp:inline>
        </w:drawing>
      </w:r>
    </w:p>
    <w:p w14:paraId="41807CA0" w14:textId="77777777" w:rsidR="003610C6" w:rsidRDefault="003610C6">
      <w:pPr>
        <w:pStyle w:val="Caption"/>
      </w:pPr>
      <w:bookmarkStart w:id="100" w:name="_Ref440123500"/>
      <w:r>
        <w:t xml:space="preserve">Figure </w:t>
      </w:r>
      <w:r w:rsidR="00A47317">
        <w:fldChar w:fldCharType="begin"/>
      </w:r>
      <w:r w:rsidR="00A47317">
        <w:instrText xml:space="preserve"> SEQ Figure \* ARABIC </w:instrText>
      </w:r>
      <w:r w:rsidR="00A47317">
        <w:fldChar w:fldCharType="separate"/>
      </w:r>
      <w:r w:rsidR="00820EB1">
        <w:rPr>
          <w:noProof/>
        </w:rPr>
        <w:t>40</w:t>
      </w:r>
      <w:r w:rsidR="00A47317">
        <w:rPr>
          <w:noProof/>
        </w:rPr>
        <w:fldChar w:fldCharType="end"/>
      </w:r>
      <w:bookmarkEnd w:id="100"/>
      <w:r>
        <w:t>:</w:t>
      </w:r>
      <w:r w:rsidRPr="00765E56">
        <w:t xml:space="preserve"> </w:t>
      </w:r>
      <w:r>
        <w:t xml:space="preserve">Progression of melt flow over the side of the spout into during experiment B2 at: a) </w:t>
      </w:r>
      <w:r w:rsidRPr="00765E56">
        <w:t>36</w:t>
      </w:r>
      <w:r>
        <w:t>m</w:t>
      </w:r>
      <w:r w:rsidRPr="00765E56">
        <w:t>:13</w:t>
      </w:r>
      <w:r>
        <w:t>s; b)</w:t>
      </w:r>
      <w:r w:rsidRPr="00765E56">
        <w:t xml:space="preserve"> 38</w:t>
      </w:r>
      <w:r>
        <w:t>m</w:t>
      </w:r>
      <w:r w:rsidRPr="00765E56">
        <w:t>:43</w:t>
      </w:r>
      <w:r>
        <w:t xml:space="preserve">s; c) </w:t>
      </w:r>
      <w:r w:rsidRPr="00765E56">
        <w:t>45</w:t>
      </w:r>
      <w:r>
        <w:t>m</w:t>
      </w:r>
      <w:r w:rsidRPr="00765E56">
        <w:t>:13</w:t>
      </w:r>
      <w:r>
        <w:t>s. Scale bar based on 5.58 cm outer diameter of the main crucible.</w:t>
      </w:r>
    </w:p>
    <w:p w14:paraId="7939E522" w14:textId="3D233FC2" w:rsidR="003610C6" w:rsidRPr="0055748B" w:rsidRDefault="003610C6" w:rsidP="0074206C">
      <w:r>
        <w:t>Observation of the glass containing crucible after this experiment B2 (</w:t>
      </w:r>
      <w:r>
        <w:fldChar w:fldCharType="begin"/>
      </w:r>
      <w:r>
        <w:instrText xml:space="preserve"> REF _Ref451031923 \h </w:instrText>
      </w:r>
      <w:r>
        <w:fldChar w:fldCharType="separate"/>
      </w:r>
      <w:r w:rsidR="00820EB1">
        <w:t xml:space="preserve">Figure </w:t>
      </w:r>
      <w:r w:rsidR="00820EB1">
        <w:rPr>
          <w:noProof/>
        </w:rPr>
        <w:t>41</w:t>
      </w:r>
      <w:r>
        <w:fldChar w:fldCharType="end"/>
      </w:r>
      <w:r>
        <w:t xml:space="preserve">) showed that despite the lack of any unmelted pellets blocking the spout, the initial flow down the spout had frozen and accumulated 40 mm along the spout which corresponded to 64 mm from the centre of the crucible. As shown in </w:t>
      </w:r>
      <w:r>
        <w:fldChar w:fldCharType="begin"/>
      </w:r>
      <w:r>
        <w:instrText xml:space="preserve"> REF _Ref451031923 \h </w:instrText>
      </w:r>
      <w:r>
        <w:fldChar w:fldCharType="separate"/>
      </w:r>
      <w:r w:rsidR="00820EB1">
        <w:t xml:space="preserve">Figure </w:t>
      </w:r>
      <w:r w:rsidR="00820EB1">
        <w:rPr>
          <w:noProof/>
        </w:rPr>
        <w:t>41</w:t>
      </w:r>
      <w:r>
        <w:fldChar w:fldCharType="end"/>
      </w:r>
      <w:r>
        <w:t>, this forced the melt behind the accumulation, at around 28 mm along the spout</w:t>
      </w:r>
      <w:r w:rsidR="0074206C">
        <w:t xml:space="preserve"> (corresponding</w:t>
      </w:r>
      <w:r>
        <w:t xml:space="preserve"> to 52 mm from the centre of the crucible</w:t>
      </w:r>
      <w:r w:rsidR="0074206C">
        <w:t>)</w:t>
      </w:r>
      <w:r>
        <w:t xml:space="preserve"> to flow over the sides of the spout. </w:t>
      </w:r>
    </w:p>
    <w:p w14:paraId="3D182F7B" w14:textId="77777777" w:rsidR="003610C6" w:rsidRDefault="003610C6" w:rsidP="003610C6">
      <w:pPr>
        <w:pStyle w:val="Title"/>
      </w:pPr>
      <w:bookmarkStart w:id="101" w:name="_Ref439427028"/>
      <w:r>
        <w:drawing>
          <wp:inline distT="0" distB="0" distL="0" distR="0" wp14:anchorId="4BFED554" wp14:editId="0A4ADC26">
            <wp:extent cx="2912473" cy="2128892"/>
            <wp:effectExtent l="0" t="0" r="2540" b="508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101" t="21281" r="23076" b="12648"/>
                    <a:stretch/>
                  </pic:blipFill>
                  <pic:spPr bwMode="auto">
                    <a:xfrm>
                      <a:off x="0" y="0"/>
                      <a:ext cx="2912957" cy="2129246"/>
                    </a:xfrm>
                    <a:prstGeom prst="rect">
                      <a:avLst/>
                    </a:prstGeom>
                    <a:ln>
                      <a:noFill/>
                    </a:ln>
                    <a:extLst>
                      <a:ext uri="{53640926-AAD7-44D8-BBD7-CCE9431645EC}">
                        <a14:shadowObscured xmlns:a14="http://schemas.microsoft.com/office/drawing/2010/main"/>
                      </a:ext>
                    </a:extLst>
                  </pic:spPr>
                </pic:pic>
              </a:graphicData>
            </a:graphic>
          </wp:inline>
        </w:drawing>
      </w:r>
    </w:p>
    <w:p w14:paraId="63E24B56" w14:textId="77777777" w:rsidR="003610C6" w:rsidRDefault="003610C6" w:rsidP="003610C6">
      <w:pPr>
        <w:pStyle w:val="Caption"/>
      </w:pPr>
      <w:bookmarkStart w:id="102" w:name="_Ref451031923"/>
      <w:r>
        <w:t xml:space="preserve">Figure </w:t>
      </w:r>
      <w:r w:rsidR="00A47317">
        <w:fldChar w:fldCharType="begin"/>
      </w:r>
      <w:r w:rsidR="00A47317">
        <w:instrText xml:space="preserve"> SEQ Figure \* ARABIC </w:instrText>
      </w:r>
      <w:r w:rsidR="00A47317">
        <w:fldChar w:fldCharType="separate"/>
      </w:r>
      <w:r w:rsidR="00820EB1">
        <w:rPr>
          <w:noProof/>
        </w:rPr>
        <w:t>41</w:t>
      </w:r>
      <w:r w:rsidR="00A47317">
        <w:rPr>
          <w:noProof/>
        </w:rPr>
        <w:fldChar w:fldCharType="end"/>
      </w:r>
      <w:bookmarkEnd w:id="102"/>
      <w:r w:rsidRPr="00212728">
        <w:t>: Photograph of the crucible after experiment B2 showing: a) the progress of the main glass flow freezing part way down the spout, and b) the following glass spilling over the sides of the spout.</w:t>
      </w:r>
    </w:p>
    <w:bookmarkEnd w:id="101"/>
    <w:p w14:paraId="7B711148" w14:textId="38EFEF15" w:rsidR="003610C6" w:rsidRPr="00D34C03" w:rsidRDefault="003610C6">
      <w:r>
        <w:t xml:space="preserve">So, in the following experiments (B3-6), the length of the spout was shortened in order to encourage the melt to </w:t>
      </w:r>
      <w:r w:rsidR="0074206C">
        <w:t>flow over</w:t>
      </w:r>
      <w:r>
        <w:t xml:space="preserve"> the end of the spout to enable continuity of the flow rather than freezing prematurely.  Subsequently, in experiment B3, the melt flow did reach the end of the spout (</w:t>
      </w:r>
      <w:r>
        <w:fldChar w:fldCharType="begin"/>
      </w:r>
      <w:r>
        <w:instrText xml:space="preserve"> REF _Ref441669878 \h </w:instrText>
      </w:r>
      <w:r>
        <w:fldChar w:fldCharType="separate"/>
      </w:r>
      <w:r w:rsidR="00820EB1">
        <w:t xml:space="preserve">Figure </w:t>
      </w:r>
      <w:r w:rsidR="00820EB1">
        <w:rPr>
          <w:noProof/>
        </w:rPr>
        <w:t>42</w:t>
      </w:r>
      <w:r>
        <w:fldChar w:fldCharType="end"/>
      </w:r>
      <w:r>
        <w:t xml:space="preserve">) but the viscosity of the melt at the end of the spout was too high for it to </w:t>
      </w:r>
      <w:r w:rsidR="0074206C">
        <w:t>flow over</w:t>
      </w:r>
      <w:r>
        <w:t xml:space="preserve"> the end so the maximum gross radiative beam power was increased to 3.43 kW but this resulted in fracture at the base of the crucible preventing further progress.</w:t>
      </w:r>
    </w:p>
    <w:p w14:paraId="3BB0FEB4" w14:textId="77777777" w:rsidR="003610C6" w:rsidRDefault="003610C6" w:rsidP="003610C6">
      <w:pPr>
        <w:pStyle w:val="Title"/>
      </w:pPr>
      <w:r>
        <w:drawing>
          <wp:inline distT="0" distB="0" distL="0" distR="0" wp14:anchorId="74EC4F1B" wp14:editId="28A3AC95">
            <wp:extent cx="5405526" cy="2077278"/>
            <wp:effectExtent l="0" t="0" r="508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70" t="20665" r="3565" b="15796"/>
                    <a:stretch/>
                  </pic:blipFill>
                  <pic:spPr bwMode="auto">
                    <a:xfrm>
                      <a:off x="0" y="0"/>
                      <a:ext cx="5418010" cy="2082075"/>
                    </a:xfrm>
                    <a:prstGeom prst="rect">
                      <a:avLst/>
                    </a:prstGeom>
                    <a:ln>
                      <a:noFill/>
                    </a:ln>
                    <a:extLst>
                      <a:ext uri="{53640926-AAD7-44D8-BBD7-CCE9431645EC}">
                        <a14:shadowObscured xmlns:a14="http://schemas.microsoft.com/office/drawing/2010/main"/>
                      </a:ext>
                    </a:extLst>
                  </pic:spPr>
                </pic:pic>
              </a:graphicData>
            </a:graphic>
          </wp:inline>
        </w:drawing>
      </w:r>
    </w:p>
    <w:p w14:paraId="1028097F" w14:textId="77777777" w:rsidR="003610C6" w:rsidRDefault="003610C6">
      <w:pPr>
        <w:pStyle w:val="Caption"/>
      </w:pPr>
      <w:bookmarkStart w:id="103" w:name="_Ref441669878"/>
      <w:r>
        <w:t xml:space="preserve">Figure </w:t>
      </w:r>
      <w:r w:rsidR="00A47317">
        <w:fldChar w:fldCharType="begin"/>
      </w:r>
      <w:r w:rsidR="00A47317">
        <w:instrText xml:space="preserve"> SEQ Figure \* ARABIC </w:instrText>
      </w:r>
      <w:r w:rsidR="00A47317">
        <w:fldChar w:fldCharType="separate"/>
      </w:r>
      <w:r w:rsidR="00820EB1">
        <w:rPr>
          <w:noProof/>
        </w:rPr>
        <w:t>42</w:t>
      </w:r>
      <w:r w:rsidR="00A47317">
        <w:rPr>
          <w:noProof/>
        </w:rPr>
        <w:fldChar w:fldCharType="end"/>
      </w:r>
      <w:bookmarkEnd w:id="103"/>
      <w:r>
        <w:t xml:space="preserve">: Photographs of the glass produced after experiment B3: a) immediately after the beam was switched off and b) after cooling. </w:t>
      </w:r>
    </w:p>
    <w:p w14:paraId="6B011943" w14:textId="67B3CA60" w:rsidR="003610C6" w:rsidRDefault="003610C6">
      <w:r>
        <w:t xml:space="preserve">It appeared that there was insufficient heat along the spout to sustain a fluid melt while the beam intensity was too high at the main section of the crucible. Therefore, for subsequent experiments (B4-6) the focus of the beam was moved 2 cm away from the centre of the main, circular part of the crucible, towards the spout. Furthermore, the gross radiative power was increased up to a maximum of 4.29 kW in order provide sufficient heat to the end of the spout. This resulted in yet further progress of the melt beyond the end of the spout but still the viscosity of the melt was too high to sustain </w:t>
      </w:r>
      <w:r w:rsidR="0074206C">
        <w:t xml:space="preserve">the </w:t>
      </w:r>
      <w:r>
        <w:t>flow and eventually the crucible fractured.</w:t>
      </w:r>
    </w:p>
    <w:p w14:paraId="24330E29" w14:textId="77777777" w:rsidR="003610C6" w:rsidRPr="00E121DC" w:rsidRDefault="003610C6">
      <w:r>
        <w:rPr>
          <w:lang w:val="en-US"/>
        </w:rPr>
        <w:t>Finally, it was concluded that it was not feasible to generate flow of molten glass out of the crucible with the beam alone because the beam intensity required would cause the crucible to fracture. So, in the following experiment (B5), an electrically powered tube furnace was positioned below the spout to provide additional heat to encourage the glass to flow all the way down the spout and out of the crucible. With this furnace in place, the melt progressed much further than previously. The melt flowed out of the spout and slowly proceeded down towards the furnace below (</w:t>
      </w:r>
      <w:r>
        <w:rPr>
          <w:lang w:val="en-US"/>
        </w:rPr>
        <w:fldChar w:fldCharType="begin"/>
      </w:r>
      <w:r>
        <w:rPr>
          <w:lang w:val="en-US"/>
        </w:rPr>
        <w:instrText xml:space="preserve"> REF _Ref440136884 \h </w:instrText>
      </w:r>
      <w:r>
        <w:rPr>
          <w:lang w:val="en-US"/>
        </w:rPr>
      </w:r>
      <w:r>
        <w:rPr>
          <w:lang w:val="en-US"/>
        </w:rPr>
        <w:fldChar w:fldCharType="separate"/>
      </w:r>
      <w:r w:rsidR="00820EB1">
        <w:t xml:space="preserve">Figure </w:t>
      </w:r>
      <w:r w:rsidR="00820EB1">
        <w:rPr>
          <w:noProof/>
        </w:rPr>
        <w:t>43</w:t>
      </w:r>
      <w:r>
        <w:rPr>
          <w:lang w:val="en-US"/>
        </w:rPr>
        <w:fldChar w:fldCharType="end"/>
      </w:r>
      <w:r>
        <w:rPr>
          <w:lang w:val="en-US"/>
        </w:rPr>
        <w:t xml:space="preserve">). However, over the overhanging glass was highly viscous, and stuck to the outer crucible, hindering further progress. The high viscosity was partly due to the high feed rate resulting in some in incomplete melting of the batch and bubbles being entrained in the flow and also because of the relatively low temperature outside the crucible. With the flow rate out of the crucible limited, the level of glass inside the crucible continued to rise as more batch was fed. Eventually the level of the melt rose above the weir causing it to collapse and in turn causing the base of the crucible to fail as it fell into it. </w:t>
      </w:r>
    </w:p>
    <w:p w14:paraId="55B3073F" w14:textId="77777777" w:rsidR="003610C6" w:rsidRDefault="003610C6" w:rsidP="003610C6">
      <w:pPr>
        <w:pStyle w:val="Title"/>
      </w:pPr>
      <w:r>
        <w:drawing>
          <wp:inline distT="0" distB="0" distL="0" distR="0" wp14:anchorId="2A2087A7" wp14:editId="394B6A0E">
            <wp:extent cx="2254469" cy="2588041"/>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3078" t="14105" r="20208" b="10937"/>
                    <a:stretch/>
                  </pic:blipFill>
                  <pic:spPr bwMode="auto">
                    <a:xfrm>
                      <a:off x="0" y="0"/>
                      <a:ext cx="2258761" cy="2592968"/>
                    </a:xfrm>
                    <a:prstGeom prst="rect">
                      <a:avLst/>
                    </a:prstGeom>
                    <a:ln>
                      <a:noFill/>
                    </a:ln>
                    <a:extLst>
                      <a:ext uri="{53640926-AAD7-44D8-BBD7-CCE9431645EC}">
                        <a14:shadowObscured xmlns:a14="http://schemas.microsoft.com/office/drawing/2010/main"/>
                      </a:ext>
                    </a:extLst>
                  </pic:spPr>
                </pic:pic>
              </a:graphicData>
            </a:graphic>
          </wp:inline>
        </w:drawing>
      </w:r>
    </w:p>
    <w:p w14:paraId="5029D93F" w14:textId="77777777" w:rsidR="003610C6" w:rsidRPr="00CF7DB2" w:rsidRDefault="003610C6">
      <w:pPr>
        <w:pStyle w:val="Caption"/>
      </w:pPr>
      <w:bookmarkStart w:id="104" w:name="_Ref440136884"/>
      <w:r>
        <w:t xml:space="preserve">Figure </w:t>
      </w:r>
      <w:r w:rsidR="00A47317">
        <w:fldChar w:fldCharType="begin"/>
      </w:r>
      <w:r w:rsidR="00A47317">
        <w:instrText xml:space="preserve"> SEQ Figure \* ARABIC </w:instrText>
      </w:r>
      <w:r w:rsidR="00A47317">
        <w:fldChar w:fldCharType="separate"/>
      </w:r>
      <w:r w:rsidR="00820EB1">
        <w:rPr>
          <w:noProof/>
        </w:rPr>
        <w:t>43</w:t>
      </w:r>
      <w:r w:rsidR="00A47317">
        <w:rPr>
          <w:noProof/>
        </w:rPr>
        <w:fldChar w:fldCharType="end"/>
      </w:r>
      <w:bookmarkEnd w:id="104"/>
      <w:r>
        <w:t>: Photograph after experiment B5 showing the overhanging glass with entrained bubbles and unmelted batch, stuck to the outer crucible before it could enter the furnace below. The height of the outer crucible is shown for scale.</w:t>
      </w:r>
    </w:p>
    <w:p w14:paraId="70802C29" w14:textId="0DD44220" w:rsidR="003610C6" w:rsidRPr="00FE5171" w:rsidRDefault="003610C6">
      <w:pPr>
        <w:rPr>
          <w:lang w:val="en-US"/>
        </w:rPr>
      </w:pPr>
      <w:r>
        <w:rPr>
          <w:lang w:val="en-US"/>
        </w:rPr>
        <w:t>For experiment B6 a heat shield was constructed, extending from the open end of the electrical furnace up to and surrounding the end of the spout (</w:t>
      </w:r>
      <w:r>
        <w:rPr>
          <w:lang w:val="en-US"/>
        </w:rPr>
        <w:fldChar w:fldCharType="begin"/>
      </w:r>
      <w:r>
        <w:rPr>
          <w:lang w:val="en-US"/>
        </w:rPr>
        <w:instrText xml:space="preserve"> REF _Ref440188127 \h </w:instrText>
      </w:r>
      <w:r>
        <w:rPr>
          <w:lang w:val="en-US"/>
        </w:rPr>
      </w:r>
      <w:r>
        <w:rPr>
          <w:lang w:val="en-US"/>
        </w:rPr>
        <w:fldChar w:fldCharType="separate"/>
      </w:r>
      <w:r w:rsidR="00820EB1">
        <w:t xml:space="preserve">Figure </w:t>
      </w:r>
      <w:r w:rsidR="00820EB1">
        <w:rPr>
          <w:noProof/>
        </w:rPr>
        <w:t>46</w:t>
      </w:r>
      <w:r>
        <w:rPr>
          <w:lang w:val="en-US"/>
        </w:rPr>
        <w:fldChar w:fldCharType="end"/>
      </w:r>
      <w:r>
        <w:rPr>
          <w:lang w:val="en-US"/>
        </w:rPr>
        <w:t xml:space="preserve">) in an effort to sustain a higher temperature of the melt flowing out of the crucible. The temperature and power profiles for this experiment are shown in </w:t>
      </w:r>
      <w:r>
        <w:rPr>
          <w:lang w:val="en-US"/>
        </w:rPr>
        <w:fldChar w:fldCharType="begin"/>
      </w:r>
      <w:r>
        <w:rPr>
          <w:lang w:val="en-US"/>
        </w:rPr>
        <w:instrText xml:space="preserve"> REF _Ref439523353 \h </w:instrText>
      </w:r>
      <w:r>
        <w:rPr>
          <w:lang w:val="en-US"/>
        </w:rPr>
      </w:r>
      <w:r>
        <w:rPr>
          <w:lang w:val="en-US"/>
        </w:rPr>
        <w:fldChar w:fldCharType="separate"/>
      </w:r>
      <w:r w:rsidR="00820EB1">
        <w:t xml:space="preserve">Figure </w:t>
      </w:r>
      <w:r w:rsidR="00820EB1">
        <w:rPr>
          <w:noProof/>
        </w:rPr>
        <w:t>44</w:t>
      </w:r>
      <w:r>
        <w:rPr>
          <w:lang w:val="en-US"/>
        </w:rPr>
        <w:fldChar w:fldCharType="end"/>
      </w:r>
      <w:r>
        <w:rPr>
          <w:lang w:val="en-US"/>
        </w:rPr>
        <w:t>. Due to the heat from the furnace below, the crucible temperature measured 235</w:t>
      </w:r>
      <w:r>
        <w:rPr>
          <w:vertAlign w:val="superscript"/>
          <w:lang w:val="en-US"/>
        </w:rPr>
        <w:t>o</w:t>
      </w:r>
      <w:r>
        <w:rPr>
          <w:lang w:val="en-US"/>
        </w:rPr>
        <w:t xml:space="preserve">C before the shutters were opened for the start of this experiment. Extra care was taken reduce the risk of failure due to thermal shock by allowing 19m:07s for the initial heat up to a gross radiative power supply of 2.1 kW. Then a series of small batch feeds were conducted, gradually increasing the power in consecutive feeds </w:t>
      </w:r>
      <w:r w:rsidR="0074206C">
        <w:rPr>
          <w:lang w:val="en-US"/>
        </w:rPr>
        <w:t xml:space="preserve">up to </w:t>
      </w:r>
      <w:r>
        <w:rPr>
          <w:lang w:val="en-US"/>
        </w:rPr>
        <w:t>a maximum gross radiative power of 2.62 kW.</w:t>
      </w:r>
    </w:p>
    <w:p w14:paraId="002B1EC7" w14:textId="77777777" w:rsidR="003610C6" w:rsidRDefault="003610C6" w:rsidP="003610C6">
      <w:pPr>
        <w:pStyle w:val="Title"/>
      </w:pPr>
      <w:r>
        <w:drawing>
          <wp:inline distT="0" distB="0" distL="0" distR="0" wp14:anchorId="6504A6AB" wp14:editId="7E7AD093">
            <wp:extent cx="5199360" cy="2448560"/>
            <wp:effectExtent l="0" t="0" r="1905"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7920" cy="2452591"/>
                    </a:xfrm>
                    <a:prstGeom prst="rect">
                      <a:avLst/>
                    </a:prstGeom>
                    <a:noFill/>
                  </pic:spPr>
                </pic:pic>
              </a:graphicData>
            </a:graphic>
          </wp:inline>
        </w:drawing>
      </w:r>
    </w:p>
    <w:p w14:paraId="114871C4" w14:textId="77777777" w:rsidR="003610C6" w:rsidRDefault="003610C6">
      <w:pPr>
        <w:pStyle w:val="Caption"/>
      </w:pPr>
      <w:bookmarkStart w:id="105" w:name="_Ref439523353"/>
      <w:r>
        <w:t xml:space="preserve">Figure </w:t>
      </w:r>
      <w:r w:rsidR="00A47317">
        <w:fldChar w:fldCharType="begin"/>
      </w:r>
      <w:r w:rsidR="00A47317">
        <w:instrText xml:space="preserve"> SEQ Figure \* ARABIC </w:instrText>
      </w:r>
      <w:r w:rsidR="00A47317">
        <w:fldChar w:fldCharType="separate"/>
      </w:r>
      <w:r w:rsidR="00820EB1">
        <w:rPr>
          <w:noProof/>
        </w:rPr>
        <w:t>44</w:t>
      </w:r>
      <w:r w:rsidR="00A47317">
        <w:rPr>
          <w:noProof/>
        </w:rPr>
        <w:fldChar w:fldCharType="end"/>
      </w:r>
      <w:bookmarkEnd w:id="105"/>
      <w:r>
        <w:t xml:space="preserve">: </w:t>
      </w:r>
      <w:r w:rsidRPr="004D3272">
        <w:t xml:space="preserve">Temperature and power supply profiles for successful </w:t>
      </w:r>
      <w:r>
        <w:t>glass melt flow</w:t>
      </w:r>
      <w:r w:rsidRPr="004D3272">
        <w:t xml:space="preserve"> experiment</w:t>
      </w:r>
      <w:r>
        <w:t xml:space="preserve"> (B6) with the 1-7 marking the instants where pellets were fed.  </w:t>
      </w:r>
    </w:p>
    <w:p w14:paraId="23412BE5" w14:textId="29A75CED" w:rsidR="00E42D7E" w:rsidRDefault="003610C6">
      <w:r>
        <w:t xml:space="preserve">The moments at which new batch was fed for experiment B6 can be seen in </w:t>
      </w:r>
      <w:r>
        <w:fldChar w:fldCharType="begin"/>
      </w:r>
      <w:r>
        <w:instrText xml:space="preserve"> REF _Ref439523353 \h </w:instrText>
      </w:r>
      <w:r>
        <w:fldChar w:fldCharType="separate"/>
      </w:r>
      <w:r w:rsidR="00820EB1">
        <w:t xml:space="preserve">Figure </w:t>
      </w:r>
      <w:r w:rsidR="00820EB1">
        <w:rPr>
          <w:noProof/>
        </w:rPr>
        <w:t>44</w:t>
      </w:r>
      <w:r>
        <w:fldChar w:fldCharType="end"/>
      </w:r>
      <w:r>
        <w:t xml:space="preserve"> (marked 1-7) by a corresponding drop in crucible temperature and rise in the feeder tip temperature. This is because in order to feed batch the feeder had to move into the path of the beam causing it to increase in temperature and the new batch which entered the crucible was initially at room temperature so immediately extracted heat from the much hotter crucible. The first batch feed was attempted without an associated partial closure of the shutter because the beam power and the initial temperature of the feeder was sufficiently low. As the experiment progressed, with increasing beam power and insufficient time in between consecutive feeds for the feeder temperature to completely recover, the shutter had to be partially closed to prevent overheating of the feeder. However, the fraction</w:t>
      </w:r>
      <w:r w:rsidR="00E42D7E">
        <w:t xml:space="preserve"> of the</w:t>
      </w:r>
      <w:r>
        <w:t xml:space="preserve"> shutter</w:t>
      </w:r>
      <w:r w:rsidR="00E42D7E">
        <w:t>s</w:t>
      </w:r>
      <w:r>
        <w:t xml:space="preserve"> clos</w:t>
      </w:r>
      <w:r w:rsidR="00E42D7E">
        <w:t>ed</w:t>
      </w:r>
      <w:r>
        <w:t xml:space="preserve"> for each batch feed was kept at a minimum to prevent thermal shock associated with </w:t>
      </w:r>
      <w:r w:rsidR="00E42D7E">
        <w:t xml:space="preserve">sudden cooling </w:t>
      </w:r>
      <w:r>
        <w:t>of the crucible. With each consecutive feed, the level of the melt rose and eventually, a melt flow down the spout was established (</w:t>
      </w:r>
      <w:r>
        <w:fldChar w:fldCharType="begin"/>
      </w:r>
      <w:r>
        <w:instrText xml:space="preserve"> REF _Ref441512148 \h </w:instrText>
      </w:r>
      <w:r>
        <w:fldChar w:fldCharType="separate"/>
      </w:r>
      <w:r w:rsidR="00820EB1">
        <w:t xml:space="preserve">Figure </w:t>
      </w:r>
      <w:r w:rsidR="00820EB1">
        <w:rPr>
          <w:noProof/>
        </w:rPr>
        <w:t>45</w:t>
      </w:r>
      <w:r>
        <w:fldChar w:fldCharType="end"/>
      </w:r>
      <w:r>
        <w:t xml:space="preserve">). </w:t>
      </w:r>
    </w:p>
    <w:p w14:paraId="26631DB7" w14:textId="77777777" w:rsidR="00E42D7E" w:rsidRDefault="00E42D7E">
      <w:pPr>
        <w:spacing w:line="276" w:lineRule="auto"/>
        <w:ind w:firstLine="0"/>
        <w:contextualSpacing w:val="0"/>
        <w:jc w:val="left"/>
      </w:pPr>
      <w:r>
        <w:br w:type="page"/>
      </w:r>
    </w:p>
    <w:p w14:paraId="163DC12C" w14:textId="77777777" w:rsidR="003610C6" w:rsidRDefault="003610C6" w:rsidP="00E42D7E">
      <w:pPr>
        <w:pStyle w:val="Title"/>
      </w:pPr>
      <w:r w:rsidRPr="003610C6">
        <w:drawing>
          <wp:inline distT="0" distB="0" distL="0" distR="0" wp14:anchorId="48A08B2B" wp14:editId="01E2890F">
            <wp:extent cx="5309104" cy="1561501"/>
            <wp:effectExtent l="0" t="0" r="6350" b="63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088" t="37241" r="7157" b="18424"/>
                    <a:stretch/>
                  </pic:blipFill>
                  <pic:spPr bwMode="auto">
                    <a:xfrm>
                      <a:off x="0" y="0"/>
                      <a:ext cx="5317518" cy="1563976"/>
                    </a:xfrm>
                    <a:prstGeom prst="rect">
                      <a:avLst/>
                    </a:prstGeom>
                    <a:ln>
                      <a:noFill/>
                    </a:ln>
                    <a:extLst>
                      <a:ext uri="{53640926-AAD7-44D8-BBD7-CCE9431645EC}">
                        <a14:shadowObscured xmlns:a14="http://schemas.microsoft.com/office/drawing/2010/main"/>
                      </a:ext>
                    </a:extLst>
                  </pic:spPr>
                </pic:pic>
              </a:graphicData>
            </a:graphic>
          </wp:inline>
        </w:drawing>
      </w:r>
    </w:p>
    <w:p w14:paraId="5A287DE3" w14:textId="77777777" w:rsidR="003610C6" w:rsidRDefault="003610C6">
      <w:pPr>
        <w:pStyle w:val="Caption"/>
      </w:pPr>
      <w:bookmarkStart w:id="106" w:name="_Ref441512148"/>
      <w:r>
        <w:t xml:space="preserve">Figure </w:t>
      </w:r>
      <w:r w:rsidR="00A47317">
        <w:fldChar w:fldCharType="begin"/>
      </w:r>
      <w:r w:rsidR="00A47317">
        <w:instrText xml:space="preserve"> SEQ Figure \* ARABIC </w:instrText>
      </w:r>
      <w:r w:rsidR="00A47317">
        <w:fldChar w:fldCharType="separate"/>
      </w:r>
      <w:r w:rsidR="00820EB1">
        <w:rPr>
          <w:noProof/>
        </w:rPr>
        <w:t>45</w:t>
      </w:r>
      <w:r w:rsidR="00A47317">
        <w:rPr>
          <w:noProof/>
        </w:rPr>
        <w:fldChar w:fldCharType="end"/>
      </w:r>
      <w:bookmarkEnd w:id="106"/>
      <w:r>
        <w:t>:</w:t>
      </w:r>
      <w:r w:rsidRPr="00E579ED">
        <w:t xml:space="preserve"> Time-lapse snapshots from video of the successful </w:t>
      </w:r>
      <w:r>
        <w:t>glass</w:t>
      </w:r>
      <w:r w:rsidRPr="00E579ED">
        <w:t xml:space="preserve"> melt flow experiment</w:t>
      </w:r>
      <w:r>
        <w:t xml:space="preserve"> (B6)</w:t>
      </w:r>
      <w:r w:rsidRPr="00E579ED">
        <w:t>. This shows the 4th out of 7 feeding cycles completed in this experiment with the time (in minutes and seconds) from the instant when new pellets were fed (00:00) through till the moment just before the next pellets were fed (03:15). Crucible Ø=45mm. The black line at the left edge of the first image is due to the temporary partial closing of the shutters (required to prevent the batch feeder from overheating) behind which the camera is situated.</w:t>
      </w:r>
    </w:p>
    <w:p w14:paraId="5E72638D" w14:textId="2F137EE7" w:rsidR="003610C6" w:rsidRPr="009B1466" w:rsidRDefault="003610C6">
      <w:r>
        <w:t>The melt continued to flow all the way out from the spout into the crucible inside the furnace below where it was collected (</w:t>
      </w:r>
      <w:r>
        <w:fldChar w:fldCharType="begin"/>
      </w:r>
      <w:r>
        <w:instrText xml:space="preserve"> REF _Ref440188127 \h </w:instrText>
      </w:r>
      <w:r>
        <w:fldChar w:fldCharType="separate"/>
      </w:r>
      <w:r w:rsidR="00820EB1">
        <w:t xml:space="preserve">Figure </w:t>
      </w:r>
      <w:r w:rsidR="00820EB1">
        <w:rPr>
          <w:noProof/>
        </w:rPr>
        <w:t>46</w:t>
      </w:r>
      <w:r>
        <w:fldChar w:fldCharType="end"/>
      </w:r>
      <w:r>
        <w:t xml:space="preserve">). The melting continued without any issues and the experiment was only eventually ended due to lack of visibility inside the collecting furnace coupled with a lack of storage capacity inside the collecting furnace. Inspection of the experiment upon cooling revealed that the crucible was completely intact until the end of the experiment and a stream of glass had successfully travelled all the way into the crucible inside the collecting furnace without any unmelted batch and </w:t>
      </w:r>
      <w:r w:rsidR="00E42D7E">
        <w:t xml:space="preserve">only a </w:t>
      </w:r>
      <w:r>
        <w:t>few bubbles entrained.</w:t>
      </w:r>
    </w:p>
    <w:p w14:paraId="6561FC40" w14:textId="64BC7BE2" w:rsidR="003610C6" w:rsidRDefault="005E266A" w:rsidP="003610C6">
      <w:pPr>
        <w:pStyle w:val="Title"/>
      </w:pPr>
      <w:r>
        <mc:AlternateContent>
          <mc:Choice Requires="wps">
            <w:drawing>
              <wp:anchor distT="0" distB="0" distL="114300" distR="114300" simplePos="0" relativeHeight="251704320" behindDoc="0" locked="0" layoutInCell="1" allowOverlap="1" wp14:anchorId="67AF5783" wp14:editId="7C706D73">
                <wp:simplePos x="0" y="0"/>
                <wp:positionH relativeFrom="column">
                  <wp:posOffset>979170</wp:posOffset>
                </wp:positionH>
                <wp:positionV relativeFrom="paragraph">
                  <wp:posOffset>1484630</wp:posOffset>
                </wp:positionV>
                <wp:extent cx="838200" cy="285750"/>
                <wp:effectExtent l="0" t="0" r="19050" b="19050"/>
                <wp:wrapNone/>
                <wp:docPr id="224" name="Text Box 224"/>
                <wp:cNvGraphicFramePr/>
                <a:graphic xmlns:a="http://schemas.openxmlformats.org/drawingml/2006/main">
                  <a:graphicData uri="http://schemas.microsoft.com/office/word/2010/wordprocessingShape">
                    <wps:wsp>
                      <wps:cNvSpPr txBox="1"/>
                      <wps:spPr>
                        <a:xfrm>
                          <a:off x="0" y="0"/>
                          <a:ext cx="8382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A8AF7C" w14:textId="6B3CC615" w:rsidR="00EA7B23" w:rsidRDefault="00EA7B23" w:rsidP="00F52EC2">
                            <w:pPr>
                              <w:ind w:firstLine="0"/>
                            </w:pPr>
                            <w:r>
                              <w:t xml:space="preserve">63 </w:t>
                            </w:r>
                            <w:r w:rsidRPr="00F52EC2">
                              <w:rPr>
                                <w:vertAlign w:val="superscript"/>
                              </w:rPr>
                              <w:t>+</w:t>
                            </w:r>
                            <w:r>
                              <w:t>/</w:t>
                            </w:r>
                            <w:r>
                              <w:rPr>
                                <w:vertAlign w:val="subscript"/>
                              </w:rPr>
                              <w:t>-</w:t>
                            </w:r>
                            <w:r>
                              <w:t xml:space="preserve"> 3 mm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F5783" id="Text Box 224" o:spid="_x0000_s1027" type="#_x0000_t202" style="position:absolute;left:0;text-align:left;margin-left:77.1pt;margin-top:116.9pt;width:66pt;height: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" fillcolor="white [3201]" strokeweight=".5pt">
                <v:textbox>
                  <w:txbxContent>
                    <w:p w14:paraId="4AA8AF7C" w14:textId="6B3CC615" w:rsidR="00EA7B23" w:rsidRDefault="00EA7B23" w:rsidP="00F52EC2">
                      <w:pPr>
                        <w:ind w:firstLine="0"/>
                      </w:pPr>
                      <w:r>
                        <w:t xml:space="preserve">63 </w:t>
                      </w:r>
                      <w:r w:rsidRPr="00F52EC2">
                        <w:rPr>
                          <w:vertAlign w:val="superscript"/>
                        </w:rPr>
                        <w:t>+</w:t>
                      </w:r>
                      <w:r>
                        <w:t>/</w:t>
                      </w:r>
                      <w:r>
                        <w:rPr>
                          <w:vertAlign w:val="subscript"/>
                        </w:rPr>
                        <w:t>-</w:t>
                      </w:r>
                      <w:r>
                        <w:t xml:space="preserve"> 3 mm </w:t>
                      </w:r>
                    </w:p>
                  </w:txbxContent>
                </v:textbox>
              </v:shape>
            </w:pict>
          </mc:Fallback>
        </mc:AlternateContent>
      </w:r>
      <w:r>
        <mc:AlternateContent>
          <mc:Choice Requires="wps">
            <w:drawing>
              <wp:anchor distT="0" distB="0" distL="114300" distR="114300" simplePos="0" relativeHeight="251703296" behindDoc="0" locked="0" layoutInCell="1" allowOverlap="1" wp14:anchorId="40DB499D" wp14:editId="2DE98883">
                <wp:simplePos x="0" y="0"/>
                <wp:positionH relativeFrom="column">
                  <wp:posOffset>874395</wp:posOffset>
                </wp:positionH>
                <wp:positionV relativeFrom="paragraph">
                  <wp:posOffset>1170305</wp:posOffset>
                </wp:positionV>
                <wp:extent cx="95250" cy="1562100"/>
                <wp:effectExtent l="76200" t="38100" r="76200" b="57150"/>
                <wp:wrapNone/>
                <wp:docPr id="24" name="Straight Arrow Connector 24"/>
                <wp:cNvGraphicFramePr/>
                <a:graphic xmlns:a="http://schemas.openxmlformats.org/drawingml/2006/main">
                  <a:graphicData uri="http://schemas.microsoft.com/office/word/2010/wordprocessingShape">
                    <wps:wsp>
                      <wps:cNvCnPr/>
                      <wps:spPr>
                        <a:xfrm>
                          <a:off x="0" y="0"/>
                          <a:ext cx="95250" cy="1562100"/>
                        </a:xfrm>
                        <a:prstGeom prst="straightConnector1">
                          <a:avLst/>
                        </a:prstGeom>
                        <a:ln w="12700">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FF34AC" id="_x0000_t32" coordsize="21600,21600" o:spt="32" o:oned="t" path="m,l21600,21600e" filled="f">
                <v:path arrowok="t" fillok="f" o:connecttype="none"/>
                <o:lock v:ext="edit" shapetype="t"/>
              </v:shapetype>
              <v:shape id="Straight Arrow Connector 24" o:spid="_x0000_s1026" type="#_x0000_t32" style="position:absolute;margin-left:68.85pt;margin-top:92.15pt;width:7.5pt;height:12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" strokecolor="white [3212]" strokeweight="1pt">
                <v:stroke startarrow="block" endarrow="block"/>
              </v:shape>
            </w:pict>
          </mc:Fallback>
        </mc:AlternateContent>
      </w:r>
      <w:r w:rsidR="003610C6">
        <w:drawing>
          <wp:inline distT="0" distB="0" distL="0" distR="0" wp14:anchorId="0DD83A99" wp14:editId="179445AD">
            <wp:extent cx="4635893" cy="2757831"/>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638.JPG"/>
                    <pic:cNvPicPr/>
                  </pic:nvPicPr>
                  <pic:blipFill rotWithShape="1">
                    <a:blip r:embed="rId59" cstate="print">
                      <a:extLst>
                        <a:ext uri="{28A0092B-C50C-407E-A947-70E740481C1C}">
                          <a14:useLocalDpi xmlns:a14="http://schemas.microsoft.com/office/drawing/2010/main" val="0"/>
                        </a:ext>
                      </a:extLst>
                    </a:blip>
                    <a:srcRect t="21242" r="700"/>
                    <a:stretch/>
                  </pic:blipFill>
                  <pic:spPr bwMode="auto">
                    <a:xfrm>
                      <a:off x="0" y="0"/>
                      <a:ext cx="4685277" cy="2787209"/>
                    </a:xfrm>
                    <a:prstGeom prst="rect">
                      <a:avLst/>
                    </a:prstGeom>
                    <a:ln>
                      <a:noFill/>
                    </a:ln>
                    <a:extLst>
                      <a:ext uri="{53640926-AAD7-44D8-BBD7-CCE9431645EC}">
                        <a14:shadowObscured xmlns:a14="http://schemas.microsoft.com/office/drawing/2010/main"/>
                      </a:ext>
                    </a:extLst>
                  </pic:spPr>
                </pic:pic>
              </a:graphicData>
            </a:graphic>
          </wp:inline>
        </w:drawing>
      </w:r>
    </w:p>
    <w:p w14:paraId="7B170FE5" w14:textId="77777777" w:rsidR="003610C6" w:rsidRDefault="003610C6">
      <w:pPr>
        <w:pStyle w:val="Caption"/>
      </w:pPr>
      <w:bookmarkStart w:id="107" w:name="_Ref440188127"/>
      <w:r>
        <w:t xml:space="preserve">Figure </w:t>
      </w:r>
      <w:r w:rsidR="00A47317">
        <w:fldChar w:fldCharType="begin"/>
      </w:r>
      <w:r w:rsidR="00A47317">
        <w:instrText xml:space="preserve"> SEQ Figure \* ARABIC </w:instrText>
      </w:r>
      <w:r w:rsidR="00A47317">
        <w:fldChar w:fldCharType="separate"/>
      </w:r>
      <w:r w:rsidR="00820EB1">
        <w:rPr>
          <w:noProof/>
        </w:rPr>
        <w:t>46</w:t>
      </w:r>
      <w:r w:rsidR="00A47317">
        <w:rPr>
          <w:noProof/>
        </w:rPr>
        <w:fldChar w:fldCharType="end"/>
      </w:r>
      <w:bookmarkEnd w:id="107"/>
      <w:r>
        <w:t>: Photograph after experiment B6 showing the successful glass melt flow, surrounded by heat shielding bricks out from the crucible and into furnace below.</w:t>
      </w:r>
    </w:p>
    <w:p w14:paraId="3EC9AC91" w14:textId="77777777" w:rsidR="003610C6" w:rsidRDefault="003610C6" w:rsidP="00C2720A">
      <w:pPr>
        <w:pStyle w:val="Heading3"/>
        <w:numPr>
          <w:ilvl w:val="2"/>
          <w:numId w:val="11"/>
        </w:numPr>
        <w:spacing w:before="100" w:after="100"/>
        <w:contextualSpacing w:val="0"/>
        <w15:collapsed/>
      </w:pPr>
      <w:r>
        <w:t xml:space="preserve">Flux measurement results </w:t>
      </w:r>
    </w:p>
    <w:p w14:paraId="59EE1190" w14:textId="45A5DD21" w:rsidR="003610C6" w:rsidRDefault="003610C6">
      <w:r>
        <w:fldChar w:fldCharType="begin"/>
      </w:r>
      <w:r>
        <w:instrText xml:space="preserve"> REF _Ref439514551 \h </w:instrText>
      </w:r>
      <w:r>
        <w:fldChar w:fldCharType="separate"/>
      </w:r>
      <w:r w:rsidR="00820EB1">
        <w:t xml:space="preserve">Figure </w:t>
      </w:r>
      <w:r w:rsidR="00820EB1">
        <w:rPr>
          <w:noProof/>
        </w:rPr>
        <w:t>47</w:t>
      </w:r>
      <w:r>
        <w:fldChar w:fldCharType="end"/>
      </w:r>
      <w:r>
        <w:t xml:space="preserve"> shows the results of the flux measurements at the focal plane corresponding to a gross radiative power of 2.62 kW as used to successfully sustain a glass melt flow out of the crucible in experiment B6. It can be seen from these results that the flux intensity significantly reduc</w:t>
      </w:r>
      <w:r w:rsidR="005E266A">
        <w:t xml:space="preserve">ed </w:t>
      </w:r>
      <w:r>
        <w:t xml:space="preserve">with increasing distance away from the centre of the crucible and down the spout which explains the great difficulty in maintaining a molten flow out of the crucible. </w:t>
      </w:r>
    </w:p>
    <w:p w14:paraId="1D24A7D1" w14:textId="3A842D2E" w:rsidR="003610C6" w:rsidRDefault="00127A58" w:rsidP="003610C6">
      <w:pPr>
        <w:pStyle w:val="Title"/>
      </w:pPr>
      <w:r>
        <w:drawing>
          <wp:inline distT="0" distB="0" distL="0" distR="0" wp14:anchorId="383E4CA5" wp14:editId="62181395">
            <wp:extent cx="4221687" cy="3264947"/>
            <wp:effectExtent l="0" t="0" r="762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173" t="11934" r="24563" b="16170"/>
                    <a:stretch/>
                  </pic:blipFill>
                  <pic:spPr bwMode="auto">
                    <a:xfrm>
                      <a:off x="0" y="0"/>
                      <a:ext cx="4255610" cy="3291182"/>
                    </a:xfrm>
                    <a:prstGeom prst="rect">
                      <a:avLst/>
                    </a:prstGeom>
                    <a:ln>
                      <a:noFill/>
                    </a:ln>
                    <a:extLst>
                      <a:ext uri="{53640926-AAD7-44D8-BBD7-CCE9431645EC}">
                        <a14:shadowObscured xmlns:a14="http://schemas.microsoft.com/office/drawing/2010/main"/>
                      </a:ext>
                    </a:extLst>
                  </pic:spPr>
                </pic:pic>
              </a:graphicData>
            </a:graphic>
          </wp:inline>
        </w:drawing>
      </w:r>
    </w:p>
    <w:p w14:paraId="2246C2FC" w14:textId="77777777" w:rsidR="003610C6" w:rsidRPr="00E60A06" w:rsidRDefault="003610C6">
      <w:pPr>
        <w:pStyle w:val="Caption"/>
        <w:rPr>
          <w:b/>
        </w:rPr>
      </w:pPr>
      <w:bookmarkStart w:id="108" w:name="_Ref439514551"/>
      <w:r>
        <w:t xml:space="preserve">Figure </w:t>
      </w:r>
      <w:r w:rsidR="00A47317">
        <w:fldChar w:fldCharType="begin"/>
      </w:r>
      <w:r w:rsidR="00A47317">
        <w:instrText xml:space="preserve"> SEQ Figure \* ARABIC </w:instrText>
      </w:r>
      <w:r w:rsidR="00A47317">
        <w:fldChar w:fldCharType="separate"/>
      </w:r>
      <w:r w:rsidR="00820EB1">
        <w:rPr>
          <w:noProof/>
        </w:rPr>
        <w:t>47</w:t>
      </w:r>
      <w:r w:rsidR="00A47317">
        <w:rPr>
          <w:noProof/>
        </w:rPr>
        <w:fldChar w:fldCharType="end"/>
      </w:r>
      <w:bookmarkEnd w:id="108"/>
      <w:r>
        <w:t>: a) Locations of the flux measurements (1-15) with the focus of the beam aimed at the centre of locations 7 and the modified crucible shown by the area coved in diagonal red lines. b) results of the average flux measured over the circular areas corresponding to the 15 locations shown.</w:t>
      </w:r>
    </w:p>
    <w:p w14:paraId="0FB31105" w14:textId="77777777" w:rsidR="003610C6" w:rsidRDefault="003610C6">
      <w:r>
        <w:fldChar w:fldCharType="begin"/>
      </w:r>
      <w:r>
        <w:instrText xml:space="preserve"> REF _Ref439443483 \h </w:instrText>
      </w:r>
      <w:r>
        <w:fldChar w:fldCharType="separate"/>
      </w:r>
      <w:r w:rsidR="00820EB1">
        <w:t xml:space="preserve">Figure </w:t>
      </w:r>
      <w:r w:rsidR="00820EB1">
        <w:rPr>
          <w:noProof/>
        </w:rPr>
        <w:t>48</w:t>
      </w:r>
      <w:r>
        <w:fldChar w:fldCharType="end"/>
      </w:r>
      <w:r>
        <w:t xml:space="preserve"> shows the flux distribution contour plot produced by interpolation between the 15 measured points, over a 45 mm circular area, corresponding to the area of the main section of the crucible experiment B6. </w:t>
      </w:r>
    </w:p>
    <w:p w14:paraId="63A0ADA1" w14:textId="77777777" w:rsidR="003610C6" w:rsidRDefault="003610C6" w:rsidP="003610C6">
      <w:pPr>
        <w:pStyle w:val="Title"/>
      </w:pPr>
      <w:r>
        <w:drawing>
          <wp:inline distT="0" distB="0" distL="0" distR="0" wp14:anchorId="7F286FA5" wp14:editId="4A43214B">
            <wp:extent cx="2995448" cy="2837238"/>
            <wp:effectExtent l="0" t="0" r="0" b="127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2934" t="13005" r="29869" b="7487"/>
                    <a:stretch/>
                  </pic:blipFill>
                  <pic:spPr bwMode="auto">
                    <a:xfrm>
                      <a:off x="0" y="0"/>
                      <a:ext cx="3016130" cy="2856828"/>
                    </a:xfrm>
                    <a:prstGeom prst="rect">
                      <a:avLst/>
                    </a:prstGeom>
                    <a:ln>
                      <a:noFill/>
                    </a:ln>
                    <a:extLst>
                      <a:ext uri="{53640926-AAD7-44D8-BBD7-CCE9431645EC}">
                        <a14:shadowObscured xmlns:a14="http://schemas.microsoft.com/office/drawing/2010/main"/>
                      </a:ext>
                    </a:extLst>
                  </pic:spPr>
                </pic:pic>
              </a:graphicData>
            </a:graphic>
          </wp:inline>
        </w:drawing>
      </w:r>
    </w:p>
    <w:p w14:paraId="2631D7E6" w14:textId="77777777" w:rsidR="003610C6" w:rsidRDefault="003610C6">
      <w:pPr>
        <w:pStyle w:val="Caption"/>
      </w:pPr>
      <w:bookmarkStart w:id="109" w:name="_Ref439443483"/>
      <w:r>
        <w:t xml:space="preserve">Figure </w:t>
      </w:r>
      <w:r w:rsidR="00A47317">
        <w:fldChar w:fldCharType="begin"/>
      </w:r>
      <w:r w:rsidR="00A47317">
        <w:instrText xml:space="preserve"> SEQ Figure \* ARABIC </w:instrText>
      </w:r>
      <w:r w:rsidR="00A47317">
        <w:fldChar w:fldCharType="separate"/>
      </w:r>
      <w:r w:rsidR="00820EB1">
        <w:rPr>
          <w:noProof/>
        </w:rPr>
        <w:t>48</w:t>
      </w:r>
      <w:r w:rsidR="00A47317">
        <w:rPr>
          <w:noProof/>
        </w:rPr>
        <w:fldChar w:fldCharType="end"/>
      </w:r>
      <w:bookmarkEnd w:id="109"/>
      <w:r>
        <w:t>: Contour plot of Incident flux (kW/m</w:t>
      </w:r>
      <w:r>
        <w:rPr>
          <w:vertAlign w:val="superscript"/>
        </w:rPr>
        <w:t>2</w:t>
      </w:r>
      <w:r>
        <w:t xml:space="preserve">) </w:t>
      </w:r>
      <w:r w:rsidRPr="00FF4A05">
        <w:t xml:space="preserve">distribution </w:t>
      </w:r>
      <w:r>
        <w:t>covering area corresponding to melt surface inside the modified crucible during the glass melt flow experiment B6.</w:t>
      </w:r>
    </w:p>
    <w:p w14:paraId="6134674C" w14:textId="77777777" w:rsidR="003610C6" w:rsidRPr="00B27BF5" w:rsidRDefault="003610C6">
      <w:r>
        <w:t>The eccentricity of the flux distribution was due to imperfections in the system design. This included errors associated with accurately locating the focal point of the beam. Also, since the beam was composed by the radiation from three separate lamps, it was difficult to ensure they were all perfectly aligned to a common centre of focus.</w:t>
      </w:r>
    </w:p>
    <w:p w14:paraId="326BB929" w14:textId="77777777" w:rsidR="003610C6" w:rsidRDefault="003610C6" w:rsidP="00C2720A">
      <w:pPr>
        <w:pStyle w:val="Heading2"/>
        <w:keepLines/>
        <w:numPr>
          <w:ilvl w:val="1"/>
          <w:numId w:val="11"/>
        </w:numPr>
        <w:spacing w:before="100" w:after="100"/>
        <w:contextualSpacing w:val="0"/>
        <w15:collapsed/>
      </w:pPr>
      <w:bookmarkStart w:id="110" w:name="_Toc473995163"/>
      <w:r>
        <w:t>Analysis</w:t>
      </w:r>
      <w:bookmarkEnd w:id="110"/>
    </w:p>
    <w:p w14:paraId="69AB189B" w14:textId="77777777" w:rsidR="003610C6" w:rsidRPr="004D51EE" w:rsidRDefault="003610C6">
      <w:r>
        <w:t xml:space="preserve">Integrating the flux distribution over the surface shown in </w:t>
      </w:r>
      <w:r>
        <w:fldChar w:fldCharType="begin"/>
      </w:r>
      <w:r>
        <w:instrText xml:space="preserve"> REF _Ref439443483 \h </w:instrText>
      </w:r>
      <w:r>
        <w:fldChar w:fldCharType="separate"/>
      </w:r>
      <w:r w:rsidR="00820EB1">
        <w:t xml:space="preserve">Figure </w:t>
      </w:r>
      <w:r w:rsidR="00820EB1">
        <w:rPr>
          <w:noProof/>
        </w:rPr>
        <w:t>48</w:t>
      </w:r>
      <w:r>
        <w:fldChar w:fldCharType="end"/>
      </w:r>
      <w:r>
        <w:t xml:space="preserve"> yields a </w:t>
      </w:r>
      <w:r w:rsidRPr="00480A1A">
        <w:t xml:space="preserve">total incident radiant power </w:t>
      </w:r>
      <w:r>
        <w:t>supply of</w:t>
      </w:r>
      <w:r w:rsidRPr="00480A1A">
        <w:t xml:space="preserve"> 1.5</w:t>
      </w:r>
      <w:r>
        <w:t>88 kW and dividing this total power by the 45 mm diameter circular surface area gives</w:t>
      </w:r>
      <w:r w:rsidRPr="00480A1A">
        <w:t xml:space="preserve"> an average flux of 99</w:t>
      </w:r>
      <w:r>
        <w:t>9</w:t>
      </w:r>
      <w:r w:rsidRPr="00480A1A">
        <w:t xml:space="preserve"> kW m</w:t>
      </w:r>
      <w:r w:rsidRPr="00EB5BAB">
        <w:rPr>
          <w:vertAlign w:val="superscript"/>
        </w:rPr>
        <w:t>‒2</w:t>
      </w:r>
      <w:r w:rsidRPr="00480A1A">
        <w:t>.</w:t>
      </w:r>
      <w:r>
        <w:t xml:space="preserve"> </w:t>
      </w:r>
    </w:p>
    <w:p w14:paraId="63DBF3C8" w14:textId="77777777" w:rsidR="003610C6" w:rsidRDefault="003610C6">
      <w:pPr>
        <w:rPr>
          <w:lang w:val="en-US"/>
        </w:rPr>
      </w:pPr>
      <w:r>
        <w:rPr>
          <w:lang w:val="en-US"/>
        </w:rPr>
        <w:t xml:space="preserve">Feeding cycles marked 5, 6 and 7 in </w:t>
      </w:r>
      <w:r>
        <w:rPr>
          <w:lang w:val="en-US"/>
        </w:rPr>
        <w:fldChar w:fldCharType="begin"/>
      </w:r>
      <w:r>
        <w:rPr>
          <w:lang w:val="en-US"/>
        </w:rPr>
        <w:instrText xml:space="preserve"> REF _Ref439523353 \h </w:instrText>
      </w:r>
      <w:r>
        <w:rPr>
          <w:lang w:val="en-US"/>
        </w:rPr>
      </w:r>
      <w:r>
        <w:rPr>
          <w:lang w:val="en-US"/>
        </w:rPr>
        <w:fldChar w:fldCharType="separate"/>
      </w:r>
      <w:r w:rsidR="00820EB1">
        <w:t xml:space="preserve">Figure </w:t>
      </w:r>
      <w:r w:rsidR="00820EB1">
        <w:rPr>
          <w:noProof/>
        </w:rPr>
        <w:t>44</w:t>
      </w:r>
      <w:r>
        <w:rPr>
          <w:lang w:val="en-US"/>
        </w:rPr>
        <w:fldChar w:fldCharType="end"/>
      </w:r>
      <w:r>
        <w:rPr>
          <w:lang w:val="en-US"/>
        </w:rPr>
        <w:t xml:space="preserve"> of experiment B6 were selected for calculations of melting rate and thermal efficiency (</w:t>
      </w:r>
      <w:r>
        <w:rPr>
          <w:lang w:val="en-US"/>
        </w:rPr>
        <w:fldChar w:fldCharType="begin"/>
      </w:r>
      <w:r>
        <w:rPr>
          <w:lang w:val="en-US"/>
        </w:rPr>
        <w:instrText xml:space="preserve"> REF _Ref441585384 \h </w:instrText>
      </w:r>
      <w:r>
        <w:rPr>
          <w:lang w:val="en-US"/>
        </w:rPr>
      </w:r>
      <w:r>
        <w:rPr>
          <w:lang w:val="en-US"/>
        </w:rPr>
        <w:fldChar w:fldCharType="separate"/>
      </w:r>
      <w:r w:rsidR="00820EB1">
        <w:t xml:space="preserve">Table </w:t>
      </w:r>
      <w:r w:rsidR="00820EB1">
        <w:rPr>
          <w:noProof/>
        </w:rPr>
        <w:t>2</w:t>
      </w:r>
      <w:r>
        <w:rPr>
          <w:lang w:val="en-US"/>
        </w:rPr>
        <w:fldChar w:fldCharType="end"/>
      </w:r>
      <w:r>
        <w:rPr>
          <w:lang w:val="en-US"/>
        </w:rPr>
        <w:t xml:space="preserve">) because they </w:t>
      </w:r>
      <w:r w:rsidRPr="00E535E5">
        <w:rPr>
          <w:lang w:val="en-US"/>
        </w:rPr>
        <w:t>represented a period of consistent glass melting flow with constant input power and periodic temperature profiles. The thermal efficiency of the</w:t>
      </w:r>
      <w:r w:rsidRPr="00E535E5">
        <w:t xml:space="preserve"> utilisation</w:t>
      </w:r>
      <w:r w:rsidRPr="00E535E5">
        <w:rPr>
          <w:lang w:val="en-US"/>
        </w:rPr>
        <w:t xml:space="preserve"> of the radiation for glass melting for this period was calculated as follows:</w:t>
      </w:r>
    </w:p>
    <w:tbl>
      <w:tblPr>
        <w:tblStyle w:val="TableGrid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1581"/>
        <w:gridCol w:w="1618"/>
      </w:tblGrid>
      <w:tr w:rsidR="003610C6" w:rsidRPr="00877BEF" w14:paraId="70064DFE" w14:textId="77777777" w:rsidTr="003610C6">
        <w:trPr>
          <w:trHeight w:val="261"/>
        </w:trPr>
        <w:tc>
          <w:tcPr>
            <w:tcW w:w="6237" w:type="dxa"/>
            <w:vAlign w:val="center"/>
          </w:tcPr>
          <w:p w14:paraId="08243B11" w14:textId="77777777" w:rsidR="003610C6" w:rsidRPr="00877BEF" w:rsidRDefault="00A47317" w:rsidP="003610C6">
            <w:pPr>
              <w:rPr>
                <w:lang w:val="en-US"/>
              </w:rPr>
            </w:pPr>
            <m:oMathPara>
              <m:oMath>
                <m:sSub>
                  <m:sSubPr>
                    <m:ctrlPr>
                      <w:rPr>
                        <w:rFonts w:ascii="Cambria Math" w:hAnsi="Cambria Math" w:cs="Times New Roman"/>
                        <w:lang w:val="en-US"/>
                      </w:rPr>
                    </m:ctrlPr>
                  </m:sSubPr>
                  <m:e>
                    <m:r>
                      <w:rPr>
                        <w:rFonts w:ascii="Cambria Math" w:hAnsi="Cambria Math" w:cs="Times New Roman"/>
                        <w:lang w:val="en-US"/>
                      </w:rPr>
                      <m:t>η</m:t>
                    </m:r>
                  </m:e>
                  <m:sub>
                    <m:r>
                      <w:rPr>
                        <w:rFonts w:ascii="Cambria Math" w:hAnsi="Cambria Math" w:cs="Times New Roman"/>
                        <w:lang w:val="en-US"/>
                      </w:rPr>
                      <m:t>th</m:t>
                    </m:r>
                  </m:sub>
                </m:sSub>
                <m:r>
                  <m:rPr>
                    <m:sty m:val="p"/>
                  </m:rPr>
                  <w:rPr>
                    <w:rFonts w:ascii="Cambria Math" w:hAnsi="Cambria Math" w:cs="Times New Roman"/>
                    <w:lang w:val="en-US"/>
                  </w:rPr>
                  <m:t>=</m:t>
                </m:r>
                <m:f>
                  <m:fPr>
                    <m:ctrlPr>
                      <w:rPr>
                        <w:rFonts w:ascii="Cambria Math" w:hAnsi="Cambria Math"/>
                        <w:lang w:val="en-US"/>
                      </w:rPr>
                    </m:ctrlPr>
                  </m:fPr>
                  <m:num>
                    <m:r>
                      <w:rPr>
                        <w:rFonts w:ascii="Cambria Math" w:hAnsi="Cambria Math"/>
                        <w:lang w:val="en-US"/>
                      </w:rPr>
                      <m:t>power</m:t>
                    </m:r>
                    <m:r>
                      <m:rPr>
                        <m:sty m:val="p"/>
                      </m:rPr>
                      <w:rPr>
                        <w:rFonts w:ascii="Cambria Math" w:hAnsi="Cambria Math"/>
                        <w:lang w:val="en-US"/>
                      </w:rPr>
                      <m:t xml:space="preserve"> </m:t>
                    </m:r>
                    <m:r>
                      <w:rPr>
                        <w:rFonts w:ascii="Cambria Math" w:hAnsi="Cambria Math"/>
                        <w:lang w:val="en-US"/>
                      </w:rPr>
                      <m:t>utilised</m:t>
                    </m:r>
                    <m:r>
                      <m:rPr>
                        <m:sty m:val="p"/>
                      </m:rPr>
                      <w:rPr>
                        <w:rFonts w:ascii="Cambria Math" w:hAnsi="Cambria Math"/>
                        <w:lang w:val="en-US"/>
                      </w:rPr>
                      <m:t xml:space="preserve"> </m:t>
                    </m:r>
                    <m:r>
                      <w:rPr>
                        <w:rFonts w:ascii="Cambria Math" w:hAnsi="Cambria Math"/>
                        <w:lang w:val="en-US"/>
                      </w:rPr>
                      <m:t>by</m:t>
                    </m:r>
                    <m:r>
                      <m:rPr>
                        <m:sty m:val="p"/>
                      </m:rPr>
                      <w:rPr>
                        <w:rFonts w:ascii="Cambria Math" w:hAnsi="Cambria Math"/>
                        <w:lang w:val="en-US"/>
                      </w:rPr>
                      <m:t xml:space="preserve"> </m:t>
                    </m:r>
                    <m:r>
                      <w:rPr>
                        <w:rFonts w:ascii="Cambria Math" w:hAnsi="Cambria Math"/>
                        <w:lang w:val="en-US"/>
                      </w:rPr>
                      <m:t>glass</m:t>
                    </m:r>
                    <m:r>
                      <m:rPr>
                        <m:sty m:val="p"/>
                      </m:rPr>
                      <w:rPr>
                        <w:rFonts w:ascii="Cambria Math" w:hAnsi="Cambria Math"/>
                        <w:lang w:val="en-US"/>
                      </w:rPr>
                      <m:t xml:space="preserve"> </m:t>
                    </m:r>
                    <m:r>
                      <w:rPr>
                        <w:rFonts w:ascii="Cambria Math" w:hAnsi="Cambria Math"/>
                        <w:lang w:val="en-US"/>
                      </w:rPr>
                      <m:t>melting</m:t>
                    </m:r>
                  </m:num>
                  <m:den>
                    <m:r>
                      <w:rPr>
                        <w:rFonts w:ascii="Cambria Math" w:hAnsi="Cambria Math"/>
                        <w:lang w:val="en-US"/>
                      </w:rPr>
                      <m:t>radiative</m:t>
                    </m:r>
                    <m:r>
                      <m:rPr>
                        <m:sty m:val="p"/>
                      </m:rPr>
                      <w:rPr>
                        <w:rFonts w:ascii="Cambria Math" w:hAnsi="Cambria Math"/>
                        <w:lang w:val="en-US"/>
                      </w:rPr>
                      <m:t xml:space="preserve"> </m:t>
                    </m:r>
                    <m:r>
                      <w:rPr>
                        <w:rFonts w:ascii="Cambria Math" w:hAnsi="Cambria Math"/>
                        <w:lang w:val="en-US"/>
                      </w:rPr>
                      <m:t>power</m:t>
                    </m:r>
                    <m:r>
                      <m:rPr>
                        <m:sty m:val="p"/>
                      </m:rPr>
                      <w:rPr>
                        <w:rFonts w:ascii="Cambria Math" w:hAnsi="Cambria Math"/>
                        <w:lang w:val="en-US"/>
                      </w:rPr>
                      <m:t xml:space="preserve"> </m:t>
                    </m:r>
                    <m:r>
                      <w:rPr>
                        <w:rFonts w:ascii="Cambria Math" w:hAnsi="Cambria Math"/>
                        <w:lang w:val="en-US"/>
                      </w:rPr>
                      <m:t>input</m:t>
                    </m:r>
                  </m:den>
                </m:f>
                <m:r>
                  <m:rPr>
                    <m:sty m:val="p"/>
                  </m:rPr>
                  <w:rPr>
                    <w:rFonts w:ascii="Cambria Math" w:hAnsi="Cambria Math" w:cs="Times New Roman"/>
                    <w:lang w:val="en-US"/>
                  </w:rPr>
                  <m:t>=</m:t>
                </m:r>
                <m:f>
                  <m:fPr>
                    <m:ctrlPr>
                      <w:rPr>
                        <w:rFonts w:ascii="Cambria Math" w:hAnsi="Cambria Math" w:cs="Times New Roman"/>
                        <w:lang w:val="en-US"/>
                      </w:rPr>
                    </m:ctrlPr>
                  </m:fPr>
                  <m:num>
                    <m:r>
                      <w:rPr>
                        <w:rFonts w:ascii="Cambria Math" w:hAnsi="Cambria Math" w:cs="Times New Roman"/>
                        <w:lang w:val="en-US"/>
                      </w:rPr>
                      <m:t>C</m:t>
                    </m:r>
                    <m:acc>
                      <m:accPr>
                        <m:chr m:val="̇"/>
                        <m:ctrlPr>
                          <w:rPr>
                            <w:rFonts w:ascii="Cambria Math" w:hAnsi="Cambria Math" w:cs="Times New Roman"/>
                            <w:lang w:val="en-US"/>
                          </w:rPr>
                        </m:ctrlPr>
                      </m:accPr>
                      <m:e>
                        <m:r>
                          <w:rPr>
                            <w:rFonts w:ascii="Cambria Math" w:hAnsi="Cambria Math" w:cs="Times New Roman"/>
                            <w:lang w:val="en-US"/>
                          </w:rPr>
                          <m:t>m</m:t>
                        </m:r>
                      </m:e>
                    </m:acc>
                  </m:num>
                  <m:den>
                    <m:r>
                      <w:rPr>
                        <w:rFonts w:ascii="Cambria Math" w:hAnsi="Cambria Math" w:cs="Times New Roman"/>
                        <w:lang w:val="en-US"/>
                      </w:rPr>
                      <m:t>P</m:t>
                    </m:r>
                  </m:den>
                </m:f>
              </m:oMath>
            </m:oMathPara>
          </w:p>
        </w:tc>
        <w:tc>
          <w:tcPr>
            <w:tcW w:w="1137" w:type="dxa"/>
            <w:vAlign w:val="center"/>
          </w:tcPr>
          <w:p w14:paraId="70FAB4DE" w14:textId="77777777" w:rsidR="003610C6" w:rsidRPr="00877BEF" w:rsidRDefault="003610C6" w:rsidP="003610C6">
            <w:r w:rsidRPr="00877BEF">
              <w:t>…</w:t>
            </w:r>
          </w:p>
        </w:tc>
        <w:tc>
          <w:tcPr>
            <w:tcW w:w="1368" w:type="dxa"/>
            <w:vAlign w:val="center"/>
          </w:tcPr>
          <w:p w14:paraId="5CF9A39B" w14:textId="77777777" w:rsidR="003610C6" w:rsidRPr="00877BEF" w:rsidRDefault="003610C6" w:rsidP="003610C6">
            <w:pPr>
              <w:rPr>
                <w:lang w:val="en-US"/>
              </w:rPr>
            </w:pPr>
            <w:r w:rsidRPr="00877BEF">
              <w:t>(1)</w:t>
            </w:r>
          </w:p>
        </w:tc>
      </w:tr>
    </w:tbl>
    <w:p w14:paraId="3CEAFD90" w14:textId="58F795BA" w:rsidR="003610C6" w:rsidRDefault="003610C6" w:rsidP="008132D6">
      <w:pPr>
        <w:rPr>
          <w:lang w:val="en-US"/>
        </w:rPr>
      </w:pPr>
      <w:r>
        <w:rPr>
          <w:lang w:val="en-US"/>
        </w:rPr>
        <w:t>W</w:t>
      </w:r>
      <w:r w:rsidRPr="00393CEA">
        <w:rPr>
          <w:lang w:val="en-US"/>
        </w:rPr>
        <w:t xml:space="preserve">here </w:t>
      </w:r>
      <w:r w:rsidRPr="00393CEA">
        <w:rPr>
          <w:i/>
          <w:lang w:val="en-US"/>
        </w:rPr>
        <w:t>C</w:t>
      </w:r>
      <w:r w:rsidRPr="00393CEA">
        <w:rPr>
          <w:lang w:val="en-US"/>
        </w:rPr>
        <w:t xml:space="preserve"> is the theoretical </w:t>
      </w:r>
      <w:r>
        <w:rPr>
          <w:lang w:val="en-US"/>
        </w:rPr>
        <w:t xml:space="preserve">energy required to heat up and melt the glass forming batch, which is assumed to be </w:t>
      </w:r>
      <w:r w:rsidRPr="00F52EC2">
        <w:rPr>
          <w:i/>
          <w:lang w:val="en-US"/>
        </w:rPr>
        <w:t>C</w:t>
      </w:r>
      <w:r>
        <w:rPr>
          <w:lang w:val="en-US"/>
        </w:rPr>
        <w:t>=</w:t>
      </w:r>
      <w:r w:rsidR="00B41643">
        <w:rPr>
          <w:lang w:val="en-US"/>
        </w:rPr>
        <w:t xml:space="preserve">2635 </w:t>
      </w:r>
      <w:r>
        <w:rPr>
          <w:lang w:val="en-US"/>
        </w:rPr>
        <w:t xml:space="preserve">J/g </w:t>
      </w:r>
      <w:r w:rsidR="00B41643">
        <w:rPr>
          <w:lang w:val="en-US"/>
        </w:rPr>
        <w:t>(see Section 5.8.1)</w:t>
      </w:r>
      <w:r w:rsidR="00021899">
        <w:rPr>
          <w:lang w:val="en-US"/>
        </w:rPr>
        <w:t xml:space="preserve">; </w:t>
      </w:r>
      <m:oMath>
        <m:acc>
          <m:accPr>
            <m:chr m:val="̇"/>
            <m:ctrlPr>
              <w:rPr>
                <w:rFonts w:ascii="Cambria Math" w:hAnsi="Cambria Math" w:cs="Times New Roman"/>
                <w:i/>
                <w:lang w:val="en-US"/>
              </w:rPr>
            </m:ctrlPr>
          </m:accPr>
          <m:e>
            <m:r>
              <w:rPr>
                <w:rFonts w:ascii="Cambria Math" w:hAnsi="Cambria Math" w:cs="Times New Roman"/>
                <w:lang w:val="en-US"/>
              </w:rPr>
              <m:t>m</m:t>
            </m:r>
          </m:e>
        </m:acc>
      </m:oMath>
      <w:r w:rsidRPr="00393CEA">
        <w:rPr>
          <w:lang w:val="en-US"/>
        </w:rPr>
        <w:t xml:space="preserve"> is the </w:t>
      </w:r>
      <w:r>
        <w:rPr>
          <w:lang w:val="en-US"/>
        </w:rPr>
        <w:t>glass melting rate</w:t>
      </w:r>
      <w:r w:rsidRPr="00393CEA">
        <w:rPr>
          <w:lang w:val="en-US"/>
        </w:rPr>
        <w:t xml:space="preserve">; and </w:t>
      </w:r>
      <w:r w:rsidRPr="00393CEA">
        <w:rPr>
          <w:i/>
          <w:lang w:val="en-US"/>
        </w:rPr>
        <w:t>P</w:t>
      </w:r>
      <w:r w:rsidRPr="00393CEA">
        <w:rPr>
          <w:lang w:val="en-US"/>
        </w:rPr>
        <w:t xml:space="preserve"> is the radiative power </w:t>
      </w:r>
      <w:r>
        <w:rPr>
          <w:lang w:val="en-US"/>
        </w:rPr>
        <w:t>delivered</w:t>
      </w:r>
      <w:r w:rsidRPr="00393CEA">
        <w:rPr>
          <w:lang w:val="en-US"/>
        </w:rPr>
        <w:t xml:space="preserve"> from </w:t>
      </w:r>
      <w:r>
        <w:rPr>
          <w:lang w:val="en-US"/>
        </w:rPr>
        <w:t>by</w:t>
      </w:r>
      <w:r w:rsidRPr="00393CEA">
        <w:rPr>
          <w:lang w:val="en-US"/>
        </w:rPr>
        <w:t xml:space="preserve"> beam to </w:t>
      </w:r>
      <w:r>
        <w:rPr>
          <w:lang w:val="en-US"/>
        </w:rPr>
        <w:t>the surface of the melt which</w:t>
      </w:r>
      <w:r w:rsidR="00747D71">
        <w:rPr>
          <w:lang w:val="en-US"/>
        </w:rPr>
        <w:t>,</w:t>
      </w:r>
      <w:r>
        <w:rPr>
          <w:lang w:val="en-US"/>
        </w:rPr>
        <w:t xml:space="preserve"> as explained above</w:t>
      </w:r>
      <w:r w:rsidR="00747D71">
        <w:rPr>
          <w:lang w:val="en-US"/>
        </w:rPr>
        <w:t>,</w:t>
      </w:r>
      <w:r>
        <w:rPr>
          <w:lang w:val="en-US"/>
        </w:rPr>
        <w:t xml:space="preserve"> was </w:t>
      </w:r>
      <w:r w:rsidRPr="00F52EC2">
        <w:rPr>
          <w:i/>
          <w:lang w:val="en-US"/>
        </w:rPr>
        <w:t>P</w:t>
      </w:r>
      <w:r>
        <w:rPr>
          <w:lang w:val="en-US"/>
        </w:rPr>
        <w:t>=</w:t>
      </w:r>
      <w:r w:rsidRPr="00480A1A">
        <w:t>1.5</w:t>
      </w:r>
      <w:r>
        <w:t>88 kW</w:t>
      </w:r>
      <w:r>
        <w:rPr>
          <w:lang w:val="en-US"/>
        </w:rPr>
        <w:t>.</w:t>
      </w:r>
      <w:r w:rsidRPr="00FA1564">
        <w:rPr>
          <w:lang w:val="en-US"/>
        </w:rPr>
        <w:t xml:space="preserve"> </w:t>
      </w:r>
      <w:r>
        <w:rPr>
          <w:lang w:val="en-US"/>
        </w:rPr>
        <w:t>The glass melting rate was found by multiplying the rate of batch melted by a batch factor of 0.8 which accounts for the change in mass</w:t>
      </w:r>
      <w:r w:rsidRPr="00B370AC">
        <w:t xml:space="preserve"> associated</w:t>
      </w:r>
      <w:r>
        <w:rPr>
          <w:lang w:val="en-US"/>
        </w:rPr>
        <w:t xml:space="preserve"> with the CO</w:t>
      </w:r>
      <w:r>
        <w:rPr>
          <w:vertAlign w:val="subscript"/>
          <w:lang w:val="en-US"/>
        </w:rPr>
        <w:t>2</w:t>
      </w:r>
      <w:r>
        <w:rPr>
          <w:lang w:val="en-US"/>
        </w:rPr>
        <w:t xml:space="preserve"> </w:t>
      </w:r>
      <w:r w:rsidR="00747D71">
        <w:rPr>
          <w:lang w:val="en-US"/>
        </w:rPr>
        <w:t>lost via</w:t>
      </w:r>
      <w:r>
        <w:rPr>
          <w:lang w:val="en-US"/>
        </w:rPr>
        <w:t xml:space="preserve"> the decomposition of the carbonates in the raw materials to oxides in the glass produced. Also, dividing the melting rate by the surface area of the melt (1.52</w:t>
      </w:r>
      <w:r>
        <w:rPr>
          <w:rFonts w:cs="Times New Roman"/>
          <w:lang w:val="en-US"/>
        </w:rPr>
        <w:t>×</w:t>
      </w:r>
      <w:r>
        <w:rPr>
          <w:lang w:val="en-US"/>
        </w:rPr>
        <w:t>10</w:t>
      </w:r>
      <w:r>
        <w:rPr>
          <w:vertAlign w:val="superscript"/>
          <w:lang w:val="en-US"/>
        </w:rPr>
        <w:t>-3</w:t>
      </w:r>
      <w:r>
        <w:rPr>
          <w:lang w:val="en-US"/>
        </w:rPr>
        <w:t xml:space="preserve"> m</w:t>
      </w:r>
      <w:r>
        <w:rPr>
          <w:vertAlign w:val="superscript"/>
          <w:lang w:val="en-US"/>
        </w:rPr>
        <w:t>2</w:t>
      </w:r>
      <w:r>
        <w:rPr>
          <w:lang w:val="en-US"/>
        </w:rPr>
        <w:t>) in</w:t>
      </w:r>
      <w:r w:rsidRPr="007A475B">
        <w:t xml:space="preserve"> experiment</w:t>
      </w:r>
      <w:r>
        <w:rPr>
          <w:lang w:val="en-US"/>
        </w:rPr>
        <w:t xml:space="preserve"> B6 yields the area specific melting rates shown in </w:t>
      </w:r>
      <w:r>
        <w:rPr>
          <w:lang w:val="en-US"/>
        </w:rPr>
        <w:fldChar w:fldCharType="begin"/>
      </w:r>
      <w:r>
        <w:rPr>
          <w:lang w:val="en-US"/>
        </w:rPr>
        <w:instrText xml:space="preserve"> REF _Ref441569073 \h </w:instrText>
      </w:r>
      <w:r>
        <w:rPr>
          <w:lang w:val="en-US"/>
        </w:rPr>
      </w:r>
      <w:r>
        <w:rPr>
          <w:lang w:val="en-US"/>
        </w:rPr>
        <w:fldChar w:fldCharType="separate"/>
      </w:r>
      <w:r w:rsidR="00820EB1">
        <w:t xml:space="preserve">Table </w:t>
      </w:r>
      <w:r w:rsidR="00820EB1">
        <w:rPr>
          <w:noProof/>
        </w:rPr>
        <w:t>3</w:t>
      </w:r>
      <w:r>
        <w:rPr>
          <w:lang w:val="en-US"/>
        </w:rPr>
        <w:fldChar w:fldCharType="end"/>
      </w:r>
      <w:r>
        <w:rPr>
          <w:lang w:val="en-US"/>
        </w:rPr>
        <w:t>.</w:t>
      </w:r>
    </w:p>
    <w:p w14:paraId="26A84B0D" w14:textId="528F0225" w:rsidR="003610C6" w:rsidRDefault="003610C6" w:rsidP="00A47317">
      <w:pPr>
        <w:pStyle w:val="Caption"/>
      </w:pPr>
      <w:bookmarkStart w:id="111" w:name="_Ref441569073"/>
      <w:r>
        <w:t xml:space="preserve">Table </w:t>
      </w:r>
      <w:r w:rsidR="00A47317">
        <w:rPr>
          <w:i w:val="0"/>
          <w:iCs w:val="0"/>
        </w:rPr>
        <w:fldChar w:fldCharType="begin"/>
      </w:r>
      <w:r w:rsidR="00A47317">
        <w:rPr>
          <w:i w:val="0"/>
          <w:iCs w:val="0"/>
        </w:rPr>
        <w:instrText xml:space="preserve"> SEQ Table \* ARABIC </w:instrText>
      </w:r>
      <w:r w:rsidR="00A47317">
        <w:rPr>
          <w:i w:val="0"/>
          <w:iCs w:val="0"/>
        </w:rPr>
        <w:fldChar w:fldCharType="separate"/>
      </w:r>
      <w:r w:rsidR="00486837">
        <w:rPr>
          <w:i w:val="0"/>
          <w:iCs w:val="0"/>
          <w:noProof/>
        </w:rPr>
        <w:t>3</w:t>
      </w:r>
      <w:r w:rsidR="00A47317">
        <w:rPr>
          <w:rFonts w:ascii="Times New Roman" w:eastAsiaTheme="minorEastAsia" w:hAnsi="Times New Roman"/>
          <w:i w:val="0"/>
          <w:iCs w:val="0"/>
          <w:noProof/>
          <w:color w:val="auto"/>
          <w:lang w:eastAsia="en-GB"/>
        </w:rPr>
        <w:fldChar w:fldCharType="end"/>
      </w:r>
      <w:bookmarkEnd w:id="111"/>
      <w:r>
        <w:t>:Results of selected feeds from glass melt flow experiment B6.</w:t>
      </w:r>
    </w:p>
    <w:p w14:paraId="6B6472F2" w14:textId="0BA8998D" w:rsidR="00A601B9" w:rsidRPr="005E33C8" w:rsidRDefault="00A601B9" w:rsidP="003610C6">
      <w:r>
        <w:rPr>
          <w:noProof/>
        </w:rPr>
        <w:drawing>
          <wp:inline distT="0" distB="0" distL="0" distR="0" wp14:anchorId="5E17693F" wp14:editId="51B0ECBC">
            <wp:extent cx="5094244" cy="1485821"/>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8751" t="41100" r="7749" b="25956"/>
                    <a:stretch/>
                  </pic:blipFill>
                  <pic:spPr bwMode="auto">
                    <a:xfrm>
                      <a:off x="0" y="0"/>
                      <a:ext cx="5141158" cy="1499504"/>
                    </a:xfrm>
                    <a:prstGeom prst="rect">
                      <a:avLst/>
                    </a:prstGeom>
                    <a:ln>
                      <a:noFill/>
                    </a:ln>
                    <a:extLst>
                      <a:ext uri="{53640926-AAD7-44D8-BBD7-CCE9431645EC}">
                        <a14:shadowObscured xmlns:a14="http://schemas.microsoft.com/office/drawing/2010/main"/>
                      </a:ext>
                    </a:extLst>
                  </pic:spPr>
                </pic:pic>
              </a:graphicData>
            </a:graphic>
          </wp:inline>
        </w:drawing>
      </w:r>
    </w:p>
    <w:p w14:paraId="2153EABF" w14:textId="77777777" w:rsidR="003610C6" w:rsidRPr="00642556" w:rsidRDefault="003610C6">
      <w:pPr>
        <w:rPr>
          <w:lang w:val="en-US"/>
        </w:rPr>
      </w:pPr>
      <w:r>
        <w:rPr>
          <w:lang w:val="en-US"/>
        </w:rPr>
        <w:t>The XRD results of comparing the soda-lime-silica batch to the glass produced from experiment B6 (</w:t>
      </w:r>
      <w:r>
        <w:rPr>
          <w:lang w:val="en-US"/>
        </w:rPr>
        <w:fldChar w:fldCharType="begin"/>
      </w:r>
      <w:r>
        <w:rPr>
          <w:lang w:val="en-US"/>
        </w:rPr>
        <w:instrText xml:space="preserve"> REF _Ref439580881 \h </w:instrText>
      </w:r>
      <w:r>
        <w:rPr>
          <w:lang w:val="en-US"/>
        </w:rPr>
      </w:r>
      <w:r>
        <w:rPr>
          <w:lang w:val="en-US"/>
        </w:rPr>
        <w:fldChar w:fldCharType="separate"/>
      </w:r>
      <w:r w:rsidR="00820EB1">
        <w:t xml:space="preserve">Figure </w:t>
      </w:r>
      <w:r w:rsidR="00820EB1">
        <w:rPr>
          <w:noProof/>
        </w:rPr>
        <w:t>49</w:t>
      </w:r>
      <w:r>
        <w:rPr>
          <w:lang w:val="en-US"/>
        </w:rPr>
        <w:fldChar w:fldCharType="end"/>
      </w:r>
      <w:r>
        <w:rPr>
          <w:lang w:val="en-US"/>
        </w:rPr>
        <w:t>) shows complete conversion of the</w:t>
      </w:r>
      <w:r w:rsidRPr="00B370AC">
        <w:t xml:space="preserve"> crystalline</w:t>
      </w:r>
      <w:r>
        <w:rPr>
          <w:lang w:val="en-US"/>
        </w:rPr>
        <w:t xml:space="preserve"> raw</w:t>
      </w:r>
      <w:r w:rsidRPr="00B370AC">
        <w:t xml:space="preserve"> materials</w:t>
      </w:r>
      <w:r>
        <w:rPr>
          <w:lang w:val="en-US"/>
        </w:rPr>
        <w:t xml:space="preserve"> into an x-ray amorphous glass.</w:t>
      </w:r>
    </w:p>
    <w:p w14:paraId="2B615DA1" w14:textId="77777777" w:rsidR="003610C6" w:rsidRDefault="003610C6" w:rsidP="003610C6">
      <w:pPr>
        <w:pStyle w:val="Title"/>
      </w:pPr>
      <w:r w:rsidRPr="003610C6">
        <w:drawing>
          <wp:inline distT="0" distB="0" distL="0" distR="0" wp14:anchorId="0E4819C3" wp14:editId="7F10FC4B">
            <wp:extent cx="3458921" cy="2877312"/>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82228" cy="2896700"/>
                    </a:xfrm>
                    <a:prstGeom prst="rect">
                      <a:avLst/>
                    </a:prstGeom>
                    <a:noFill/>
                  </pic:spPr>
                </pic:pic>
              </a:graphicData>
            </a:graphic>
          </wp:inline>
        </w:drawing>
      </w:r>
    </w:p>
    <w:p w14:paraId="5151C4D3" w14:textId="77777777" w:rsidR="003610C6" w:rsidRDefault="003610C6">
      <w:pPr>
        <w:pStyle w:val="Caption"/>
      </w:pPr>
      <w:bookmarkStart w:id="112" w:name="_Ref439580881"/>
      <w:r>
        <w:t xml:space="preserve">Figure </w:t>
      </w:r>
      <w:r w:rsidR="00A47317">
        <w:fldChar w:fldCharType="begin"/>
      </w:r>
      <w:r w:rsidR="00A47317">
        <w:instrText xml:space="preserve"> SEQ Figure \* ARABIC </w:instrText>
      </w:r>
      <w:r w:rsidR="00A47317">
        <w:fldChar w:fldCharType="separate"/>
      </w:r>
      <w:r w:rsidR="00820EB1">
        <w:rPr>
          <w:noProof/>
        </w:rPr>
        <w:t>49</w:t>
      </w:r>
      <w:r w:rsidR="00A47317">
        <w:rPr>
          <w:noProof/>
        </w:rPr>
        <w:fldChar w:fldCharType="end"/>
      </w:r>
      <w:bookmarkEnd w:id="112"/>
      <w:r>
        <w:t>: XRD traces comparing the soda-lime-silica batch to the glass produced from experiment B6.</w:t>
      </w:r>
    </w:p>
    <w:p w14:paraId="48F8BC9A" w14:textId="77777777" w:rsidR="003610C6" w:rsidRDefault="003610C6" w:rsidP="00C2720A">
      <w:pPr>
        <w:pStyle w:val="Heading2"/>
        <w:keepLines/>
        <w:numPr>
          <w:ilvl w:val="1"/>
          <w:numId w:val="11"/>
        </w:numPr>
        <w:spacing w:before="100" w:after="100"/>
        <w:contextualSpacing w:val="0"/>
        <w15:collapsed/>
      </w:pPr>
      <w:bookmarkStart w:id="113" w:name="_Toc473995164"/>
      <w:r>
        <w:t>Discussion</w:t>
      </w:r>
      <w:bookmarkEnd w:id="113"/>
    </w:p>
    <w:p w14:paraId="096833A5" w14:textId="77777777" w:rsidR="003610C6" w:rsidRDefault="003610C6" w:rsidP="00C2720A">
      <w:pPr>
        <w:pStyle w:val="Heading3"/>
        <w:numPr>
          <w:ilvl w:val="2"/>
          <w:numId w:val="11"/>
        </w:numPr>
        <w:spacing w:before="100" w:after="100"/>
        <w:contextualSpacing w:val="0"/>
        <w15:collapsed/>
      </w:pPr>
      <w:r>
        <w:t>Thermal efficiency</w:t>
      </w:r>
    </w:p>
    <w:p w14:paraId="7D91F04B" w14:textId="307D1C91" w:rsidR="003610C6" w:rsidRDefault="003610C6">
      <w:r>
        <w:t xml:space="preserve">The average flux intensity of the solar simulated radiation required to generate a sufficiently fluid glass forming melt for the current experimental setup (B6) was 999 </w:t>
      </w:r>
      <w:r w:rsidRPr="00480A1A">
        <w:t>kW m</w:t>
      </w:r>
      <w:r w:rsidRPr="00EB5BAB">
        <w:rPr>
          <w:vertAlign w:val="superscript"/>
        </w:rPr>
        <w:t>‒2</w:t>
      </w:r>
      <w:r>
        <w:t xml:space="preserve"> which is much greater that</w:t>
      </w:r>
      <w:r w:rsidRPr="00480A1A">
        <w:t xml:space="preserve"> </w:t>
      </w:r>
      <w:r>
        <w:t xml:space="preserve">in </w:t>
      </w:r>
      <w:r w:rsidRPr="00480A1A">
        <w:t>a conventional glass melting</w:t>
      </w:r>
      <w:r>
        <w:t xml:space="preserve"> tank</w:t>
      </w:r>
      <w:r w:rsidRPr="00480A1A">
        <w:t xml:space="preserve"> furnace</w:t>
      </w:r>
      <w:r>
        <w:t xml:space="preserve"> - </w:t>
      </w:r>
      <w:r w:rsidRPr="00480A1A">
        <w:t>usually around 90-200 kW m</w:t>
      </w:r>
      <w:r w:rsidRPr="00EB5BAB">
        <w:rPr>
          <w:vertAlign w:val="superscript"/>
        </w:rPr>
        <w:t>‒2</w:t>
      </w:r>
      <w:r w:rsidRPr="00480A1A">
        <w:t xml:space="preserve"> </w:t>
      </w:r>
      <w:r>
        <w:fldChar w:fldCharType="begin" w:fldLock="1"/>
      </w:r>
      <w:r w:rsidR="00875DEE">
        <w:instrText>ADDIN CSL_CITATION { "citationItems" : [ { "id" : "ITEM-1", "itemData" : { "author" : [ { "dropping-particle" : "", "family" : "Trier", "given" : "Wolfgang", "non-dropping-particle" : "", "parse-names" : false, "suffix" : "" } ], "chapter-number" : "5", "container-title" : "Glass Furnace: Design Construction and Operation", "id" : "ITEM-1", "issued" : { "date-parts" : [ [ "1987" ] ] }, "page" : "77", "publisher" : "Society of Glass Technology", "publisher-place" : "Sheffield", "title" : "Heath flux density and fuel distribution", "type" : "chapter" }, "uris" : [ "http://www.mendeley.com/documents/?uuid=124332f3-d61b-49b7-8fba-15e43a3966fd" ] } ], "mendeley" : { "formattedCitation" : "(Trier 1987c)", "plainTextFormattedCitation" : "(Trier 1987c)", "previouslyFormattedCitation" : "(Trier 1987c)" }, "properties" : { "noteIndex" : 0 }, "schema" : "https://github.com/citation-style-language/schema/raw/master/csl-citation.json" }</w:instrText>
      </w:r>
      <w:r>
        <w:fldChar w:fldCharType="separate"/>
      </w:r>
      <w:r w:rsidR="00875DEE" w:rsidRPr="00875DEE">
        <w:rPr>
          <w:noProof/>
        </w:rPr>
        <w:t>(Trier 1987c)</w:t>
      </w:r>
      <w:r>
        <w:fldChar w:fldCharType="end"/>
      </w:r>
      <w:r>
        <w:t xml:space="preserve">. This large discrepancy between the intensity of heat input required to sustain a glass melt in a conventional tank furnace compared to that of the current experimental setup could be explained as follows. </w:t>
      </w:r>
    </w:p>
    <w:p w14:paraId="62BC65A7" w14:textId="77777777" w:rsidR="003610C6" w:rsidRDefault="003610C6">
      <w:r>
        <w:t xml:space="preserve">Firstly, the thickness of the insulating walls and dimensions of the glass melts contained in conventional glass furnaces are both typically several orders of magnitude larger than that of the current experimental setup so the surface area to volume ratio and heat losses per unit volume of the glass melt through the containing walls of a conventional glass furnace would therefore be much smaller than that of the current experimental setup. </w:t>
      </w:r>
    </w:p>
    <w:p w14:paraId="7094B3F9" w14:textId="77777777" w:rsidR="003610C6" w:rsidRDefault="003610C6">
      <w:r>
        <w:t xml:space="preserve">Secondly, the glass melting surfaces in the current experimental series (B1-7) were entirely exposed to the cold surroundings whereas in conventional glass furnaces the melt surface is covered by a well-insulated roof which would be significant in terms of the radiative heat losses. Calculating black body radiative heat loss over the exposed </w:t>
      </w:r>
      <w:r w:rsidRPr="00480A1A">
        <w:t>melting surface area at 1450</w:t>
      </w:r>
      <w:r>
        <w:t>ᵒ</w:t>
      </w:r>
      <w:r w:rsidRPr="00480A1A">
        <w:t>C</w:t>
      </w:r>
      <w:r>
        <w:t xml:space="preserve"> (</w:t>
      </w:r>
      <w:r w:rsidRPr="00EB5BAB">
        <w:rPr>
          <w:i/>
        </w:rPr>
        <w:t>E</w:t>
      </w:r>
      <w:r w:rsidRPr="00EB5BAB">
        <w:rPr>
          <w:i/>
          <w:vertAlign w:val="subscript"/>
        </w:rPr>
        <w:t>b</w:t>
      </w:r>
      <w:r w:rsidRPr="00480A1A">
        <w:t xml:space="preserve"> = </w:t>
      </w:r>
      <w:r w:rsidRPr="00EB5BAB">
        <w:rPr>
          <w:i/>
        </w:rPr>
        <w:t>AσT</w:t>
      </w:r>
      <w:r w:rsidRPr="00EB5BAB">
        <w:rPr>
          <w:vertAlign w:val="superscript"/>
        </w:rPr>
        <w:t>4</w:t>
      </w:r>
      <w:r>
        <w:t>)</w:t>
      </w:r>
      <w:r w:rsidRPr="00480A1A">
        <w:t xml:space="preserve">, yields an approximate </w:t>
      </w:r>
      <w:r>
        <w:t xml:space="preserve">value </w:t>
      </w:r>
      <w:r w:rsidRPr="00480A1A">
        <w:t xml:space="preserve">of </w:t>
      </w:r>
      <w:r>
        <w:t>796</w:t>
      </w:r>
      <w:r w:rsidRPr="00480A1A">
        <w:t xml:space="preserve"> W, which is around </w:t>
      </w:r>
      <w:r>
        <w:t>half</w:t>
      </w:r>
      <w:r w:rsidRPr="00480A1A">
        <w:t xml:space="preserve"> of the total incident radiative power (</w:t>
      </w:r>
      <w:r>
        <w:t>1.588</w:t>
      </w:r>
      <w:r w:rsidRPr="00480A1A">
        <w:t xml:space="preserve"> kW). </w:t>
      </w:r>
    </w:p>
    <w:p w14:paraId="13C93E69" w14:textId="77777777" w:rsidR="003610C6" w:rsidRDefault="003610C6">
      <w:r w:rsidRPr="00480A1A">
        <w:t xml:space="preserve">Furthermore, since the layer of the semi-transparent molten glass was quite thin (around 20 mm), a significant proportion of the incident radiation could have been transmitted through the melt and reflected off the bottom of the crucible </w:t>
      </w:r>
      <w:r>
        <w:t xml:space="preserve">and </w:t>
      </w:r>
      <w:r w:rsidRPr="00480A1A">
        <w:t>back out without being absorbed by the glass.</w:t>
      </w:r>
    </w:p>
    <w:p w14:paraId="2A6C0BCD" w14:textId="62879128" w:rsidR="003610C6" w:rsidRDefault="003610C6">
      <w:r w:rsidRPr="00480A1A">
        <w:t>Finally, the reflected image of the solar simulator bulbs, clearly visible on the melt</w:t>
      </w:r>
      <w:r>
        <w:t xml:space="preserve"> </w:t>
      </w:r>
      <w:r w:rsidRPr="00480A1A">
        <w:t>surfaces (</w:t>
      </w:r>
      <w:r>
        <w:t xml:space="preserve">see </w:t>
      </w:r>
      <w:r>
        <w:fldChar w:fldCharType="begin"/>
      </w:r>
      <w:r>
        <w:instrText xml:space="preserve"> REF _Ref441512148 \h </w:instrText>
      </w:r>
      <w:r>
        <w:fldChar w:fldCharType="separate"/>
      </w:r>
      <w:r w:rsidR="00820EB1">
        <w:t xml:space="preserve">Figure </w:t>
      </w:r>
      <w:r w:rsidR="00820EB1">
        <w:rPr>
          <w:noProof/>
        </w:rPr>
        <w:t>45</w:t>
      </w:r>
      <w:r>
        <w:fldChar w:fldCharType="end"/>
      </w:r>
      <w:r>
        <w:t xml:space="preserve"> at 03:15</w:t>
      </w:r>
      <w:r w:rsidRPr="00480A1A">
        <w:t>) suggests a yet further significant proportion of the incident radiation was immediately reflected.</w:t>
      </w:r>
      <w:r>
        <w:t xml:space="preserve"> Thirdly, conventional glass furnaces usually operate at approximately thermal equilibrium because they are continuously held at the glass melting temperature. Therefore, little additional heat is absorbed by the refractories as there is no significant increase in temperature. In contrast, the current experiments were heated up from room to glass melting temperature within a few minutes and sustained for under an hour at a time. Therefore, some of the heat input could have been absorbed by the materials surrounding the glass, still increasing in temperature. Although during the period selected for the efficiency calculations, the thermocouple measurements appear to suggest that there was no significant increase in the temperature between the consecutive feeds (see feeds 5-7 in </w:t>
      </w:r>
      <w:r>
        <w:fldChar w:fldCharType="begin"/>
      </w:r>
      <w:r>
        <w:instrText xml:space="preserve"> REF _Ref439523353 \h </w:instrText>
      </w:r>
      <w:r>
        <w:fldChar w:fldCharType="separate"/>
      </w:r>
      <w:r w:rsidR="00820EB1">
        <w:t xml:space="preserve">Figure </w:t>
      </w:r>
      <w:r w:rsidR="00820EB1">
        <w:rPr>
          <w:noProof/>
        </w:rPr>
        <w:t>44</w:t>
      </w:r>
      <w:r>
        <w:fldChar w:fldCharType="end"/>
      </w:r>
      <w:r>
        <w:t>), suggesting thermal equilibrium had been reached. However the calculated thermal efficiency over the same period (</w:t>
      </w:r>
      <w:r>
        <w:fldChar w:fldCharType="begin"/>
      </w:r>
      <w:r>
        <w:instrText xml:space="preserve"> REF _Ref441569073 \h </w:instrText>
      </w:r>
      <w:r>
        <w:fldChar w:fldCharType="separate"/>
      </w:r>
      <w:r w:rsidR="00820EB1">
        <w:t xml:space="preserve">Table </w:t>
      </w:r>
      <w:r w:rsidR="00820EB1">
        <w:rPr>
          <w:noProof/>
        </w:rPr>
        <w:t>3</w:t>
      </w:r>
      <w:r>
        <w:fldChar w:fldCharType="end"/>
      </w:r>
      <w:r>
        <w:t xml:space="preserve">) were significantly increasing for each consecutive feed which suggests thermal equilibrium was still </w:t>
      </w:r>
      <w:r w:rsidR="00747D71">
        <w:t xml:space="preserve">being approached </w:t>
      </w:r>
      <w:r>
        <w:t>during this period. If so then the error in the temperature measurements may have been due to some direct exposure of the thermocouple tip (although efforts were made to avoid this by covering it with insulation material) to the radiation from the beam causing it to register a temperature not perfectly representative of that of the crucible.</w:t>
      </w:r>
    </w:p>
    <w:p w14:paraId="0E0D8028" w14:textId="77777777" w:rsidR="003610C6" w:rsidRDefault="003610C6" w:rsidP="00C2720A">
      <w:pPr>
        <w:pStyle w:val="Heading3"/>
        <w:numPr>
          <w:ilvl w:val="2"/>
          <w:numId w:val="11"/>
        </w:numPr>
        <w:spacing w:before="100" w:after="100"/>
        <w:contextualSpacing w:val="0"/>
        <w15:collapsed/>
      </w:pPr>
      <w:r>
        <w:t>Throughput</w:t>
      </w:r>
    </w:p>
    <w:p w14:paraId="36FA395A" w14:textId="5AD06DAA" w:rsidR="003610C6" w:rsidRDefault="003610C6">
      <w:r>
        <w:t xml:space="preserve">The melting rate and efficiency calculation were based on feeding cycles 5, 6 and 7 of experiment B6. During this period, the melt surface was only partially covered by batch. Greater efficiency could have been achieved by completely covering the surface of the melt as this would have enabled greater utilisation of the incident radiation from the beam. However, in earlier experiments, too much batch was fed at once which resulted in some unmelted raw materials prematurely spilling over into the outlet spout and blocking further progress of the melt. It appeared from these experiments the ideal batch coverage for the current setup would be around 70-100% of the melt surface in order to maximise the thermal efficiency while ensuring all the raw materials were fully melted before flowing out. These values for the optimal coverage of the melt surface by batch is similar to that of comparable glass furnaces </w:t>
      </w:r>
      <w:r>
        <w:fldChar w:fldCharType="begin" w:fldLock="1"/>
      </w:r>
      <w:r w:rsidR="00875DEE">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"manualFormatting" : "(D\u00edaz-Ibarra et al., 2013)", "plainTextFormattedCitation" : "(D\u00edaz-Ibarra et al. 2013)", "previouslyFormattedCitation" : "(D\u00edaz-Ibarra et al. 2013)" }, "properties" : { "noteIndex" : 0 }, "schema" : "https://github.com/citation-style-language/schema/raw/master/csl-citation.json" }</w:instrText>
      </w:r>
      <w:r>
        <w:fldChar w:fldCharType="separate"/>
      </w:r>
      <w:r>
        <w:rPr>
          <w:noProof/>
        </w:rPr>
        <w:t>(Díaz-Ibarra et al.,</w:t>
      </w:r>
      <w:r w:rsidRPr="00EA6621">
        <w:rPr>
          <w:noProof/>
        </w:rPr>
        <w:t xml:space="preserve"> 2013)</w:t>
      </w:r>
      <w:r>
        <w:fldChar w:fldCharType="end"/>
      </w:r>
      <w:r>
        <w:t xml:space="preserve">. However, the current batch feeding system made it difficult to consistently feed at the optimum rate so a new batch feeding system was developed for subsequent experiments (see chapter 5). </w:t>
      </w:r>
    </w:p>
    <w:p w14:paraId="3876FBBA" w14:textId="7E8DF822" w:rsidR="003610C6" w:rsidRPr="002E48F5" w:rsidRDefault="003610C6">
      <w:r>
        <w:t xml:space="preserve">It is difficult to envisage how the solar glass melting experiments described in this chapter could be feasibly scaled up for industrial glass production as surface area available for melting was greatly limited by the surface area covered by the focus of the beam. Even for very large solar concentrating systems, the area of maximum concentration of the beam is usually in the order of </w:t>
      </w:r>
      <w:r w:rsidRPr="009377A4">
        <w:t>10</w:t>
      </w:r>
      <w:r>
        <w:rPr>
          <w:vertAlign w:val="superscript"/>
        </w:rPr>
        <w:t xml:space="preserve">-1 </w:t>
      </w:r>
      <w:r>
        <w:t>to 10</w:t>
      </w:r>
      <w:r>
        <w:rPr>
          <w:vertAlign w:val="superscript"/>
        </w:rPr>
        <w:t>0</w:t>
      </w:r>
      <w:r>
        <w:t xml:space="preserve"> m</w:t>
      </w:r>
      <w:r>
        <w:rPr>
          <w:vertAlign w:val="superscript"/>
        </w:rPr>
        <w:t>2</w:t>
      </w:r>
      <w:r>
        <w:t xml:space="preserve"> whereas the melting area of glass furnaces can range in the order of 10</w:t>
      </w:r>
      <w:r>
        <w:rPr>
          <w:vertAlign w:val="superscript"/>
        </w:rPr>
        <w:t xml:space="preserve">1 </w:t>
      </w:r>
      <w:r>
        <w:t>to 10</w:t>
      </w:r>
      <w:r>
        <w:rPr>
          <w:vertAlign w:val="superscript"/>
        </w:rPr>
        <w:t>2</w:t>
      </w:r>
      <w:r>
        <w:t xml:space="preserve"> m</w:t>
      </w:r>
      <w:r>
        <w:rPr>
          <w:vertAlign w:val="superscript"/>
        </w:rPr>
        <w:t xml:space="preserve">2. </w:t>
      </w:r>
      <w:r>
        <w:t xml:space="preserve">However, if, due to the great flux intensity at the focus of a concentrated solar beam, the throughput of glass melting could be sufficiently high such that this could offset its surface area limitation. In order to evaluate whether this could be true, we compare the throughput of the current experimental series to that of the most relevant type of existing glass melting furnaces which are called ‘Day Tanks’.  </w:t>
      </w:r>
      <w:r>
        <w:rPr>
          <w:lang w:val="en-US"/>
        </w:rPr>
        <w:t>Day tanks are intermediate scale glass furnaces which operate on 24 hour cycles. During the day, they melt (for 12 hours) and refine (for 4 hours) up to 1450-1500</w:t>
      </w:r>
      <w:r>
        <w:rPr>
          <w:vertAlign w:val="superscript"/>
          <w:lang w:val="en-US"/>
        </w:rPr>
        <w:t>o</w:t>
      </w:r>
      <w:r>
        <w:rPr>
          <w:lang w:val="en-US"/>
        </w:rPr>
        <w:t>C; in the evening,  the melt is cooled and pulled out to be formed at around 1150</w:t>
      </w:r>
      <w:r>
        <w:rPr>
          <w:vertAlign w:val="superscript"/>
          <w:lang w:val="en-US"/>
        </w:rPr>
        <w:t>o</w:t>
      </w:r>
      <w:r>
        <w:rPr>
          <w:lang w:val="en-US"/>
        </w:rPr>
        <w:t xml:space="preserve">C (for 8 hours) </w:t>
      </w:r>
      <w:r>
        <w:rPr>
          <w:lang w:val="en-US"/>
        </w:rPr>
        <w:fldChar w:fldCharType="begin" w:fldLock="1"/>
      </w:r>
      <w:r w:rsidR="00875DEE">
        <w:rPr>
          <w:lang w:val="en-US"/>
        </w:rPr>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"manualFormatting" : "(D\u00edaz-Ibarra et al., 2013)", "plainTextFormattedCitation" : "(D\u00edaz-Ibarra et al. 2013)", "previouslyFormattedCitation" : "(D\u00edaz-Ibarra et al. 2013)" }, "properties" : { "noteIndex" : 0 }, "schema" : "https://github.com/citation-style-language/schema/raw/master/csl-citation.json" }</w:instrText>
      </w:r>
      <w:r>
        <w:rPr>
          <w:lang w:val="en-US"/>
        </w:rPr>
        <w:fldChar w:fldCharType="separate"/>
      </w:r>
      <w:r w:rsidRPr="0016007C">
        <w:rPr>
          <w:noProof/>
          <w:lang w:val="en-US"/>
        </w:rPr>
        <w:t>(Díaz-Ibarra</w:t>
      </w:r>
      <w:r>
        <w:rPr>
          <w:noProof/>
          <w:lang w:val="en-US"/>
        </w:rPr>
        <w:t xml:space="preserve"> et al.</w:t>
      </w:r>
      <w:r w:rsidRPr="0016007C">
        <w:rPr>
          <w:noProof/>
          <w:lang w:val="en-US"/>
        </w:rPr>
        <w:t>, 2013)</w:t>
      </w:r>
      <w:r>
        <w:rPr>
          <w:lang w:val="en-US"/>
        </w:rPr>
        <w:fldChar w:fldCharType="end"/>
      </w:r>
      <w:r>
        <w:rPr>
          <w:lang w:val="en-US"/>
        </w:rPr>
        <w:t xml:space="preserve">. This is a similar operational schedule to that of a solar glass melting process due to the natural limitation of direct solar radiation only being available during daylight hours and therefore considered to provide the most relevant comparison as follows. According to </w:t>
      </w:r>
      <w:r>
        <w:rPr>
          <w:lang w:val="en-US"/>
        </w:rPr>
        <w:fldChar w:fldCharType="begin" w:fldLock="1"/>
      </w:r>
      <w:r w:rsidR="00875DEE">
        <w:rPr>
          <w:lang w:val="en-US"/>
        </w:rPr>
        <w:instrText>ADDIN CSL_CITATION { "citationItems" : [ { "id" : "ITEM-1", "itemData" : { "author" : [ { "dropping-particle" : "", "family" : "Trier", "given" : "Wolfgang", "non-dropping-particle" : "", "parse-names" : false, "suffix" : "" } ], "chapter-number" : "9", "container-title" : "Glass Furnaces: Design Construction and Operation", "id" : "ITEM-1", "issued" : { "date-parts" : [ [ "1987" ] ] }, "page" : "226-228", "publisher" : "Society of Glass Technology", "publisher-place" : "Sheffield", "title" : "Day Tanks", "type" : "chapter" }, "uris" : [ "http://www.mendeley.com/documents/?uuid=eead97f5-d906-43e8-a9eb-dbc0a5c16fd4" ] } ], "mendeley" : { "formattedCitation" : "(Trier 1987a)", "manualFormatting" : "Trier (1987a)", "plainTextFormattedCitation" : "(Trier 1987a)", "previouslyFormattedCitation" : "(Trier 1987a)" }, "properties" : { "noteIndex" : 0 }, "schema" : "https://github.com/citation-style-language/schema/raw/master/csl-citation.json" }</w:instrText>
      </w:r>
      <w:r>
        <w:rPr>
          <w:lang w:val="en-US"/>
        </w:rPr>
        <w:fldChar w:fldCharType="separate"/>
      </w:r>
      <w:r w:rsidRPr="0091182D">
        <w:rPr>
          <w:noProof/>
          <w:lang w:val="en-US"/>
        </w:rPr>
        <w:t>Trier</w:t>
      </w:r>
      <w:r>
        <w:rPr>
          <w:noProof/>
          <w:lang w:val="en-US"/>
        </w:rPr>
        <w:t xml:space="preserve"> (</w:t>
      </w:r>
      <w:r w:rsidRPr="0091182D">
        <w:rPr>
          <w:noProof/>
          <w:lang w:val="en-US"/>
        </w:rPr>
        <w:t>1987a)</w:t>
      </w:r>
      <w:r>
        <w:rPr>
          <w:lang w:val="en-US"/>
        </w:rPr>
        <w:fldChar w:fldCharType="end"/>
      </w:r>
      <w:r>
        <w:rPr>
          <w:lang w:val="en-US"/>
        </w:rPr>
        <w:t xml:space="preserve">, the area specific melting rate of day tanks lies between 0.4 and 0.8 t </w:t>
      </w:r>
      <w:r w:rsidRPr="00EC70CC">
        <w:rPr>
          <w:lang w:val="en-US"/>
        </w:rPr>
        <w:t>m</w:t>
      </w:r>
      <w:r>
        <w:rPr>
          <w:vertAlign w:val="superscript"/>
          <w:lang w:val="en-US"/>
        </w:rPr>
        <w:t>–</w:t>
      </w:r>
      <w:r w:rsidRPr="009C2B7B">
        <w:rPr>
          <w:vertAlign w:val="superscript"/>
          <w:lang w:val="en-US"/>
        </w:rPr>
        <w:t>2</w:t>
      </w:r>
      <w:r>
        <w:rPr>
          <w:lang w:val="en-US"/>
        </w:rPr>
        <w:t xml:space="preserve"> d</w:t>
      </w:r>
      <w:r w:rsidRPr="00883A8E">
        <w:rPr>
          <w:vertAlign w:val="superscript"/>
          <w:lang w:val="en-US"/>
        </w:rPr>
        <w:t>–1</w:t>
      </w:r>
      <w:r>
        <w:rPr>
          <w:lang w:val="en-US"/>
        </w:rPr>
        <w:t xml:space="preserve">. However, as explained this includes time for melting, fining and working whereas our current experiments only included melting. Therefore, for a fair comparison if similar periods required for refining and working area assumed, the equivalent daily area specific melting rate for our current solar glass melting process would be calculated by multiplying the average area specific melting rate of </w:t>
      </w:r>
      <w:r>
        <w:rPr>
          <w:rFonts w:eastAsia="Times New Roman" w:cs="Times New Roman"/>
          <w:color w:val="000000"/>
        </w:rPr>
        <w:t>16</w:t>
      </w:r>
      <w:r w:rsidRPr="0049525A">
        <w:rPr>
          <w:rFonts w:cs="Times New Roman"/>
          <w:lang w:val="en-US"/>
        </w:rPr>
        <w:t xml:space="preserve"> </w:t>
      </w:r>
      <w:r w:rsidRPr="0049525A">
        <w:rPr>
          <w:rFonts w:eastAsia="Times New Roman" w:cs="Times New Roman"/>
          <w:color w:val="000000"/>
        </w:rPr>
        <w:t>g m</w:t>
      </w:r>
      <w:r w:rsidRPr="0049525A">
        <w:rPr>
          <w:rFonts w:eastAsia="Times New Roman" w:cs="Times New Roman"/>
          <w:color w:val="000000"/>
          <w:vertAlign w:val="superscript"/>
        </w:rPr>
        <w:t>-2</w:t>
      </w:r>
      <w:r w:rsidRPr="0049525A">
        <w:rPr>
          <w:rFonts w:cs="Times New Roman"/>
          <w:lang w:val="en-US"/>
        </w:rPr>
        <w:t xml:space="preserve"> </w:t>
      </w:r>
      <w:r w:rsidRPr="0049525A">
        <w:rPr>
          <w:rFonts w:eastAsia="Times New Roman" w:cs="Times New Roman"/>
          <w:color w:val="000000"/>
        </w:rPr>
        <w:t>s</w:t>
      </w:r>
      <w:r w:rsidRPr="0049525A">
        <w:rPr>
          <w:rFonts w:eastAsia="Times New Roman" w:cs="Times New Roman"/>
          <w:color w:val="000000"/>
          <w:vertAlign w:val="superscript"/>
        </w:rPr>
        <w:t>-1</w:t>
      </w:r>
      <w:r>
        <w:rPr>
          <w:rFonts w:ascii="Calibri" w:eastAsia="Times New Roman" w:hAnsi="Calibri" w:cs="Times New Roman"/>
          <w:color w:val="000000"/>
          <w:vertAlign w:val="superscript"/>
        </w:rPr>
        <w:t xml:space="preserve"> </w:t>
      </w:r>
      <w:r>
        <w:rPr>
          <w:lang w:val="en-US"/>
        </w:rPr>
        <w:t xml:space="preserve"> (</w:t>
      </w:r>
      <w:r>
        <w:rPr>
          <w:lang w:val="en-US"/>
        </w:rPr>
        <w:fldChar w:fldCharType="begin"/>
      </w:r>
      <w:r>
        <w:rPr>
          <w:lang w:val="en-US"/>
        </w:rPr>
        <w:instrText xml:space="preserve"> REF _Ref441569073 \h </w:instrText>
      </w:r>
      <w:r>
        <w:rPr>
          <w:lang w:val="en-US"/>
        </w:rPr>
      </w:r>
      <w:r>
        <w:rPr>
          <w:lang w:val="en-US"/>
        </w:rPr>
        <w:fldChar w:fldCharType="separate"/>
      </w:r>
      <w:r w:rsidR="00820EB1">
        <w:t xml:space="preserve">Table </w:t>
      </w:r>
      <w:r w:rsidR="00820EB1">
        <w:rPr>
          <w:noProof/>
        </w:rPr>
        <w:t>3</w:t>
      </w:r>
      <w:r>
        <w:rPr>
          <w:lang w:val="en-US"/>
        </w:rPr>
        <w:fldChar w:fldCharType="end"/>
      </w:r>
      <w:r>
        <w:rPr>
          <w:lang w:val="en-US"/>
        </w:rPr>
        <w:t xml:space="preserve">) over 12 hours per day which yields 0.7 t </w:t>
      </w:r>
      <w:r w:rsidRPr="00EC70CC">
        <w:rPr>
          <w:lang w:val="en-US"/>
        </w:rPr>
        <w:t>m</w:t>
      </w:r>
      <w:r>
        <w:rPr>
          <w:vertAlign w:val="superscript"/>
          <w:lang w:val="en-US"/>
        </w:rPr>
        <w:t>–</w:t>
      </w:r>
      <w:r w:rsidRPr="009C2B7B">
        <w:rPr>
          <w:vertAlign w:val="superscript"/>
          <w:lang w:val="en-US"/>
        </w:rPr>
        <w:t>2</w:t>
      </w:r>
      <w:r>
        <w:rPr>
          <w:lang w:val="en-US"/>
        </w:rPr>
        <w:t xml:space="preserve"> d</w:t>
      </w:r>
      <w:r w:rsidRPr="00883A8E">
        <w:rPr>
          <w:vertAlign w:val="superscript"/>
          <w:lang w:val="en-US"/>
        </w:rPr>
        <w:t>–1</w:t>
      </w:r>
      <w:r>
        <w:rPr>
          <w:lang w:val="en-US"/>
        </w:rPr>
        <w:t>. Although this value of the throughput of glass melting at the focal point of the beam, despite the sub-optimal batch coverage and inefficiencies</w:t>
      </w:r>
      <w:r w:rsidR="005808A1">
        <w:rPr>
          <w:lang w:val="en-US"/>
        </w:rPr>
        <w:t>,</w:t>
      </w:r>
      <w:r>
        <w:rPr>
          <w:lang w:val="en-US"/>
        </w:rPr>
        <w:t xml:space="preserve"> is already at the higher end of the range of existing day tanks (0.4 and 0.8 t </w:t>
      </w:r>
      <w:r w:rsidRPr="00EC70CC">
        <w:rPr>
          <w:lang w:val="en-US"/>
        </w:rPr>
        <w:t>m</w:t>
      </w:r>
      <w:r>
        <w:rPr>
          <w:vertAlign w:val="superscript"/>
          <w:lang w:val="en-US"/>
        </w:rPr>
        <w:t>–</w:t>
      </w:r>
      <w:r w:rsidRPr="009C2B7B">
        <w:rPr>
          <w:vertAlign w:val="superscript"/>
          <w:lang w:val="en-US"/>
        </w:rPr>
        <w:t>2</w:t>
      </w:r>
      <w:r>
        <w:rPr>
          <w:lang w:val="en-US"/>
        </w:rPr>
        <w:t xml:space="preserve"> d</w:t>
      </w:r>
      <w:r w:rsidRPr="00883A8E">
        <w:rPr>
          <w:vertAlign w:val="superscript"/>
          <w:lang w:val="en-US"/>
        </w:rPr>
        <w:t>–1</w:t>
      </w:r>
      <w:r>
        <w:rPr>
          <w:lang w:val="en-US"/>
        </w:rPr>
        <w:t>), it is still insufficient to offset the surface area limitation of the focal spot of the solar beam so the overall melting rate at the focal point would still be significantly smaller than that of a fossil fuel fired day tank.</w:t>
      </w:r>
    </w:p>
    <w:p w14:paraId="47A3D3BB" w14:textId="77777777" w:rsidR="003610C6" w:rsidRDefault="003610C6" w:rsidP="00C2720A">
      <w:pPr>
        <w:pStyle w:val="Heading3"/>
        <w:numPr>
          <w:ilvl w:val="2"/>
          <w:numId w:val="11"/>
        </w:numPr>
        <w:spacing w:before="100" w:after="100"/>
        <w:contextualSpacing w:val="0"/>
        <w15:collapsed/>
      </w:pPr>
      <w:r>
        <w:t>Thermal shock</w:t>
      </w:r>
    </w:p>
    <w:p w14:paraId="72FE7982" w14:textId="607B810E" w:rsidR="003610C6" w:rsidRDefault="003610C6">
      <w:r>
        <w:t xml:space="preserve">The heat distribution is also of great importance with respect to the issue of thermal shock of the glass containing refractories. In order to enable a viable glass making process, the glass containing refractories must be able to withstand extended periods without failure. However, as observed in the current series of experiments, the glass melting process was severely limited by fracture of the crucibles which were made of similar class of materials as </w:t>
      </w:r>
      <w:r w:rsidR="00747D71">
        <w:t xml:space="preserve">those </w:t>
      </w:r>
      <w:r>
        <w:t>used in conventional furnaces which operate continuously for years. This could be explained by the fact that the refractories used to contain glass melts are intended to withstand only very gradual thermal gradients as observed in conventional furnaces whereas in the current experimental setup the refractories were exposed to relatively steep spatial and temporal thermal gradients, sometimes resulting in fracture due to thermal shock. However, the cracks observed during the course of these experiments always occurred in the base of the crucible which was fully submerged below the glass melt, whereas the side walls of the crucible which were directly incident to the radiation from the beam never failed. Also, providing additional structural support to the crucible bases appeared to improve their durability. Furthermore, the site of the fractures usually coincided with the location where the weir fell to the base. This suggests that the failures were not purely due to thermal gradients but also due the structural design of the crucible. Also, the damage might have been partially due to chemical attack from the glass melt. This is addressed in the following chapter where a new crucible design is developed accordingly. In the following sections, the effect of thermal gradients learned during the current experimental series (B1-6) are discussed in further detail.</w:t>
      </w:r>
    </w:p>
    <w:p w14:paraId="2788627E" w14:textId="77777777" w:rsidR="003610C6" w:rsidRPr="002F1204" w:rsidRDefault="003610C6" w:rsidP="00C2720A">
      <w:pPr>
        <w:pStyle w:val="Heading4"/>
        <w:numPr>
          <w:ilvl w:val="3"/>
          <w:numId w:val="11"/>
        </w:numPr>
        <w:spacing w:before="100" w:after="100"/>
        <w:contextualSpacing w:val="0"/>
        <w15:collapsed/>
      </w:pPr>
      <w:r w:rsidRPr="002F1204">
        <w:t>Temporal thermal gradients</w:t>
      </w:r>
    </w:p>
    <w:p w14:paraId="363755C3" w14:textId="5D2C5C3E" w:rsidR="003610C6" w:rsidRPr="00C96F6A" w:rsidRDefault="003610C6">
      <w:r>
        <w:t>Conventional tank furnaces usually require several days to initially heat up and then are held at glass melting temperatures indefinitely. However, in the current series of experiments, the glass containing refractories were heated up to glass melting temperature within a few minutes and then then the heat input was temporarily reduced each time batch was fed, causing large fluctuations in temperature. However, despite the relatively rapid heat up in the current experiments experimental series, the crucibles never fractured during these initial periods. The fractures occurred, later, during periods when new batch was being periodically fed at melting temperature. Each time batch was fed, the shutters were temporarily partially closed in order to prevent the batch feeder which came in the path of the beam to feed, from overheating. These sudden reductions in beam intensity, also served to test the durability of the system to similar periods expected in a real solar process such as temporary cloud cover. In the initial experiments the power beam power was reduced by up to 60% for each feed. This, coupled with the effect of simultaneously feeding cold batch, resulted in the steepest periods of crucible temperature gradients observed during the course of these experiments of around -200</w:t>
      </w:r>
      <w:r>
        <w:rPr>
          <w:vertAlign w:val="superscript"/>
        </w:rPr>
        <w:t>o</w:t>
      </w:r>
      <w:r>
        <w:t>C in 12 seconds. During the course of the experimental series described in this chapter (B1-6), the heating regime was incrementally adjusted in response to observations of crucible failure due to too high flux intensities and freezing of the flow due to too low beam intensities. Eventually, an appropriate heating regime consisting of an initial heat up period from room temperature to a melting temperature of around 1450</w:t>
      </w:r>
      <w:r>
        <w:rPr>
          <w:vertAlign w:val="superscript"/>
        </w:rPr>
        <w:t>o</w:t>
      </w:r>
      <w:r>
        <w:t>C over around 30 minutes; minimizing the changes flux intensity during melting to within 20%; and a maximum average flux intensity of around 1000 kW/m</w:t>
      </w:r>
      <w:r>
        <w:rPr>
          <w:vertAlign w:val="superscript"/>
        </w:rPr>
        <w:t>2</w:t>
      </w:r>
      <w:r>
        <w:t xml:space="preserve"> over the surface of the melt was found to be sufficient to sustain a fluid glass melt without fracture of the containing refractories. </w:t>
      </w:r>
      <w:r w:rsidR="00747D71" w:rsidRPr="00747D71">
        <w:t xml:space="preserve"> </w:t>
      </w:r>
      <w:r w:rsidR="00747D71">
        <w:t>For subsequent developments it was decided to modify the feeder to obviate the need for temporary partial reductions in beam power.</w:t>
      </w:r>
    </w:p>
    <w:p w14:paraId="03E1F974" w14:textId="77777777" w:rsidR="003610C6" w:rsidRDefault="003610C6" w:rsidP="00C2720A">
      <w:pPr>
        <w:pStyle w:val="Heading4"/>
        <w:numPr>
          <w:ilvl w:val="3"/>
          <w:numId w:val="11"/>
        </w:numPr>
        <w:spacing w:before="100" w:after="100"/>
        <w:contextualSpacing w:val="0"/>
        <w15:collapsed/>
      </w:pPr>
      <w:r>
        <w:t>Spatial thermal gradients</w:t>
      </w:r>
    </w:p>
    <w:p w14:paraId="0F2B81EE" w14:textId="361BF00E" w:rsidR="003610C6" w:rsidRDefault="003610C6">
      <w:r>
        <w:t>In conventional tank furnaces, the flux intensity over the heated area only varies in the range of 90-200 kW m</w:t>
      </w:r>
      <w:r>
        <w:rPr>
          <w:vertAlign w:val="superscript"/>
        </w:rPr>
        <w:t>-2</w:t>
      </w:r>
      <w:r>
        <w:t xml:space="preserve"> </w:t>
      </w:r>
      <w:r>
        <w:fldChar w:fldCharType="begin" w:fldLock="1"/>
      </w:r>
      <w:r w:rsidR="00875DEE">
        <w:instrText>ADDIN CSL_CITATION { "citationItems" : [ { "id" : "ITEM-1", "itemData" : { "author" : [ { "dropping-particle" : "", "family" : "Trier", "given" : "Wolfgang", "non-dropping-particle" : "", "parse-names" : false, "suffix" : "" } ], "chapter-number" : "5", "container-title" : "Glass Furnace: Design Construction and Operation", "id" : "ITEM-1", "issued" : { "date-parts" : [ [ "1987" ] ] }, "page" : "77", "publisher" : "Society of Glass Technology", "publisher-place" : "Sheffield", "title" : "Heath flux density and fuel distribution", "type" : "chapter" }, "uris" : [ "http://www.mendeley.com/documents/?uuid=124332f3-d61b-49b7-8fba-15e43a3966fd" ] } ], "mendeley" : { "formattedCitation" : "(Trier 1987c)", "plainTextFormattedCitation" : "(Trier 1987c)", "previouslyFormattedCitation" : "(Trier 1987c)" }, "properties" : { "noteIndex" : 0 }, "schema" : "https://github.com/citation-style-language/schema/raw/master/csl-citation.json" }</w:instrText>
      </w:r>
      <w:r>
        <w:fldChar w:fldCharType="separate"/>
      </w:r>
      <w:r w:rsidR="00875DEE" w:rsidRPr="00875DEE">
        <w:rPr>
          <w:noProof/>
        </w:rPr>
        <w:t>(Trier 1987c)</w:t>
      </w:r>
      <w:r>
        <w:fldChar w:fldCharType="end"/>
      </w:r>
      <w:r>
        <w:t xml:space="preserve"> over tens of meters. By contrast, the results of the flux measurements for the beam intensities required to sustain a glass melt in the current experimental series (</w:t>
      </w:r>
      <w:r>
        <w:fldChar w:fldCharType="begin"/>
      </w:r>
      <w:r>
        <w:instrText xml:space="preserve"> REF _Ref439443483 \h </w:instrText>
      </w:r>
      <w:r>
        <w:fldChar w:fldCharType="separate"/>
      </w:r>
      <w:r w:rsidR="00820EB1">
        <w:t xml:space="preserve">Figure </w:t>
      </w:r>
      <w:r w:rsidR="00820EB1">
        <w:rPr>
          <w:noProof/>
        </w:rPr>
        <w:t>48</w:t>
      </w:r>
      <w:r>
        <w:fldChar w:fldCharType="end"/>
      </w:r>
      <w:r>
        <w:t>) show much steeper gradients with the flux varying in the range of 800-1100 kW m</w:t>
      </w:r>
      <w:r>
        <w:rPr>
          <w:vertAlign w:val="superscript"/>
        </w:rPr>
        <w:t>-2</w:t>
      </w:r>
      <w:r>
        <w:t xml:space="preserve"> over only a few centimetres. These relatively steep spatial gradients would result in larger differences in thermal expansion across the refractories which could explain the fractures observed during the early experiments. The reason for the steep gradients in flux intensity is related to the methods used to concentrate sunlight which is simulated by the HFSS. Essentially the rays are aimed to a common focal point, but inevitably there are optical imperfections which results in an approximately Gaussian distribution with greatest flux near the centre of the intended focus and rapidly reducing flux with increasing distance from the centre. One method of reducing this flux intensity gradient is by utilising the rays at a plane beyond the focal plane. As the rays diverge beyond the focal point, the resultant flux distribution becomes less concentrated </w:t>
      </w:r>
      <w:r>
        <w:fldChar w:fldCharType="begin" w:fldLock="1"/>
      </w:r>
      <w:r w:rsidR="00875DEE">
        <w:instrText>ADDIN CSL_CITATION { "citationItems" : [ { "id" : "ITEM-1", "itemData" : { "DOI" : "10.1115/1.2769701", "ISSN" : "01996231", "author" : [ { "dropping-particle" : "", "family" : "Petrasch", "given" : "Jo\u0308rg", "non-dropping-particle" : "", "parse-names" : false, "suffix" : "" }, { "dropping-particle" : "", "family" : "Coray", "given" : "Patrick", "non-dropping-particle" : "", "parse-names" : false, "suffix" : "" }, { "dropping-particle" : "", "family" : "Meier", "given" : "Anton", "non-dropping-particle" : "", "parse-names" : false, "suffix" : "" }, { "dropping-particle" : "", "family" : "Brack", "given" : "Max", "non-dropping-particle" : "", "parse-names" : false, "suffix" : "" }, { "dropping-particle" : "", "family" : "Ha\u0308berling", "given" : "Peter", "non-dropping-particle" : "", "parse-names" : false, "suffix" : "" }, { "dropping-particle" : "", "family" : "Wuillemin", "given" : "Daniel", "non-dropping-particle" : "", "parse-names" : false, "suffix" : "" }, { "dropping-particle" : "", "family" : "Steinfeld", "given" : "Aldo", "non-dropping-particle" : "", "parse-names" : false, "suffix" : "" } ], "container-title" : "Journal of Solar Energy Engineering", "id" : "ITEM-1", "issue" : "4", "issued" : { "date-parts" : [ [ "2007" ] ] }, "page" : "405", "title" : "A Novel 50\u2002kW 11,000 suns High-Flux Solar Simulator Based on an Array of Xenon Arc Lamps", "type" : "article-journal", "volume" : "129" }, "uris" : [ "http://www.mendeley.com/documents/?uuid=4c7fc0ee-f8d4-4da1-abea-f39081b5b884" ] } ], "mendeley" : { "formattedCitation" : "(Petrasch et al. 2007)", "plainTextFormattedCitation" : "(Petrasch et al. 2007)", "previouslyFormattedCitation" : "(Petrasch et al. 2007)" }, "properties" : { "noteIndex" : 0 }, "schema" : "https://github.com/citation-style-language/schema/raw/master/csl-citation.json" }</w:instrText>
      </w:r>
      <w:r>
        <w:fldChar w:fldCharType="separate"/>
      </w:r>
      <w:r w:rsidR="00875DEE" w:rsidRPr="00875DEE">
        <w:rPr>
          <w:noProof/>
        </w:rPr>
        <w:t>(Petrasch et al. 2007)</w:t>
      </w:r>
      <w:r>
        <w:fldChar w:fldCharType="end"/>
      </w:r>
      <w:r>
        <w:t>. This would also increase the surface area available for melting.</w:t>
      </w:r>
    </w:p>
    <w:p w14:paraId="13243013" w14:textId="77777777" w:rsidR="003610C6" w:rsidRDefault="003610C6" w:rsidP="00C2720A">
      <w:pPr>
        <w:pStyle w:val="Heading4"/>
        <w:numPr>
          <w:ilvl w:val="3"/>
          <w:numId w:val="11"/>
        </w:numPr>
        <w:spacing w:before="100" w:after="100"/>
        <w:contextualSpacing w:val="0"/>
        <w15:collapsed/>
      </w:pPr>
      <w:r>
        <w:t>Thermal gradients in a real solar process</w:t>
      </w:r>
    </w:p>
    <w:p w14:paraId="6E550D9C" w14:textId="27B21CA7" w:rsidR="003610C6" w:rsidRDefault="003610C6">
      <w:r>
        <w:t xml:space="preserve">The issue of thermal gradients is of great important with respect to the objectives of this project because utilisation of real solar radiation would require the capability to deal with a naturally variable radiant power supply. Although the available power from real solar radiation is not directly controllable, the maximum power supplied to the glass could be controlled by limiting shutter opening between the solar concentrator and the glass forming melt. However, dealing with sudden reductions in the availability of solar radiation power supply, as would be expected during cloud cover, could not be dealt with by adjusting shutter opening. </w:t>
      </w:r>
      <w:r w:rsidR="00747D71">
        <w:t>This series of experiments showed</w:t>
      </w:r>
      <w:r w:rsidR="00747D71" w:rsidDel="00747D71">
        <w:t xml:space="preserve"> </w:t>
      </w:r>
      <w:r>
        <w:t xml:space="preserve">that such sudden reduction of beam power could be severely limiting. Too steep reductions in beam power proved unsustainable for the survival of the containing refractories. Obviously, in general variations in heating power can cause thermal shock. However, </w:t>
      </w:r>
      <w:r w:rsidR="00747D71">
        <w:t>experiments B1-6</w:t>
      </w:r>
      <w:r>
        <w:t xml:space="preserve"> provided new and useful knowledge regarding the fine balance of solar radiation intensity with secondary heating required to sustain a glass melt flow while avoiding thermal shock of the containing refractories. </w:t>
      </w:r>
    </w:p>
    <w:p w14:paraId="4FF8092A" w14:textId="77777777" w:rsidR="003610C6" w:rsidRDefault="003610C6" w:rsidP="00C2720A">
      <w:pPr>
        <w:pStyle w:val="Heading3"/>
        <w:numPr>
          <w:ilvl w:val="2"/>
          <w:numId w:val="11"/>
        </w:numPr>
        <w:spacing w:before="100" w:after="100"/>
        <w:contextualSpacing w:val="0"/>
        <w15:collapsed/>
      </w:pPr>
      <w:r>
        <w:t>Crucible design</w:t>
      </w:r>
    </w:p>
    <w:p w14:paraId="798474E2" w14:textId="13F2E5AE" w:rsidR="003610C6" w:rsidRDefault="003610C6">
      <w:r>
        <w:t>During the previous static melting series of experiments (A1-12),</w:t>
      </w:r>
      <w:r w:rsidRPr="00BE5137">
        <w:t xml:space="preserve"> </w:t>
      </w:r>
      <w:r>
        <w:t>not a single incident of crucible failure during glass melting was observed.</w:t>
      </w:r>
      <w:r w:rsidRPr="00BE5137">
        <w:t xml:space="preserve"> By comparison, in experiments</w:t>
      </w:r>
      <w:r>
        <w:t xml:space="preserve"> (B1-6)</w:t>
      </w:r>
      <w:r w:rsidRPr="00BE5137">
        <w:t>, m</w:t>
      </w:r>
      <w:r>
        <w:t>any</w:t>
      </w:r>
      <w:r w:rsidRPr="00BE5137">
        <w:t xml:space="preserve"> of the crucibles failed prematurely during glass melting. This could be explained by the following differences between the</w:t>
      </w:r>
      <w:r>
        <w:t xml:space="preserve"> two</w:t>
      </w:r>
      <w:r w:rsidRPr="00BE5137">
        <w:t xml:space="preserve"> experimental setups.</w:t>
      </w:r>
      <w:r>
        <w:t xml:space="preserve"> Firstly, in the static melting experiments, the depth of glass forming batch contained relative to the size of the crucibles was much greater than that of </w:t>
      </w:r>
      <w:r w:rsidR="004B172D">
        <w:t xml:space="preserve">these </w:t>
      </w:r>
      <w:r>
        <w:t>experiments</w:t>
      </w:r>
      <w:r w:rsidR="004B172D">
        <w:t xml:space="preserve"> (B1-6)</w:t>
      </w:r>
      <w:r>
        <w:t xml:space="preserve">. So, the glass melt would have acted as a buffer to the incoming solar radiation, attenuating and dispersing it before it impinged on the containing refractories, especially the base of the crucibles which appeared to be the most prone to fracture. Second, the static melting experiments were conducted inside single piece crucibles whereas the </w:t>
      </w:r>
      <w:r w:rsidRPr="00BB0125">
        <w:t>current series of glass melting experiments were conducted in modified crucibles produced by</w:t>
      </w:r>
      <w:r>
        <w:t xml:space="preserve"> cutting various pieces to shape (crucible, weir, and spout) and cementing them together. So, the stresses induced by the thermal gradients would be amplified by the great number of discontinuities in the walls of the modified crucibles. Third, in the previous series of experiments, once up to glass melting temperature, the beam intensity was held a nearly constant level until the end of the melting process. By contrast, in the current experiments, the beam power was frequently reduced to feed additional batch while at melting temperatures. Therefore, for </w:t>
      </w:r>
      <w:r w:rsidR="004B172D">
        <w:t xml:space="preserve">subsequent </w:t>
      </w:r>
      <w:r>
        <w:t xml:space="preserve">experiments, </w:t>
      </w:r>
      <w:r w:rsidR="004B172D">
        <w:t>it was decided to use</w:t>
      </w:r>
      <w:r w:rsidR="004B172D" w:rsidDel="004B172D">
        <w:t xml:space="preserve"> </w:t>
      </w:r>
      <w:r>
        <w:t>refractory crucibles designed to avoid stress concentrations, capable of holding a greater depth of melt with greater wall thickness for improved strength.</w:t>
      </w:r>
    </w:p>
    <w:p w14:paraId="69850021" w14:textId="77777777" w:rsidR="003610C6" w:rsidRDefault="003610C6">
      <w:r>
        <w:t>Significant variability in the durability of the crucibles were observed during the course of these experiments (B1-6). Since, there were variations in the dimensions and construction of the crucibles used, it was difficult to evaluate the whether the cause of the failures were mechanical or chemical. Furthermore, due to small differences in the exact location of the thermocouple with respect to the crucible resulted in significant different temperature measurements for similar heating regimes. Therefore for the next stage of the project (see chapter 5) a design focus was placed upon improving the crucible design and the temperature measuring systems.</w:t>
      </w:r>
    </w:p>
    <w:p w14:paraId="2E62DFE9" w14:textId="77777777" w:rsidR="003610C6" w:rsidRDefault="003610C6" w:rsidP="00C2720A">
      <w:pPr>
        <w:pStyle w:val="Heading3"/>
        <w:numPr>
          <w:ilvl w:val="2"/>
          <w:numId w:val="11"/>
        </w:numPr>
        <w:spacing w:before="100" w:after="100"/>
        <w:contextualSpacing w:val="0"/>
        <w15:collapsed/>
      </w:pPr>
      <w:r>
        <w:t>Secondary heating</w:t>
      </w:r>
    </w:p>
    <w:p w14:paraId="2234B308" w14:textId="3BC2DDDA" w:rsidR="003610C6" w:rsidRDefault="003610C6">
      <w:r>
        <w:t xml:space="preserve">Comparing the results of the melt flow experiments and corresponding flux intensity measurements </w:t>
      </w:r>
      <w:r w:rsidR="004B172D">
        <w:t xml:space="preserve">showed </w:t>
      </w:r>
      <w:r>
        <w:t>that at flux intensities lower than around 600 kW m</w:t>
      </w:r>
      <w:r>
        <w:rPr>
          <w:vertAlign w:val="superscript"/>
        </w:rPr>
        <w:t>-2</w:t>
      </w:r>
      <w:r>
        <w:t xml:space="preserve">, without a heat shield and secondary heat, the glass flow down the spout would freeze, preventing further flow. Transmission of heat from the beam within the main body of the melt has proven to be sufficiently effective to sustain a melt pool at the focal point of a solar beam. However, experiments B1-6 </w:t>
      </w:r>
      <w:r w:rsidR="004B172D">
        <w:t>showed</w:t>
      </w:r>
      <w:r>
        <w:t xml:space="preserve"> how transmission of the heat from the beam beyond the main body of the melt, carried by the glass out flow is very limited. In order to sustain any significant glass melt flow beyond the main body of the melt at the focal point of the beam, a secondary heat source capable of maintaining temperatures at</w:t>
      </w:r>
      <w:r w:rsidDel="0044201F">
        <w:t xml:space="preserve"> </w:t>
      </w:r>
      <w:r>
        <w:t>around 1200</w:t>
      </w:r>
      <w:r>
        <w:rPr>
          <w:vertAlign w:val="superscript"/>
        </w:rPr>
        <w:t>o</w:t>
      </w:r>
      <w:r>
        <w:t xml:space="preserve">C, coupled with heat shielding around the glass outflow is necessary. The problem of sustaining a glass outflow </w:t>
      </w:r>
      <w:r w:rsidR="004B172D">
        <w:t xml:space="preserve">did </w:t>
      </w:r>
      <w:r>
        <w:t xml:space="preserve">not appear to be solvable by increasing the beam intensity alone as increasing the beam intensity </w:t>
      </w:r>
      <w:r w:rsidR="004B172D">
        <w:t>significantly increased</w:t>
      </w:r>
      <w:r w:rsidR="004B172D" w:rsidDel="004B172D">
        <w:t xml:space="preserve"> </w:t>
      </w:r>
      <w:r>
        <w:t xml:space="preserve">the risk of the thermal shock of the refractories while having a relatively small effect on sustaining the glass outflow. Even for very high beam intensities, the rate of cooling outside the focal point </w:t>
      </w:r>
      <w:r w:rsidR="004B172D">
        <w:t xml:space="preserve">increased </w:t>
      </w:r>
      <w:r>
        <w:t xml:space="preserve">so fast that it </w:t>
      </w:r>
      <w:r w:rsidR="004B172D">
        <w:t xml:space="preserve">appeared </w:t>
      </w:r>
      <w:r>
        <w:t xml:space="preserve">to be infeasible to sustain the viscosity of flow required for any realistic forming processes. However, with a relatively small contribution from a secondary heat source coupled with adequate insulation around </w:t>
      </w:r>
      <w:r w:rsidR="004B172D">
        <w:t xml:space="preserve">the </w:t>
      </w:r>
      <w:r>
        <w:t>outflowing melt, it has been shown that a melt flow can be sustained. Another advantage of incorporating secondary heating demonstrated in experiment</w:t>
      </w:r>
      <w:r w:rsidR="004B172D">
        <w:t>s</w:t>
      </w:r>
      <w:r>
        <w:t xml:space="preserve"> B1-6 is that it can preheat the glass containing refractories which reduces the risk of thermal shock.</w:t>
      </w:r>
    </w:p>
    <w:p w14:paraId="5AC4F506" w14:textId="77777777" w:rsidR="003610C6" w:rsidRDefault="003610C6" w:rsidP="00C2720A">
      <w:pPr>
        <w:pStyle w:val="Heading3"/>
        <w:numPr>
          <w:ilvl w:val="2"/>
          <w:numId w:val="11"/>
        </w:numPr>
        <w:spacing w:before="100" w:after="100"/>
        <w:contextualSpacing w:val="0"/>
        <w15:collapsed/>
      </w:pPr>
      <w:r>
        <w:t>Fining</w:t>
      </w:r>
    </w:p>
    <w:p w14:paraId="50F8CD15" w14:textId="51C791B1" w:rsidR="003610C6" w:rsidRDefault="003610C6">
      <w:r>
        <w:t xml:space="preserve">One issue which has not been investigated in the current experimental series (B1-6) is that of fining (dissolution of residual sand </w:t>
      </w:r>
      <w:r w:rsidR="004B172D">
        <w:t>g</w:t>
      </w:r>
      <w:r>
        <w:t xml:space="preserve">rains and </w:t>
      </w:r>
      <w:r w:rsidR="004B172D">
        <w:t xml:space="preserve">removal of </w:t>
      </w:r>
      <w:r w:rsidR="00945C75">
        <w:t>g</w:t>
      </w:r>
      <w:r w:rsidR="004B172D">
        <w:t>as bubbles</w:t>
      </w:r>
      <w:r>
        <w:t>). In conventional furnaces this is a process which occurs over a period of</w:t>
      </w:r>
      <w:r w:rsidR="004B172D">
        <w:t xml:space="preserve"> up to 36</w:t>
      </w:r>
      <w:r>
        <w:t xml:space="preserve"> hours. Due the nature of </w:t>
      </w:r>
      <w:r w:rsidR="004B172D">
        <w:t xml:space="preserve">the design of </w:t>
      </w:r>
      <w:r>
        <w:t>experiment</w:t>
      </w:r>
      <w:r w:rsidR="004B172D">
        <w:t>s B1-6</w:t>
      </w:r>
      <w:r>
        <w:t xml:space="preserve">, it was not possible to control the retention time of the glass melt. So the retention time was only limited by the time required for the melt to flow across the crucible so would have been in the order of seconds to minutes. Despite this relatively short retention time, it was possible to fully convert the crystalline raw materials into an x-ray amorphous glass flow. </w:t>
      </w:r>
      <w:r w:rsidRPr="0044201F">
        <w:t xml:space="preserve">This </w:t>
      </w:r>
      <w:r>
        <w:t xml:space="preserve">was </w:t>
      </w:r>
      <w:r w:rsidRPr="0044201F">
        <w:t xml:space="preserve">helped by </w:t>
      </w:r>
      <w:r>
        <w:t>the pelleted batch which ensured</w:t>
      </w:r>
      <w:r w:rsidRPr="0044201F">
        <w:t xml:space="preserve"> that the batch components </w:t>
      </w:r>
      <w:r>
        <w:t>were</w:t>
      </w:r>
      <w:r w:rsidRPr="0044201F">
        <w:t xml:space="preserve"> well mixed.</w:t>
      </w:r>
      <w:r>
        <w:t xml:space="preserve"> However, there </w:t>
      </w:r>
      <w:r w:rsidR="004B172D">
        <w:t xml:space="preserve">were </w:t>
      </w:r>
      <w:r>
        <w:t>still some residual bubbles apparent in the glass produced. For the production of higher quality glass using solar radiation, a method of controlling the flow rate of the glass melt would be required to allow sufficient time for fining.</w:t>
      </w:r>
    </w:p>
    <w:p w14:paraId="73E079AA" w14:textId="77777777" w:rsidR="003610C6" w:rsidRDefault="003610C6" w:rsidP="00C2720A">
      <w:pPr>
        <w:pStyle w:val="Heading2"/>
        <w:keepLines/>
        <w:numPr>
          <w:ilvl w:val="1"/>
          <w:numId w:val="11"/>
        </w:numPr>
        <w:spacing w:before="100" w:after="100"/>
        <w:contextualSpacing w:val="0"/>
        <w15:collapsed/>
      </w:pPr>
      <w:bookmarkStart w:id="114" w:name="_Toc473995165"/>
      <w:r>
        <w:t>Conclusions and summary</w:t>
      </w:r>
      <w:bookmarkEnd w:id="114"/>
    </w:p>
    <w:p w14:paraId="05A86333" w14:textId="5D689DEE" w:rsidR="003610C6" w:rsidRDefault="003610C6">
      <w:r>
        <w:t>A series of experiments (B1-6) were conducted, using heat from a concentrated solar simulated beam to sustain a semi-continuous glass melting process. The experimental setup included a crucible with a lateral spout to allow the glass melt produced to flow out. The crucible was positioned at the focal point of a High Flux Solar Simulator beam and a feeder intermittently delivered pelletised soda-lime-silica glass forming batch into the crucible while sustaining beam power to allow continuity of the process. The geometry of the crucible, batch feeding rate and beam intensity profiles were incrementally adjusted to optimise the process over this series of experiments. It was found to be infeasible to sustain an open glass melting process using concentrated solar heat alone, as the flux intensities which the glass containing refractories could survive were shown to be insufficient to allow any melt flow away from the main body of the melt. However, with supplementary secondary heating at 1200</w:t>
      </w:r>
      <w:r>
        <w:rPr>
          <w:vertAlign w:val="superscript"/>
        </w:rPr>
        <w:t>o</w:t>
      </w:r>
      <w:r>
        <w:t xml:space="preserve">C, coupled with insulation around the glass outflow a consistent flow of molten glass away from the focal point of the beam </w:t>
      </w:r>
      <w:r w:rsidR="004B172D">
        <w:t>was</w:t>
      </w:r>
      <w:r>
        <w:t xml:space="preserve"> demonstrated. Also, use of secondary heating </w:t>
      </w:r>
      <w:r w:rsidR="004B172D">
        <w:t>was</w:t>
      </w:r>
      <w:r>
        <w:t xml:space="preserve"> shown to help with improving the distribution of heat over the refractories and thereby reducing the risk of thermal shock associated with using the concentrated solar radiation alone. </w:t>
      </w:r>
    </w:p>
    <w:p w14:paraId="27F2597F" w14:textId="77777777" w:rsidR="003610C6" w:rsidRDefault="003610C6">
      <w:r>
        <w:t xml:space="preserve">With </w:t>
      </w:r>
      <w:r w:rsidRPr="00480A1A">
        <w:t>1.5</w:t>
      </w:r>
      <w:r>
        <w:t>88 kW of the simulated solar radiation incident over the surface of the melt (</w:t>
      </w:r>
      <w:r w:rsidRPr="00480A1A">
        <w:t>average flux of 99</w:t>
      </w:r>
      <w:r>
        <w:t>9</w:t>
      </w:r>
      <w:r w:rsidRPr="00480A1A">
        <w:t xml:space="preserve"> kW m</w:t>
      </w:r>
      <w:r w:rsidRPr="00EB5BAB">
        <w:rPr>
          <w:vertAlign w:val="superscript"/>
        </w:rPr>
        <w:t>‒2</w:t>
      </w:r>
      <w:r>
        <w:t>) and secondary electrical heating at 1200</w:t>
      </w:r>
      <w:r>
        <w:rPr>
          <w:vertAlign w:val="superscript"/>
        </w:rPr>
        <w:t>o</w:t>
      </w:r>
      <w:r>
        <w:t>C around the outflowing glass, in experiment B6, a consistent glass flow was demonstrated with a glass melting rate of 0.021-0.031 g/s, corresponding to a thermal efficiency of 3.6-5.3% (</w:t>
      </w:r>
      <w:r>
        <w:fldChar w:fldCharType="begin"/>
      </w:r>
      <w:r>
        <w:instrText xml:space="preserve"> REF _Ref441585384 \h </w:instrText>
      </w:r>
      <w:r>
        <w:fldChar w:fldCharType="separate"/>
      </w:r>
      <w:r w:rsidR="00820EB1">
        <w:t xml:space="preserve">Table </w:t>
      </w:r>
      <w:r w:rsidR="00820EB1">
        <w:rPr>
          <w:noProof/>
        </w:rPr>
        <w:t>2</w:t>
      </w:r>
      <w:r>
        <w:fldChar w:fldCharType="end"/>
      </w:r>
      <w:r>
        <w:t>). This melting rate per unit area was similar to that of existing intermittently operated glass furnaces. However the actual throughput was very small due to the small surface area which was limited by the focal spot of the beam. This, coupled with the issue of the overly steep temperature gradients at the focal point of the beam has led to the conclusion that a better use of the solar beam would be to locate the surface of the melt beyond the focal plane of the beam where the radiation would be more dispersed but still sufficiently intense to allow melting over a much greater surface area and therefore allowing greater throughputs and reducing the risk of thermal shock.</w:t>
      </w:r>
    </w:p>
    <w:p w14:paraId="176018EF" w14:textId="1AFFECD1" w:rsidR="003610C6" w:rsidRDefault="003610C6">
      <w:r>
        <w:t>These experiments provided crucial insights into the sensitivity of glass containing refractory materials to thermal gradients induced by radiative heating of glass by a concentrated solar beam. Although many of the crucibles used in experiments</w:t>
      </w:r>
      <w:r w:rsidR="004B172D">
        <w:t xml:space="preserve"> B1-6</w:t>
      </w:r>
      <w:r>
        <w:t xml:space="preserve"> did fracture due to thermal shock, it </w:t>
      </w:r>
      <w:r w:rsidR="004B172D">
        <w:t>was</w:t>
      </w:r>
      <w:r>
        <w:t xml:space="preserve"> shown, that by careful control of a solar radiation beam power made possible by controlling the opening of shutters between the solar concentrator and the glass melt a glass melting process </w:t>
      </w:r>
      <w:r w:rsidR="004B172D">
        <w:t xml:space="preserve">could </w:t>
      </w:r>
      <w:r>
        <w:t xml:space="preserve">be sustained inside conventional refractory materials as opposed to much more expensive materials such as platinum which </w:t>
      </w:r>
      <w:r w:rsidR="004B172D">
        <w:t>otherwise would be</w:t>
      </w:r>
      <w:r>
        <w:t xml:space="preserve"> necessary to deal with the steep thermal gradients associated with direct heating from a solar beam. </w:t>
      </w:r>
      <w:r w:rsidR="004B172D">
        <w:t>It was concluded that i</w:t>
      </w:r>
      <w:r>
        <w:t xml:space="preserve">n order to sustain the long term operation required for a viable glass making process an improved crucible design, still made of conventional refractories but designed for greater thermal shock resistance than those used in </w:t>
      </w:r>
      <w:r w:rsidR="004B172D">
        <w:t>experiments B1-6 was required</w:t>
      </w:r>
      <w:r>
        <w:t xml:space="preserve">. Also, use of surrounding materials with greater thermal heat capacity combined with secondary heating would help to improve the resistance to thermal shock associated with solar heating. These </w:t>
      </w:r>
      <w:r w:rsidR="004B172D">
        <w:t xml:space="preserve">conclusions </w:t>
      </w:r>
      <w:r>
        <w:t xml:space="preserve">are addressed in </w:t>
      </w:r>
      <w:r w:rsidR="004B172D">
        <w:t xml:space="preserve">the work described in </w:t>
      </w:r>
      <w:r>
        <w:t>chapter 5.</w:t>
      </w:r>
    </w:p>
    <w:p w14:paraId="5CA93A5A" w14:textId="3D1DE5E8" w:rsidR="003610C6" w:rsidRDefault="004B172D">
      <w:r>
        <w:t>E</w:t>
      </w:r>
      <w:r w:rsidR="003610C6">
        <w:t>xperiments</w:t>
      </w:r>
      <w:r>
        <w:t xml:space="preserve"> B1-6</w:t>
      </w:r>
      <w:r w:rsidR="003610C6">
        <w:t xml:space="preserve"> have provided important insights into the utilisation of concentrated solar radiation to enable a consistent glass melting flow while sustaining the structural integrity of the containing refractories. Also, these experiments provide</w:t>
      </w:r>
      <w:r>
        <w:t xml:space="preserve">d </w:t>
      </w:r>
      <w:r w:rsidR="003610C6">
        <w:t>estimates of the beam power, crucible and furnace materials and dimensions, batch feed and glass melting throughputs as required for the next stage of development of a solar heated glass making process which is addressed in chapter 5.</w:t>
      </w:r>
    </w:p>
    <w:p w14:paraId="180B3E0F" w14:textId="77777777" w:rsidR="002B759B" w:rsidRPr="00195D88" w:rsidRDefault="0049646F" w:rsidP="00195D88">
      <w:pPr>
        <w:pStyle w:val="Heading1"/>
      </w:pPr>
      <w:r>
        <w:br w:type="page"/>
      </w:r>
      <w:bookmarkStart w:id="115" w:name="_Toc473995166"/>
      <w:r w:rsidR="002B759B" w:rsidRPr="00195D88">
        <w:lastRenderedPageBreak/>
        <w:t>Scale-up experiments</w:t>
      </w:r>
      <w:bookmarkEnd w:id="115"/>
    </w:p>
    <w:p w14:paraId="02588152" w14:textId="77777777" w:rsidR="002B759B" w:rsidRPr="00D6681B" w:rsidRDefault="002B759B" w:rsidP="002B759B">
      <w:pPr>
        <w:pStyle w:val="Heading2"/>
        <w:numPr>
          <w:ilvl w:val="1"/>
          <w:numId w:val="21"/>
        </w:numPr>
        <w:spacing w:before="100" w:after="100"/>
        <w:contextualSpacing w:val="0"/>
      </w:pPr>
      <w:r>
        <w:t xml:space="preserve"> </w:t>
      </w:r>
      <w:bookmarkStart w:id="116" w:name="_Toc473995167"/>
      <w:r w:rsidRPr="00D6681B">
        <w:t>Introduction</w:t>
      </w:r>
      <w:bookmarkEnd w:id="116"/>
    </w:p>
    <w:p w14:paraId="1865EACA" w14:textId="3D8BF6CA" w:rsidR="002B759B" w:rsidRDefault="002B759B" w:rsidP="00EA4BBA">
      <w:r>
        <w:t xml:space="preserve">In this chapter, following </w:t>
      </w:r>
      <w:r w:rsidR="00E00128">
        <w:t xml:space="preserve">the </w:t>
      </w:r>
      <w:r>
        <w:t xml:space="preserve">previous small scale experiments discussed in the previous two chapters, further experiments </w:t>
      </w:r>
      <w:r w:rsidR="00E00128">
        <w:t>constituting</w:t>
      </w:r>
      <w:r>
        <w:t xml:space="preserve"> the next stage in development of solar glass melting are discussed. This involved the design, construction and testing of a scaled-up solar glass melting furnace to demonstrate higher thermal efficiency and capability to deal with intermittent radiation availability as required to simulate more realistic solar powered operation. A scaled up solar heated glass melting furnace was required to provide data regarding the efficiency, productivity and practical barriers to the</w:t>
      </w:r>
      <w:r w:rsidRPr="008D67B3">
        <w:t xml:space="preserve"> commercialisation</w:t>
      </w:r>
      <w:r>
        <w:t xml:space="preserve"> of solar heated glass melting technology. </w:t>
      </w:r>
      <w:r w:rsidR="00E00128">
        <w:t xml:space="preserve">This scale-up was </w:t>
      </w:r>
      <w:r w:rsidR="00B2288F">
        <w:t>intended</w:t>
      </w:r>
      <w:r w:rsidR="00E00128">
        <w:t xml:space="preserve"> to</w:t>
      </w:r>
      <w:r>
        <w:t xml:space="preserve"> improve understanding of the practical applicability of solar glass melting by finding limitations in the process and by analysing the glass produced therein.</w:t>
      </w:r>
    </w:p>
    <w:p w14:paraId="18ED07DD" w14:textId="15B96EC7" w:rsidR="002B759B" w:rsidRDefault="002B759B" w:rsidP="002B759B">
      <w:pPr>
        <w:pStyle w:val="Heading2"/>
        <w:numPr>
          <w:ilvl w:val="1"/>
          <w:numId w:val="21"/>
        </w:numPr>
        <w:spacing w:before="100" w:after="100"/>
        <w:contextualSpacing w:val="0"/>
      </w:pPr>
      <w:bookmarkStart w:id="117" w:name="_Ref427139721"/>
      <w:r>
        <w:t xml:space="preserve"> </w:t>
      </w:r>
      <w:bookmarkStart w:id="118" w:name="_Toc473995168"/>
      <w:r w:rsidRPr="00703855">
        <w:t>Initial design</w:t>
      </w:r>
      <w:bookmarkEnd w:id="118"/>
    </w:p>
    <w:bookmarkEnd w:id="117"/>
    <w:p w14:paraId="58536C28" w14:textId="52BA489F" w:rsidR="002B759B" w:rsidRPr="00665552" w:rsidRDefault="002B759B" w:rsidP="002B759B">
      <w:pPr>
        <w:pStyle w:val="Heading3"/>
        <w:keepLines w:val="0"/>
        <w:numPr>
          <w:ilvl w:val="2"/>
          <w:numId w:val="21"/>
        </w:numPr>
        <w:spacing w:before="100" w:after="100"/>
        <w:contextualSpacing w:val="0"/>
      </w:pPr>
      <w:r w:rsidRPr="00665552">
        <w:t>Design specifications overview</w:t>
      </w:r>
    </w:p>
    <w:p w14:paraId="13692BF0" w14:textId="77777777" w:rsidR="002B759B" w:rsidRDefault="002B759B" w:rsidP="00EA4BBA">
      <w:r w:rsidRPr="003B18C5">
        <w:t xml:space="preserve">A scale up reactor was designed with the aim of demonstrating efficient use of concentrated solar radiation for melting glass forming batches. Also, in order to demonstrate operation with intermittent availability of solar radiation the scale up reactor was designed to use secondary electrical heating to maintain sufficient temperatures inside the furnace during periods of unavailability of direct ‘solar’ radiation. </w:t>
      </w:r>
    </w:p>
    <w:p w14:paraId="44C75979" w14:textId="1306B7EF" w:rsidR="002B759B" w:rsidRDefault="002B759B" w:rsidP="00EA4BBA">
      <w:r>
        <w:t xml:space="preserve">The </w:t>
      </w:r>
      <w:r w:rsidR="00973F49">
        <w:t>general design</w:t>
      </w:r>
      <w:r w:rsidR="00973F49" w:rsidDel="00973F49">
        <w:t xml:space="preserve"> </w:t>
      </w:r>
      <w:r w:rsidR="00973F49">
        <w:t xml:space="preserve">of </w:t>
      </w:r>
      <w:r>
        <w:t xml:space="preserve">solar glass melting furnace essentially consisted of an insulated box with the following main features: </w:t>
      </w:r>
    </w:p>
    <w:p w14:paraId="2EC05525" w14:textId="1CA2CACE" w:rsidR="002B759B" w:rsidRDefault="002B759B" w:rsidP="002B759B">
      <w:pPr>
        <w:pStyle w:val="ListParagraph"/>
        <w:numPr>
          <w:ilvl w:val="0"/>
          <w:numId w:val="15"/>
        </w:numPr>
        <w:spacing w:before="100" w:after="100"/>
      </w:pPr>
      <w:r>
        <w:t xml:space="preserve">Beam inlet section: </w:t>
      </w:r>
      <w:r w:rsidR="00973F49">
        <w:t xml:space="preserve">for </w:t>
      </w:r>
      <w:r>
        <w:t xml:space="preserve">the solar radiation </w:t>
      </w:r>
      <w:r w:rsidR="00973F49">
        <w:t xml:space="preserve">to </w:t>
      </w:r>
      <w:r>
        <w:t>enter the furnace;</w:t>
      </w:r>
    </w:p>
    <w:p w14:paraId="238F2C48" w14:textId="77777777" w:rsidR="002B759B" w:rsidRDefault="002B759B" w:rsidP="002B759B">
      <w:pPr>
        <w:pStyle w:val="ListParagraph"/>
        <w:numPr>
          <w:ilvl w:val="0"/>
          <w:numId w:val="15"/>
        </w:numPr>
        <w:spacing w:before="100" w:after="100"/>
      </w:pPr>
      <w:r>
        <w:t>Batch feed: to deliver the glass forming raw materials to the melting zone;</w:t>
      </w:r>
    </w:p>
    <w:p w14:paraId="46A296B4" w14:textId="238FD572" w:rsidR="002B759B" w:rsidRDefault="002B759B" w:rsidP="002B759B">
      <w:pPr>
        <w:pStyle w:val="ListParagraph"/>
        <w:numPr>
          <w:ilvl w:val="0"/>
          <w:numId w:val="15"/>
        </w:numPr>
        <w:spacing w:before="100" w:after="100"/>
      </w:pPr>
      <w:r>
        <w:t xml:space="preserve">Melting zone: </w:t>
      </w:r>
      <w:r w:rsidR="005F126B">
        <w:t xml:space="preserve">to melt </w:t>
      </w:r>
      <w:r>
        <w:t xml:space="preserve">the glass forming batch by the solar </w:t>
      </w:r>
      <w:r w:rsidR="005F126B">
        <w:t>ir</w:t>
      </w:r>
      <w:r>
        <w:t>radiation;</w:t>
      </w:r>
    </w:p>
    <w:p w14:paraId="667C5B58" w14:textId="089DA1EF" w:rsidR="002B759B" w:rsidRDefault="002B759B" w:rsidP="002B759B">
      <w:pPr>
        <w:pStyle w:val="ListParagraph"/>
        <w:numPr>
          <w:ilvl w:val="0"/>
          <w:numId w:val="15"/>
        </w:numPr>
        <w:spacing w:before="100" w:after="100"/>
      </w:pPr>
      <w:r>
        <w:t xml:space="preserve">Glass accumulation section: </w:t>
      </w:r>
      <w:r w:rsidR="005F126B">
        <w:t xml:space="preserve">to hold </w:t>
      </w:r>
      <w:r>
        <w:t xml:space="preserve">the molten glass at temperature to homogenise and </w:t>
      </w:r>
      <w:r w:rsidR="005F126B">
        <w:t>evolve gaseous products</w:t>
      </w:r>
      <w:r>
        <w:t>;</w:t>
      </w:r>
    </w:p>
    <w:p w14:paraId="4BC924A5" w14:textId="707DE953" w:rsidR="002B759B" w:rsidRDefault="002B759B" w:rsidP="002B759B">
      <w:pPr>
        <w:pStyle w:val="ListParagraph"/>
        <w:numPr>
          <w:ilvl w:val="0"/>
          <w:numId w:val="15"/>
        </w:numPr>
        <w:spacing w:before="100" w:after="100"/>
      </w:pPr>
      <w:r>
        <w:t xml:space="preserve">Secondary heating: to prevent thermal shock of refractories </w:t>
      </w:r>
      <w:r w:rsidR="005F126B">
        <w:t xml:space="preserve">in the event of </w:t>
      </w:r>
      <w:r>
        <w:t>solar radiation supply cut off (to simulate realistic operation dealing with intermittency of solar radiation availability);</w:t>
      </w:r>
    </w:p>
    <w:p w14:paraId="7E8FBA6F" w14:textId="3B6B795C" w:rsidR="002B759B" w:rsidRDefault="002B759B" w:rsidP="002B759B">
      <w:pPr>
        <w:pStyle w:val="ListParagraph"/>
        <w:numPr>
          <w:ilvl w:val="0"/>
          <w:numId w:val="15"/>
        </w:numPr>
        <w:spacing w:before="100" w:after="100"/>
      </w:pPr>
      <w:r>
        <w:t xml:space="preserve">Glass out-flow system: to control the flowrate and temperature of the glass leaving the accumulation section in order to allow the glass to hold for </w:t>
      </w:r>
      <w:r w:rsidR="00EB5F44">
        <w:t>fining</w:t>
      </w:r>
      <w:r>
        <w:t xml:space="preserve"> as long as required and then </w:t>
      </w:r>
      <w:r w:rsidR="0043638C">
        <w:t xml:space="preserve">to </w:t>
      </w:r>
      <w:r>
        <w:t>flow out, at a reduced temperature, suitable for the subsequent forming process;</w:t>
      </w:r>
    </w:p>
    <w:p w14:paraId="6AF03520" w14:textId="225903F6" w:rsidR="002B759B" w:rsidRDefault="002B759B" w:rsidP="002B759B">
      <w:pPr>
        <w:pStyle w:val="ListParagraph"/>
        <w:numPr>
          <w:ilvl w:val="0"/>
          <w:numId w:val="15"/>
        </w:numPr>
        <w:spacing w:before="100" w:after="100"/>
      </w:pPr>
      <w:r>
        <w:t>Forming process: to form the fined, molten glass into its final solid product to demonstrate the potential for manufacturing useful glass products;</w:t>
      </w:r>
      <w:r w:rsidR="00CB5E0B">
        <w:tab/>
      </w:r>
    </w:p>
    <w:p w14:paraId="1C32EFC2" w14:textId="1368D2F7" w:rsidR="002B759B" w:rsidRDefault="002B759B" w:rsidP="002B759B">
      <w:pPr>
        <w:pStyle w:val="ListParagraph"/>
        <w:numPr>
          <w:ilvl w:val="0"/>
          <w:numId w:val="15"/>
        </w:numPr>
        <w:spacing w:before="100" w:after="100"/>
      </w:pPr>
      <w:r>
        <w:lastRenderedPageBreak/>
        <w:t xml:space="preserve">Annealing and slow cooling: </w:t>
      </w:r>
      <w:r w:rsidR="0043638C">
        <w:t xml:space="preserve">to </w:t>
      </w:r>
      <w:r>
        <w:t>control the temperature profile of the glass to limit internal stresses otherwise induced within the glass by natural cooling.</w:t>
      </w:r>
    </w:p>
    <w:p w14:paraId="6924A4F0" w14:textId="77777777" w:rsidR="002B759B" w:rsidRDefault="002B759B" w:rsidP="00EA4BBA">
      <w:r>
        <w:t>A summary of the design of this solar glass melting system especially built for the experiments described in this chapter are discussed in the following subsections.</w:t>
      </w:r>
    </w:p>
    <w:p w14:paraId="3DD8859F" w14:textId="6A87B625" w:rsidR="002B759B" w:rsidRPr="00665552" w:rsidRDefault="002B759B" w:rsidP="002B759B">
      <w:pPr>
        <w:pStyle w:val="Heading3"/>
        <w:keepLines w:val="0"/>
        <w:numPr>
          <w:ilvl w:val="2"/>
          <w:numId w:val="21"/>
        </w:numPr>
        <w:spacing w:before="100" w:after="100"/>
        <w:contextualSpacing w:val="0"/>
      </w:pPr>
      <w:bookmarkStart w:id="119" w:name="_Ref427054382"/>
      <w:r w:rsidRPr="00665552">
        <w:t>Glass melt containment</w:t>
      </w:r>
      <w:bookmarkEnd w:id="119"/>
    </w:p>
    <w:p w14:paraId="5C7324B7" w14:textId="77777777" w:rsidR="0043638C" w:rsidRDefault="002B759B" w:rsidP="00EA4BBA">
      <w:r>
        <w:t xml:space="preserve">A container was designed to hold the glass melt with the following requirements: </w:t>
      </w:r>
    </w:p>
    <w:p w14:paraId="6A640791" w14:textId="761C6EF3" w:rsidR="0043638C" w:rsidRDefault="002B759B" w:rsidP="00EA4BBA">
      <w:r>
        <w:t xml:space="preserve">1) a glass melting surface </w:t>
      </w:r>
      <w:r w:rsidR="0043638C">
        <w:t>to receive</w:t>
      </w:r>
      <w:r>
        <w:t xml:space="preserve"> </w:t>
      </w:r>
      <w:r w:rsidR="0043638C">
        <w:t>the</w:t>
      </w:r>
      <w:r>
        <w:t xml:space="preserve"> batch </w:t>
      </w:r>
      <w:r w:rsidR="0043638C">
        <w:t xml:space="preserve">feed and to be </w:t>
      </w:r>
      <w:r>
        <w:t xml:space="preserve">heated by the greatest possible fraction </w:t>
      </w:r>
      <w:r w:rsidR="0043638C">
        <w:t xml:space="preserve">of </w:t>
      </w:r>
      <w:r>
        <w:t xml:space="preserve">the </w:t>
      </w:r>
      <w:r w:rsidRPr="001E177E">
        <w:t>direct</w:t>
      </w:r>
      <w:r>
        <w:t xml:space="preserve"> radiation from the beam over the maximum possible surface area in order to maximise the melting rate; </w:t>
      </w:r>
    </w:p>
    <w:p w14:paraId="6DE3DC3D" w14:textId="5C0C0BEB" w:rsidR="0043638C" w:rsidRDefault="002B759B" w:rsidP="00EA4BBA">
      <w:r>
        <w:t xml:space="preserve">2) an accumulation zone </w:t>
      </w:r>
      <w:r w:rsidR="0043638C">
        <w:t xml:space="preserve">for </w:t>
      </w:r>
      <w:r>
        <w:t xml:space="preserve">the fully melted glass </w:t>
      </w:r>
      <w:r w:rsidR="0043638C">
        <w:t xml:space="preserve">to </w:t>
      </w:r>
      <w:r>
        <w:t>be held at around 1500</w:t>
      </w:r>
      <w:r>
        <w:rPr>
          <w:vertAlign w:val="superscript"/>
        </w:rPr>
        <w:t>o</w:t>
      </w:r>
      <w:r>
        <w:t xml:space="preserve">C to remove bubbles and homogenise; </w:t>
      </w:r>
    </w:p>
    <w:p w14:paraId="368AF6F5" w14:textId="59850FC3" w:rsidR="002B759B" w:rsidRDefault="002B759B" w:rsidP="00EA4BBA">
      <w:r>
        <w:t xml:space="preserve">3) a path for the glass to flow out from the accumulation zone to somewhere accessible for the subsequent forming process. </w:t>
      </w:r>
    </w:p>
    <w:p w14:paraId="0C30F8D0" w14:textId="77777777" w:rsidR="002B759B" w:rsidRDefault="002B759B" w:rsidP="00EA4BBA">
      <w:r>
        <w:t xml:space="preserve">Two main configurations of the glass containment were considered: </w:t>
      </w:r>
    </w:p>
    <w:p w14:paraId="4DC5F4F1" w14:textId="77777777" w:rsidR="002B759B" w:rsidRDefault="002B759B" w:rsidP="002B759B">
      <w:pPr>
        <w:pStyle w:val="ListParagraph"/>
        <w:numPr>
          <w:ilvl w:val="0"/>
          <w:numId w:val="16"/>
        </w:numPr>
        <w:spacing w:before="100" w:after="100"/>
      </w:pPr>
      <w:r>
        <w:t>Single chamber (</w:t>
      </w:r>
      <w:r>
        <w:fldChar w:fldCharType="begin"/>
      </w:r>
      <w:r>
        <w:instrText xml:space="preserve"> REF _Ref427391915 \h </w:instrText>
      </w:r>
      <w:r>
        <w:fldChar w:fldCharType="separate"/>
      </w:r>
      <w:r w:rsidR="00820EB1">
        <w:t xml:space="preserve">Figure </w:t>
      </w:r>
      <w:r w:rsidR="00820EB1">
        <w:rPr>
          <w:noProof/>
        </w:rPr>
        <w:t>50</w:t>
      </w:r>
      <w:r>
        <w:fldChar w:fldCharType="end"/>
      </w:r>
      <w:r>
        <w:t xml:space="preserve">a): where the glass melting would occur in the same chamber as where the glass accumulated, with the melting surface simply on the top of the accumulated glass, below which would be an outlet tube controlled by a freeze-thaw valve. </w:t>
      </w:r>
    </w:p>
    <w:p w14:paraId="3E528FED" w14:textId="77777777" w:rsidR="002B759B" w:rsidRDefault="002B759B" w:rsidP="002B759B">
      <w:pPr>
        <w:pStyle w:val="ListParagraph"/>
        <w:numPr>
          <w:ilvl w:val="0"/>
          <w:numId w:val="16"/>
        </w:numPr>
        <w:spacing w:before="100" w:after="100"/>
      </w:pPr>
      <w:r>
        <w:t>Dual chamber (</w:t>
      </w:r>
      <w:r>
        <w:fldChar w:fldCharType="begin"/>
      </w:r>
      <w:r>
        <w:instrText xml:space="preserve"> REF _Ref427391915 \h </w:instrText>
      </w:r>
      <w:r>
        <w:fldChar w:fldCharType="separate"/>
      </w:r>
      <w:r w:rsidR="00820EB1">
        <w:t xml:space="preserve">Figure </w:t>
      </w:r>
      <w:r w:rsidR="00820EB1">
        <w:rPr>
          <w:noProof/>
        </w:rPr>
        <w:t>50</w:t>
      </w:r>
      <w:r>
        <w:fldChar w:fldCharType="end"/>
      </w:r>
      <w:r>
        <w:t xml:space="preserve">b): where the glass would be melted in an initial chamber and then flow laterally to an adjacent chamber where it could be held before being forced out by a plunger via freeze-thaw valve. </w:t>
      </w:r>
    </w:p>
    <w:p w14:paraId="006850CB" w14:textId="4F7709E3" w:rsidR="002B759B" w:rsidRDefault="002B759B" w:rsidP="00EA4BBA">
      <w:pPr>
        <w:pStyle w:val="Title"/>
      </w:pPr>
      <w:r w:rsidRPr="00D46C53">
        <w:drawing>
          <wp:inline distT="0" distB="0" distL="0" distR="0" wp14:anchorId="6F4363D4" wp14:editId="0759A299">
            <wp:extent cx="3562350" cy="2124075"/>
            <wp:effectExtent l="0" t="0" r="0" b="9525"/>
            <wp:docPr id="238"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4">
                      <a:extLst>
                        <a:ext uri="{28A0092B-C50C-407E-A947-70E740481C1C}">
                          <a14:useLocalDpi xmlns:a14="http://schemas.microsoft.com/office/drawing/2010/main" val="0"/>
                        </a:ext>
                      </a:extLst>
                    </a:blip>
                    <a:srcRect l="18874" t="11842" r="18958" b="22266"/>
                    <a:stretch>
                      <a:fillRect/>
                    </a:stretch>
                  </pic:blipFill>
                  <pic:spPr bwMode="auto">
                    <a:xfrm>
                      <a:off x="0" y="0"/>
                      <a:ext cx="3562350" cy="2124075"/>
                    </a:xfrm>
                    <a:prstGeom prst="rect">
                      <a:avLst/>
                    </a:prstGeom>
                    <a:noFill/>
                    <a:ln>
                      <a:noFill/>
                    </a:ln>
                  </pic:spPr>
                </pic:pic>
              </a:graphicData>
            </a:graphic>
          </wp:inline>
        </w:drawing>
      </w:r>
    </w:p>
    <w:p w14:paraId="3CF0191E" w14:textId="77777777" w:rsidR="002B759B" w:rsidRDefault="002B759B" w:rsidP="00EA4BBA">
      <w:pPr>
        <w:pStyle w:val="Caption"/>
      </w:pPr>
      <w:bookmarkStart w:id="120" w:name="_Ref427391915"/>
      <w:r>
        <w:t xml:space="preserve">Figure </w:t>
      </w:r>
      <w:r w:rsidR="00A47317">
        <w:fldChar w:fldCharType="begin"/>
      </w:r>
      <w:r w:rsidR="00A47317">
        <w:instrText xml:space="preserve"> SEQ Figure \* ARABIC </w:instrText>
      </w:r>
      <w:r w:rsidR="00A47317">
        <w:fldChar w:fldCharType="separate"/>
      </w:r>
      <w:r w:rsidR="00820EB1">
        <w:rPr>
          <w:noProof/>
        </w:rPr>
        <w:t>50</w:t>
      </w:r>
      <w:r w:rsidR="00A47317">
        <w:rPr>
          <w:noProof/>
        </w:rPr>
        <w:fldChar w:fldCharType="end"/>
      </w:r>
      <w:bookmarkEnd w:id="120"/>
      <w:r>
        <w:t>: Schematic showing a) single vs b) dual chamber melt containment concepts</w:t>
      </w:r>
    </w:p>
    <w:p w14:paraId="62007588" w14:textId="0AE5DED3" w:rsidR="002B759B" w:rsidRDefault="002B759B" w:rsidP="00EA4BBA">
      <w:r>
        <w:t xml:space="preserve">The advantage of the single chamber concept included its relative simplicity of construction and therefore </w:t>
      </w:r>
      <w:r w:rsidR="001B18BB">
        <w:t xml:space="preserve">lower </w:t>
      </w:r>
      <w:r>
        <w:t xml:space="preserve">cost. Also, it would enable use of a greater fraction of the direct radiation of the beam to be absorbed by the accumulating glass compared to the dual chamber concept where the accumulated glass would be in a separate chamber and therefore would be difficult to receive </w:t>
      </w:r>
      <w:r>
        <w:lastRenderedPageBreak/>
        <w:t xml:space="preserve">direct radiation from the beam. The main advantage of the dual chamber concept considered was the ability to incorporate a plunger to force globs of glass through the outlet. This </w:t>
      </w:r>
      <w:r w:rsidR="00A80EC9">
        <w:t>was not possible</w:t>
      </w:r>
      <w:r>
        <w:t xml:space="preserve"> in the single chamber concept as the plunger would inevitably block the path of the incoming beam. Therefore the single chamber concept </w:t>
      </w:r>
      <w:r w:rsidR="00A80EC9">
        <w:t>relied</w:t>
      </w:r>
      <w:r>
        <w:t xml:space="preserve"> on temperature changes at the outlet to control the outflow which </w:t>
      </w:r>
      <w:r w:rsidR="00AE1FD8">
        <w:t>made</w:t>
      </w:r>
      <w:r>
        <w:t xml:space="preserve"> it relatively difficult to produce discrete globs of glass, due to the </w:t>
      </w:r>
      <w:r w:rsidRPr="005C54F7">
        <w:t>continuous</w:t>
      </w:r>
      <w:r>
        <w:t xml:space="preserve">, non-linear function describing the relationship between the viscosity and temperature of glasses. Whereas the combined effect of increasing temperature and pressure applied by a plunger as </w:t>
      </w:r>
      <w:r w:rsidR="00AE1FD8">
        <w:t>would have been</w:t>
      </w:r>
      <w:r>
        <w:t xml:space="preserve"> possible with the dual chamber would </w:t>
      </w:r>
      <w:r w:rsidR="00AE1FD8">
        <w:t xml:space="preserve">have </w:t>
      </w:r>
      <w:r>
        <w:t xml:space="preserve">provide a much more reliable method of extracting discrete quantities of glass from the melting process. Furthermore, the use of plunger, combined with shears at the outlet could </w:t>
      </w:r>
      <w:r w:rsidR="00AE1FD8">
        <w:t xml:space="preserve">have </w:t>
      </w:r>
      <w:r>
        <w:t xml:space="preserve">enable consistent, discrete globs of glass to be produced which would </w:t>
      </w:r>
      <w:r w:rsidR="00AE1FD8">
        <w:t xml:space="preserve">have been </w:t>
      </w:r>
      <w:r>
        <w:t xml:space="preserve">ideal for demonstrating many glass forming processes such as casting and blowing whereas the use of temperature changes alone could only allow a stream to be produced which </w:t>
      </w:r>
      <w:r w:rsidR="00AE1FD8">
        <w:t>was</w:t>
      </w:r>
      <w:r>
        <w:t xml:space="preserve"> more difficult to form. However, the cost of the smallest glass gob feeder system (automated plunger, shears and freezer thaw valve) commerc</w:t>
      </w:r>
      <w:r w:rsidR="00F24FA6">
        <w:t>ially available was around £200k</w:t>
      </w:r>
      <w:r>
        <w:t xml:space="preserve"> which was too expensive for this project. Therefore, the single chamber concept was selected instead. </w:t>
      </w:r>
    </w:p>
    <w:p w14:paraId="46A9BE45" w14:textId="21774E62" w:rsidR="002B759B" w:rsidRDefault="002B759B" w:rsidP="00EA4BBA">
      <w:r>
        <w:t xml:space="preserve">Also, the melting surface area was a critical design parameter because if it was too small, the melting rate and the volume of glass contained would </w:t>
      </w:r>
      <w:r w:rsidR="001B18BB">
        <w:t xml:space="preserve">have </w:t>
      </w:r>
      <w:r>
        <w:t>be</w:t>
      </w:r>
      <w:r w:rsidR="001B18BB">
        <w:t>en</w:t>
      </w:r>
      <w:r>
        <w:t xml:space="preserve"> limited and so the purpose of demonstrating a significant ‘scale-up’ from the previous series of experiments would be lost. Conversely, if the melting surface area was too large, the beam intensity spread over this surface might</w:t>
      </w:r>
      <w:r w:rsidR="00A80EC9">
        <w:t xml:space="preserve"> have been</w:t>
      </w:r>
      <w:r>
        <w:t xml:space="preserve"> too low to allow the batch to melt completely. Also the overall furnace dimensions </w:t>
      </w:r>
      <w:r w:rsidR="00A80EC9">
        <w:t>had</w:t>
      </w:r>
      <w:r>
        <w:t xml:space="preserve"> to be built around this and needed to fit within the </w:t>
      </w:r>
      <w:r w:rsidR="00A80EC9">
        <w:t xml:space="preserve">space constraint of the </w:t>
      </w:r>
      <w:r>
        <w:t xml:space="preserve">HFSS experimental </w:t>
      </w:r>
      <w:r w:rsidR="00A80EC9">
        <w:t>facility</w:t>
      </w:r>
      <w:r>
        <w:t xml:space="preserve">. Another design parameter was the depth of the glass container. This was required to contain sufficient volume of glass to be produced during the course of a day and to demonstrate forming processes. However, the expected melting rate was unknown as </w:t>
      </w:r>
      <w:r w:rsidR="00A80EC9">
        <w:t xml:space="preserve">the </w:t>
      </w:r>
      <w:r>
        <w:t xml:space="preserve">results of </w:t>
      </w:r>
      <w:r w:rsidR="00A80EC9">
        <w:t xml:space="preserve">the </w:t>
      </w:r>
      <w:r>
        <w:t>previous experiments were not comparable due to the significant planned changes to the glass melt containment for these scale-up experiments. Also, the depth of glass to be contained was limited by the depth  of glass through which heat from the solar radiation could penetrate as it was essential that all the glass contained was maintained at around 1500</w:t>
      </w:r>
      <w:r>
        <w:rPr>
          <w:vertAlign w:val="superscript"/>
        </w:rPr>
        <w:t>o</w:t>
      </w:r>
      <w:r>
        <w:t>C otherwise there would be a risk of unmelted raw materials being entrained in the final glass produced therefore reducing its useful applicability. Considering these constraints, melting surface area of around 300 cm</w:t>
      </w:r>
      <w:r>
        <w:rPr>
          <w:vertAlign w:val="superscript"/>
        </w:rPr>
        <w:t>2</w:t>
      </w:r>
      <w:r>
        <w:t xml:space="preserve"> and depth of 14 cm depth was selected.</w:t>
      </w:r>
    </w:p>
    <w:p w14:paraId="78F52B10" w14:textId="4776F83F" w:rsidR="002B759B" w:rsidRDefault="002B759B" w:rsidP="00EA4BBA">
      <w:r>
        <w:t xml:space="preserve">Another parameter </w:t>
      </w:r>
      <w:r w:rsidR="001B18BB">
        <w:t xml:space="preserve">that effected </w:t>
      </w:r>
      <w:r>
        <w:t>the design of the glass melt containment was the location of the electrical heating elements required for the main chamber to maintain temperature during periods when the beam was off. This was relevant to the construction of the melt container as explained in the following subsection. In this regard two configurations were considered with either the heating elements outside the glass melting container (</w:t>
      </w:r>
      <w:r>
        <w:fldChar w:fldCharType="begin"/>
      </w:r>
      <w:r>
        <w:instrText xml:space="preserve"> REF _Ref451034052 \h </w:instrText>
      </w:r>
      <w:r>
        <w:fldChar w:fldCharType="separate"/>
      </w:r>
      <w:r w:rsidR="00820EB1">
        <w:t xml:space="preserve">Figure </w:t>
      </w:r>
      <w:r w:rsidR="00820EB1">
        <w:rPr>
          <w:noProof/>
        </w:rPr>
        <w:t>51</w:t>
      </w:r>
      <w:r>
        <w:fldChar w:fldCharType="end"/>
      </w:r>
      <w:r>
        <w:rPr>
          <w:noProof/>
        </w:rPr>
        <w:t>a</w:t>
      </w:r>
      <w:r>
        <w:t>) or inside (</w:t>
      </w:r>
      <w:r>
        <w:fldChar w:fldCharType="begin"/>
      </w:r>
      <w:r>
        <w:instrText xml:space="preserve"> REF _Ref451034052 \h </w:instrText>
      </w:r>
      <w:r>
        <w:fldChar w:fldCharType="separate"/>
      </w:r>
      <w:r w:rsidR="00820EB1">
        <w:t xml:space="preserve">Figure </w:t>
      </w:r>
      <w:r w:rsidR="00820EB1">
        <w:rPr>
          <w:noProof/>
        </w:rPr>
        <w:t>51</w:t>
      </w:r>
      <w:r>
        <w:fldChar w:fldCharType="end"/>
      </w:r>
      <w:r>
        <w:rPr>
          <w:noProof/>
        </w:rPr>
        <w:t>b).</w:t>
      </w:r>
    </w:p>
    <w:p w14:paraId="70820862" w14:textId="77777777" w:rsidR="002B759B" w:rsidRDefault="002B759B" w:rsidP="00EA4BBA">
      <w:pPr>
        <w:pStyle w:val="Caption"/>
      </w:pPr>
      <w:bookmarkStart w:id="121" w:name="_Ref426621421"/>
      <w:r w:rsidRPr="00D46C53">
        <w:rPr>
          <w:noProof/>
          <w:lang w:eastAsia="en-GB"/>
        </w:rPr>
        <w:lastRenderedPageBreak/>
        <w:drawing>
          <wp:inline distT="0" distB="0" distL="0" distR="0" wp14:anchorId="14BF6E53" wp14:editId="0EF8161C">
            <wp:extent cx="4295775" cy="2667000"/>
            <wp:effectExtent l="0" t="0" r="9525" b="0"/>
            <wp:docPr id="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l="17900" t="12830" r="18265" b="16574"/>
                    <a:stretch>
                      <a:fillRect/>
                    </a:stretch>
                  </pic:blipFill>
                  <pic:spPr bwMode="auto">
                    <a:xfrm>
                      <a:off x="0" y="0"/>
                      <a:ext cx="4295775" cy="2667000"/>
                    </a:xfrm>
                    <a:prstGeom prst="rect">
                      <a:avLst/>
                    </a:prstGeom>
                    <a:noFill/>
                    <a:ln>
                      <a:noFill/>
                    </a:ln>
                  </pic:spPr>
                </pic:pic>
              </a:graphicData>
            </a:graphic>
          </wp:inline>
        </w:drawing>
      </w:r>
    </w:p>
    <w:p w14:paraId="4788964E" w14:textId="4E1C1811" w:rsidR="002B759B" w:rsidRDefault="002B759B" w:rsidP="00EA4BBA">
      <w:pPr>
        <w:pStyle w:val="Caption"/>
      </w:pPr>
      <w:bookmarkStart w:id="122" w:name="_Ref451034052"/>
      <w:r>
        <w:t xml:space="preserve">Figure </w:t>
      </w:r>
      <w:r w:rsidR="00A47317">
        <w:fldChar w:fldCharType="begin"/>
      </w:r>
      <w:r w:rsidR="00A47317">
        <w:instrText xml:space="preserve"> SEQ Figure \* ARABIC </w:instrText>
      </w:r>
      <w:r w:rsidR="00A47317">
        <w:fldChar w:fldCharType="separate"/>
      </w:r>
      <w:r w:rsidR="00820EB1">
        <w:rPr>
          <w:noProof/>
        </w:rPr>
        <w:t>51</w:t>
      </w:r>
      <w:r w:rsidR="00A47317">
        <w:rPr>
          <w:noProof/>
        </w:rPr>
        <w:fldChar w:fldCharType="end"/>
      </w:r>
      <w:bookmarkEnd w:id="121"/>
      <w:bookmarkEnd w:id="122"/>
      <w:r>
        <w:t>: Schematic comparing options for locations of heating elements either a) outside glass container or b) inside.</w:t>
      </w:r>
    </w:p>
    <w:p w14:paraId="5DFB0E2B" w14:textId="1510623F" w:rsidR="002B759B" w:rsidRDefault="002B759B" w:rsidP="00EA4BBA">
      <w:r>
        <w:t xml:space="preserve">The advantage of keeping the heating elements inside the glass melt container, either above the melt surface or even immersed in the glass melt itself would </w:t>
      </w:r>
      <w:r w:rsidR="00AE1FD8">
        <w:t xml:space="preserve">have been </w:t>
      </w:r>
      <w:r>
        <w:t>1) effective heating due to the avoidance  of the glass melt container hindering the heat transfer from the heating elements to the glass; 2) compactness; as the glass melt container could be directly surrounded by insulating materials whereas with the heating elements outside</w:t>
      </w:r>
      <w:r w:rsidR="003B6871">
        <w:t>,</w:t>
      </w:r>
      <w:r>
        <w:t xml:space="preserve"> there </w:t>
      </w:r>
      <w:r w:rsidR="00AE1FD8">
        <w:t>needed</w:t>
      </w:r>
      <w:r>
        <w:t xml:space="preserve"> to be some space between the glass melt container and the insulation materials to accommodate the heating elements; 3) efficiency; more of the heat emitted by the heating elements would be absorbed by the glass and glass container whereas with the heating elements in a space between the container and insulation, the heat emitted would be more split between transfer inside to the glass and container and outside towards the surrounding insulation. However, there were concerns about the interaction of the beam with the heating elements would could cause rapid overheating of the elements and therefore cause failure. Also, there were concerns about chemical attack on the elements by the glass melt and gases evolved during batch melting. Therefore, the safer option of locating the heating elements outside the glass container was selected.</w:t>
      </w:r>
    </w:p>
    <w:p w14:paraId="035B6DAD" w14:textId="77777777" w:rsidR="002B759B" w:rsidRDefault="002B759B" w:rsidP="00EA4BBA">
      <w:r>
        <w:t xml:space="preserve">The use of either a refractory brick construction or a single piece crucible were considered for the glass container. The advantage of using bricks was mainly mechanical durability. However, a crucible was selected due to its relative ease of replacement which was important to run the required series of experiments in the limited time available to access the HFSS facility. Also, the minimum wall thickness of a crucible was much thinner than that of an equivalent container made of bricks and therefore would more effectively transmit heat from the surrounding electrical heating elements through itself to the contained glass.  Therefore a crucible design was selected rather than a brick construction for the glass containing refractories. </w:t>
      </w:r>
    </w:p>
    <w:p w14:paraId="658B4875" w14:textId="77777777" w:rsidR="002B759B" w:rsidRDefault="002B759B" w:rsidP="00EA4BBA">
      <w:r>
        <w:t xml:space="preserve">Also, coating the inside of the crucible with a reflective surface was considered in order to reflect any radiation from the beam which may have transmitted all the way through the melt, </w:t>
      </w:r>
      <w:r>
        <w:lastRenderedPageBreak/>
        <w:t>back into the melt in order to maximise the absorption of radiation in to the glass. However the coating would need to be made of a material which was resistant to chemical attack by the glass melt such as platinum or molybdenum. It was decided that this would be too expensive and impracticable.</w:t>
      </w:r>
    </w:p>
    <w:p w14:paraId="2B679CB4" w14:textId="51E8BACA" w:rsidR="002B759B" w:rsidRDefault="002B759B" w:rsidP="00EA4BBA">
      <w:r>
        <w:t xml:space="preserve">Fused silica was selected for the material of the crucible for its excellent thermal shock resistance which was particularly important for solar heated glass melting due to the rapid heating by the beam. It also satisfied the usual constraints for a glass contact refractory of high melting point and resistance to corrosion by the melt. A cylindrical crucible geometry was selected to minimise sharp edges which could otherwise cause stress concentrations upon thermal expansion. For the same reasoning, a hemispherical base </w:t>
      </w:r>
      <w:r w:rsidR="00392A40">
        <w:t xml:space="preserve">for </w:t>
      </w:r>
      <w:r>
        <w:t xml:space="preserve">the crucible was considered. However due to the large size of the proposed crucible and high cost of fused silica a compromise of cylindrical side walls and a flat base was agreed with the supplier of the crucible (Almath) as this could easily be constructed from a tube for the side walls and a flat sheet for the base welded together. An inside diameter of 187 mm satisfied the melting surface area constraints described above. An inside depth of 120 mm satisfied the glass melt depth constraints described above while allowing sufficient extra height to avoid risks of any glass overflowing due to bubbling and/or foaming. The maximum available wall thicknesses of 13 mm for the side wall and 20 mm for the base was selected to minimise chances of failure during experiments. </w:t>
      </w:r>
      <w:r w:rsidR="00392A40">
        <w:t>Critically, t</w:t>
      </w:r>
      <w:r>
        <w:t xml:space="preserve">he bottom outlet tube length and diameter </w:t>
      </w:r>
      <w:r w:rsidR="00392A40">
        <w:t>had</w:t>
      </w:r>
      <w:r>
        <w:t xml:space="preserve"> to be sufficiently open to allow glass to flow out on demand while not too open such that it would be impossible to accumulate glass when required. Therefore preliminary experiments were conducted whereby the pelletised soda-lime-silica glass forming batch was melted and poured through tubes of various diameters and the flow observed to find the most appropriate size. The results of these preliminary experiments suggested an length of 100 mm and diameter of 15 mm was suitable.  The final crucible geometry, which satisfied all the design considerations described above, is shown in </w:t>
      </w:r>
      <w:r>
        <w:fldChar w:fldCharType="begin"/>
      </w:r>
      <w:r>
        <w:instrText xml:space="preserve"> REF _Ref426626018 \h </w:instrText>
      </w:r>
      <w:r>
        <w:fldChar w:fldCharType="separate"/>
      </w:r>
      <w:r w:rsidR="00820EB1">
        <w:t xml:space="preserve">Figure </w:t>
      </w:r>
      <w:r w:rsidR="00820EB1">
        <w:rPr>
          <w:noProof/>
        </w:rPr>
        <w:t>52</w:t>
      </w:r>
      <w:r>
        <w:fldChar w:fldCharType="end"/>
      </w:r>
      <w:r>
        <w:t xml:space="preserve">. Five such crucibles were specially made by Almath to allow for a series of experiments with spare crucibles in case of premature failures. </w:t>
      </w:r>
    </w:p>
    <w:p w14:paraId="40F363F5" w14:textId="77777777" w:rsidR="002B759B" w:rsidRDefault="002B759B" w:rsidP="00EA4BBA"/>
    <w:p w14:paraId="544E7B2E" w14:textId="50F51FE8" w:rsidR="002B759B" w:rsidRDefault="002B759B" w:rsidP="00EA4BBA">
      <w:pPr>
        <w:pStyle w:val="Title"/>
      </w:pPr>
      <w:r w:rsidRPr="00D46C53">
        <w:lastRenderedPageBreak/>
        <w:drawing>
          <wp:inline distT="0" distB="0" distL="0" distR="0" wp14:anchorId="5E74ED3D" wp14:editId="46BE186C">
            <wp:extent cx="3238500" cy="3228975"/>
            <wp:effectExtent l="0" t="0" r="0" b="9525"/>
            <wp:docPr id="23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6">
                      <a:extLst>
                        <a:ext uri="{28A0092B-C50C-407E-A947-70E740481C1C}">
                          <a14:useLocalDpi xmlns:a14="http://schemas.microsoft.com/office/drawing/2010/main" val="0"/>
                        </a:ext>
                      </a:extLst>
                    </a:blip>
                    <a:srcRect l="21849" t="17641" r="38341" b="11778"/>
                    <a:stretch>
                      <a:fillRect/>
                    </a:stretch>
                  </pic:blipFill>
                  <pic:spPr bwMode="auto">
                    <a:xfrm>
                      <a:off x="0" y="0"/>
                      <a:ext cx="3238500" cy="3228975"/>
                    </a:xfrm>
                    <a:prstGeom prst="rect">
                      <a:avLst/>
                    </a:prstGeom>
                    <a:noFill/>
                    <a:ln>
                      <a:noFill/>
                    </a:ln>
                  </pic:spPr>
                </pic:pic>
              </a:graphicData>
            </a:graphic>
          </wp:inline>
        </w:drawing>
      </w:r>
    </w:p>
    <w:p w14:paraId="61D870FF" w14:textId="68640F1C" w:rsidR="002B759B" w:rsidRDefault="002B759B" w:rsidP="00EA4BBA">
      <w:pPr>
        <w:pStyle w:val="Caption"/>
      </w:pPr>
      <w:bookmarkStart w:id="123" w:name="_Ref426626018"/>
      <w:r>
        <w:t xml:space="preserve">Figure </w:t>
      </w:r>
      <w:r w:rsidR="00A47317">
        <w:fldChar w:fldCharType="begin"/>
      </w:r>
      <w:r w:rsidR="00A47317">
        <w:instrText xml:space="preserve"> SEQ Figure \* ARABIC </w:instrText>
      </w:r>
      <w:r w:rsidR="00A47317">
        <w:fldChar w:fldCharType="separate"/>
      </w:r>
      <w:r w:rsidR="00820EB1">
        <w:rPr>
          <w:noProof/>
        </w:rPr>
        <w:t>52</w:t>
      </w:r>
      <w:r w:rsidR="00A47317">
        <w:rPr>
          <w:noProof/>
        </w:rPr>
        <w:fldChar w:fldCharType="end"/>
      </w:r>
      <w:bookmarkEnd w:id="123"/>
      <w:r>
        <w:t>: Geometry of fused silica crucibles made by Almath  for the scale-up experiments.</w:t>
      </w:r>
      <w:r w:rsidR="00392A40">
        <w:t xml:space="preserve"> All dimensions in mm.</w:t>
      </w:r>
    </w:p>
    <w:p w14:paraId="4773C5F2" w14:textId="77777777" w:rsidR="002B759B" w:rsidRPr="00665552" w:rsidRDefault="002B759B" w:rsidP="002B759B">
      <w:pPr>
        <w:pStyle w:val="Heading3"/>
        <w:keepLines w:val="0"/>
        <w:numPr>
          <w:ilvl w:val="2"/>
          <w:numId w:val="21"/>
        </w:numPr>
        <w:spacing w:before="100" w:after="100"/>
        <w:contextualSpacing w:val="0"/>
      </w:pPr>
      <w:r w:rsidRPr="00665552">
        <w:t>Beam inlet</w:t>
      </w:r>
    </w:p>
    <w:p w14:paraId="3F7DB08D" w14:textId="6852BDF5" w:rsidR="002B759B" w:rsidRDefault="002B759B" w:rsidP="00EA4BBA">
      <w:r>
        <w:t xml:space="preserve">The aim of the beam inlet section was to maximise the fraction of radiant heat from the solar beam passing through into the reactor while minimizing the heat losses back out. In order to do so, it was designed for the beam to converge towards the beam inlet section, passing through the aperture with maximum flux intensity and then diverging as it entered into the furnace to spread over the glass melting surface. The beam inlet section consisted a cut-out all the way through the outer casing of the furnace through the insulation, follow the converging path of the beam, leading to the beam inlet aperture where the beam would enter into the heated cavity. Critically, the section nearest to the aperture </w:t>
      </w:r>
      <w:r w:rsidR="00392A40">
        <w:t>needed</w:t>
      </w:r>
      <w:r>
        <w:t xml:space="preserve"> to withstand the highest radiation intensity. </w:t>
      </w:r>
    </w:p>
    <w:p w14:paraId="53EAF0AE" w14:textId="267E983B" w:rsidR="002B759B" w:rsidRDefault="002B759B" w:rsidP="00EA4BBA">
      <w:r>
        <w:t xml:space="preserve">Various iterations of the beam inlet sections were designed. Initially, a compound parabolic concentrator (CPC) was envisaged for the beam inlet section. A CPC is essentially a optical funnel so the beam would be focussed at the top wider opening of the CPC and then its radiation would be reflected down through the narrower CPC outlet which would coincide with the beam inlet aperture thereby further concentrating the beam. However the minimum angle at which the beam would diverge after passing through the aperture preceded by a CPC was so large that either 1) the glass melt surface would need to lie too close to the beam inlet aperture in order to be incident to the direct path of the beam; 2) if the melt surface were further down in the design diameter crucible, a significant portion of the direct path of the beam would impinge </w:t>
      </w:r>
      <w:r w:rsidR="001B18BB">
        <w:t xml:space="preserve">on </w:t>
      </w:r>
      <w:r>
        <w:t xml:space="preserve">the sides walls of the crucible rather than being directly incident on the glass melt surface; or 3) the size of crucible required to receive the full beam irradiation at a safe level below the beam aperture would be too </w:t>
      </w:r>
      <w:r>
        <w:lastRenderedPageBreak/>
        <w:t xml:space="preserve">large to be accommodated inside a furnace which could fit within the constraints of the HFSS experimental facilities. Therefore, instead of a CPC, a simple cone with an angle of 45 degrees towards a 60 mm aperture was selected. Initially, a water-cooled, reflective metal cone was envisaged and a prototype thereof was specially manufactured by spinning a cone made of copper and then electroplating its surface with silver and polishing to give a reflective surface. Copper pipe was coiled around the back surface of the cone for water cooling. It was envisaged that the water cooling around the beam inlet could also function as a method of capturing waste heat due to spillage of radiation missing the inlet aperture. However, the rate of heat removal from the cone by the water was insufficient to deal with the high beam intensities around the aperture. Therefore, finally, it was decided to make the beam inlet cone from high temperature ceramic fibre insulation blanket instead. </w:t>
      </w:r>
    </w:p>
    <w:p w14:paraId="77202CC8" w14:textId="77777777" w:rsidR="002B759B" w:rsidRDefault="002B759B" w:rsidP="00EA4BBA">
      <w:r>
        <w:t>A transparent quartz window was considered for the beam inlet aperture, in order to minimize convective heat losses. However the cost of such a window which would need to be water-cooled, the loss of beam power absorbed by the window and issues of gradual degradation of the window due to the high beam intensities seemed to outweigh the benefits. So it was decided to leave the beam inlet aperture open, without a window.</w:t>
      </w:r>
    </w:p>
    <w:p w14:paraId="2862F23D" w14:textId="77777777" w:rsidR="002B759B" w:rsidRPr="00665552" w:rsidRDefault="002B759B" w:rsidP="002B759B">
      <w:pPr>
        <w:pStyle w:val="Heading3"/>
        <w:keepLines w:val="0"/>
        <w:numPr>
          <w:ilvl w:val="2"/>
          <w:numId w:val="21"/>
        </w:numPr>
        <w:spacing w:before="100" w:after="100"/>
        <w:contextualSpacing w:val="0"/>
      </w:pPr>
      <w:r w:rsidRPr="00665552">
        <w:t>Batch feed</w:t>
      </w:r>
    </w:p>
    <w:p w14:paraId="76F3D21E" w14:textId="5CE2190A" w:rsidR="002B759B" w:rsidRDefault="002B759B" w:rsidP="00EA4BBA">
      <w:r>
        <w:t xml:space="preserve">Pelletised soda-lime-silica batches were selected for the scale-up solar glass melting experiments for improved homogeneity and flowability of the raw materials compared to the equivalent </w:t>
      </w:r>
      <w:r w:rsidR="001B18BB">
        <w:t>powder batch</w:t>
      </w:r>
      <w:r>
        <w:t>. The homogeneity of the batch was considered particularly critical to enable a solar powered glass melting process to generate homogenous glass due to the relatively short retention times limited by daily solar energy availability as compared to conventional glass melting furnaces which typical hold the glass melt at around 1500</w:t>
      </w:r>
      <w:r>
        <w:rPr>
          <w:vertAlign w:val="superscript"/>
        </w:rPr>
        <w:t>o</w:t>
      </w:r>
      <w:r>
        <w:t>C for ~36 hours to ensure a fully homogenised melt. An industrially sourced pelletised soda-lime-silica batch was selected for the initial scale-up experiments due to its wide applicability, with similar compositions used commercially for manufacturing glass containers and sheets.</w:t>
      </w:r>
    </w:p>
    <w:p w14:paraId="02D0BF70" w14:textId="77777777" w:rsidR="002B759B" w:rsidRDefault="002B759B" w:rsidP="00EA4BBA">
      <w:r>
        <w:t>A batch feeding system was developed with the aim of delivering batch to the surface of the melt. The aim was to supply the batch to maximise efficiency while ensuring all the batch was fully melted and homogenised by providing an even spread of batch over the melt surface and controlling the feed rate according to the melting rate.</w:t>
      </w:r>
    </w:p>
    <w:p w14:paraId="1D4CECF4" w14:textId="68E77C2E" w:rsidR="002B759B" w:rsidRDefault="002B759B" w:rsidP="00EA4BBA">
      <w:r>
        <w:t>Maintaining a layer of batch on the surface of the melt (‘</w:t>
      </w:r>
      <w:r w:rsidRPr="001E3F22">
        <w:rPr>
          <w:i/>
        </w:rPr>
        <w:t>batch blanket’</w:t>
      </w:r>
      <w:r>
        <w:t>) would provide thermal insulation to the melt below. This is known a ‘</w:t>
      </w:r>
      <w:r w:rsidRPr="001E3F22">
        <w:rPr>
          <w:i/>
        </w:rPr>
        <w:t>cold top’</w:t>
      </w:r>
      <w:r>
        <w:t xml:space="preserve"> type of glass melting regime. </w:t>
      </w:r>
      <w:r w:rsidR="004112D5">
        <w:t xml:space="preserve">However, this would be difficult to implement for a solar heated furnace due to usual requirement for a vertical beam heating from the top. Also, </w:t>
      </w:r>
      <w:r>
        <w:t xml:space="preserve">a </w:t>
      </w:r>
      <w:r w:rsidRPr="001E3F22">
        <w:rPr>
          <w:i/>
        </w:rPr>
        <w:t>cold top</w:t>
      </w:r>
      <w:r>
        <w:t xml:space="preserve"> could result in excessive build-up of foam compared to a feeding regime in which the batch fed onto the surface was allowed to fully melt down and any foam produced allowed to dissipate before feeding more batch. However, this </w:t>
      </w:r>
      <w:r>
        <w:lastRenderedPageBreak/>
        <w:t xml:space="preserve">would result in periods where a hot surface of molten glass would be left exposed without any </w:t>
      </w:r>
      <w:r w:rsidRPr="00FD7162">
        <w:rPr>
          <w:i/>
        </w:rPr>
        <w:t>batch blanket</w:t>
      </w:r>
      <w:r>
        <w:t xml:space="preserve"> cover and so such a batch melting regime, known as a</w:t>
      </w:r>
      <w:r w:rsidRPr="00FD7162">
        <w:rPr>
          <w:i/>
        </w:rPr>
        <w:t xml:space="preserve"> ‘</w:t>
      </w:r>
      <w:r>
        <w:rPr>
          <w:i/>
        </w:rPr>
        <w:t>h</w:t>
      </w:r>
      <w:r w:rsidRPr="00FD7162">
        <w:rPr>
          <w:i/>
        </w:rPr>
        <w:t>ot top’</w:t>
      </w:r>
      <w:r>
        <w:rPr>
          <w:i/>
        </w:rPr>
        <w:t xml:space="preserve"> </w:t>
      </w:r>
      <w:r>
        <w:t xml:space="preserve">would result a reduced risk of excessive foam build up at the cost of lower thermal efficiency. The build-up of foam was considered particularly significant for solar glass melting as this would impede the absorption of the radiation to the target glass forming batch below. </w:t>
      </w:r>
    </w:p>
    <w:p w14:paraId="2B2B0823" w14:textId="1393F1F7" w:rsidR="002B759B" w:rsidRPr="00901F1E" w:rsidRDefault="002B759B" w:rsidP="00392A40">
      <w:r>
        <w:t>Finding the optimum feeding regime for solar glass melting was one of the aims of the scale-up solar glass melting experiments so the batch feeding system was required to deliver batch at rates ranging from small continuous flows through to larger intermittent charges. For the preliminary scale-up experiments the existing batch feeder developed for experiments</w:t>
      </w:r>
      <w:r w:rsidR="004112D5">
        <w:t xml:space="preserve"> B1-6</w:t>
      </w:r>
      <w:r>
        <w:t xml:space="preserve"> was selected as it fulfilled this requirement.</w:t>
      </w:r>
    </w:p>
    <w:p w14:paraId="2CE3F9BD" w14:textId="1FFFF5CE" w:rsidR="002B759B" w:rsidRPr="004116E7" w:rsidRDefault="002B759B" w:rsidP="00EA4BBA">
      <w:r>
        <w:t>A series of preliminary experiments were conducted to find the suitable feed tube diameter, sufficiently large to enable the glass forming batch pellets to flow through reliably but no larger so as to minimise heat losses through this opening. A range of diameters for the feed tube were tested by pouring pellet in and observing the flow out. The results of these experiments suggested a safe feed tube diameter of 30</w:t>
      </w:r>
      <w:r w:rsidR="0095574A">
        <w:t xml:space="preserve"> </w:t>
      </w:r>
      <w:r>
        <w:t xml:space="preserve">mm. </w:t>
      </w:r>
    </w:p>
    <w:p w14:paraId="40F08507" w14:textId="0C6A03E0" w:rsidR="002B759B" w:rsidRPr="00665552" w:rsidRDefault="002B759B" w:rsidP="002B759B">
      <w:pPr>
        <w:pStyle w:val="Heading3"/>
        <w:keepLines w:val="0"/>
        <w:numPr>
          <w:ilvl w:val="2"/>
          <w:numId w:val="21"/>
        </w:numPr>
        <w:spacing w:before="100" w:after="100"/>
        <w:contextualSpacing w:val="0"/>
      </w:pPr>
      <w:bookmarkStart w:id="124" w:name="_Ref429043147"/>
      <w:r w:rsidRPr="00665552">
        <w:t>Refractory insulation</w:t>
      </w:r>
      <w:bookmarkEnd w:id="124"/>
      <w:r w:rsidRPr="00665552">
        <w:t xml:space="preserve"> </w:t>
      </w:r>
    </w:p>
    <w:p w14:paraId="662C2E50" w14:textId="03522303" w:rsidR="002B759B" w:rsidRDefault="002B759B" w:rsidP="00EA4BBA">
      <w:r>
        <w:t xml:space="preserve">The aim of the insulation was to maximise the thermal efficiency of the solar glass melting process by minimising the conductive heat losses through the walls. </w:t>
      </w:r>
      <w:r w:rsidR="004112D5">
        <w:t xml:space="preserve">A </w:t>
      </w:r>
      <w:r>
        <w:t>maximum design temperature of 1500</w:t>
      </w:r>
      <w:r>
        <w:rPr>
          <w:vertAlign w:val="superscript"/>
        </w:rPr>
        <w:t>o</w:t>
      </w:r>
      <w:r>
        <w:t>C was assumed for the inside walls, as this was a typical glass melting temperature and the glass melt itself was to be separated from the insulation walls by the crucible and then an air gap to accommodate the heating elements so the walls were never expected to exceed this temperature. The insulation was designed to maintain a safe outside wall temperature of below 100</w:t>
      </w:r>
      <w:r>
        <w:rPr>
          <w:vertAlign w:val="superscript"/>
        </w:rPr>
        <w:t>o</w:t>
      </w:r>
      <w:r>
        <w:t>C and sustain structural integrity throughout.</w:t>
      </w:r>
    </w:p>
    <w:p w14:paraId="47F9ABEC" w14:textId="77777777" w:rsidR="002B759B" w:rsidRDefault="002B759B" w:rsidP="00EA4BBA">
      <w:r>
        <w:t xml:space="preserve">Two types of refractory insulation materials were considered: 1) Bricks with higher thermal mass; 2) fibreboards with lower thermal mass. The advantage of the higher thermal mass materials would be that when the furnace is heated up, the temperature of the furnace would be less sensitive to rapid changes in input radiation, as would be expected for the furnace heated by direct concentrated radiation with intermittent availability. On the other hand, although the fibreboard refractories have less thermal mass they are better at withstanding thermal gradients so would be better suited to more variable temperatures. </w:t>
      </w:r>
    </w:p>
    <w:p w14:paraId="5045560C" w14:textId="3095CB8D" w:rsidR="002B759B" w:rsidRDefault="008C7E58">
      <w:r>
        <w:t>Refractory i</w:t>
      </w:r>
      <w:r w:rsidR="002B759B">
        <w:t>nsulation bricks (JIC Refractories, SWP 23 and 28) rated up to 1500</w:t>
      </w:r>
      <w:r w:rsidR="002B759B">
        <w:rPr>
          <w:vertAlign w:val="superscript"/>
        </w:rPr>
        <w:t>o</w:t>
      </w:r>
      <w:r w:rsidR="002B759B">
        <w:t xml:space="preserve">C were selected for the innermost layers of the furnace walls </w:t>
      </w:r>
      <w:r w:rsidR="004112D5">
        <w:t xml:space="preserve">as </w:t>
      </w:r>
      <w:r w:rsidR="002B759B">
        <w:t xml:space="preserve">the equivalent fibreboards rated up to such high temperatures were too expensive. Fibreboards (Porextherm, WDS Ultra) with better insulation value but lower temperature rating were utilised for the outer wall layers where they would be expected to be cooler. The complete thickness of the compound insulation walls of the furnace was 241 mm. The roof section was designed to be removable to enable access to the </w:t>
      </w:r>
      <w:r w:rsidR="002B759B">
        <w:lastRenderedPageBreak/>
        <w:t>crucible and to adjust thermocouples in between experiments. The roof section included the ‘Inlet block’ (</w:t>
      </w:r>
      <w:r w:rsidR="004112D5">
        <w:t>see Appendix ID 3</w:t>
      </w:r>
      <w:r w:rsidR="002B759B">
        <w:t>) which accommodated the feed tube and beam inlet section. The inlet block was made of a cast refractory insulation (</w:t>
      </w:r>
      <w:r w:rsidR="002B759B" w:rsidRPr="006A229D">
        <w:t>Arelcrete LC1600</w:t>
      </w:r>
      <w:r w:rsidR="002B759B">
        <w:t>) rated to 1600</w:t>
      </w:r>
      <w:r w:rsidR="002B759B">
        <w:rPr>
          <w:vertAlign w:val="superscript"/>
        </w:rPr>
        <w:t>o</w:t>
      </w:r>
      <w:r w:rsidR="002B759B">
        <w:t>C, typically used for furnace burner ports, therefore suitable for withstanding rapid heating associated with its close proximity to the focal point of the beam. The inlet block was seated on roof slabs for support (see appendix ID 3) which were made in four pieces to enable ease of manual removal for full access into the furnace and re-assembly. The remaining roof section was made up to 215 mm thickness with ceramic fibre insulation wool (Unifrax, Fibrax Durablanket 128) sheets.</w:t>
      </w:r>
    </w:p>
    <w:p w14:paraId="0F02F7FC" w14:textId="77777777" w:rsidR="002B759B" w:rsidRPr="00C64D34" w:rsidRDefault="002B759B">
      <w:r>
        <w:t>All the insulation materials were held inside a custom made steel casing to provide structural integrity. Holes were bored through the casing and refractories to accommodate the heating element rods, a conical cut-out to follow the 45</w:t>
      </w:r>
      <w:r>
        <w:rPr>
          <w:vertAlign w:val="superscript"/>
        </w:rPr>
        <w:t>o</w:t>
      </w:r>
      <w:r>
        <w:t xml:space="preserve"> path of the beam inlet aperture and /cylindrical hole was made in the bottom of the furnace to accommodate the outlet tube heater (described below). </w:t>
      </w:r>
    </w:p>
    <w:p w14:paraId="7FF0280E" w14:textId="77777777" w:rsidR="002B759B" w:rsidRPr="00665552" w:rsidRDefault="002B759B" w:rsidP="00F52EC2">
      <w:pPr>
        <w:pStyle w:val="Heading3"/>
        <w:keepLines w:val="0"/>
        <w:numPr>
          <w:ilvl w:val="2"/>
          <w:numId w:val="21"/>
        </w:numPr>
        <w:spacing w:before="100" w:after="100"/>
        <w:ind w:hanging="181"/>
        <w:contextualSpacing w:val="0"/>
      </w:pPr>
      <w:r w:rsidRPr="00665552">
        <w:t xml:space="preserve">Main chamber electrical heating </w:t>
      </w:r>
    </w:p>
    <w:p w14:paraId="3B3D930D" w14:textId="77777777" w:rsidR="002B759B" w:rsidRDefault="002B759B" w:rsidP="00EA4BBA">
      <w:r>
        <w:t>An electrical heating system was specially designed and built to provide the secondary heating for the solar glass furnace. This was required to:</w:t>
      </w:r>
    </w:p>
    <w:p w14:paraId="443F3E34" w14:textId="7DAEB0B1" w:rsidR="002B759B" w:rsidRDefault="002B759B" w:rsidP="002B759B">
      <w:pPr>
        <w:pStyle w:val="ListParagraph"/>
        <w:numPr>
          <w:ilvl w:val="0"/>
          <w:numId w:val="18"/>
        </w:numPr>
        <w:spacing w:before="100" w:after="100"/>
      </w:pPr>
      <w:r>
        <w:t xml:space="preserve">Enable intermittent operation by providing sufficient heat to prevent failure of the refractories due to </w:t>
      </w:r>
      <w:r w:rsidR="004112D5">
        <w:t xml:space="preserve">sudden cooling </w:t>
      </w:r>
      <w:r>
        <w:t xml:space="preserve">when the beam is switched off at glass melting temperatures in order to simulate realistic operation limited by intermitted availability of solar radiation. In order to achieve this, the heating elements </w:t>
      </w:r>
      <w:r w:rsidR="004112D5">
        <w:t>needed</w:t>
      </w:r>
      <w:r>
        <w:t xml:space="preserve"> to provide sufficient heat to 1) reduce the rate at which temperature of the refractories would drop to less than </w:t>
      </w:r>
      <w:r w:rsidRPr="006E5C48">
        <w:t>5</w:t>
      </w:r>
      <w:r>
        <w:t xml:space="preserve"> </w:t>
      </w:r>
      <w:r>
        <w:rPr>
          <w:vertAlign w:val="superscript"/>
        </w:rPr>
        <w:t>o</w:t>
      </w:r>
      <w:r>
        <w:t xml:space="preserve">C/min (preferably less than 3 </w:t>
      </w:r>
      <w:r>
        <w:rPr>
          <w:vertAlign w:val="superscript"/>
        </w:rPr>
        <w:t>o</w:t>
      </w:r>
      <w:r>
        <w:t xml:space="preserve">C/min) </w:t>
      </w:r>
      <w:r w:rsidRPr="006E5C48">
        <w:t>from</w:t>
      </w:r>
      <w:r>
        <w:t xml:space="preserve"> when the beam </w:t>
      </w:r>
      <w:r w:rsidR="004112D5">
        <w:t xml:space="preserve">was </w:t>
      </w:r>
      <w:r>
        <w:t xml:space="preserve">switched off at glass melting temperatures of around 1500 </w:t>
      </w:r>
      <w:r>
        <w:rPr>
          <w:vertAlign w:val="superscript"/>
        </w:rPr>
        <w:t>o</w:t>
      </w:r>
      <w:r>
        <w:t xml:space="preserve">C until </w:t>
      </w:r>
      <w:r w:rsidR="004112D5">
        <w:t xml:space="preserve">they reached </w:t>
      </w:r>
      <w:r>
        <w:t>a minimum temperature of around 800-1150</w:t>
      </w:r>
      <w:r>
        <w:rPr>
          <w:vertAlign w:val="superscript"/>
        </w:rPr>
        <w:t>o</w:t>
      </w:r>
      <w:r>
        <w:t xml:space="preserve">C. Then the heating elements </w:t>
      </w:r>
      <w:r w:rsidR="004112D5">
        <w:t xml:space="preserve">needed to </w:t>
      </w:r>
      <w:r>
        <w:t>be capable of providing sufficient heat to maintain a holding temperature of 1000-1200</w:t>
      </w:r>
      <w:r>
        <w:rPr>
          <w:vertAlign w:val="superscript"/>
        </w:rPr>
        <w:t>o</w:t>
      </w:r>
      <w:r>
        <w:t>C while the beam is off overnight;</w:t>
      </w:r>
    </w:p>
    <w:p w14:paraId="1E37F64C" w14:textId="42CBA404" w:rsidR="00AF5EFF" w:rsidRDefault="002B759B" w:rsidP="002B759B">
      <w:pPr>
        <w:pStyle w:val="ListParagraph"/>
        <w:numPr>
          <w:ilvl w:val="0"/>
          <w:numId w:val="18"/>
        </w:numPr>
        <w:spacing w:before="100" w:after="100"/>
      </w:pPr>
      <w:r>
        <w:t>Gradually preheat</w:t>
      </w:r>
      <w:r w:rsidR="004112D5">
        <w:t xml:space="preserve"> </w:t>
      </w:r>
      <w:r>
        <w:t>the furnace, from room temperature to around 1000-</w:t>
      </w:r>
      <w:r w:rsidRPr="00294DC6">
        <w:t>1200</w:t>
      </w:r>
      <w:r w:rsidRPr="00294DC6">
        <w:rPr>
          <w:vertAlign w:val="superscript"/>
        </w:rPr>
        <w:t>o</w:t>
      </w:r>
      <w:r>
        <w:t>C to prevent thermal shock when the beam would be first switched on for the actual melting process.</w:t>
      </w:r>
    </w:p>
    <w:p w14:paraId="2DFFFE1C" w14:textId="0AA48077" w:rsidR="00AF5EFF" w:rsidRDefault="00AF5EFF" w:rsidP="002B759B">
      <w:pPr>
        <w:pStyle w:val="ListParagraph"/>
        <w:numPr>
          <w:ilvl w:val="0"/>
          <w:numId w:val="18"/>
        </w:numPr>
        <w:spacing w:before="100" w:after="100"/>
      </w:pPr>
      <w:r>
        <w:t>Overnight heating of the refractories to</w:t>
      </w:r>
      <w:r w:rsidR="002B759B">
        <w:t xml:space="preserve"> approach steady state temperatures</w:t>
      </w:r>
      <w:r>
        <w:t>,</w:t>
      </w:r>
      <w:r w:rsidR="002B759B">
        <w:t xml:space="preserve"> so that </w:t>
      </w:r>
      <w:r>
        <w:t xml:space="preserve">the beam </w:t>
      </w:r>
      <w:r w:rsidR="002B759B">
        <w:t xml:space="preserve">power could be utilised for </w:t>
      </w:r>
      <w:r>
        <w:t xml:space="preserve">the </w:t>
      </w:r>
      <w:r w:rsidR="002B759B">
        <w:t xml:space="preserve">actual glass melting process rather than wasting the limited beam time </w:t>
      </w:r>
      <w:r>
        <w:t>(</w:t>
      </w:r>
      <w:r w:rsidR="002B759B">
        <w:t>available only during the day</w:t>
      </w:r>
      <w:r>
        <w:t>)</w:t>
      </w:r>
      <w:r w:rsidR="002B759B">
        <w:t xml:space="preserve"> for </w:t>
      </w:r>
      <w:r>
        <w:t xml:space="preserve">simply </w:t>
      </w:r>
      <w:r w:rsidR="002B759B">
        <w:t>heating up the system.</w:t>
      </w:r>
    </w:p>
    <w:p w14:paraId="49421A9F" w14:textId="55508779" w:rsidR="002B759B" w:rsidRDefault="002B759B" w:rsidP="002B759B">
      <w:pPr>
        <w:pStyle w:val="ListParagraph"/>
        <w:numPr>
          <w:ilvl w:val="0"/>
          <w:numId w:val="18"/>
        </w:numPr>
        <w:spacing w:before="100" w:after="100"/>
      </w:pPr>
      <w:r>
        <w:t>Preheating was also considered a useful feature to ensure the initial charge of pellets could be rapidly melted to prevent unmelted batch from prematurely flowing down the outlet tube</w:t>
      </w:r>
      <w:r w:rsidR="00AF5EFF">
        <w:t>.</w:t>
      </w:r>
    </w:p>
    <w:p w14:paraId="0804156A" w14:textId="3A27A6D4" w:rsidR="002B759B" w:rsidRDefault="002B759B" w:rsidP="00EA4BBA">
      <w:r>
        <w:lastRenderedPageBreak/>
        <w:t>Use of the secondary electrical heating to assist with the actual melting process while the beam was on was also considered as an extra possible design feature. This would</w:t>
      </w:r>
      <w:r w:rsidR="00AF5EFF">
        <w:t xml:space="preserve"> have</w:t>
      </w:r>
      <w:r>
        <w:t xml:space="preserve"> require</w:t>
      </w:r>
      <w:r w:rsidR="00AF5EFF">
        <w:t>d</w:t>
      </w:r>
      <w:r>
        <w:t xml:space="preserve"> heat to be provided to the glass batch at it</w:t>
      </w:r>
      <w:r w:rsidR="00AF5EFF">
        <w:t>s</w:t>
      </w:r>
      <w:r>
        <w:t xml:space="preserve"> melting temperature of around 1500</w:t>
      </w:r>
      <w:r>
        <w:rPr>
          <w:vertAlign w:val="superscript"/>
        </w:rPr>
        <w:t>o</w:t>
      </w:r>
      <w:r>
        <w:t>C. However, it was preferred if the solar beam could provide all the required heat for the actual melting process.</w:t>
      </w:r>
    </w:p>
    <w:p w14:paraId="1FB63A35" w14:textId="77777777" w:rsidR="002B759B" w:rsidRPr="000859F1" w:rsidRDefault="002B759B">
      <w:r>
        <w:t>Accordingly, the electrical heating elements were designed to provide sufficient power to: 1) overcome conductive heat loss through the walls for an inside furnace wall temperature at an overnight holding temperature of 1150</w:t>
      </w:r>
      <w:r>
        <w:rPr>
          <w:vertAlign w:val="superscript"/>
        </w:rPr>
        <w:t>o</w:t>
      </w:r>
      <w:r>
        <w:t>C overnight; 2) enable sufficiently quick changes in temperature in between consecutive experiments; 3)  Overcome radiative and convective heat losses through the furnace apertures.</w:t>
      </w:r>
    </w:p>
    <w:p w14:paraId="2CE3CDA9" w14:textId="77777777" w:rsidR="002B759B" w:rsidRDefault="002B759B" w:rsidP="00EA4BBA">
      <w:r>
        <w:t>Three types of commercially available electrical resistance heating element were considered: 1) FeCrAl; 2) SiC and 3) MoSi</w:t>
      </w:r>
      <w:r>
        <w:rPr>
          <w:vertAlign w:val="subscript"/>
        </w:rPr>
        <w:t>2.</w:t>
      </w:r>
      <w:r>
        <w:t xml:space="preserve"> </w:t>
      </w:r>
    </w:p>
    <w:p w14:paraId="3A558E08" w14:textId="516E9B23" w:rsidR="002B759B" w:rsidRDefault="002B759B" w:rsidP="00EA4BBA">
      <w:r>
        <w:t>FeCrAl elements were commercially available (Sandvik, Kanthal heating materials) in the forms of coiled wires, ribbons and rods. The available forms were typically embedded or attached to refractory bricks, boards or tubes to form heating modules. These were the cheapest type of heating element considered, had good resistance to thermal shock and the best mechanical durability. However, they were limited by a maximum operating temperature of 1400</w:t>
      </w:r>
      <w:r>
        <w:rPr>
          <w:vertAlign w:val="superscript"/>
        </w:rPr>
        <w:t>o</w:t>
      </w:r>
      <w:r>
        <w:t>C (preferably 1200</w:t>
      </w:r>
      <w:r>
        <w:rPr>
          <w:vertAlign w:val="superscript"/>
        </w:rPr>
        <w:t>o</w:t>
      </w:r>
      <w:r>
        <w:t>C in most cases) which was considered dangerously close to the nearby glass melting temperature which would be around 1500</w:t>
      </w:r>
      <w:r>
        <w:rPr>
          <w:vertAlign w:val="superscript"/>
        </w:rPr>
        <w:t>o</w:t>
      </w:r>
      <w:r>
        <w:t>C. At the initial design stage, the temperature to which the heating elements would be subjected was not exactly known, due to uncertainties related to the transmission of solar radiation through the glass melt, crucible and air gap separating the direct radiation from the beam to the elements. Also, the FeCrAl had the lowest heating maximum power density of 66 kW/m</w:t>
      </w:r>
      <w:r>
        <w:rPr>
          <w:vertAlign w:val="superscript"/>
        </w:rPr>
        <w:t>2</w:t>
      </w:r>
      <w:r>
        <w:t xml:space="preserve"> at the maximum rated temperature of 1100</w:t>
      </w:r>
      <w:r>
        <w:rPr>
          <w:vertAlign w:val="superscript"/>
        </w:rPr>
        <w:t>o</w:t>
      </w:r>
      <w:r>
        <w:t xml:space="preserve">C so they would </w:t>
      </w:r>
      <w:r w:rsidR="00AF5EFF">
        <w:t xml:space="preserve">have </w:t>
      </w:r>
      <w:r>
        <w:t>struggle</w:t>
      </w:r>
      <w:r w:rsidR="00AF5EFF">
        <w:t>d</w:t>
      </w:r>
      <w:r>
        <w:t xml:space="preserve"> to provide rapid preheating of the furnace and might even struggle to maintain the glass and containing refractories above 1100</w:t>
      </w:r>
      <w:r>
        <w:rPr>
          <w:vertAlign w:val="superscript"/>
        </w:rPr>
        <w:t>o</w:t>
      </w:r>
      <w:r>
        <w:t xml:space="preserve">C during periods in between melting, while the beam would be off. It would </w:t>
      </w:r>
      <w:r w:rsidR="00AF5EFF">
        <w:t xml:space="preserve">have </w:t>
      </w:r>
      <w:r>
        <w:t>be</w:t>
      </w:r>
      <w:r w:rsidR="00AF5EFF">
        <w:t>en</w:t>
      </w:r>
      <w:r>
        <w:t xml:space="preserve"> impossible to deliver any power to assist the glass melting process at </w:t>
      </w:r>
      <w:r w:rsidRPr="00A336F8">
        <w:t>1500</w:t>
      </w:r>
      <w:r>
        <w:rPr>
          <w:vertAlign w:val="superscript"/>
        </w:rPr>
        <w:t>o</w:t>
      </w:r>
      <w:r>
        <w:t>C since the elements were not capable of emitting any heat over 1400</w:t>
      </w:r>
      <w:r>
        <w:rPr>
          <w:vertAlign w:val="superscript"/>
        </w:rPr>
        <w:t>o</w:t>
      </w:r>
      <w:r>
        <w:t>C.</w:t>
      </w:r>
    </w:p>
    <w:p w14:paraId="7F36A73D" w14:textId="7240043A" w:rsidR="002B759B" w:rsidRDefault="002B759B" w:rsidP="00EA4BBA">
      <w:r>
        <w:t>MoSi</w:t>
      </w:r>
      <w:r>
        <w:rPr>
          <w:vertAlign w:val="subscript"/>
        </w:rPr>
        <w:t>2</w:t>
      </w:r>
      <w:r>
        <w:t xml:space="preserve"> were available commercially in the form of meandering rods, usually fixed to ceramic fibre insulation boards for the necessary support (Sandvik, Superthal modules). These could provide the best performance of all the heating element types considered with operating temperatures up to </w:t>
      </w:r>
      <w:r w:rsidRPr="00303043">
        <w:t>1600</w:t>
      </w:r>
      <w:r>
        <w:rPr>
          <w:vertAlign w:val="superscript"/>
        </w:rPr>
        <w:t>o</w:t>
      </w:r>
      <w:r>
        <w:t xml:space="preserve">C, </w:t>
      </w:r>
      <w:r w:rsidRPr="00303043">
        <w:t>superior</w:t>
      </w:r>
      <w:r>
        <w:t xml:space="preserve"> power output density and the ability to deal with the most rapid temperature fluctuation. However, the cost of the MoSi</w:t>
      </w:r>
      <w:r>
        <w:rPr>
          <w:vertAlign w:val="subscript"/>
        </w:rPr>
        <w:t>2</w:t>
      </w:r>
      <w:r>
        <w:t xml:space="preserve"> elements plus the transformer required for their power supply would </w:t>
      </w:r>
      <w:r w:rsidR="00AF5EFF">
        <w:t xml:space="preserve">have </w:t>
      </w:r>
      <w:r>
        <w:t>cost in the order tens of thousands of pounds, which was too expensive for this project.</w:t>
      </w:r>
    </w:p>
    <w:p w14:paraId="6EBAC34C" w14:textId="6C8CD7CF" w:rsidR="002B759B" w:rsidRDefault="002B759B" w:rsidP="00EA4BBA">
      <w:r>
        <w:t xml:space="preserve">SiC elements were the intermediate option, in terms of cost and performance. These were commercially available from Sandvik in the form of long rods which would typically run through a furnace with electrical terminals at either end and a heated section in the middle. They could be connected in series or parallel to give a wide range of power outputs at temperatures rated to </w:t>
      </w:r>
      <w:r>
        <w:lastRenderedPageBreak/>
        <w:t>1600</w:t>
      </w:r>
      <w:r>
        <w:rPr>
          <w:vertAlign w:val="superscript"/>
        </w:rPr>
        <w:t>o</w:t>
      </w:r>
      <w:r>
        <w:t>C. The maximum safe power output of the SiC heating elements was a function of the heated section (element) of the rods</w:t>
      </w:r>
      <w:r w:rsidR="00C76F70">
        <w:t>’</w:t>
      </w:r>
      <w:r>
        <w:t xml:space="preserve"> surface area and the furnace/element temperature, varying approximately linearly from 3 W/cm</w:t>
      </w:r>
      <w:r>
        <w:rPr>
          <w:vertAlign w:val="superscript"/>
        </w:rPr>
        <w:t>2</w:t>
      </w:r>
      <w:r>
        <w:t xml:space="preserve"> up to 1600-1625</w:t>
      </w:r>
      <w:r>
        <w:rPr>
          <w:vertAlign w:val="superscript"/>
        </w:rPr>
        <w:t>o</w:t>
      </w:r>
      <w:r>
        <w:t>C to 15 W/cm</w:t>
      </w:r>
      <w:r>
        <w:rPr>
          <w:vertAlign w:val="superscript"/>
        </w:rPr>
        <w:t>2</w:t>
      </w:r>
      <w:r>
        <w:t xml:space="preserve"> up to 1200-1380</w:t>
      </w:r>
      <w:r>
        <w:rPr>
          <w:vertAlign w:val="superscript"/>
        </w:rPr>
        <w:t>o</w:t>
      </w:r>
      <w:r>
        <w:t xml:space="preserve">C respectively. Since the rods could be safely be spaced as close as one rod diameter apart from one another this corresponded to a maximum theoretical heating power for the scale-up furnace in the order of tens of kilowatts which was far in excess of the requirements for rapid preheating, holding temperature in between experiments and could even assist with the glass melting process if required. However, in reality, the actual heating power was limited by the current which could be feasibly supplied to them from the available mains power supply without requiring expensive transformers or phase angle thermistors. This meant the heating elements would need to be capable of running directly from the available mains line which could supply 230 V (+/- 10%) with a maximum current of 32 A. Accordingly, a heating element network consisting of 6 SiC heating elements (n), each 1.4cm diameter (Ø), 30 cm length (L), connected in series was selected. As shown in the calculations provided in </w:t>
      </w:r>
      <w:r w:rsidR="00C76F70">
        <w:t xml:space="preserve">the </w:t>
      </w:r>
      <w:r>
        <w:t>appendix ID4, this satisfied all the constraints of power supply voltage, current and elements surface loading. Since the surface loading was sufficiently low (4.9 W/cm</w:t>
      </w:r>
      <w:r>
        <w:rPr>
          <w:vertAlign w:val="superscript"/>
        </w:rPr>
        <w:t>2</w:t>
      </w:r>
      <w:r>
        <w:t>), Sandvik</w:t>
      </w:r>
      <w:r>
        <w:rPr>
          <w:rStyle w:val="FootnoteReference"/>
        </w:rPr>
        <w:footnoteReference w:id="3"/>
      </w:r>
      <w:r>
        <w:t xml:space="preserve"> confirmed under this duty, use of solid state relay (SSR) with an on/off temperature controller for intermittent power supply would be “perfectly adequate”, rather than the conventional but much more expensive use of a thyristor. Although this provided a reduced power of 4</w:t>
      </w:r>
      <w:r w:rsidR="00AF5EFF">
        <w:t xml:space="preserve"> </w:t>
      </w:r>
      <w:r>
        <w:t>kW meaning</w:t>
      </w:r>
      <w:r w:rsidR="00C76F70">
        <w:t xml:space="preserve"> a</w:t>
      </w:r>
      <w:r>
        <w:t xml:space="preserve"> slower ramp rate and would </w:t>
      </w:r>
      <w:r w:rsidR="00AF5EFF">
        <w:t xml:space="preserve">have </w:t>
      </w:r>
      <w:r>
        <w:t>struggle</w:t>
      </w:r>
      <w:r w:rsidR="00AF5EFF">
        <w:t>d</w:t>
      </w:r>
      <w:r>
        <w:t xml:space="preserve"> to assist with melting if required, it was considered the best available option within the budget of the project.</w:t>
      </w:r>
    </w:p>
    <w:p w14:paraId="0DE3296F" w14:textId="77777777" w:rsidR="002B759B" w:rsidRPr="00A46CB9" w:rsidRDefault="002B759B" w:rsidP="002B759B">
      <w:pPr>
        <w:pStyle w:val="Heading3"/>
        <w:keepLines w:val="0"/>
        <w:numPr>
          <w:ilvl w:val="2"/>
          <w:numId w:val="21"/>
        </w:numPr>
        <w:spacing w:before="100" w:after="100"/>
        <w:contextualSpacing w:val="0"/>
      </w:pPr>
      <w:r w:rsidRPr="00A46CB9">
        <w:t>Power supply and control</w:t>
      </w:r>
    </w:p>
    <w:p w14:paraId="5EB92D50" w14:textId="77777777" w:rsidR="002B759B" w:rsidRDefault="002B759B" w:rsidP="00EA4BBA">
      <w:r>
        <w:t>Accordingly, a power supply (</w:t>
      </w:r>
      <w:r>
        <w:fldChar w:fldCharType="begin"/>
      </w:r>
      <w:r>
        <w:instrText xml:space="preserve"> REF _Ref426716300 \h </w:instrText>
      </w:r>
      <w:r>
        <w:fldChar w:fldCharType="separate"/>
      </w:r>
      <w:r w:rsidR="00820EB1">
        <w:t xml:space="preserve">Figure </w:t>
      </w:r>
      <w:r w:rsidR="00820EB1">
        <w:rPr>
          <w:noProof/>
        </w:rPr>
        <w:t>53</w:t>
      </w:r>
      <w:r>
        <w:fldChar w:fldCharType="end"/>
      </w:r>
      <w:r>
        <w:t xml:space="preserve">) was specially designed and built for the heating elements to run from the mains Swiss power supply available at the Solar Laboratories at PSI where the scale-up glass melting experiments would be run. </w:t>
      </w:r>
    </w:p>
    <w:p w14:paraId="010C336D" w14:textId="2BB10479" w:rsidR="002B759B" w:rsidRDefault="002B759B" w:rsidP="00EA4BBA">
      <w:r w:rsidRPr="00D46C53">
        <w:rPr>
          <w:noProof/>
        </w:rPr>
        <w:lastRenderedPageBreak/>
        <w:drawing>
          <wp:inline distT="0" distB="0" distL="0" distR="0" wp14:anchorId="05BBCA38" wp14:editId="104977CD">
            <wp:extent cx="5391150" cy="3590925"/>
            <wp:effectExtent l="0" t="0" r="0" b="9525"/>
            <wp:docPr id="2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7">
                      <a:extLst>
                        <a:ext uri="{28A0092B-C50C-407E-A947-70E740481C1C}">
                          <a14:useLocalDpi xmlns:a14="http://schemas.microsoft.com/office/drawing/2010/main" val="0"/>
                        </a:ext>
                      </a:extLst>
                    </a:blip>
                    <a:srcRect l="18123" t="13623" r="26717" b="20978"/>
                    <a:stretch>
                      <a:fillRect/>
                    </a:stretch>
                  </pic:blipFill>
                  <pic:spPr bwMode="auto">
                    <a:xfrm>
                      <a:off x="0" y="0"/>
                      <a:ext cx="5391150" cy="3590925"/>
                    </a:xfrm>
                    <a:prstGeom prst="rect">
                      <a:avLst/>
                    </a:prstGeom>
                    <a:noFill/>
                    <a:ln>
                      <a:noFill/>
                    </a:ln>
                  </pic:spPr>
                </pic:pic>
              </a:graphicData>
            </a:graphic>
          </wp:inline>
        </w:drawing>
      </w:r>
    </w:p>
    <w:p w14:paraId="4C1D9C83" w14:textId="63DB4C65" w:rsidR="002B759B" w:rsidRDefault="002B759B" w:rsidP="00EA4BBA">
      <w:pPr>
        <w:pStyle w:val="Caption"/>
      </w:pPr>
      <w:bookmarkStart w:id="125" w:name="_Ref426716300"/>
      <w:r>
        <w:t xml:space="preserve">Figure </w:t>
      </w:r>
      <w:r w:rsidR="00A47317">
        <w:fldChar w:fldCharType="begin"/>
      </w:r>
      <w:r w:rsidR="00A47317">
        <w:instrText xml:space="preserve"> SEQ Figure \* ARABIC </w:instrText>
      </w:r>
      <w:r w:rsidR="00A47317">
        <w:fldChar w:fldCharType="separate"/>
      </w:r>
      <w:r w:rsidR="00820EB1">
        <w:rPr>
          <w:noProof/>
        </w:rPr>
        <w:t>53</w:t>
      </w:r>
      <w:r w:rsidR="00A47317">
        <w:rPr>
          <w:noProof/>
        </w:rPr>
        <w:fldChar w:fldCharType="end"/>
      </w:r>
      <w:bookmarkEnd w:id="125"/>
      <w:r>
        <w:t>: Wiring schematic of the power supply for the SiC heating elements</w:t>
      </w:r>
    </w:p>
    <w:p w14:paraId="270A251C" w14:textId="77777777" w:rsidR="002B759B" w:rsidRDefault="002B759B" w:rsidP="00EA4BBA">
      <w:r>
        <w:t>This power supply unit (</w:t>
      </w:r>
      <w:r>
        <w:fldChar w:fldCharType="begin"/>
      </w:r>
      <w:r>
        <w:instrText xml:space="preserve"> REF _Ref426716300 \h </w:instrText>
      </w:r>
      <w:r>
        <w:fldChar w:fldCharType="separate"/>
      </w:r>
      <w:r w:rsidR="00820EB1">
        <w:t xml:space="preserve">Figure </w:t>
      </w:r>
      <w:r w:rsidR="00820EB1">
        <w:rPr>
          <w:noProof/>
        </w:rPr>
        <w:t>53</w:t>
      </w:r>
      <w:r>
        <w:fldChar w:fldCharType="end"/>
      </w:r>
      <w:r>
        <w:t>) included the following features:</w:t>
      </w:r>
    </w:p>
    <w:p w14:paraId="4B3E681B" w14:textId="372096F5" w:rsidR="002B759B" w:rsidRDefault="002B759B" w:rsidP="002B759B">
      <w:pPr>
        <w:pStyle w:val="ListParagraph"/>
        <w:numPr>
          <w:ilvl w:val="0"/>
          <w:numId w:val="17"/>
        </w:numPr>
        <w:spacing w:before="100" w:after="100"/>
      </w:pPr>
      <w:r>
        <w:t>A PID temperature controller (Eurotherm 3216/CC/VH) to enable set point and ramp rate furnace temperature control and display by measuring temperature from an input thermocouple sensing the furnace temperature and switching on/off power supply to the heating elements via the SSR (</w:t>
      </w:r>
      <w:r w:rsidRPr="00822F67">
        <w:t>Crydom</w:t>
      </w:r>
      <w:r>
        <w:t xml:space="preserve"> A2475). </w:t>
      </w:r>
    </w:p>
    <w:p w14:paraId="342CB1D8" w14:textId="77777777" w:rsidR="002B759B" w:rsidRDefault="002B759B" w:rsidP="002B759B">
      <w:pPr>
        <w:pStyle w:val="ListParagraph"/>
        <w:numPr>
          <w:ilvl w:val="0"/>
          <w:numId w:val="17"/>
        </w:numPr>
        <w:spacing w:before="100" w:after="100"/>
      </w:pPr>
      <w:r>
        <w:t>The PID temperature controller also measured the current via a transformer to check if there were any faults in the system including over-current and SSR failure</w:t>
      </w:r>
    </w:p>
    <w:p w14:paraId="31AF83BC" w14:textId="77777777" w:rsidR="002B759B" w:rsidRDefault="002B759B" w:rsidP="002B759B">
      <w:pPr>
        <w:pStyle w:val="ListParagraph"/>
        <w:numPr>
          <w:ilvl w:val="0"/>
          <w:numId w:val="17"/>
        </w:numPr>
        <w:spacing w:before="100" w:after="100"/>
      </w:pPr>
      <w:r>
        <w:t>An over-temperature alarm unit (Eurotherm 2132i/AL) to cut off power supply to the heating elements in case of a potential failure whereby the heating elements’ temperature exceeded 1600</w:t>
      </w:r>
      <w:r>
        <w:rPr>
          <w:vertAlign w:val="superscript"/>
        </w:rPr>
        <w:t>o</w:t>
      </w:r>
      <w:r>
        <w:t>C based on thermocouple sensor contacting one of the heating elements;</w:t>
      </w:r>
    </w:p>
    <w:p w14:paraId="355D9C16" w14:textId="77777777" w:rsidR="002B759B" w:rsidRDefault="002B759B" w:rsidP="002B759B">
      <w:pPr>
        <w:pStyle w:val="ListParagraph"/>
        <w:numPr>
          <w:ilvl w:val="0"/>
          <w:numId w:val="17"/>
        </w:numPr>
        <w:spacing w:before="100" w:after="100"/>
      </w:pPr>
      <w:r>
        <w:t xml:space="preserve">A current data logger (Lascar </w:t>
      </w:r>
      <w:r w:rsidRPr="00A8688D">
        <w:t>EL-USB-ACT</w:t>
      </w:r>
      <w:r>
        <w:t xml:space="preserve">) to record the power supplied to the heating element assuming mains power supply voltage. </w:t>
      </w:r>
    </w:p>
    <w:p w14:paraId="6339DB32" w14:textId="77777777" w:rsidR="002B759B" w:rsidRPr="00665552" w:rsidRDefault="002B759B" w:rsidP="002B759B">
      <w:pPr>
        <w:pStyle w:val="Heading3"/>
        <w:keepLines w:val="0"/>
        <w:numPr>
          <w:ilvl w:val="2"/>
          <w:numId w:val="21"/>
        </w:numPr>
        <w:spacing w:before="100" w:after="100"/>
        <w:contextualSpacing w:val="0"/>
      </w:pPr>
      <w:r w:rsidRPr="00665552">
        <w:t>Outlet flow control</w:t>
      </w:r>
    </w:p>
    <w:p w14:paraId="3D9AF9E3" w14:textId="15DD42D0" w:rsidR="002B759B" w:rsidRPr="00F51C2B" w:rsidRDefault="002B759B" w:rsidP="00EA4BBA">
      <w:r>
        <w:t xml:space="preserve">The aim of the outlet flow control was to enable the glass melt to be held at around 1500 </w:t>
      </w:r>
      <w:r>
        <w:rPr>
          <w:vertAlign w:val="superscript"/>
        </w:rPr>
        <w:t>o</w:t>
      </w:r>
      <w:r>
        <w:t>C in the main chamber to remove bubbles and homogenise and then encourage a controlled flow of molten glass out of the furnace to be accessible for the subsequent forming process demonstration. As explained in section (</w:t>
      </w:r>
      <w:r>
        <w:fldChar w:fldCharType="begin"/>
      </w:r>
      <w:r>
        <w:instrText xml:space="preserve"> REF _Ref427054382 \w \h </w:instrText>
      </w:r>
      <w:r>
        <w:fldChar w:fldCharType="separate"/>
      </w:r>
      <w:r w:rsidR="00820EB1">
        <w:t>5.2.2</w:t>
      </w:r>
      <w:r>
        <w:fldChar w:fldCharType="end"/>
      </w:r>
      <w:r>
        <w:t>) the glass was to flow out from the main chamber of the crucible, through a hole in its base, down a 100</w:t>
      </w:r>
      <w:r w:rsidR="0005251B">
        <w:t xml:space="preserve"> </w:t>
      </w:r>
      <w:r>
        <w:t>mm long vertical tube of 15</w:t>
      </w:r>
      <w:r w:rsidR="0005251B">
        <w:t xml:space="preserve"> </w:t>
      </w:r>
      <w:r>
        <w:t xml:space="preserve">mm diameter. By controlling the temperature of this outlet tube the viscosity of the glass contained could be varied to control </w:t>
      </w:r>
      <w:r>
        <w:lastRenderedPageBreak/>
        <w:t xml:space="preserve">its flow rate. This </w:t>
      </w:r>
      <w:r w:rsidR="00AF5EFF">
        <w:t xml:space="preserve">was designed to </w:t>
      </w:r>
      <w:r>
        <w:t>be actuated by a tube heater surrounding the outlet tube and subsequent outlet stream, which could be heated to 800</w:t>
      </w:r>
      <w:r>
        <w:rPr>
          <w:vertAlign w:val="superscript"/>
        </w:rPr>
        <w:t>o</w:t>
      </w:r>
      <w:r>
        <w:t>C at which temperature the glass viscosity would be sufficiently high to prevent any flow and then it could be heated up to 1200</w:t>
      </w:r>
      <w:r>
        <w:rPr>
          <w:vertAlign w:val="superscript"/>
        </w:rPr>
        <w:t>o</w:t>
      </w:r>
      <w:r>
        <w:t>C which should encourage a flow of glass at a suitable viscosity for subsequent forming processes.  However, due to the broad viscosity-temperature profile and large thermal mass of glass melt flows, it was envisaged that once the glass was flowing out it to be difficult to switch the flow off the flow rapidly by only reducing power supplied to a tube heater to eventually reduce its temperature. Ideally, a custom-made tube heater using MoSi</w:t>
      </w:r>
      <w:r>
        <w:rPr>
          <w:vertAlign w:val="subscript"/>
        </w:rPr>
        <w:t>2</w:t>
      </w:r>
      <w:r>
        <w:t xml:space="preserve"> heating elements, coupled with integrated water cooling, would be used to provide the most rapid changes in temperature. However, an existing tube heater using only FeCrAl wire elements of an acceptable size of 80 mm inside diameter and 300 mm length, was already available with a power supply and temperature control unit. Therefore, although this could not provide as effective control as the aforementioned option, it was selected due to the substantial time and cost savings. However, use of this FeCrAl tube heater introduced another difficulty- its maximum operating temperature was 1200</w:t>
      </w:r>
      <w:r>
        <w:rPr>
          <w:vertAlign w:val="superscript"/>
        </w:rPr>
        <w:t>o</w:t>
      </w:r>
      <w:r>
        <w:t>C and the melting point of the FeCrAl was 1400</w:t>
      </w:r>
      <w:r>
        <w:rPr>
          <w:vertAlign w:val="superscript"/>
        </w:rPr>
        <w:t>o</w:t>
      </w:r>
      <w:r>
        <w:t>C, while the nearby glass melt to be contained in the main chamber above was to be at 1500</w:t>
      </w:r>
      <w:r>
        <w:rPr>
          <w:vertAlign w:val="superscript"/>
        </w:rPr>
        <w:t>o</w:t>
      </w:r>
      <w:r>
        <w:t xml:space="preserve">C. Therefore, there were concerns that the tube heater could fail if it was too close to the main chamber of the crucible. On </w:t>
      </w:r>
      <w:r w:rsidRPr="000C15A5">
        <w:t xml:space="preserve">the other hand if it was too far away there would be a poorly heated section of the outlet tube between the main chamber and where the tube heater was situated, </w:t>
      </w:r>
      <w:r w:rsidRPr="001D6E0E">
        <w:t>which would inhibit the effectiveness of the outlet flow control</w:t>
      </w:r>
      <w:r w:rsidRPr="000C15A5">
        <w:t xml:space="preserve"> by the heater. </w:t>
      </w:r>
      <w:r>
        <w:t xml:space="preserve">Furthermore, due to the constraints of the fixed length of the available tube heater selected, moving the tube heater further down from the main chamber of the crucible, would leave an increased distance between the open end of the outlet tube and the open end of the outlet tube heater, which the glass stream would need to flow through increasing the risk of the stream sticking to the inside of the outlet tube heater. Since the penetration of the beam through the glass and therefore through to the outlet tube heater was unknown so it was decided initially to position the outlet tube heater at a safe distance of more than 50 mm away from the main chamber and then </w:t>
      </w:r>
      <w:r w:rsidR="00AF5EFF">
        <w:t xml:space="preserve">to </w:t>
      </w:r>
      <w:r>
        <w:t>bring it closer if required and possible based on temperature measurements at this section during the experiments.</w:t>
      </w:r>
    </w:p>
    <w:p w14:paraId="7D714271" w14:textId="77777777" w:rsidR="002B759B" w:rsidRPr="00665552" w:rsidRDefault="002B759B" w:rsidP="002B759B">
      <w:pPr>
        <w:pStyle w:val="Heading3"/>
        <w:keepLines w:val="0"/>
        <w:numPr>
          <w:ilvl w:val="2"/>
          <w:numId w:val="21"/>
        </w:numPr>
        <w:spacing w:before="100" w:after="100"/>
        <w:contextualSpacing w:val="0"/>
      </w:pPr>
      <w:r w:rsidRPr="00665552">
        <w:tab/>
        <w:t>Forming process</w:t>
      </w:r>
    </w:p>
    <w:p w14:paraId="7D0EE61A" w14:textId="24276677" w:rsidR="002B759B" w:rsidRDefault="002B759B" w:rsidP="00EA4BBA">
      <w:r>
        <w:t xml:space="preserve">In order to demonstrate the practical applicability of the solar glass melting process various glass forming processes were considered. A major constraint in this regard was the limited time which was allowable for entering the experimental room while the beam was on. Safety regulations forbade entering the experimental room while the beam was on except for limited periods in emergency situations. This was partly due to the risk of the xenon arc bulbs spontaneously exploding which was very unlikely but could theoretically happen at any time while the bulbs were on and would cause serious harm to anyone in the experimental room at the </w:t>
      </w:r>
      <w:r>
        <w:lastRenderedPageBreak/>
        <w:t>time. The shutters could be closed while the lamps were on, to enter the room but only for up to one minute as thereafter the risk of overheating of both parts of the solar simulator receiving reflected heat back from the closed shutters as well as the shutters themselves overheating, would become unacceptable. For longer term access to the experimental room the lamps were required to be switched off. However, there was a minimum delay of 20 minutes before the lamps could be restarted to allow sufficient time for the lamps to cool</w:t>
      </w:r>
      <w:r w:rsidR="00AF5EFF">
        <w:t xml:space="preserve"> sufficiently to allow a restart</w:t>
      </w:r>
      <w:r>
        <w:t>.</w:t>
      </w:r>
    </w:p>
    <w:p w14:paraId="3F9E79CB" w14:textId="77777777" w:rsidR="002B759B" w:rsidRDefault="002B759B" w:rsidP="00EA4BBA">
      <w:r>
        <w:t>Due to the time constraints of human access to the experimental room, use of remotely controlled machinery was considered to operate the forming process. Three types of forming processes were considered; 1) rolling; 2) pressed casting; 3) fibre drawing.</w:t>
      </w:r>
    </w:p>
    <w:p w14:paraId="3DB32E72" w14:textId="308DF671" w:rsidR="002B759B" w:rsidRDefault="002B759B" w:rsidP="00EA4BBA">
      <w:r>
        <w:t xml:space="preserve">Rolling was considered a particularly suitable because the outlet flow was restricted by a narrow tube so a stream would be produced which could be continuously rolled in-line. For this envisaged rolling process, a pair of counter-rotating carbon rollers, with shapes engraved on their surfaces mating with the glass, would </w:t>
      </w:r>
      <w:r w:rsidR="00AF5EFF">
        <w:t xml:space="preserve">have </w:t>
      </w:r>
      <w:r>
        <w:t>periodically imprint</w:t>
      </w:r>
      <w:r w:rsidR="00AF5EFF">
        <w:t>ed</w:t>
      </w:r>
      <w:r>
        <w:t xml:space="preserve"> on </w:t>
      </w:r>
      <w:r w:rsidR="00AF5EFF">
        <w:t xml:space="preserve">the </w:t>
      </w:r>
      <w:r>
        <w:t>solidifying stream as it passed between them</w:t>
      </w:r>
      <w:r w:rsidR="00AF5EFF">
        <w:t xml:space="preserve">. The  </w:t>
      </w:r>
      <w:r w:rsidR="00476677">
        <w:t>continuously</w:t>
      </w:r>
      <w:r w:rsidR="00AF5EFF">
        <w:t xml:space="preserve"> formed glass would be</w:t>
      </w:r>
      <w:r>
        <w:t xml:space="preserve"> pass</w:t>
      </w:r>
      <w:r w:rsidR="00AF5EFF">
        <w:t>ed</w:t>
      </w:r>
      <w:r>
        <w:t xml:space="preserve"> on to a conveyor belt to be cut to a series of discrete pieces before annealing. </w:t>
      </w:r>
    </w:p>
    <w:p w14:paraId="1E09B31E" w14:textId="5893ECB3" w:rsidR="002B759B" w:rsidRDefault="002B759B" w:rsidP="00EA4BBA">
      <w:r>
        <w:t xml:space="preserve">Alternatively, the glass outlet stream could </w:t>
      </w:r>
      <w:r w:rsidR="00AF5EFF">
        <w:t xml:space="preserve">have </w:t>
      </w:r>
      <w:r>
        <w:t>be</w:t>
      </w:r>
      <w:r w:rsidR="00AF5EFF">
        <w:t>en</w:t>
      </w:r>
      <w:r>
        <w:t xml:space="preserve"> collected in a mould and pressed with an engraved plunger to produce pressed glassware.  This would have the advantage of being less sensitive than rolling to small changes in the width of the outlet stream. However, enabling the demonstration of continuous process would be more difficult as </w:t>
      </w:r>
      <w:r w:rsidR="00AF5EFF">
        <w:t xml:space="preserve">the </w:t>
      </w:r>
      <w:r>
        <w:t xml:space="preserve">glass produced would need to </w:t>
      </w:r>
      <w:r w:rsidR="00AF5EFF">
        <w:t xml:space="preserve">have </w:t>
      </w:r>
      <w:r>
        <w:t>be</w:t>
      </w:r>
      <w:r w:rsidR="00AF5EFF">
        <w:t>en</w:t>
      </w:r>
      <w:r>
        <w:t xml:space="preserve"> sufficiently fluid to fill the mould and then be cut off or another mould quickly placed</w:t>
      </w:r>
      <w:r w:rsidR="0005251B">
        <w:t>,</w:t>
      </w:r>
      <w:r>
        <w:t xml:space="preserve"> otherwise the glass stream would spill out of the moulds in between consecutive casts</w:t>
      </w:r>
      <w:r w:rsidR="0005251B">
        <w:t>.</w:t>
      </w:r>
      <w:r>
        <w:t xml:space="preserve"> Also, the casting process would be sensitive to any changes in the temperature of the glass outflow as this would affect the time required for the glass to set and the force required to press the glass to give a well-defined print.</w:t>
      </w:r>
    </w:p>
    <w:p w14:paraId="7529485B" w14:textId="54ECEA7C" w:rsidR="002B759B" w:rsidRDefault="002B759B" w:rsidP="00EA4BBA">
      <w:r>
        <w:t xml:space="preserve">Fibre drawing was also considered as an alternative method for forming the glass produced. This would </w:t>
      </w:r>
      <w:r w:rsidR="00AF5EFF">
        <w:t xml:space="preserve">have </w:t>
      </w:r>
      <w:r>
        <w:t>involve</w:t>
      </w:r>
      <w:r w:rsidR="00AF5EFF">
        <w:t>d</w:t>
      </w:r>
      <w:r>
        <w:t xml:space="preserve"> the glass stream flowing through a plate with fine holes (bushings) to generate the fine fibres (filaments) flowing down under gravity. Then the filaments could either be collected by winding onto rotating spindle to produce fibre glass or they could be dispersed by a stream of pressurised air and a flame followed by a spinnerets to produce glass wool. However, the bushings are usually made of platinum due to its suitable wetting, refractoriness and thermal shock resistance which, combined with the equipment required for the processes described was considered too expensive.</w:t>
      </w:r>
    </w:p>
    <w:p w14:paraId="4BC9CFAE" w14:textId="306ECA9C" w:rsidR="002B759B" w:rsidRDefault="002B759B" w:rsidP="00EA4BBA">
      <w:r>
        <w:t xml:space="preserve">It was </w:t>
      </w:r>
      <w:r w:rsidR="00AF5EFF">
        <w:t xml:space="preserve">therefore </w:t>
      </w:r>
      <w:r>
        <w:t>decided that a series of preliminary experiments would be conducted to observe the flow of glass produced and a forming process most appropriate to that which was observed selected.</w:t>
      </w:r>
    </w:p>
    <w:p w14:paraId="18313389" w14:textId="77777777" w:rsidR="002B759B" w:rsidRDefault="002B759B" w:rsidP="002B759B">
      <w:pPr>
        <w:pStyle w:val="Heading2"/>
        <w:numPr>
          <w:ilvl w:val="1"/>
          <w:numId w:val="21"/>
        </w:numPr>
        <w:spacing w:before="100" w:after="100"/>
        <w:contextualSpacing w:val="0"/>
      </w:pPr>
      <w:bookmarkStart w:id="126" w:name="_Ref427146271"/>
      <w:bookmarkStart w:id="127" w:name="_Toc473995169"/>
      <w:r w:rsidRPr="003C7E1A">
        <w:lastRenderedPageBreak/>
        <w:t xml:space="preserve">Preliminary </w:t>
      </w:r>
      <w:bookmarkEnd w:id="126"/>
      <w:r>
        <w:t>experiments (C1-3)</w:t>
      </w:r>
      <w:bookmarkEnd w:id="127"/>
    </w:p>
    <w:p w14:paraId="3292C2C5" w14:textId="2C3FB6EC" w:rsidR="002B759B" w:rsidRPr="00531B15" w:rsidRDefault="002B759B" w:rsidP="00EA4BBA">
      <w:r>
        <w:t xml:space="preserve">The following preliminary experiments (C1-3) were required to develop the designs further as there were many uncertainties, such as the amount of absorption of solar radiation in glass and therefore temperature profiles throughout furnace, melting rate of glass and quality (bubble content, homogeneity) of glass produced which would in turn </w:t>
      </w:r>
      <w:r w:rsidR="00310DFF">
        <w:t>a</w:t>
      </w:r>
      <w:r>
        <w:t xml:space="preserve">ffect the outflow control and forming process. Addressing these uncertainties might </w:t>
      </w:r>
      <w:r w:rsidR="00FC2AC6">
        <w:t xml:space="preserve">have </w:t>
      </w:r>
      <w:r>
        <w:t>require</w:t>
      </w:r>
      <w:r w:rsidR="00FC2AC6">
        <w:t>d</w:t>
      </w:r>
      <w:r>
        <w:t xml:space="preserve"> changes </w:t>
      </w:r>
      <w:r w:rsidR="00FC2AC6">
        <w:t xml:space="preserve">to </w:t>
      </w:r>
      <w:r>
        <w:t>the original system design.</w:t>
      </w:r>
    </w:p>
    <w:p w14:paraId="4346DBA7" w14:textId="319751E3" w:rsidR="002B759B" w:rsidRPr="000B1F5D" w:rsidRDefault="002B759B" w:rsidP="00EA4BBA">
      <w:r>
        <w:t xml:space="preserve">The following campaign was conducted within a time constraint of 5 days of access to the HFSS facility provided by the second successful grant by the Solar Furnace Access for the European Research Area (SFERA 2). The first three days were required to arrange the setup described in </w:t>
      </w:r>
      <w:r>
        <w:fldChar w:fldCharType="begin"/>
      </w:r>
      <w:r>
        <w:instrText xml:space="preserve"> REF _Ref427139579 \w \h </w:instrText>
      </w:r>
      <w:r>
        <w:fldChar w:fldCharType="separate"/>
      </w:r>
      <w:r w:rsidR="00820EB1">
        <w:t>5.3.1</w:t>
      </w:r>
      <w:r>
        <w:fldChar w:fldCharType="end"/>
      </w:r>
      <w:r>
        <w:t xml:space="preserve">, leaving only two days for the actual experiments with the aim of testing the initial scale-up solar glass melting system design (see section </w:t>
      </w:r>
      <w:r>
        <w:fldChar w:fldCharType="begin"/>
      </w:r>
      <w:r>
        <w:instrText xml:space="preserve"> REF _Ref427139721 \w \h </w:instrText>
      </w:r>
      <w:r>
        <w:fldChar w:fldCharType="separate"/>
      </w:r>
      <w:r w:rsidR="00820EB1">
        <w:t>5.2</w:t>
      </w:r>
      <w:r>
        <w:fldChar w:fldCharType="end"/>
      </w:r>
      <w:r>
        <w:t>).</w:t>
      </w:r>
    </w:p>
    <w:p w14:paraId="10657894" w14:textId="77777777" w:rsidR="002B759B" w:rsidRPr="0082199A" w:rsidRDefault="002B759B" w:rsidP="002B759B">
      <w:pPr>
        <w:pStyle w:val="Heading3"/>
        <w:keepLines w:val="0"/>
        <w:numPr>
          <w:ilvl w:val="2"/>
          <w:numId w:val="21"/>
        </w:numPr>
        <w:spacing w:before="100" w:after="100"/>
        <w:contextualSpacing w:val="0"/>
      </w:pPr>
      <w:bookmarkStart w:id="128" w:name="_Ref427139579"/>
      <w:r w:rsidRPr="0082199A">
        <w:t>Setup</w:t>
      </w:r>
      <w:bookmarkEnd w:id="128"/>
    </w:p>
    <w:p w14:paraId="1FCF7041" w14:textId="03C05741" w:rsidR="002B759B" w:rsidRDefault="002B759B" w:rsidP="00EA4BBA">
      <w:r>
        <w:t>The solar glass melting furnace was positioned below a water-cooled mirror at 45</w:t>
      </w:r>
      <w:r>
        <w:rPr>
          <w:vertAlign w:val="superscript"/>
        </w:rPr>
        <w:t>o</w:t>
      </w:r>
      <w:r>
        <w:t xml:space="preserve"> from the horizontal HFSS beam to deflect it vertically down into the beam inlet aperture through the top of the glass melting furnace as shown in </w:t>
      </w:r>
      <w:r>
        <w:fldChar w:fldCharType="begin"/>
      </w:r>
      <w:r>
        <w:instrText xml:space="preserve"> REF _Ref426925335 \h </w:instrText>
      </w:r>
      <w:r>
        <w:fldChar w:fldCharType="separate"/>
      </w:r>
      <w:r w:rsidR="00820EB1" w:rsidRPr="007B28A7">
        <w:t xml:space="preserve">Figure </w:t>
      </w:r>
      <w:r w:rsidR="00820EB1">
        <w:rPr>
          <w:noProof/>
        </w:rPr>
        <w:t>54</w:t>
      </w:r>
      <w:r>
        <w:fldChar w:fldCharType="end"/>
      </w:r>
      <w:r>
        <w:t xml:space="preserve">. </w:t>
      </w:r>
    </w:p>
    <w:p w14:paraId="741220B6" w14:textId="77777777" w:rsidR="002B759B" w:rsidRDefault="002B759B" w:rsidP="00EA4BBA">
      <w:pPr>
        <w:pStyle w:val="Title"/>
      </w:pPr>
      <w:r w:rsidRPr="00D46C53">
        <w:lastRenderedPageBreak/>
        <w:drawing>
          <wp:inline distT="0" distB="0" distL="0" distR="0" wp14:anchorId="6D85A273" wp14:editId="3AB611B6">
            <wp:extent cx="4867275" cy="4591050"/>
            <wp:effectExtent l="0" t="0" r="9525" b="0"/>
            <wp:docPr id="228"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8">
                      <a:extLst>
                        <a:ext uri="{28A0092B-C50C-407E-A947-70E740481C1C}">
                          <a14:useLocalDpi xmlns:a14="http://schemas.microsoft.com/office/drawing/2010/main" val="0"/>
                        </a:ext>
                      </a:extLst>
                    </a:blip>
                    <a:srcRect l="13548" t="10172" r="38718" b="9769"/>
                    <a:stretch>
                      <a:fillRect/>
                    </a:stretch>
                  </pic:blipFill>
                  <pic:spPr bwMode="auto">
                    <a:xfrm>
                      <a:off x="0" y="0"/>
                      <a:ext cx="4867275" cy="4591050"/>
                    </a:xfrm>
                    <a:prstGeom prst="rect">
                      <a:avLst/>
                    </a:prstGeom>
                    <a:noFill/>
                    <a:ln>
                      <a:noFill/>
                    </a:ln>
                  </pic:spPr>
                </pic:pic>
              </a:graphicData>
            </a:graphic>
          </wp:inline>
        </w:drawing>
      </w:r>
    </w:p>
    <w:p w14:paraId="767DE1AC" w14:textId="77777777" w:rsidR="002B759B" w:rsidRPr="007B28A7" w:rsidRDefault="002B759B" w:rsidP="00EA4BBA">
      <w:pPr>
        <w:pStyle w:val="Caption"/>
      </w:pPr>
      <w:bookmarkStart w:id="129" w:name="_Ref426925335"/>
      <w:r w:rsidRPr="007B28A7">
        <w:t xml:space="preserve">Figure </w:t>
      </w:r>
      <w:r w:rsidR="00A47317">
        <w:fldChar w:fldCharType="begin"/>
      </w:r>
      <w:r w:rsidR="00A47317">
        <w:instrText xml:space="preserve"> SEQ Figure \* ARABIC </w:instrText>
      </w:r>
      <w:r w:rsidR="00A47317">
        <w:fldChar w:fldCharType="separate"/>
      </w:r>
      <w:r w:rsidR="00820EB1">
        <w:rPr>
          <w:noProof/>
        </w:rPr>
        <w:t>54</w:t>
      </w:r>
      <w:r w:rsidR="00A47317">
        <w:rPr>
          <w:noProof/>
        </w:rPr>
        <w:fldChar w:fldCharType="end"/>
      </w:r>
      <w:bookmarkEnd w:id="129"/>
      <w:r w:rsidRPr="007B28A7">
        <w:t>: Scale-up reactor positioned at focal point of HFSS beam via 45</w:t>
      </w:r>
      <w:r w:rsidRPr="000C15A5">
        <w:rPr>
          <w:vertAlign w:val="superscript"/>
        </w:rPr>
        <w:t>o</w:t>
      </w:r>
      <w:r w:rsidRPr="007B28A7">
        <w:t xml:space="preserve"> mirror</w:t>
      </w:r>
      <w:r>
        <w:t>. All dimensions in mm.</w:t>
      </w:r>
    </w:p>
    <w:p w14:paraId="5647718E" w14:textId="77777777" w:rsidR="002B759B" w:rsidRDefault="002B759B" w:rsidP="00EA4BBA">
      <w:r>
        <w:t xml:space="preserve">This was the position which gave minimum shading of the beam. Some shading was inevitable due to the size of the reactor and space constraints. This allowed 6 bulbs to be used as shown in </w:t>
      </w:r>
      <w:r>
        <w:fldChar w:fldCharType="begin"/>
      </w:r>
      <w:r>
        <w:instrText xml:space="preserve"> REF _Ref427050493 \h </w:instrText>
      </w:r>
      <w:r>
        <w:fldChar w:fldCharType="separate"/>
      </w:r>
      <w:r w:rsidR="00820EB1">
        <w:t xml:space="preserve">Figure </w:t>
      </w:r>
      <w:r w:rsidR="00820EB1">
        <w:rPr>
          <w:noProof/>
        </w:rPr>
        <w:t>55</w:t>
      </w:r>
      <w:r>
        <w:fldChar w:fldCharType="end"/>
      </w:r>
      <w:r>
        <w:t xml:space="preserve">. Lamps 8, 9 and 10 could not be used in the following experiments as there was a risk that the section of the radiation therefrom would cause overheating of the exposed front side of the reactor blocking part of the beam, as shown in </w:t>
      </w:r>
      <w:r>
        <w:fldChar w:fldCharType="begin"/>
      </w:r>
      <w:r>
        <w:instrText xml:space="preserve"> REF _Ref427050493 \h </w:instrText>
      </w:r>
      <w:r>
        <w:fldChar w:fldCharType="separate"/>
      </w:r>
      <w:r w:rsidR="00820EB1">
        <w:t xml:space="preserve">Figure </w:t>
      </w:r>
      <w:r w:rsidR="00820EB1">
        <w:rPr>
          <w:noProof/>
        </w:rPr>
        <w:t>55</w:t>
      </w:r>
      <w:r>
        <w:fldChar w:fldCharType="end"/>
      </w:r>
      <w:r>
        <w:t>. All the radiative power supplied from lamps 4, 5, 6 and 7 could theoretically reach the target aperture via the mirror. Lamps 1, 2 and 3 could supply 54.5%, 92.2% and 92.2% of their radiation to the target aperture with the rest spilling over the top of the mirror.</w:t>
      </w:r>
    </w:p>
    <w:p w14:paraId="0DDC27FC" w14:textId="77777777" w:rsidR="002B759B" w:rsidRDefault="002B759B" w:rsidP="00EA4BBA"/>
    <w:p w14:paraId="51F6A864" w14:textId="77777777" w:rsidR="002B759B" w:rsidRDefault="002B759B" w:rsidP="00EA4BBA">
      <w:r w:rsidRPr="00D46C53">
        <w:rPr>
          <w:noProof/>
        </w:rPr>
        <w:lastRenderedPageBreak/>
        <w:drawing>
          <wp:inline distT="0" distB="0" distL="0" distR="0" wp14:anchorId="75D23760" wp14:editId="1CA349ED">
            <wp:extent cx="5286375" cy="5486400"/>
            <wp:effectExtent l="0" t="0" r="9525" b="0"/>
            <wp:docPr id="227"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9">
                      <a:extLst>
                        <a:ext uri="{28A0092B-C50C-407E-A947-70E740481C1C}">
                          <a14:useLocalDpi xmlns:a14="http://schemas.microsoft.com/office/drawing/2010/main" val="0"/>
                        </a:ext>
                      </a:extLst>
                    </a:blip>
                    <a:srcRect l="24274" t="5067" r="26042" b="3104"/>
                    <a:stretch>
                      <a:fillRect/>
                    </a:stretch>
                  </pic:blipFill>
                  <pic:spPr bwMode="auto">
                    <a:xfrm>
                      <a:off x="0" y="0"/>
                      <a:ext cx="5286375" cy="5486400"/>
                    </a:xfrm>
                    <a:prstGeom prst="rect">
                      <a:avLst/>
                    </a:prstGeom>
                    <a:noFill/>
                    <a:ln>
                      <a:noFill/>
                    </a:ln>
                  </pic:spPr>
                </pic:pic>
              </a:graphicData>
            </a:graphic>
          </wp:inline>
        </w:drawing>
      </w:r>
    </w:p>
    <w:p w14:paraId="7EA6E6DB" w14:textId="77777777" w:rsidR="002B759B" w:rsidRDefault="002B759B" w:rsidP="00EA4BBA">
      <w:pPr>
        <w:pStyle w:val="Caption"/>
      </w:pPr>
      <w:bookmarkStart w:id="130" w:name="_Ref427050493"/>
      <w:r>
        <w:t xml:space="preserve">Figure </w:t>
      </w:r>
      <w:r w:rsidR="00A47317">
        <w:fldChar w:fldCharType="begin"/>
      </w:r>
      <w:r w:rsidR="00A47317">
        <w:instrText xml:space="preserve"> SEQ Figure \* ARABIC </w:instrText>
      </w:r>
      <w:r w:rsidR="00A47317">
        <w:fldChar w:fldCharType="separate"/>
      </w:r>
      <w:r w:rsidR="00820EB1">
        <w:rPr>
          <w:noProof/>
        </w:rPr>
        <w:t>55</w:t>
      </w:r>
      <w:r w:rsidR="00A47317">
        <w:rPr>
          <w:noProof/>
        </w:rPr>
        <w:fldChar w:fldCharType="end"/>
      </w:r>
      <w:bookmarkEnd w:id="130"/>
      <w:r>
        <w:t xml:space="preserve">: Drawing showing path of HFSS beam from the 10 lamps to the furnace beam inlet aperture via the mirror. Shaded areas show the section of each lamps radiation which could theoretically arrive at the beam inlet. </w:t>
      </w:r>
    </w:p>
    <w:p w14:paraId="63F35A4A" w14:textId="77777777" w:rsidR="002B759B" w:rsidRDefault="002B759B">
      <w:r>
        <w:t xml:space="preserve">Once the furnace was in position, the crucible, thermocouples and heating elements were installed in the locations shown in </w:t>
      </w:r>
      <w:r>
        <w:fldChar w:fldCharType="begin"/>
      </w:r>
      <w:r>
        <w:instrText xml:space="preserve"> REF _Ref424721898 \h </w:instrText>
      </w:r>
      <w:r>
        <w:fldChar w:fldCharType="separate"/>
      </w:r>
      <w:r w:rsidR="00820EB1">
        <w:t xml:space="preserve">Figure </w:t>
      </w:r>
      <w:r w:rsidR="00820EB1">
        <w:rPr>
          <w:noProof/>
        </w:rPr>
        <w:t>57</w:t>
      </w:r>
      <w:r>
        <w:fldChar w:fldCharType="end"/>
      </w:r>
      <w:r>
        <w:t xml:space="preserve">. The industrial soda-lime-silica pelletised batch was filled to a height of 3.8 cm inside the crucible in order to make the top surface of the pellets coincide with the section where the direct path of the beam would diverge to just cover the full surface of the crucible. The batch feeder was setup to one side of the furnace with chute leading the pellets into the batch feed port as shown in </w:t>
      </w:r>
      <w:r>
        <w:fldChar w:fldCharType="begin"/>
      </w:r>
      <w:r>
        <w:instrText xml:space="preserve"> REF _Ref426925326 \h </w:instrText>
      </w:r>
      <w:r>
        <w:fldChar w:fldCharType="separate"/>
      </w:r>
      <w:r w:rsidR="00820EB1">
        <w:t xml:space="preserve">Figure </w:t>
      </w:r>
      <w:r w:rsidR="00820EB1">
        <w:rPr>
          <w:noProof/>
        </w:rPr>
        <w:t>56</w:t>
      </w:r>
      <w:r>
        <w:fldChar w:fldCharType="end"/>
      </w:r>
      <w:r>
        <w:t>.</w:t>
      </w:r>
    </w:p>
    <w:p w14:paraId="09DBB71B" w14:textId="77777777" w:rsidR="002B759B" w:rsidRPr="00D83275" w:rsidRDefault="002B759B" w:rsidP="00EA4BBA"/>
    <w:p w14:paraId="4D0C41B4" w14:textId="77777777" w:rsidR="002B759B" w:rsidRDefault="002B759B" w:rsidP="00EA4BBA">
      <w:pPr>
        <w:pStyle w:val="Title"/>
      </w:pPr>
      <w:r w:rsidRPr="00D46C53">
        <w:lastRenderedPageBreak/>
        <w:drawing>
          <wp:inline distT="0" distB="0" distL="0" distR="0" wp14:anchorId="3F57B9E0" wp14:editId="2382A9BB">
            <wp:extent cx="5372100" cy="3124200"/>
            <wp:effectExtent l="0" t="0" r="0" b="0"/>
            <wp:docPr id="56"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0">
                      <a:extLst>
                        <a:ext uri="{28A0092B-C50C-407E-A947-70E740481C1C}">
                          <a14:useLocalDpi xmlns:a14="http://schemas.microsoft.com/office/drawing/2010/main" val="0"/>
                        </a:ext>
                      </a:extLst>
                    </a:blip>
                    <a:srcRect l="10988" t="24899" r="26852" b="10834"/>
                    <a:stretch>
                      <a:fillRect/>
                    </a:stretch>
                  </pic:blipFill>
                  <pic:spPr bwMode="auto">
                    <a:xfrm>
                      <a:off x="0" y="0"/>
                      <a:ext cx="5372100" cy="3124200"/>
                    </a:xfrm>
                    <a:prstGeom prst="rect">
                      <a:avLst/>
                    </a:prstGeom>
                    <a:noFill/>
                    <a:ln>
                      <a:noFill/>
                    </a:ln>
                  </pic:spPr>
                </pic:pic>
              </a:graphicData>
            </a:graphic>
          </wp:inline>
        </w:drawing>
      </w:r>
    </w:p>
    <w:p w14:paraId="6A416763" w14:textId="77777777" w:rsidR="002B759B" w:rsidRPr="008C0A3E" w:rsidRDefault="002B759B" w:rsidP="00EA4BBA">
      <w:pPr>
        <w:pStyle w:val="Caption"/>
      </w:pPr>
      <w:bookmarkStart w:id="131" w:name="_Ref426925326"/>
      <w:r>
        <w:t xml:space="preserve">Figure </w:t>
      </w:r>
      <w:r w:rsidR="00A47317">
        <w:fldChar w:fldCharType="begin"/>
      </w:r>
      <w:r w:rsidR="00A47317">
        <w:instrText xml:space="preserve"> SEQ Figure \* ARABIC </w:instrText>
      </w:r>
      <w:r w:rsidR="00A47317">
        <w:fldChar w:fldCharType="separate"/>
      </w:r>
      <w:r w:rsidR="00820EB1">
        <w:rPr>
          <w:noProof/>
        </w:rPr>
        <w:t>56</w:t>
      </w:r>
      <w:r w:rsidR="00A47317">
        <w:rPr>
          <w:noProof/>
        </w:rPr>
        <w:fldChar w:fldCharType="end"/>
      </w:r>
      <w:bookmarkEnd w:id="131"/>
      <w:r>
        <w:t>: Photograph of setup for preliminary solar glass melting experiments showing view from the top of the furnace with the yellow arrows showing the path of the beam coming from the HFSS and reflected off the 45</w:t>
      </w:r>
      <w:r>
        <w:rPr>
          <w:vertAlign w:val="superscript"/>
        </w:rPr>
        <w:t>o</w:t>
      </w:r>
      <w:r>
        <w:t xml:space="preserve"> into the beam inlet aperture.</w:t>
      </w:r>
    </w:p>
    <w:p w14:paraId="6A28285D" w14:textId="04E01DED" w:rsidR="002B759B" w:rsidRDefault="002B759B" w:rsidP="00EA4BBA">
      <w:r>
        <w:t xml:space="preserve">Due to </w:t>
      </w:r>
      <w:r w:rsidR="00392A40">
        <w:t xml:space="preserve">unexpected </w:t>
      </w:r>
      <w:r>
        <w:t xml:space="preserve">interference of the electrical power supply to the heating elements with the thermocouples connected to the data acquisition system, it was not possible to record data from any of the thermocouples connected to the data acquisition system. However, it was possible to take manual readings from the thermocouples directly connected to the furnace controller. These included thermocouples in the following locations: 1) the air </w:t>
      </w:r>
      <w:r w:rsidR="00392A40">
        <w:t xml:space="preserve">gap </w:t>
      </w:r>
      <w:r>
        <w:t>between the crucible and furnace inside wall (</w:t>
      </w:r>
      <w:r>
        <w:fldChar w:fldCharType="begin"/>
      </w:r>
      <w:r>
        <w:instrText xml:space="preserve"> REF _Ref424721898 \h </w:instrText>
      </w:r>
      <w:r>
        <w:fldChar w:fldCharType="separate"/>
      </w:r>
      <w:r w:rsidR="00820EB1">
        <w:t xml:space="preserve">Figure </w:t>
      </w:r>
      <w:r w:rsidR="00820EB1">
        <w:rPr>
          <w:noProof/>
        </w:rPr>
        <w:t>57</w:t>
      </w:r>
      <w:r>
        <w:fldChar w:fldCharType="end"/>
      </w:r>
      <w:r>
        <w:t xml:space="preserve">a, </w:t>
      </w:r>
      <w:r w:rsidRPr="0091678D">
        <w:rPr>
          <w:i/>
        </w:rPr>
        <w:t>T</w:t>
      </w:r>
      <w:r w:rsidRPr="0091678D">
        <w:rPr>
          <w:i/>
          <w:vertAlign w:val="subscript"/>
        </w:rPr>
        <w:t>main</w:t>
      </w:r>
      <w:r>
        <w:t>) which controlled the ma</w:t>
      </w:r>
      <w:r w:rsidR="00310DFF">
        <w:t>in SiC heating elements</w:t>
      </w:r>
      <w:r>
        <w:t>; 2) the air gap above the tube heater near the neck of the crucible (</w:t>
      </w:r>
      <w:r>
        <w:fldChar w:fldCharType="begin"/>
      </w:r>
      <w:r>
        <w:instrText xml:space="preserve"> REF _Ref424721898 \h </w:instrText>
      </w:r>
      <w:r>
        <w:fldChar w:fldCharType="separate"/>
      </w:r>
      <w:r w:rsidR="00820EB1">
        <w:t xml:space="preserve">Figure </w:t>
      </w:r>
      <w:r w:rsidR="00820EB1">
        <w:rPr>
          <w:noProof/>
        </w:rPr>
        <w:t>57</w:t>
      </w:r>
      <w:r>
        <w:fldChar w:fldCharType="end"/>
      </w:r>
      <w:r>
        <w:t xml:space="preserve">b, </w:t>
      </w:r>
      <w:r w:rsidRPr="0091678D">
        <w:rPr>
          <w:i/>
        </w:rPr>
        <w:t>T</w:t>
      </w:r>
      <w:r w:rsidRPr="0091678D">
        <w:rPr>
          <w:i/>
          <w:vertAlign w:val="subscript"/>
        </w:rPr>
        <w:t>neck</w:t>
      </w:r>
      <w:r>
        <w:t>) which co</w:t>
      </w:r>
      <w:r w:rsidR="00310DFF">
        <w:t>ntrolled the outlet tube heater</w:t>
      </w:r>
      <w:r>
        <w:t>; 3) directly contacting one of the SiC heating elements (</w:t>
      </w:r>
      <w:r>
        <w:fldChar w:fldCharType="begin"/>
      </w:r>
      <w:r>
        <w:instrText xml:space="preserve"> REF _Ref424721898 \h </w:instrText>
      </w:r>
      <w:r>
        <w:fldChar w:fldCharType="separate"/>
      </w:r>
      <w:r w:rsidR="00820EB1">
        <w:t xml:space="preserve">Figure </w:t>
      </w:r>
      <w:r w:rsidR="00820EB1">
        <w:rPr>
          <w:noProof/>
        </w:rPr>
        <w:t>57</w:t>
      </w:r>
      <w:r>
        <w:fldChar w:fldCharType="end"/>
      </w:r>
      <w:r>
        <w:t xml:space="preserve">c) which was connected to an over-temperature alarm unit </w:t>
      </w:r>
      <w:r w:rsidR="00392A40">
        <w:t>designed to</w:t>
      </w:r>
      <w:r>
        <w:t xml:space="preserve"> cut off </w:t>
      </w:r>
      <w:r w:rsidR="00392A40">
        <w:t xml:space="preserve">the </w:t>
      </w:r>
      <w:r>
        <w:t xml:space="preserve">power supply in case the element overheated.   </w:t>
      </w:r>
    </w:p>
    <w:p w14:paraId="21A16B1A" w14:textId="77777777" w:rsidR="002B759B" w:rsidRDefault="002B759B" w:rsidP="00EA4BBA">
      <w:pPr>
        <w:pStyle w:val="Title"/>
      </w:pPr>
      <w:r w:rsidRPr="00BD2EDD">
        <w:lastRenderedPageBreak/>
        <w:drawing>
          <wp:inline distT="0" distB="0" distL="0" distR="0" wp14:anchorId="66B63F3A" wp14:editId="78A47B2B">
            <wp:extent cx="4791075" cy="3609975"/>
            <wp:effectExtent l="0" t="0" r="9525" b="9525"/>
            <wp:docPr id="22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1">
                      <a:extLst>
                        <a:ext uri="{28A0092B-C50C-407E-A947-70E740481C1C}">
                          <a14:useLocalDpi xmlns:a14="http://schemas.microsoft.com/office/drawing/2010/main" val="0"/>
                        </a:ext>
                      </a:extLst>
                    </a:blip>
                    <a:srcRect l="16707" t="13652" r="30307" b="15404"/>
                    <a:stretch>
                      <a:fillRect/>
                    </a:stretch>
                  </pic:blipFill>
                  <pic:spPr bwMode="auto">
                    <a:xfrm>
                      <a:off x="0" y="0"/>
                      <a:ext cx="4791075" cy="3609975"/>
                    </a:xfrm>
                    <a:prstGeom prst="rect">
                      <a:avLst/>
                    </a:prstGeom>
                    <a:noFill/>
                    <a:ln>
                      <a:noFill/>
                    </a:ln>
                  </pic:spPr>
                </pic:pic>
              </a:graphicData>
            </a:graphic>
          </wp:inline>
        </w:drawing>
      </w:r>
    </w:p>
    <w:p w14:paraId="48968CD3" w14:textId="77777777" w:rsidR="002B759B" w:rsidRDefault="002B759B" w:rsidP="00EA4BBA">
      <w:pPr>
        <w:pStyle w:val="Caption"/>
      </w:pPr>
      <w:bookmarkStart w:id="132" w:name="_Ref424721898"/>
      <w:r>
        <w:t xml:space="preserve">Figure </w:t>
      </w:r>
      <w:r w:rsidR="00A47317">
        <w:fldChar w:fldCharType="begin"/>
      </w:r>
      <w:r w:rsidR="00A47317">
        <w:instrText xml:space="preserve"> SEQ Figure \* ARABIC </w:instrText>
      </w:r>
      <w:r w:rsidR="00A47317">
        <w:fldChar w:fldCharType="separate"/>
      </w:r>
      <w:r w:rsidR="00820EB1">
        <w:rPr>
          <w:noProof/>
        </w:rPr>
        <w:t>57</w:t>
      </w:r>
      <w:r w:rsidR="00A47317">
        <w:rPr>
          <w:noProof/>
        </w:rPr>
        <w:fldChar w:fldCharType="end"/>
      </w:r>
      <w:bookmarkEnd w:id="132"/>
      <w:r>
        <w:t>: Schematic of scale-up solar glass melting furnace with thermocouple positions: a) Furnace air (T</w:t>
      </w:r>
      <w:r>
        <w:rPr>
          <w:vertAlign w:val="subscript"/>
        </w:rPr>
        <w:t>main</w:t>
      </w:r>
      <w:r>
        <w:t>) ; b) Neck air gap (T</w:t>
      </w:r>
      <w:r>
        <w:rPr>
          <w:vertAlign w:val="subscript"/>
        </w:rPr>
        <w:t>neck</w:t>
      </w:r>
      <w:r>
        <w:t>) ; c) Touching heating element.</w:t>
      </w:r>
    </w:p>
    <w:p w14:paraId="52A56653" w14:textId="1866D4BC" w:rsidR="002B759B" w:rsidRPr="007D1F7C" w:rsidRDefault="002B759B" w:rsidP="00EA4BBA">
      <w:r>
        <w:t>Ceramic fibre insulation blanket was used to close the beam inlet and bottom glass outlet heater apertures during the preheating. The experiments were viewed from the control room, from which the lamps, shutters, batch feeder and furnace temperature controllers were remotely operated. Also two video cameras were setup to provide a live view and recordings of the bottom outlet and batch feeder.</w:t>
      </w:r>
      <w:r w:rsidR="00FC2AC6">
        <w:t xml:space="preserve"> The</w:t>
      </w:r>
      <w:r>
        <w:t xml:space="preserve"> </w:t>
      </w:r>
      <w:r w:rsidR="00FC2AC6">
        <w:t>e</w:t>
      </w:r>
      <w:r>
        <w:t xml:space="preserve">lectrical power supply to the lamps and percentage shutter opening were logged the course of the following experiments. The product of the total electrical power </w:t>
      </w:r>
      <w:r w:rsidR="00FC2AC6">
        <w:t xml:space="preserve">supplied </w:t>
      </w:r>
      <w:r>
        <w:t xml:space="preserve">to the lamps, the lamp shading factor and percentage shutter opening is referred to as the </w:t>
      </w:r>
      <w:r w:rsidRPr="007D1F7C">
        <w:rPr>
          <w:i/>
        </w:rPr>
        <w:t>indicative power</w:t>
      </w:r>
      <w:r>
        <w:t xml:space="preserve"> in the experiments described in the following experiments (C1-3). The timings of the events in these descriptions are </w:t>
      </w:r>
      <w:r w:rsidR="00392A40">
        <w:t xml:space="preserve">reported </w:t>
      </w:r>
      <w:r>
        <w:t xml:space="preserve">in </w:t>
      </w:r>
      <w:r w:rsidR="00392A40">
        <w:t xml:space="preserve">hours, </w:t>
      </w:r>
      <w:r>
        <w:t xml:space="preserve">minutes and seconds from the start of </w:t>
      </w:r>
      <w:r w:rsidR="00392A40">
        <w:t xml:space="preserve">each </w:t>
      </w:r>
      <w:r>
        <w:t>experiment. Where the timing is based on automatically logged data the times are provided in the format (</w:t>
      </w:r>
      <w:r w:rsidR="00476677">
        <w:t>hh:mm:ss</w:t>
      </w:r>
      <w:r>
        <w:t>) corresponding the hours, minutes and seconds from the start of the experiment. When the event was manually observed and recorded the time is specified only in hours and minutes as the accuracy of these observations (+/- 30 seconds) d</w:t>
      </w:r>
      <w:r w:rsidR="00392A40">
        <w:t>id</w:t>
      </w:r>
      <w:r>
        <w:t xml:space="preserve"> not justify specification of seconds. </w:t>
      </w:r>
    </w:p>
    <w:p w14:paraId="2E5358AB" w14:textId="77777777" w:rsidR="002B759B" w:rsidRPr="00665552" w:rsidRDefault="002B759B" w:rsidP="002B759B">
      <w:pPr>
        <w:pStyle w:val="Heading3"/>
        <w:keepLines w:val="0"/>
        <w:numPr>
          <w:ilvl w:val="2"/>
          <w:numId w:val="21"/>
        </w:numPr>
        <w:spacing w:before="100" w:after="100"/>
        <w:contextualSpacing w:val="0"/>
      </w:pPr>
      <w:r w:rsidRPr="00665552">
        <w:t>Experiment</w:t>
      </w:r>
      <w:r>
        <w:t xml:space="preserve"> C1 </w:t>
      </w:r>
    </w:p>
    <w:p w14:paraId="4E7D5BC8" w14:textId="15DCBFC2" w:rsidR="002B759B" w:rsidRDefault="002B759B" w:rsidP="00EA4BBA">
      <w:r>
        <w:t>For the first test (C1), due to a shortage of available beam time, the main chamber was only preheated for 4-5 hours, to 680</w:t>
      </w:r>
      <w:r>
        <w:rPr>
          <w:vertAlign w:val="superscript"/>
        </w:rPr>
        <w:t>o</w:t>
      </w:r>
      <w:r>
        <w:t xml:space="preserve">C before switching the beam on with two lamps on and the shutters were opened by 10% and then gradually opened further. After 4 minutes from the start of the </w:t>
      </w:r>
      <w:r>
        <w:lastRenderedPageBreak/>
        <w:t>experiment (0h:4m), the bottom outlet plug was opened and then T</w:t>
      </w:r>
      <w:r>
        <w:rPr>
          <w:vertAlign w:val="subscript"/>
        </w:rPr>
        <w:t>neck</w:t>
      </w:r>
      <w:r>
        <w:t xml:space="preserve"> dropped from 540</w:t>
      </w:r>
      <w:r>
        <w:rPr>
          <w:vertAlign w:val="superscript"/>
        </w:rPr>
        <w:t>o</w:t>
      </w:r>
      <w:r>
        <w:t>C to 500</w:t>
      </w:r>
      <w:r>
        <w:rPr>
          <w:vertAlign w:val="superscript"/>
        </w:rPr>
        <w:t>o</w:t>
      </w:r>
      <w:r>
        <w:t>C and by 0h:19m it began to fluctuate by +/- 20</w:t>
      </w:r>
      <w:r>
        <w:rPr>
          <w:vertAlign w:val="superscript"/>
        </w:rPr>
        <w:t>o</w:t>
      </w:r>
      <w:r>
        <w:t>C. Also, there were smaller temperature fluctuations measured at T</w:t>
      </w:r>
      <w:r>
        <w:rPr>
          <w:vertAlign w:val="subscript"/>
        </w:rPr>
        <w:t>main</w:t>
      </w:r>
      <w:r>
        <w:t>. It appeared that this was caused by convective air stream flowing in from the bottom outlet, through the furnace and out through the beam inlet at the top. The rapid temperature fluctuations at the neck section were problematic as this was used to control the outlet heater which</w:t>
      </w:r>
      <w:r w:rsidR="00310DFF">
        <w:t>,</w:t>
      </w:r>
      <w:r>
        <w:t xml:space="preserve"> as a result</w:t>
      </w:r>
      <w:r w:rsidR="00310DFF">
        <w:t>,</w:t>
      </w:r>
      <w:r>
        <w:t xml:space="preserve"> was rapidly switching on and off, even while it was well below its set point of 800</w:t>
      </w:r>
      <w:r>
        <w:rPr>
          <w:vertAlign w:val="superscript"/>
        </w:rPr>
        <w:t>o</w:t>
      </w:r>
      <w:r>
        <w:t>C, probably due to a response of the controller intermittently measuring rapid increases in temperature followed by rapid decreases caused by an oscillating air flow. By 17 minutes and 32 seconds from the start of experiment C1 (0h:17m:32s), the shutters were opened 60% and the beam inlet was first viewable (</w:t>
      </w:r>
      <w:r>
        <w:fldChar w:fldCharType="begin"/>
      </w:r>
      <w:r>
        <w:instrText xml:space="preserve"> REF _Ref427228173 \h </w:instrText>
      </w:r>
      <w:r>
        <w:fldChar w:fldCharType="separate"/>
      </w:r>
      <w:r w:rsidR="00820EB1">
        <w:t xml:space="preserve">Figure </w:t>
      </w:r>
      <w:r w:rsidR="00820EB1">
        <w:rPr>
          <w:noProof/>
        </w:rPr>
        <w:t>58</w:t>
      </w:r>
      <w:r>
        <w:fldChar w:fldCharType="end"/>
      </w:r>
      <w:r>
        <w:t xml:space="preserve">). At this moment, the image appeared too bright at some parts to know whether or not there was any melting in these parts but by 0h:19m:53s flickering (not easily observable from a static snapshot but </w:t>
      </w:r>
      <w:r w:rsidR="00392A40">
        <w:t xml:space="preserve">can </w:t>
      </w:r>
      <w:r>
        <w:t>be seen in video) in the brightest part appeared to suggest the emergence of molten glass. It could be seen (</w:t>
      </w:r>
      <w:r>
        <w:fldChar w:fldCharType="begin"/>
      </w:r>
      <w:r>
        <w:instrText xml:space="preserve"> REF _Ref427228173 \h </w:instrText>
      </w:r>
      <w:r>
        <w:fldChar w:fldCharType="separate"/>
      </w:r>
      <w:r w:rsidR="00820EB1">
        <w:t xml:space="preserve">Figure </w:t>
      </w:r>
      <w:r w:rsidR="00820EB1">
        <w:rPr>
          <w:noProof/>
        </w:rPr>
        <w:t>58</w:t>
      </w:r>
      <w:r>
        <w:fldChar w:fldCharType="end"/>
      </w:r>
      <w:r>
        <w:t>) that the beam was slightly eccentric with relative to the beam inlet. Despite extra efforts made to better align the focal point of the beam with the centre of the aperture with fine adjustments made by adjusting the angle beam-down mirror and then reviewing the position of the beam with respect to the aperture, this was the closest practically possible and was actually reasonably accurate considering the scale of the experimental setup (</w:t>
      </w:r>
      <w:r>
        <w:fldChar w:fldCharType="begin"/>
      </w:r>
      <w:r>
        <w:instrText xml:space="preserve"> REF _Ref426925335 \h </w:instrText>
      </w:r>
      <w:r>
        <w:fldChar w:fldCharType="separate"/>
      </w:r>
      <w:r w:rsidR="00820EB1" w:rsidRPr="007B28A7">
        <w:t xml:space="preserve">Figure </w:t>
      </w:r>
      <w:r w:rsidR="00820EB1">
        <w:rPr>
          <w:noProof/>
        </w:rPr>
        <w:t>54</w:t>
      </w:r>
      <w:r>
        <w:fldChar w:fldCharType="end"/>
      </w:r>
      <w:r>
        <w:t xml:space="preserve">) compared to the view of the beam inlet shown in </w:t>
      </w:r>
      <w:r>
        <w:fldChar w:fldCharType="begin"/>
      </w:r>
      <w:r>
        <w:instrText xml:space="preserve"> REF _Ref427228173 \h </w:instrText>
      </w:r>
      <w:r>
        <w:fldChar w:fldCharType="separate"/>
      </w:r>
      <w:r w:rsidR="00820EB1">
        <w:t xml:space="preserve">Figure </w:t>
      </w:r>
      <w:r w:rsidR="00820EB1">
        <w:rPr>
          <w:noProof/>
        </w:rPr>
        <w:t>58</w:t>
      </w:r>
      <w:r>
        <w:fldChar w:fldCharType="end"/>
      </w:r>
      <w:r>
        <w:t xml:space="preserve">. </w:t>
      </w:r>
    </w:p>
    <w:p w14:paraId="3A36E252" w14:textId="77777777" w:rsidR="002B759B" w:rsidRDefault="002B759B" w:rsidP="00EA4BBA">
      <w:pPr>
        <w:pStyle w:val="Title"/>
      </w:pPr>
      <w:r w:rsidRPr="00D46C53">
        <w:drawing>
          <wp:inline distT="0" distB="0" distL="0" distR="0" wp14:anchorId="59161E6D" wp14:editId="409A148A">
            <wp:extent cx="2619375" cy="2457450"/>
            <wp:effectExtent l="0" t="0" r="9525" b="0"/>
            <wp:docPr id="221"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72">
                      <a:extLst>
                        <a:ext uri="{28A0092B-C50C-407E-A947-70E740481C1C}">
                          <a14:useLocalDpi xmlns:a14="http://schemas.microsoft.com/office/drawing/2010/main" val="0"/>
                        </a:ext>
                      </a:extLst>
                    </a:blip>
                    <a:srcRect l="28683" t="26006" r="34973" b="28650"/>
                    <a:stretch>
                      <a:fillRect/>
                    </a:stretch>
                  </pic:blipFill>
                  <pic:spPr bwMode="auto">
                    <a:xfrm>
                      <a:off x="0" y="0"/>
                      <a:ext cx="2619375" cy="2457450"/>
                    </a:xfrm>
                    <a:prstGeom prst="rect">
                      <a:avLst/>
                    </a:prstGeom>
                    <a:noFill/>
                    <a:ln>
                      <a:noFill/>
                    </a:ln>
                  </pic:spPr>
                </pic:pic>
              </a:graphicData>
            </a:graphic>
          </wp:inline>
        </w:drawing>
      </w:r>
    </w:p>
    <w:p w14:paraId="66953562" w14:textId="4F27719C" w:rsidR="002B759B" w:rsidRPr="00C40FBC" w:rsidRDefault="002B759B" w:rsidP="00EA4BBA">
      <w:pPr>
        <w:pStyle w:val="Caption"/>
      </w:pPr>
      <w:bookmarkStart w:id="133" w:name="_Ref427228173"/>
      <w:r>
        <w:t xml:space="preserve">Figure </w:t>
      </w:r>
      <w:r w:rsidR="00A47317">
        <w:fldChar w:fldCharType="begin"/>
      </w:r>
      <w:r w:rsidR="00A47317">
        <w:instrText xml:space="preserve"> SEQ Figure \* ARABIC </w:instrText>
      </w:r>
      <w:r w:rsidR="00A47317">
        <w:fldChar w:fldCharType="separate"/>
      </w:r>
      <w:r w:rsidR="00820EB1">
        <w:rPr>
          <w:noProof/>
        </w:rPr>
        <w:t>58</w:t>
      </w:r>
      <w:r w:rsidR="00A47317">
        <w:rPr>
          <w:noProof/>
        </w:rPr>
        <w:fldChar w:fldCharType="end"/>
      </w:r>
      <w:bookmarkEnd w:id="133"/>
      <w:r>
        <w:t>: First view of beam inlet of the scale-up solar heated glass furnace. Experiment C1 at 0h:17m:32s. Showing eccentricity of beam focus with respect to the 6</w:t>
      </w:r>
      <w:r w:rsidR="00D27A35">
        <w:t xml:space="preserve"> </w:t>
      </w:r>
      <w:r>
        <w:t>cm diameter beam inlet aperture (~6 cm dia).</w:t>
      </w:r>
    </w:p>
    <w:p w14:paraId="052DE964" w14:textId="4740BC84" w:rsidR="002B759B" w:rsidRDefault="002B759B" w:rsidP="00EA4BBA">
      <w:r>
        <w:t>By 0h:22m:33s (</w:t>
      </w:r>
      <w:r>
        <w:fldChar w:fldCharType="begin"/>
      </w:r>
      <w:r>
        <w:instrText xml:space="preserve"> REF _Ref449855653 \h </w:instrText>
      </w:r>
      <w:r>
        <w:fldChar w:fldCharType="separate"/>
      </w:r>
      <w:r w:rsidR="00820EB1">
        <w:t xml:space="preserve">Figure </w:t>
      </w:r>
      <w:r w:rsidR="00820EB1">
        <w:rPr>
          <w:noProof/>
        </w:rPr>
        <w:t>59</w:t>
      </w:r>
      <w:r>
        <w:fldChar w:fldCharType="end"/>
      </w:r>
      <w:r>
        <w:t>b), with 3 lamps and 60% shutter opening, providing an indicative power of 18.4 kW, the molten glass became more easily visible as the camera’s aperture adjusted to provide a better view of the batch melting surface. It could be seen (</w:t>
      </w:r>
      <w:r>
        <w:fldChar w:fldCharType="begin"/>
      </w:r>
      <w:r>
        <w:instrText xml:space="preserve"> REF _Ref449855653 \h </w:instrText>
      </w:r>
      <w:r>
        <w:fldChar w:fldCharType="separate"/>
      </w:r>
      <w:r w:rsidR="00820EB1">
        <w:t xml:space="preserve">Figure </w:t>
      </w:r>
      <w:r w:rsidR="00820EB1">
        <w:rPr>
          <w:noProof/>
        </w:rPr>
        <w:t>59</w:t>
      </w:r>
      <w:r>
        <w:fldChar w:fldCharType="end"/>
      </w:r>
      <w:r>
        <w:t xml:space="preserve">b) that the initiation of melting was unevenly distributed, corresponding to the uneven distribution of the </w:t>
      </w:r>
      <w:r>
        <w:lastRenderedPageBreak/>
        <w:t>flux intensity on the batch surface as molten glass forming batch (visible as slender brown regions in between some of the pellets) and deforming pellets appear at the brightest areas compared to the darker areas of the batch surface, near the top of the image, where the pellets appear to remain more spherical, indicative of a lack of melting in areas of lower flux intensity. By 0h</w:t>
      </w:r>
      <w:r w:rsidRPr="00A055BB">
        <w:t>:26</w:t>
      </w:r>
      <w:r>
        <w:t>m</w:t>
      </w:r>
      <w:r w:rsidRPr="00A055BB">
        <w:t>:18</w:t>
      </w:r>
      <w:r>
        <w:t>s (</w:t>
      </w:r>
      <w:r>
        <w:fldChar w:fldCharType="begin"/>
      </w:r>
      <w:r>
        <w:instrText xml:space="preserve"> REF _Ref449855653 \h </w:instrText>
      </w:r>
      <w:r>
        <w:fldChar w:fldCharType="separate"/>
      </w:r>
      <w:r w:rsidR="00820EB1">
        <w:t xml:space="preserve">Figure </w:t>
      </w:r>
      <w:r w:rsidR="00820EB1">
        <w:rPr>
          <w:noProof/>
        </w:rPr>
        <w:t>59</w:t>
      </w:r>
      <w:r>
        <w:fldChar w:fldCharType="end"/>
      </w:r>
      <w:r>
        <w:t>c) the melt could be seen spreading over the bright region while the darker regions still remain</w:t>
      </w:r>
      <w:r w:rsidR="00392A40">
        <w:t>ed</w:t>
      </w:r>
      <w:r>
        <w:t xml:space="preserve"> unmelted. By 0h</w:t>
      </w:r>
      <w:r w:rsidRPr="00A055BB">
        <w:t>:29</w:t>
      </w:r>
      <w:r>
        <w:t>m</w:t>
      </w:r>
      <w:r w:rsidRPr="00A055BB">
        <w:t>:21</w:t>
      </w:r>
      <w:r>
        <w:t>s (</w:t>
      </w:r>
      <w:r>
        <w:fldChar w:fldCharType="begin"/>
      </w:r>
      <w:r>
        <w:instrText xml:space="preserve"> REF _Ref449855653 \h </w:instrText>
      </w:r>
      <w:r>
        <w:fldChar w:fldCharType="separate"/>
      </w:r>
      <w:r w:rsidR="00820EB1">
        <w:t xml:space="preserve">Figure </w:t>
      </w:r>
      <w:r w:rsidR="00820EB1">
        <w:rPr>
          <w:noProof/>
        </w:rPr>
        <w:t>59</w:t>
      </w:r>
      <w:r>
        <w:fldChar w:fldCharType="end"/>
      </w:r>
      <w:r>
        <w:t>d), the molten glass produced from the batch in the brightest region appeared to overflow into the darker region while the pellets in the darker region</w:t>
      </w:r>
      <w:r w:rsidR="00392A40">
        <w:t xml:space="preserve"> had</w:t>
      </w:r>
      <w:r>
        <w:t xml:space="preserve"> only just started to deform. By 0h</w:t>
      </w:r>
      <w:r w:rsidRPr="00A055BB">
        <w:t>:35</w:t>
      </w:r>
      <w:r>
        <w:t>m</w:t>
      </w:r>
      <w:r w:rsidRPr="00A055BB">
        <w:t>:56</w:t>
      </w:r>
      <w:r>
        <w:t>s (</w:t>
      </w:r>
      <w:r>
        <w:fldChar w:fldCharType="begin"/>
      </w:r>
      <w:r>
        <w:instrText xml:space="preserve"> REF _Ref449855653 \h </w:instrText>
      </w:r>
      <w:r>
        <w:fldChar w:fldCharType="separate"/>
      </w:r>
      <w:r w:rsidR="00820EB1">
        <w:t xml:space="preserve">Figure </w:t>
      </w:r>
      <w:r w:rsidR="00820EB1">
        <w:rPr>
          <w:noProof/>
        </w:rPr>
        <w:t>59</w:t>
      </w:r>
      <w:r>
        <w:fldChar w:fldCharType="end"/>
      </w:r>
      <w:r>
        <w:t>e) the melt pool in produced in the central bright region appeared to deepen, seen by a change of</w:t>
      </w:r>
      <w:r w:rsidRPr="00C81266">
        <w:t xml:space="preserve"> colour</w:t>
      </w:r>
      <w:r>
        <w:t xml:space="preserve"> from brown to black and with 51.9 kW indicative power, the melting appeared more vigorous, with bubbling observable in the melt pool, which seemed to suck in the batch from the darker sections, which by now were mostly melting down.</w:t>
      </w:r>
      <w:r w:rsidRPr="004323B6">
        <w:t xml:space="preserve"> </w:t>
      </w:r>
      <w:r>
        <w:t xml:space="preserve">The remaining batch continued to melt down very slowly until all the batch reactions appeared to subside and then the melt was held under the full power of the beam </w:t>
      </w:r>
      <w:r>
        <w:fldChar w:fldCharType="begin"/>
      </w:r>
      <w:r>
        <w:instrText xml:space="preserve"> REF _Ref449855653 \h </w:instrText>
      </w:r>
      <w:r>
        <w:fldChar w:fldCharType="separate"/>
      </w:r>
      <w:r w:rsidR="00820EB1">
        <w:t xml:space="preserve">Figure </w:t>
      </w:r>
      <w:r w:rsidR="00820EB1">
        <w:rPr>
          <w:noProof/>
        </w:rPr>
        <w:t>59</w:t>
      </w:r>
      <w:r>
        <w:fldChar w:fldCharType="end"/>
      </w:r>
      <w:r>
        <w:t xml:space="preserve">f). </w:t>
      </w:r>
    </w:p>
    <w:p w14:paraId="4D5F4D50" w14:textId="77777777" w:rsidR="002B759B" w:rsidRDefault="002B759B" w:rsidP="00EA4BBA">
      <w:r w:rsidRPr="00D46C53">
        <w:rPr>
          <w:noProof/>
        </w:rPr>
        <w:drawing>
          <wp:inline distT="0" distB="0" distL="0" distR="0" wp14:anchorId="7212BCE9" wp14:editId="53E61B1F">
            <wp:extent cx="5305425" cy="962025"/>
            <wp:effectExtent l="0" t="0" r="9525" b="9525"/>
            <wp:docPr id="22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73">
                      <a:extLst>
                        <a:ext uri="{28A0092B-C50C-407E-A947-70E740481C1C}">
                          <a14:useLocalDpi xmlns:a14="http://schemas.microsoft.com/office/drawing/2010/main" val="0"/>
                        </a:ext>
                      </a:extLst>
                    </a:blip>
                    <a:srcRect l="4855" t="41451" r="2393" b="28690"/>
                    <a:stretch>
                      <a:fillRect/>
                    </a:stretch>
                  </pic:blipFill>
                  <pic:spPr bwMode="auto">
                    <a:xfrm>
                      <a:off x="0" y="0"/>
                      <a:ext cx="5305425" cy="962025"/>
                    </a:xfrm>
                    <a:prstGeom prst="rect">
                      <a:avLst/>
                    </a:prstGeom>
                    <a:noFill/>
                    <a:ln>
                      <a:noFill/>
                    </a:ln>
                  </pic:spPr>
                </pic:pic>
              </a:graphicData>
            </a:graphic>
          </wp:inline>
        </w:drawing>
      </w:r>
    </w:p>
    <w:p w14:paraId="5C25C170" w14:textId="77777777" w:rsidR="002B759B" w:rsidRDefault="002B759B" w:rsidP="00EA4BBA">
      <w:pPr>
        <w:pStyle w:val="Caption"/>
      </w:pPr>
      <w:bookmarkStart w:id="134" w:name="_Ref449855653"/>
      <w:r>
        <w:t xml:space="preserve">Figure </w:t>
      </w:r>
      <w:r w:rsidR="00A47317">
        <w:fldChar w:fldCharType="begin"/>
      </w:r>
      <w:r w:rsidR="00A47317">
        <w:instrText xml:space="preserve"> SEQ Figure \* ARABIC </w:instrText>
      </w:r>
      <w:r w:rsidR="00A47317">
        <w:fldChar w:fldCharType="separate"/>
      </w:r>
      <w:r w:rsidR="00820EB1">
        <w:rPr>
          <w:noProof/>
        </w:rPr>
        <w:t>59</w:t>
      </w:r>
      <w:r w:rsidR="00A47317">
        <w:rPr>
          <w:noProof/>
        </w:rPr>
        <w:fldChar w:fldCharType="end"/>
      </w:r>
      <w:bookmarkEnd w:id="134"/>
      <w:r>
        <w:t>: Snapshots showing progression of melt surface viewable through beam inlet from video camera situated behind the shutters at the following times/radiative beam power supply during experiment C1: a) 0h:</w:t>
      </w:r>
      <w:r w:rsidRPr="00436493">
        <w:t>17</w:t>
      </w:r>
      <w:r>
        <w:t>m</w:t>
      </w:r>
      <w:r w:rsidRPr="00436493">
        <w:t>:32</w:t>
      </w:r>
      <w:r>
        <w:t>s/ 1.03kW; b)</w:t>
      </w:r>
      <w:r w:rsidRPr="00447920">
        <w:t xml:space="preserve"> </w:t>
      </w:r>
      <w:r>
        <w:t>0h:</w:t>
      </w:r>
      <w:r w:rsidRPr="00691F1E">
        <w:t>22</w:t>
      </w:r>
      <w:r>
        <w:t>m</w:t>
      </w:r>
      <w:r w:rsidRPr="00691F1E">
        <w:t>:33</w:t>
      </w:r>
      <w:r>
        <w:t>s ; c)</w:t>
      </w:r>
      <w:r w:rsidRPr="00872934">
        <w:t xml:space="preserve"> </w:t>
      </w:r>
      <w:r>
        <w:t>0h:</w:t>
      </w:r>
      <w:r w:rsidRPr="00872934">
        <w:t>26</w:t>
      </w:r>
      <w:r>
        <w:t>m</w:t>
      </w:r>
      <w:r w:rsidRPr="00872934">
        <w:t>:18</w:t>
      </w:r>
      <w:r>
        <w:t xml:space="preserve">s/ </w:t>
      </w:r>
      <w:r w:rsidRPr="009F5261">
        <w:t>2.37</w:t>
      </w:r>
      <w:r>
        <w:t>kW ;d) 0h:</w:t>
      </w:r>
      <w:r w:rsidRPr="00691F1E">
        <w:t>29</w:t>
      </w:r>
      <w:r>
        <w:t>m</w:t>
      </w:r>
      <w:r w:rsidRPr="00691F1E">
        <w:t>:21</w:t>
      </w:r>
      <w:r>
        <w:t xml:space="preserve">s/ </w:t>
      </w:r>
      <w:r w:rsidRPr="009F5261">
        <w:t>3.05</w:t>
      </w:r>
      <w:r>
        <w:t>kW; e) 0h:</w:t>
      </w:r>
      <w:r w:rsidRPr="00691F1E">
        <w:t>35</w:t>
      </w:r>
      <w:r>
        <w:t>m</w:t>
      </w:r>
      <w:r w:rsidRPr="00691F1E">
        <w:t>:56</w:t>
      </w:r>
      <w:r>
        <w:t xml:space="preserve">s / </w:t>
      </w:r>
      <w:r w:rsidRPr="009F5261">
        <w:t>4.20</w:t>
      </w:r>
      <w:r>
        <w:t xml:space="preserve">kW; f) </w:t>
      </w:r>
      <w:r w:rsidRPr="00691F1E">
        <w:t>1</w:t>
      </w:r>
      <w:r>
        <w:t>h</w:t>
      </w:r>
      <w:r w:rsidRPr="00691F1E">
        <w:t>:17</w:t>
      </w:r>
      <w:r>
        <w:t>s</w:t>
      </w:r>
      <w:r w:rsidRPr="00691F1E">
        <w:t>:36</w:t>
      </w:r>
      <w:r>
        <w:t xml:space="preserve">s / </w:t>
      </w:r>
      <w:r w:rsidRPr="009F5261">
        <w:t>4.90</w:t>
      </w:r>
      <w:r>
        <w:t xml:space="preserve">kW. </w:t>
      </w:r>
    </w:p>
    <w:p w14:paraId="2F7ADB8D" w14:textId="4ED3332F" w:rsidR="002B759B" w:rsidRPr="00430530" w:rsidRDefault="002B759B" w:rsidP="00EA4BBA">
      <w:r>
        <w:t xml:space="preserve">Meanwhile, the air temperature inside the furnace steadily </w:t>
      </w:r>
      <w:r w:rsidR="00392A40">
        <w:t xml:space="preserve">increased </w:t>
      </w:r>
      <w:r>
        <w:t>from a minimum T</w:t>
      </w:r>
      <w:r>
        <w:rPr>
          <w:vertAlign w:val="subscript"/>
        </w:rPr>
        <w:t>neck</w:t>
      </w:r>
      <w:r>
        <w:t xml:space="preserve"> of 495</w:t>
      </w:r>
      <w:r>
        <w:rPr>
          <w:vertAlign w:val="superscript"/>
        </w:rPr>
        <w:t>o</w:t>
      </w:r>
      <w:r>
        <w:t>C and T</w:t>
      </w:r>
      <w:r>
        <w:rPr>
          <w:vertAlign w:val="subscript"/>
        </w:rPr>
        <w:t>main</w:t>
      </w:r>
      <w:r>
        <w:t xml:space="preserve"> of 686</w:t>
      </w:r>
      <w:r>
        <w:rPr>
          <w:vertAlign w:val="superscript"/>
        </w:rPr>
        <w:t>o</w:t>
      </w:r>
      <w:r>
        <w:t>C at 0h:16m to 690</w:t>
      </w:r>
      <w:r>
        <w:rPr>
          <w:vertAlign w:val="superscript"/>
        </w:rPr>
        <w:t>o</w:t>
      </w:r>
      <w:r>
        <w:t>C and 962</w:t>
      </w:r>
      <w:r>
        <w:rPr>
          <w:vertAlign w:val="superscript"/>
        </w:rPr>
        <w:t>o</w:t>
      </w:r>
      <w:r>
        <w:t xml:space="preserve">C at </w:t>
      </w:r>
      <w:r w:rsidRPr="004323B6">
        <w:t>1</w:t>
      </w:r>
      <w:r>
        <w:t>h:13m respectively (</w:t>
      </w:r>
      <w:r>
        <w:fldChar w:fldCharType="begin"/>
      </w:r>
      <w:r>
        <w:instrText xml:space="preserve"> REF _Ref427320887 \h </w:instrText>
      </w:r>
      <w:r>
        <w:fldChar w:fldCharType="separate"/>
      </w:r>
      <w:r w:rsidR="00820EB1">
        <w:t xml:space="preserve">Figure </w:t>
      </w:r>
      <w:r w:rsidR="00820EB1">
        <w:rPr>
          <w:noProof/>
        </w:rPr>
        <w:t>60</w:t>
      </w:r>
      <w:r>
        <w:fldChar w:fldCharType="end"/>
      </w:r>
      <w:r>
        <w:t>). Then, at 01h:16m:25s, the first glass was observed flowing out from the bottom outlet (</w:t>
      </w:r>
      <w:r>
        <w:fldChar w:fldCharType="begin"/>
      </w:r>
      <w:r>
        <w:instrText xml:space="preserve"> REF _Ref427261713 \h </w:instrText>
      </w:r>
      <w:r>
        <w:fldChar w:fldCharType="separate"/>
      </w:r>
      <w:r w:rsidR="00820EB1">
        <w:t xml:space="preserve">Figure </w:t>
      </w:r>
      <w:r w:rsidR="00820EB1">
        <w:rPr>
          <w:noProof/>
        </w:rPr>
        <w:t>61</w:t>
      </w:r>
      <w:r>
        <w:fldChar w:fldCharType="end"/>
      </w:r>
      <w:r>
        <w:t xml:space="preserve">). </w:t>
      </w:r>
    </w:p>
    <w:p w14:paraId="17457F5A" w14:textId="77777777" w:rsidR="002B759B" w:rsidRDefault="002B759B" w:rsidP="00EA4BBA"/>
    <w:p w14:paraId="60334BFA" w14:textId="77777777" w:rsidR="002B759B" w:rsidRDefault="002B759B" w:rsidP="00EA4BBA">
      <w:pPr>
        <w:pStyle w:val="Title"/>
      </w:pPr>
      <w:r w:rsidRPr="00D46C53">
        <w:lastRenderedPageBreak/>
        <w:drawing>
          <wp:inline distT="0" distB="0" distL="0" distR="0" wp14:anchorId="3DAB646E" wp14:editId="7338A693">
            <wp:extent cx="5724525" cy="3600450"/>
            <wp:effectExtent l="0" t="0" r="9525" b="0"/>
            <wp:docPr id="219"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4525" cy="3600450"/>
                    </a:xfrm>
                    <a:prstGeom prst="rect">
                      <a:avLst/>
                    </a:prstGeom>
                    <a:noFill/>
                    <a:ln>
                      <a:noFill/>
                    </a:ln>
                  </pic:spPr>
                </pic:pic>
              </a:graphicData>
            </a:graphic>
          </wp:inline>
        </w:drawing>
      </w:r>
    </w:p>
    <w:p w14:paraId="2AF69D13" w14:textId="77777777" w:rsidR="002B759B" w:rsidRPr="00193F4B" w:rsidRDefault="002B759B" w:rsidP="00EA4BBA">
      <w:pPr>
        <w:pStyle w:val="Caption"/>
      </w:pPr>
      <w:bookmarkStart w:id="135" w:name="_Ref427320887"/>
      <w:r>
        <w:t xml:space="preserve">Figure </w:t>
      </w:r>
      <w:r w:rsidR="00A47317">
        <w:fldChar w:fldCharType="begin"/>
      </w:r>
      <w:r w:rsidR="00A47317">
        <w:instrText xml:space="preserve"> SEQ Figure \* ARABIC </w:instrText>
      </w:r>
      <w:r w:rsidR="00A47317">
        <w:fldChar w:fldCharType="separate"/>
      </w:r>
      <w:r w:rsidR="00820EB1">
        <w:rPr>
          <w:noProof/>
        </w:rPr>
        <w:t>60</w:t>
      </w:r>
      <w:r w:rsidR="00A47317">
        <w:rPr>
          <w:noProof/>
        </w:rPr>
        <w:fldChar w:fldCharType="end"/>
      </w:r>
      <w:bookmarkEnd w:id="135"/>
      <w:r>
        <w:t>: Temperature and beam power profile for experiment C1 - the first test of the scale-up solar heated glass furnace. Around 3 kW of heating power was also provided by electrical elements during this period but the time series data was lost.</w:t>
      </w:r>
    </w:p>
    <w:p w14:paraId="51F4A0EB" w14:textId="77777777" w:rsidR="002B759B" w:rsidRPr="00193F4B" w:rsidRDefault="002B759B" w:rsidP="00EA4BBA">
      <w:pPr>
        <w:pStyle w:val="Caption"/>
      </w:pPr>
    </w:p>
    <w:p w14:paraId="30CE27FF" w14:textId="175F7788" w:rsidR="002B759B" w:rsidRDefault="001D1B1A" w:rsidP="00EA4BBA">
      <w:pPr>
        <w:pStyle w:val="Title"/>
      </w:pPr>
      <w:r>
        <w:drawing>
          <wp:inline distT="0" distB="0" distL="0" distR="0" wp14:anchorId="5CA493D2" wp14:editId="3BBE25F3">
            <wp:extent cx="4119756" cy="333375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9702" t="10982" r="36677" b="11838"/>
                    <a:stretch/>
                  </pic:blipFill>
                  <pic:spPr bwMode="auto">
                    <a:xfrm>
                      <a:off x="0" y="0"/>
                      <a:ext cx="4138144" cy="3348630"/>
                    </a:xfrm>
                    <a:prstGeom prst="rect">
                      <a:avLst/>
                    </a:prstGeom>
                    <a:ln>
                      <a:noFill/>
                    </a:ln>
                    <a:extLst>
                      <a:ext uri="{53640926-AAD7-44D8-BBD7-CCE9431645EC}">
                        <a14:shadowObscured xmlns:a14="http://schemas.microsoft.com/office/drawing/2010/main"/>
                      </a:ext>
                    </a:extLst>
                  </pic:spPr>
                </pic:pic>
              </a:graphicData>
            </a:graphic>
          </wp:inline>
        </w:drawing>
      </w:r>
    </w:p>
    <w:p w14:paraId="6FE12632" w14:textId="66ED4BD9" w:rsidR="002B759B" w:rsidRPr="00094433" w:rsidRDefault="002B759B">
      <w:pPr>
        <w:pStyle w:val="Caption"/>
      </w:pPr>
      <w:bookmarkStart w:id="136" w:name="_Ref427261713"/>
      <w:r>
        <w:t xml:space="preserve">Figure </w:t>
      </w:r>
      <w:r w:rsidR="00A47317">
        <w:fldChar w:fldCharType="begin"/>
      </w:r>
      <w:r w:rsidR="00A47317">
        <w:instrText xml:space="preserve"> SEQ Figure \* ARABIC </w:instrText>
      </w:r>
      <w:r w:rsidR="00A47317">
        <w:fldChar w:fldCharType="separate"/>
      </w:r>
      <w:r w:rsidR="00820EB1">
        <w:rPr>
          <w:noProof/>
        </w:rPr>
        <w:t>61</w:t>
      </w:r>
      <w:r w:rsidR="00A47317">
        <w:rPr>
          <w:noProof/>
        </w:rPr>
        <w:fldChar w:fldCharType="end"/>
      </w:r>
      <w:bookmarkEnd w:id="136"/>
      <w:r>
        <w:t>: First observation of glass produced from the bottom outlet at 01h:16m:25s</w:t>
      </w:r>
      <w:r w:rsidDel="00436493">
        <w:t xml:space="preserve"> </w:t>
      </w:r>
      <w:r>
        <w:t>from the start of experiment C1.</w:t>
      </w:r>
      <w:r w:rsidR="001D1B1A">
        <w:t xml:space="preserve"> Scale bar based on t</w:t>
      </w:r>
      <w:r w:rsidR="005D2A27">
        <w:t xml:space="preserve">he </w:t>
      </w:r>
      <w:r w:rsidR="001D1B1A">
        <w:t xml:space="preserve">inside </w:t>
      </w:r>
      <w:r w:rsidR="005D2A27">
        <w:t xml:space="preserve">diameter of the </w:t>
      </w:r>
      <w:r w:rsidR="001D1B1A">
        <w:t>bottom outlet tube heater</w:t>
      </w:r>
      <w:r w:rsidR="005D2A27">
        <w:t>.</w:t>
      </w:r>
    </w:p>
    <w:p w14:paraId="2B832DB9" w14:textId="22371822" w:rsidR="002B759B" w:rsidRDefault="002B759B" w:rsidP="00EA4BBA">
      <w:r>
        <w:lastRenderedPageBreak/>
        <w:t>The actual temperature of the glass flowing out of the bottom outlet must have been much higher than the 690</w:t>
      </w:r>
      <w:r>
        <w:rPr>
          <w:vertAlign w:val="superscript"/>
        </w:rPr>
        <w:t>o</w:t>
      </w:r>
      <w:r>
        <w:t xml:space="preserve">C last measured at the neck section because  the glass would </w:t>
      </w:r>
      <w:r w:rsidR="005D2A27">
        <w:t xml:space="preserve">have </w:t>
      </w:r>
      <w:r>
        <w:t>need</w:t>
      </w:r>
      <w:r w:rsidR="005D2A27">
        <w:t>ed</w:t>
      </w:r>
      <w:r>
        <w:t xml:space="preserve"> to be much hotter than this temperature to produce the glass flow shown in </w:t>
      </w:r>
      <w:r>
        <w:fldChar w:fldCharType="begin"/>
      </w:r>
      <w:r>
        <w:instrText xml:space="preserve"> REF _Ref427261713 \h </w:instrText>
      </w:r>
      <w:r>
        <w:fldChar w:fldCharType="separate"/>
      </w:r>
      <w:r w:rsidR="00820EB1">
        <w:t xml:space="preserve">Figure </w:t>
      </w:r>
      <w:r w:rsidR="00820EB1">
        <w:rPr>
          <w:noProof/>
        </w:rPr>
        <w:t>61</w:t>
      </w:r>
      <w:r>
        <w:fldChar w:fldCharType="end"/>
      </w:r>
      <w:r>
        <w:t>. The significant discrepancy between T</w:t>
      </w:r>
      <w:r>
        <w:rPr>
          <w:vertAlign w:val="subscript"/>
        </w:rPr>
        <w:t>neck</w:t>
      </w:r>
      <w:r>
        <w:t xml:space="preserve"> and the actual temperature of the glass flowing was probably in part due to the fact that the thermocouple at the neck section (T</w:t>
      </w:r>
      <w:r>
        <w:rPr>
          <w:vertAlign w:val="subscript"/>
        </w:rPr>
        <w:t>neck</w:t>
      </w:r>
      <w:r>
        <w:t xml:space="preserve">) was measuring a cooling flow of air past the neck section rather than the glass temperature itself. This is explained in more detail in the discussion in section </w:t>
      </w:r>
      <w:r>
        <w:fldChar w:fldCharType="begin"/>
      </w:r>
      <w:r>
        <w:instrText xml:space="preserve"> REF _Ref451036522 \n \h </w:instrText>
      </w:r>
      <w:r>
        <w:fldChar w:fldCharType="separate"/>
      </w:r>
      <w:r w:rsidR="00820EB1">
        <w:t>5.8.1</w:t>
      </w:r>
      <w:r>
        <w:fldChar w:fldCharType="end"/>
      </w:r>
      <w:r>
        <w:t xml:space="preserve">. </w:t>
      </w:r>
      <w:r>
        <w:fldChar w:fldCharType="begin"/>
      </w:r>
      <w:r>
        <w:instrText xml:space="preserve"> REF _Ref449857012 \h </w:instrText>
      </w:r>
      <w:r>
        <w:fldChar w:fldCharType="separate"/>
      </w:r>
      <w:r w:rsidR="00820EB1">
        <w:t xml:space="preserve">Figure </w:t>
      </w:r>
      <w:r w:rsidR="00820EB1">
        <w:rPr>
          <w:noProof/>
        </w:rPr>
        <w:t>62</w:t>
      </w:r>
      <w:r>
        <w:fldChar w:fldCharType="end"/>
      </w:r>
      <w:r>
        <w:t xml:space="preserve"> shows the glass melt surface when it was flowing through the bottom outlet after all the initial batch had melted down. At </w:t>
      </w:r>
      <w:r w:rsidRPr="009C306B">
        <w:t>1</w:t>
      </w:r>
      <w:r>
        <w:t>h</w:t>
      </w:r>
      <w:r w:rsidRPr="009C306B">
        <w:t>:20</w:t>
      </w:r>
      <w:r>
        <w:t>m</w:t>
      </w:r>
      <w:r w:rsidRPr="009C306B">
        <w:t>:23</w:t>
      </w:r>
      <w:r>
        <w:t xml:space="preserve">s, the first charge of additional batch was fed, followed by two more small feeds at </w:t>
      </w:r>
      <w:r w:rsidRPr="009C306B">
        <w:t>1</w:t>
      </w:r>
      <w:r>
        <w:t>h</w:t>
      </w:r>
      <w:r w:rsidRPr="009C306B">
        <w:t>:31</w:t>
      </w:r>
      <w:r>
        <w:t>m</w:t>
      </w:r>
      <w:r w:rsidRPr="009C306B">
        <w:t>:26</w:t>
      </w:r>
      <w:r>
        <w:t xml:space="preserve">s and </w:t>
      </w:r>
      <w:r w:rsidRPr="009C306B">
        <w:t>1</w:t>
      </w:r>
      <w:r>
        <w:t>h</w:t>
      </w:r>
      <w:r w:rsidRPr="009C306B">
        <w:t>:36</w:t>
      </w:r>
      <w:r>
        <w:t>m:</w:t>
      </w:r>
      <w:r w:rsidRPr="009C306B">
        <w:t>5</w:t>
      </w:r>
      <w:r>
        <w:t xml:space="preserve">s. Each new charge was fed after the previous had almost completely melted down in an effort to maintain the level of the melt while ensuring the glass was fully melted but the rate at which glass was flowing out was faster than the batch feeding rate. By </w:t>
      </w:r>
      <w:r w:rsidRPr="009C306B">
        <w:t>1</w:t>
      </w:r>
      <w:r>
        <w:t>h</w:t>
      </w:r>
      <w:r w:rsidRPr="009C306B">
        <w:t>:41</w:t>
      </w:r>
      <w:r>
        <w:t>m:0s (</w:t>
      </w:r>
      <w:r>
        <w:fldChar w:fldCharType="begin"/>
      </w:r>
      <w:r>
        <w:instrText xml:space="preserve"> REF _Ref449857012 \h </w:instrText>
      </w:r>
      <w:r>
        <w:fldChar w:fldCharType="separate"/>
      </w:r>
      <w:r w:rsidR="00820EB1">
        <w:t xml:space="preserve">Figure </w:t>
      </w:r>
      <w:r w:rsidR="00820EB1">
        <w:rPr>
          <w:noProof/>
        </w:rPr>
        <w:t>62</w:t>
      </w:r>
      <w:r>
        <w:fldChar w:fldCharType="end"/>
      </w:r>
      <w:r>
        <w:t xml:space="preserve">a) the depth of glass was so thin that bottom outlet could be seen through it. Then from </w:t>
      </w:r>
      <w:r w:rsidRPr="00410A7B">
        <w:t>1</w:t>
      </w:r>
      <w:r>
        <w:t>h</w:t>
      </w:r>
      <w:r w:rsidRPr="00410A7B">
        <w:t>:44</w:t>
      </w:r>
      <w:r>
        <w:t>m</w:t>
      </w:r>
      <w:r w:rsidRPr="00410A7B">
        <w:t>:32</w:t>
      </w:r>
      <w:r>
        <w:t xml:space="preserve">s to </w:t>
      </w:r>
      <w:r w:rsidRPr="00410A7B">
        <w:t>1</w:t>
      </w:r>
      <w:r>
        <w:t>h</w:t>
      </w:r>
      <w:r w:rsidRPr="00410A7B">
        <w:t>:45</w:t>
      </w:r>
      <w:r>
        <w:t>m</w:t>
      </w:r>
      <w:r w:rsidRPr="00410A7B">
        <w:t>:20</w:t>
      </w:r>
      <w:r>
        <w:t>s</w:t>
      </w:r>
      <w:r w:rsidRPr="00A402EC" w:rsidDel="005112F8">
        <w:t xml:space="preserve"> </w:t>
      </w:r>
      <w:r>
        <w:t>(</w:t>
      </w:r>
      <w:r>
        <w:fldChar w:fldCharType="begin"/>
      </w:r>
      <w:r>
        <w:instrText xml:space="preserve"> REF _Ref449857012 \h </w:instrText>
      </w:r>
      <w:r>
        <w:fldChar w:fldCharType="separate"/>
      </w:r>
      <w:r w:rsidR="00820EB1">
        <w:t xml:space="preserve">Figure </w:t>
      </w:r>
      <w:r w:rsidR="00820EB1">
        <w:rPr>
          <w:noProof/>
        </w:rPr>
        <w:t>62</w:t>
      </w:r>
      <w:r>
        <w:fldChar w:fldCharType="end"/>
      </w:r>
      <w:r>
        <w:t>b) a large charge of pellets was fed, covering the entire surface of the melt. Compared to the melt progression of the initial charge of pellets (</w:t>
      </w:r>
      <w:r>
        <w:fldChar w:fldCharType="begin"/>
      </w:r>
      <w:r>
        <w:instrText xml:space="preserve"> REF _Ref449855653 \h </w:instrText>
      </w:r>
      <w:r>
        <w:fldChar w:fldCharType="separate"/>
      </w:r>
      <w:r w:rsidR="00820EB1">
        <w:t xml:space="preserve">Figure </w:t>
      </w:r>
      <w:r w:rsidR="00820EB1">
        <w:rPr>
          <w:noProof/>
        </w:rPr>
        <w:t>59</w:t>
      </w:r>
      <w:r>
        <w:fldChar w:fldCharType="end"/>
      </w:r>
      <w:r>
        <w:t>), these pellets melted much more evenly (</w:t>
      </w:r>
      <w:r>
        <w:fldChar w:fldCharType="begin"/>
      </w:r>
      <w:r>
        <w:instrText xml:space="preserve"> REF _Ref449857012 \h </w:instrText>
      </w:r>
      <w:r>
        <w:fldChar w:fldCharType="separate"/>
      </w:r>
      <w:r w:rsidR="00820EB1">
        <w:t xml:space="preserve">Figure </w:t>
      </w:r>
      <w:r w:rsidR="00820EB1">
        <w:rPr>
          <w:noProof/>
        </w:rPr>
        <w:t>62</w:t>
      </w:r>
      <w:r>
        <w:fldChar w:fldCharType="end"/>
      </w:r>
      <w:r>
        <w:t xml:space="preserve">c) and rapidly, with all the batch fully molten and reactions mostly complete by </w:t>
      </w:r>
      <w:r w:rsidRPr="005112F8">
        <w:t>1h:53m:42s</w:t>
      </w:r>
      <w:r>
        <w:t xml:space="preserve"> (</w:t>
      </w:r>
      <w:r>
        <w:fldChar w:fldCharType="begin"/>
      </w:r>
      <w:r>
        <w:instrText xml:space="preserve"> REF _Ref449857012 \h </w:instrText>
      </w:r>
      <w:r>
        <w:fldChar w:fldCharType="separate"/>
      </w:r>
      <w:r w:rsidR="00820EB1">
        <w:t xml:space="preserve">Figure </w:t>
      </w:r>
      <w:r w:rsidR="00820EB1">
        <w:rPr>
          <w:noProof/>
        </w:rPr>
        <w:t>62</w:t>
      </w:r>
      <w:r>
        <w:fldChar w:fldCharType="end"/>
      </w:r>
      <w:r>
        <w:t>d). This was probably due to 1) the full power of the beam (</w:t>
      </w:r>
      <w:r w:rsidRPr="009F5261">
        <w:t>4.90</w:t>
      </w:r>
      <w:r>
        <w:t xml:space="preserve"> kW indicative), provided by all 6 lamps throughout the melting of this charge compared to </w:t>
      </w:r>
      <w:r w:rsidRPr="009F5261">
        <w:t>1.03</w:t>
      </w:r>
      <w:r>
        <w:t>-</w:t>
      </w:r>
      <w:r w:rsidRPr="009F5261">
        <w:t>4.90</w:t>
      </w:r>
      <w:r>
        <w:t xml:space="preserve"> kW indicative power provided by 2 to 6 lamps over the course of the melting of the initial charge; 2) increased furnace temperature and 3) reduced thickness of batch blanket compared to the initial charge of batch.</w:t>
      </w:r>
    </w:p>
    <w:p w14:paraId="627DD8DD" w14:textId="77777777" w:rsidR="002B759B" w:rsidRDefault="002B759B" w:rsidP="00EA4BBA">
      <w:pPr>
        <w:pStyle w:val="Title"/>
      </w:pPr>
      <w:r w:rsidRPr="00D46C53">
        <w:drawing>
          <wp:inline distT="0" distB="0" distL="0" distR="0" wp14:anchorId="5D191BC1" wp14:editId="274AA716">
            <wp:extent cx="4981575" cy="1304925"/>
            <wp:effectExtent l="0" t="0" r="9525" b="9525"/>
            <wp:docPr id="215"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6">
                      <a:extLst>
                        <a:ext uri="{28A0092B-C50C-407E-A947-70E740481C1C}">
                          <a14:useLocalDpi xmlns:a14="http://schemas.microsoft.com/office/drawing/2010/main" val="0"/>
                        </a:ext>
                      </a:extLst>
                    </a:blip>
                    <a:srcRect l="8328" t="32816" r="4782" b="26714"/>
                    <a:stretch>
                      <a:fillRect/>
                    </a:stretch>
                  </pic:blipFill>
                  <pic:spPr bwMode="auto">
                    <a:xfrm>
                      <a:off x="0" y="0"/>
                      <a:ext cx="4981575" cy="1304925"/>
                    </a:xfrm>
                    <a:prstGeom prst="rect">
                      <a:avLst/>
                    </a:prstGeom>
                    <a:noFill/>
                    <a:ln>
                      <a:noFill/>
                    </a:ln>
                  </pic:spPr>
                </pic:pic>
              </a:graphicData>
            </a:graphic>
          </wp:inline>
        </w:drawing>
      </w:r>
    </w:p>
    <w:p w14:paraId="10F57B24" w14:textId="77777777" w:rsidR="002B759B" w:rsidRPr="00EA717E" w:rsidRDefault="002B759B" w:rsidP="00EA4BBA">
      <w:pPr>
        <w:pStyle w:val="Caption"/>
      </w:pPr>
      <w:bookmarkStart w:id="137" w:name="_Ref449857012"/>
      <w:r>
        <w:t xml:space="preserve">Figure </w:t>
      </w:r>
      <w:r w:rsidR="00A47317">
        <w:fldChar w:fldCharType="begin"/>
      </w:r>
      <w:r w:rsidR="00A47317">
        <w:instrText xml:space="preserve"> SEQ Figure \* ARABIC </w:instrText>
      </w:r>
      <w:r w:rsidR="00A47317">
        <w:fldChar w:fldCharType="separate"/>
      </w:r>
      <w:r w:rsidR="00820EB1">
        <w:rPr>
          <w:noProof/>
        </w:rPr>
        <w:t>62</w:t>
      </w:r>
      <w:r w:rsidR="00A47317">
        <w:rPr>
          <w:noProof/>
        </w:rPr>
        <w:fldChar w:fldCharType="end"/>
      </w:r>
      <w:bookmarkEnd w:id="137"/>
      <w:r>
        <w:t xml:space="preserve">: </w:t>
      </w:r>
      <w:r w:rsidRPr="00EA717E">
        <w:t>Snapshots of glass melt surface with the maximum 60.6kW indicative power of the beam at the following times: a)</w:t>
      </w:r>
      <w:r w:rsidRPr="00410A7B">
        <w:t xml:space="preserve"> 1</w:t>
      </w:r>
      <w:r>
        <w:t>h</w:t>
      </w:r>
      <w:r w:rsidRPr="00410A7B">
        <w:t>:41</w:t>
      </w:r>
      <w:r>
        <w:t>m:0s</w:t>
      </w:r>
      <w:r w:rsidRPr="00EA717E">
        <w:t xml:space="preserve">; b) </w:t>
      </w:r>
      <w:r w:rsidRPr="00410A7B">
        <w:t>1</w:t>
      </w:r>
      <w:r>
        <w:t>h</w:t>
      </w:r>
      <w:r w:rsidRPr="00410A7B">
        <w:t>:45</w:t>
      </w:r>
      <w:r>
        <w:t>m</w:t>
      </w:r>
      <w:r w:rsidRPr="00410A7B">
        <w:t>:20</w:t>
      </w:r>
      <w:r>
        <w:t>s</w:t>
      </w:r>
      <w:r w:rsidRPr="00EA717E">
        <w:t xml:space="preserve">; c) </w:t>
      </w:r>
      <w:r w:rsidRPr="005112F8">
        <w:t>1</w:t>
      </w:r>
      <w:r>
        <w:t>h</w:t>
      </w:r>
      <w:r w:rsidRPr="005112F8">
        <w:t>:46</w:t>
      </w:r>
      <w:r>
        <w:t>m</w:t>
      </w:r>
      <w:r w:rsidRPr="005112F8">
        <w:t>:31</w:t>
      </w:r>
      <w:r>
        <w:t>s</w:t>
      </w:r>
      <w:r w:rsidRPr="00EA717E">
        <w:t xml:space="preserve">; d) </w:t>
      </w:r>
      <w:r w:rsidRPr="005112F8">
        <w:t>1h:53m:42s</w:t>
      </w:r>
      <w:r w:rsidRPr="00EA717E">
        <w:t>.</w:t>
      </w:r>
    </w:p>
    <w:p w14:paraId="3481DA49" w14:textId="14646866" w:rsidR="002B759B" w:rsidRDefault="002B759B" w:rsidP="00EA4BBA">
      <w:r>
        <w:t xml:space="preserve">Meanwhile the glass continued to flow out of the bottom outlet in a very thin straggly stream </w:t>
      </w:r>
      <w:r w:rsidR="005D2A27">
        <w:t xml:space="preserve">which was </w:t>
      </w:r>
      <w:r>
        <w:t xml:space="preserve">blown around by the aforementioned convective air stream. It solidified as it fell to form a tangle of irregular glass filaments as shown in </w:t>
      </w:r>
      <w:r>
        <w:fldChar w:fldCharType="begin"/>
      </w:r>
      <w:r>
        <w:instrText xml:space="preserve"> REF _Ref427315534 \h </w:instrText>
      </w:r>
      <w:r>
        <w:fldChar w:fldCharType="separate"/>
      </w:r>
      <w:r w:rsidR="00820EB1">
        <w:t xml:space="preserve">Figure </w:t>
      </w:r>
      <w:r w:rsidR="00820EB1">
        <w:rPr>
          <w:noProof/>
        </w:rPr>
        <w:t>63</w:t>
      </w:r>
      <w:r>
        <w:fldChar w:fldCharType="end"/>
      </w:r>
      <w:r>
        <w:t>.</w:t>
      </w:r>
    </w:p>
    <w:p w14:paraId="74A003EC" w14:textId="6B05CFFE" w:rsidR="002B759B" w:rsidRDefault="001D1B1A" w:rsidP="00EA4BBA">
      <w:pPr>
        <w:pStyle w:val="Title"/>
      </w:pPr>
      <w:r>
        <w:lastRenderedPageBreak/>
        <w:drawing>
          <wp:inline distT="0" distB="0" distL="0" distR="0" wp14:anchorId="4B4CD1FA" wp14:editId="51F3476A">
            <wp:extent cx="2144110" cy="2720400"/>
            <wp:effectExtent l="0" t="0" r="889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36" t="22861" r="69345" b="13230"/>
                    <a:stretch/>
                  </pic:blipFill>
                  <pic:spPr bwMode="auto">
                    <a:xfrm>
                      <a:off x="0" y="0"/>
                      <a:ext cx="2150063" cy="2727953"/>
                    </a:xfrm>
                    <a:prstGeom prst="rect">
                      <a:avLst/>
                    </a:prstGeom>
                    <a:ln>
                      <a:noFill/>
                    </a:ln>
                    <a:extLst>
                      <a:ext uri="{53640926-AAD7-44D8-BBD7-CCE9431645EC}">
                        <a14:shadowObscured xmlns:a14="http://schemas.microsoft.com/office/drawing/2010/main"/>
                      </a:ext>
                    </a:extLst>
                  </pic:spPr>
                </pic:pic>
              </a:graphicData>
            </a:graphic>
          </wp:inline>
        </w:drawing>
      </w:r>
    </w:p>
    <w:p w14:paraId="39C37A08" w14:textId="72AB94F9" w:rsidR="002B759B" w:rsidRDefault="002B759B" w:rsidP="00EA4BBA">
      <w:pPr>
        <w:pStyle w:val="Caption"/>
      </w:pPr>
      <w:bookmarkStart w:id="138" w:name="_Ref427315534"/>
      <w:r>
        <w:t xml:space="preserve">Figure </w:t>
      </w:r>
      <w:r w:rsidR="00A47317">
        <w:fldChar w:fldCharType="begin"/>
      </w:r>
      <w:r w:rsidR="00A47317">
        <w:instrText xml:space="preserve"> SEQ Figure \* ARABIC </w:instrText>
      </w:r>
      <w:r w:rsidR="00A47317">
        <w:fldChar w:fldCharType="separate"/>
      </w:r>
      <w:r w:rsidR="00820EB1">
        <w:rPr>
          <w:noProof/>
        </w:rPr>
        <w:t>63</w:t>
      </w:r>
      <w:r w:rsidR="00A47317">
        <w:rPr>
          <w:noProof/>
        </w:rPr>
        <w:fldChar w:fldCharType="end"/>
      </w:r>
      <w:bookmarkEnd w:id="138"/>
      <w:r>
        <w:t xml:space="preserve">: </w:t>
      </w:r>
      <w:r w:rsidRPr="00F2137C">
        <w:t>Glass flow (visible inside red circle) out of bottom outlet aperture at 1h:40m:54s from the start of experiment C1.</w:t>
      </w:r>
      <w:r w:rsidR="001D1B1A">
        <w:t xml:space="preserve"> Scale bar based on the 8 cm inside diameter of the outlet tube heater.</w:t>
      </w:r>
    </w:p>
    <w:p w14:paraId="1B2D6425" w14:textId="0A28737D" w:rsidR="002B759B" w:rsidRDefault="002B759B" w:rsidP="00EA4BBA">
      <w:r>
        <w:t>The beam was held at full power until the glass flowing from the bottom outlet appeared to cease and then at 15:56:34 the shutters were closed to switch the beam off for the day. Then the beam inlet and bottom outlet apertures were closed with the ceramic fibre blanket insulation. The main furnace controller was set to 1100</w:t>
      </w:r>
      <w:r>
        <w:rPr>
          <w:vertAlign w:val="superscript"/>
        </w:rPr>
        <w:t>o</w:t>
      </w:r>
      <w:r>
        <w:t xml:space="preserve">C and the outlet tube heater </w:t>
      </w:r>
      <w:r w:rsidR="005D2A27">
        <w:t xml:space="preserve">was </w:t>
      </w:r>
      <w:r>
        <w:t>set to 1000</w:t>
      </w:r>
      <w:r>
        <w:rPr>
          <w:vertAlign w:val="superscript"/>
        </w:rPr>
        <w:t>o</w:t>
      </w:r>
      <w:r>
        <w:t>C overnight.</w:t>
      </w:r>
    </w:p>
    <w:p w14:paraId="37678DBF" w14:textId="77777777" w:rsidR="002B759B" w:rsidRDefault="002B759B" w:rsidP="002B759B">
      <w:pPr>
        <w:pStyle w:val="Heading3"/>
        <w:keepLines w:val="0"/>
        <w:numPr>
          <w:ilvl w:val="2"/>
          <w:numId w:val="21"/>
        </w:numPr>
        <w:spacing w:before="100" w:after="100"/>
        <w:contextualSpacing w:val="0"/>
      </w:pPr>
      <w:r>
        <w:t>Experiment C2</w:t>
      </w:r>
    </w:p>
    <w:p w14:paraId="1AB5BBF8" w14:textId="3219A53E" w:rsidR="002B759B" w:rsidRDefault="002B759B">
      <w:r>
        <w:t>The following morning, as soon as the beam inlet aperture was opened, in preparation for switching the beam back on, T</w:t>
      </w:r>
      <w:r>
        <w:rPr>
          <w:vertAlign w:val="subscript"/>
        </w:rPr>
        <w:t>main</w:t>
      </w:r>
      <w:r>
        <w:t xml:space="preserve"> dropped from </w:t>
      </w:r>
      <w:r w:rsidRPr="006D5BD4">
        <w:t>1100</w:t>
      </w:r>
      <w:r>
        <w:rPr>
          <w:vertAlign w:val="superscript"/>
        </w:rPr>
        <w:t>o</w:t>
      </w:r>
      <w:r>
        <w:t>C to 1018</w:t>
      </w:r>
      <w:r>
        <w:rPr>
          <w:vertAlign w:val="superscript"/>
        </w:rPr>
        <w:t>o</w:t>
      </w:r>
      <w:r>
        <w:t>C and T</w:t>
      </w:r>
      <w:r>
        <w:rPr>
          <w:vertAlign w:val="subscript"/>
        </w:rPr>
        <w:t>neck</w:t>
      </w:r>
      <w:r>
        <w:t xml:space="preserve"> dropped from 1000</w:t>
      </w:r>
      <w:r>
        <w:rPr>
          <w:vertAlign w:val="superscript"/>
        </w:rPr>
        <w:t>o</w:t>
      </w:r>
      <w:r>
        <w:t>C to 900</w:t>
      </w:r>
      <w:r>
        <w:rPr>
          <w:vertAlign w:val="superscript"/>
        </w:rPr>
        <w:t>o</w:t>
      </w:r>
      <w:r>
        <w:t xml:space="preserve">C. Then, </w:t>
      </w:r>
      <w:r w:rsidR="008232E3">
        <w:t xml:space="preserve">as </w:t>
      </w:r>
      <w:r>
        <w:t>the bottom outlet aperture was opened, T</w:t>
      </w:r>
      <w:r>
        <w:rPr>
          <w:vertAlign w:val="subscript"/>
        </w:rPr>
        <w:t>neck</w:t>
      </w:r>
      <w:r>
        <w:t xml:space="preserve"> decreased further to 580</w:t>
      </w:r>
      <w:r>
        <w:rPr>
          <w:vertAlign w:val="superscript"/>
        </w:rPr>
        <w:t>o</w:t>
      </w:r>
      <w:r>
        <w:t xml:space="preserve">C. </w:t>
      </w:r>
      <w:r w:rsidR="008232E3">
        <w:t>Next</w:t>
      </w:r>
      <w:r>
        <w:t xml:space="preserve">, the beam was switched on (0h:0m:0s) and </w:t>
      </w:r>
      <w:r w:rsidR="008232E3">
        <w:t xml:space="preserve">radiative </w:t>
      </w:r>
      <w:r w:rsidR="005D2A27">
        <w:t xml:space="preserve">power </w:t>
      </w:r>
      <w:r w:rsidR="008232E3">
        <w:t xml:space="preserve">supply was </w:t>
      </w:r>
      <w:r>
        <w:t xml:space="preserve">gradually increased to a maximum of 4.87 kW by </w:t>
      </w:r>
      <w:r w:rsidRPr="00086C10">
        <w:t>0h:12m:46s</w:t>
      </w:r>
      <w:r w:rsidR="005D2A27">
        <w:t>.</w:t>
      </w:r>
      <w:r>
        <w:t xml:space="preserve"> </w:t>
      </w:r>
      <w:r w:rsidR="008232E3">
        <w:t>This increasing beam power enabled</w:t>
      </w:r>
      <w:r>
        <w:t xml:space="preserve"> T</w:t>
      </w:r>
      <w:r>
        <w:rPr>
          <w:vertAlign w:val="subscript"/>
        </w:rPr>
        <w:t>main</w:t>
      </w:r>
      <w:r>
        <w:t xml:space="preserve"> to recover </w:t>
      </w:r>
      <w:r w:rsidR="008232E3">
        <w:t>to around 1100</w:t>
      </w:r>
      <w:r w:rsidR="008232E3">
        <w:rPr>
          <w:vertAlign w:val="superscript"/>
        </w:rPr>
        <w:t>o</w:t>
      </w:r>
      <w:r w:rsidR="008232E3">
        <w:t xml:space="preserve">C by </w:t>
      </w:r>
      <w:r w:rsidR="008232E3" w:rsidRPr="00086C10">
        <w:t>0h:32m:52s</w:t>
      </w:r>
      <w:r w:rsidR="008232E3">
        <w:t xml:space="preserve">, </w:t>
      </w:r>
      <w:r>
        <w:t>with decreasing electrical power supply to the elements (</w:t>
      </w:r>
      <w:r>
        <w:fldChar w:fldCharType="begin"/>
      </w:r>
      <w:r>
        <w:instrText xml:space="preserve"> REF _Ref428970497 \h </w:instrText>
      </w:r>
      <w:r>
        <w:fldChar w:fldCharType="separate"/>
      </w:r>
      <w:r w:rsidR="00820EB1">
        <w:t xml:space="preserve">Figure </w:t>
      </w:r>
      <w:r w:rsidR="00820EB1">
        <w:rPr>
          <w:noProof/>
        </w:rPr>
        <w:t>64</w:t>
      </w:r>
      <w:r>
        <w:fldChar w:fldCharType="end"/>
      </w:r>
      <w:r>
        <w:t>)</w:t>
      </w:r>
      <w:r w:rsidR="008232E3">
        <w:t xml:space="preserve">. At </w:t>
      </w:r>
      <w:r w:rsidR="008232E3" w:rsidRPr="00086C10">
        <w:t>0h:32m:52s</w:t>
      </w:r>
      <w:r w:rsidR="008232E3">
        <w:t xml:space="preserve">, </w:t>
      </w:r>
      <w:r>
        <w:t xml:space="preserve">the first new charge of batch of the day was fed. </w:t>
      </w:r>
      <w:r w:rsidR="008232E3">
        <w:t>Subsequently,</w:t>
      </w:r>
      <w:r>
        <w:t xml:space="preserve"> T</w:t>
      </w:r>
      <w:r>
        <w:rPr>
          <w:vertAlign w:val="subscript"/>
        </w:rPr>
        <w:t>main</w:t>
      </w:r>
      <w:r>
        <w:t xml:space="preserve"> was maintained at 1100</w:t>
      </w:r>
      <w:r>
        <w:rPr>
          <w:vertAlign w:val="superscript"/>
        </w:rPr>
        <w:t>o</w:t>
      </w:r>
      <w:r>
        <w:t>C while T</w:t>
      </w:r>
      <w:r>
        <w:rPr>
          <w:vertAlign w:val="subscript"/>
        </w:rPr>
        <w:t>neck</w:t>
      </w:r>
      <w:r>
        <w:t xml:space="preserve"> continued to increase. The manual temperature readings of T</w:t>
      </w:r>
      <w:r>
        <w:rPr>
          <w:vertAlign w:val="subscript"/>
        </w:rPr>
        <w:t xml:space="preserve">main </w:t>
      </w:r>
      <w:r>
        <w:t>and T</w:t>
      </w:r>
      <w:r>
        <w:rPr>
          <w:vertAlign w:val="subscript"/>
        </w:rPr>
        <w:t>neck</w:t>
      </w:r>
      <w:r>
        <w:rPr>
          <w:vertAlign w:val="superscript"/>
        </w:rPr>
        <w:t xml:space="preserve">  </w:t>
      </w:r>
      <w:r>
        <w:t xml:space="preserve">during the course of this experiment (C2) are plotted, from the time the beam was first switched on, along with the corresponding power supply to the electrical heating elements and radiative power input from the beam in </w:t>
      </w:r>
      <w:r>
        <w:fldChar w:fldCharType="begin"/>
      </w:r>
      <w:r>
        <w:instrText xml:space="preserve"> REF _Ref428970497 \h </w:instrText>
      </w:r>
      <w:r>
        <w:fldChar w:fldCharType="separate"/>
      </w:r>
      <w:r w:rsidR="00820EB1">
        <w:t xml:space="preserve">Figure </w:t>
      </w:r>
      <w:r w:rsidR="00820EB1">
        <w:rPr>
          <w:noProof/>
        </w:rPr>
        <w:t>64</w:t>
      </w:r>
      <w:r>
        <w:fldChar w:fldCharType="end"/>
      </w:r>
      <w:r>
        <w:t xml:space="preserve"> and explained in</w:t>
      </w:r>
      <w:r w:rsidR="008232E3">
        <w:t xml:space="preserve"> </w:t>
      </w:r>
      <w:r>
        <w:t>the following section.</w:t>
      </w:r>
    </w:p>
    <w:p w14:paraId="48F8DBEE" w14:textId="77777777" w:rsidR="002B759B" w:rsidRDefault="002B759B" w:rsidP="00EA4BBA">
      <w:pPr>
        <w:pStyle w:val="Title"/>
      </w:pPr>
      <w:r w:rsidRPr="00D46C53">
        <w:lastRenderedPageBreak/>
        <w:drawing>
          <wp:inline distT="0" distB="0" distL="0" distR="0" wp14:anchorId="32409583" wp14:editId="72B48D11">
            <wp:extent cx="5972175" cy="3076575"/>
            <wp:effectExtent l="0" t="0" r="9525" b="9525"/>
            <wp:docPr id="212"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2175" cy="3076575"/>
                    </a:xfrm>
                    <a:prstGeom prst="rect">
                      <a:avLst/>
                    </a:prstGeom>
                    <a:noFill/>
                    <a:ln>
                      <a:noFill/>
                    </a:ln>
                  </pic:spPr>
                </pic:pic>
              </a:graphicData>
            </a:graphic>
          </wp:inline>
        </w:drawing>
      </w:r>
    </w:p>
    <w:p w14:paraId="0E1A1434" w14:textId="77777777" w:rsidR="002B759B" w:rsidRDefault="002B759B" w:rsidP="00EA4BBA">
      <w:pPr>
        <w:pStyle w:val="Caption"/>
      </w:pPr>
      <w:bookmarkStart w:id="139" w:name="_Ref428970497"/>
      <w:r>
        <w:t xml:space="preserve">Figure </w:t>
      </w:r>
      <w:r w:rsidR="00A47317">
        <w:fldChar w:fldCharType="begin"/>
      </w:r>
      <w:r w:rsidR="00A47317">
        <w:instrText xml:space="preserve"> SEQ Figure \* ARABIC </w:instrText>
      </w:r>
      <w:r w:rsidR="00A47317">
        <w:fldChar w:fldCharType="separate"/>
      </w:r>
      <w:r w:rsidR="00820EB1">
        <w:rPr>
          <w:noProof/>
        </w:rPr>
        <w:t>64</w:t>
      </w:r>
      <w:r w:rsidR="00A47317">
        <w:rPr>
          <w:noProof/>
        </w:rPr>
        <w:fldChar w:fldCharType="end"/>
      </w:r>
      <w:bookmarkEnd w:id="139"/>
      <w:r>
        <w:t>: Temperature and power profiles for solar glass melting experiment C2.</w:t>
      </w:r>
    </w:p>
    <w:p w14:paraId="1985C118" w14:textId="63A381BE" w:rsidR="002B759B" w:rsidRDefault="002B759B" w:rsidP="00EA4BBA">
      <w:pPr>
        <w:ind w:firstLine="0"/>
      </w:pPr>
      <w:r>
        <w:t xml:space="preserve">The heating elements’ power shown in </w:t>
      </w:r>
      <w:r>
        <w:fldChar w:fldCharType="begin"/>
      </w:r>
      <w:r>
        <w:instrText xml:space="preserve"> REF _Ref428970497 \h </w:instrText>
      </w:r>
      <w:r>
        <w:fldChar w:fldCharType="separate"/>
      </w:r>
      <w:r w:rsidR="00820EB1">
        <w:t xml:space="preserve">Figure </w:t>
      </w:r>
      <w:r w:rsidR="00820EB1">
        <w:rPr>
          <w:noProof/>
        </w:rPr>
        <w:t>64</w:t>
      </w:r>
      <w:r>
        <w:fldChar w:fldCharType="end"/>
      </w:r>
      <w:r>
        <w:t xml:space="preserve"> is seen </w:t>
      </w:r>
      <w:r w:rsidR="008232E3">
        <w:t xml:space="preserve">to have </w:t>
      </w:r>
      <w:r>
        <w:t>fluctuat</w:t>
      </w:r>
      <w:r w:rsidR="008232E3">
        <w:t>ed</w:t>
      </w:r>
      <w:r>
        <w:t xml:space="preserve"> because as the controller’s thermocouple (T</w:t>
      </w:r>
      <w:r>
        <w:softHyphen/>
      </w:r>
      <w:r>
        <w:rPr>
          <w:vertAlign w:val="subscript"/>
        </w:rPr>
        <w:t>main</w:t>
      </w:r>
      <w:r>
        <w:t>) measured a temperature approaching the set point it automatically flickered on/off in order to reach its control set point without overshooting. At 0h:38m, when T</w:t>
      </w:r>
      <w:r>
        <w:rPr>
          <w:vertAlign w:val="subscript"/>
        </w:rPr>
        <w:t>neck</w:t>
      </w:r>
      <w:r>
        <w:t xml:space="preserve"> measured 745</w:t>
      </w:r>
      <w:r>
        <w:rPr>
          <w:vertAlign w:val="superscript"/>
        </w:rPr>
        <w:t>o</w:t>
      </w:r>
      <w:r>
        <w:t>C, while feeding another charge of batch, glass was observed starting to flow from the bottom outlet, again, in a very similar way to that observed previously (</w:t>
      </w:r>
      <w:r>
        <w:fldChar w:fldCharType="begin"/>
      </w:r>
      <w:r>
        <w:instrText xml:space="preserve"> REF _Ref427261713 \h </w:instrText>
      </w:r>
      <w:r>
        <w:fldChar w:fldCharType="separate"/>
      </w:r>
      <w:r w:rsidR="00820EB1">
        <w:t xml:space="preserve">Figure </w:t>
      </w:r>
      <w:r w:rsidR="00820EB1">
        <w:rPr>
          <w:noProof/>
        </w:rPr>
        <w:t>61</w:t>
      </w:r>
      <w:r>
        <w:fldChar w:fldCharType="end"/>
      </w:r>
      <w:r>
        <w:t>), with a small glob of glass suddenly falling out followed by a thin stream. However, this time, with the furnace fully preheated overnight the melting was more rapid and a greater volume of glass was produced from the outlet compared to</w:t>
      </w:r>
      <w:r w:rsidR="008232E3">
        <w:t xml:space="preserve"> the</w:t>
      </w:r>
      <w:r>
        <w:t xml:space="preserve"> previous day. Over the course of the day</w:t>
      </w:r>
      <w:r w:rsidR="008232E3">
        <w:t>,</w:t>
      </w:r>
      <w:r>
        <w:t xml:space="preserve"> the glass outflow was intermittent and variable, typically in the form of a thin stream as before</w:t>
      </w:r>
      <w:r w:rsidR="008232E3">
        <w:t>. The outlet stream</w:t>
      </w:r>
      <w:r>
        <w:t xml:space="preserve"> which would eventually </w:t>
      </w:r>
      <w:r w:rsidR="008232E3">
        <w:t xml:space="preserve">get </w:t>
      </w:r>
      <w:r>
        <w:t>st</w:t>
      </w:r>
      <w:r w:rsidR="008232E3">
        <w:t>u</w:t>
      </w:r>
      <w:r>
        <w:t>ck to the inside of the outlet tube heater on its way out</w:t>
      </w:r>
      <w:r w:rsidR="008232E3">
        <w:t>.</w:t>
      </w:r>
      <w:r>
        <w:t xml:space="preserve"> </w:t>
      </w:r>
      <w:r w:rsidR="008232E3">
        <w:t>T</w:t>
      </w:r>
      <w:r>
        <w:t>hen the following stream would get stuck as well</w:t>
      </w:r>
      <w:r w:rsidR="008232E3">
        <w:t>,</w:t>
      </w:r>
      <w:r>
        <w:t xml:space="preserve"> forming a tangle inside the outlet tube heater. This cause</w:t>
      </w:r>
      <w:r w:rsidR="00DB3208">
        <w:t>d</w:t>
      </w:r>
      <w:r>
        <w:t xml:space="preserve"> the temperature inside the outlet tube section to increase as the glass blockage impede</w:t>
      </w:r>
      <w:r w:rsidR="00DB3208">
        <w:t>d</w:t>
      </w:r>
      <w:r>
        <w:t xml:space="preserve"> the cooling flow of air until the temperature was sufficiently high to allow the accumulated glass blockage to fall out (</w:t>
      </w:r>
      <w:r>
        <w:fldChar w:fldCharType="begin"/>
      </w:r>
      <w:r>
        <w:instrText xml:space="preserve"> REF _Ref427571612 \h </w:instrText>
      </w:r>
      <w:r>
        <w:fldChar w:fldCharType="separate"/>
      </w:r>
      <w:r w:rsidR="00820EB1" w:rsidRPr="008B1C07">
        <w:t xml:space="preserve">Figure </w:t>
      </w:r>
      <w:r w:rsidR="00820EB1">
        <w:rPr>
          <w:noProof/>
        </w:rPr>
        <w:t>65</w:t>
      </w:r>
      <w:r>
        <w:fldChar w:fldCharType="end"/>
      </w:r>
      <w:r>
        <w:t xml:space="preserve">). </w:t>
      </w:r>
    </w:p>
    <w:p w14:paraId="3B4D8405" w14:textId="12B552B5" w:rsidR="002B759B" w:rsidRDefault="00AC04F9" w:rsidP="00EA4BBA">
      <w:pPr>
        <w:pStyle w:val="Title"/>
      </w:pPr>
      <w:r>
        <w:lastRenderedPageBreak/>
        <w:drawing>
          <wp:inline distT="0" distB="0" distL="0" distR="0" wp14:anchorId="3CBCD492" wp14:editId="4096C87A">
            <wp:extent cx="3440906" cy="2752725"/>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0760" t="11923" r="44262" b="24074"/>
                    <a:stretch/>
                  </pic:blipFill>
                  <pic:spPr bwMode="auto">
                    <a:xfrm>
                      <a:off x="0" y="0"/>
                      <a:ext cx="3445451" cy="2756361"/>
                    </a:xfrm>
                    <a:prstGeom prst="rect">
                      <a:avLst/>
                    </a:prstGeom>
                    <a:ln>
                      <a:noFill/>
                    </a:ln>
                    <a:extLst>
                      <a:ext uri="{53640926-AAD7-44D8-BBD7-CCE9431645EC}">
                        <a14:shadowObscured xmlns:a14="http://schemas.microsoft.com/office/drawing/2010/main"/>
                      </a:ext>
                    </a:extLst>
                  </pic:spPr>
                </pic:pic>
              </a:graphicData>
            </a:graphic>
          </wp:inline>
        </w:drawing>
      </w:r>
    </w:p>
    <w:p w14:paraId="27CE868A" w14:textId="1FED0FFE" w:rsidR="002B759B" w:rsidRPr="008B1C07" w:rsidRDefault="002B759B" w:rsidP="00EA4BBA">
      <w:pPr>
        <w:pStyle w:val="Caption"/>
      </w:pPr>
      <w:bookmarkStart w:id="140" w:name="_Ref427571612"/>
      <w:r w:rsidRPr="008B1C07">
        <w:t xml:space="preserve">Figure </w:t>
      </w:r>
      <w:r w:rsidR="00A47317">
        <w:fldChar w:fldCharType="begin"/>
      </w:r>
      <w:r w:rsidR="00A47317">
        <w:instrText xml:space="preserve"> SEQ Figure \* ARABIC </w:instrText>
      </w:r>
      <w:r w:rsidR="00A47317">
        <w:fldChar w:fldCharType="separate"/>
      </w:r>
      <w:r w:rsidR="00820EB1">
        <w:rPr>
          <w:noProof/>
        </w:rPr>
        <w:t>65</w:t>
      </w:r>
      <w:r w:rsidR="00A47317">
        <w:rPr>
          <w:noProof/>
        </w:rPr>
        <w:fldChar w:fldCharType="end"/>
      </w:r>
      <w:bookmarkEnd w:id="140"/>
      <w:r w:rsidRPr="008B1C07">
        <w:t>: Snapshot of bottom outlet video showing blockage of tangled glass released</w:t>
      </w:r>
      <w:r w:rsidR="00DB3208">
        <w:t xml:space="preserve"> from the </w:t>
      </w:r>
      <w:r w:rsidR="00AC04F9">
        <w:t>outlet</w:t>
      </w:r>
      <w:r w:rsidR="00DB3208">
        <w:t xml:space="preserve"> </w:t>
      </w:r>
      <w:r w:rsidRPr="008B1C07">
        <w:t xml:space="preserve">at </w:t>
      </w:r>
      <w:r w:rsidRPr="001E3A4B">
        <w:t>0h:50m:13s</w:t>
      </w:r>
      <w:r>
        <w:t xml:space="preserve"> during experiment C2.</w:t>
      </w:r>
      <w:r w:rsidR="00AC04F9">
        <w:t xml:space="preserve"> Scale bar based on the 8 cm inside diameter of the outlet tube heater.</w:t>
      </w:r>
    </w:p>
    <w:p w14:paraId="390C23FD" w14:textId="503841F3" w:rsidR="002B759B" w:rsidRDefault="002B759B" w:rsidP="00EA4BBA">
      <w:r>
        <w:t>The released blockage of glass was followed by a thin stream and then this cycle repeated again. At 1h:21m, the main furnace set point temperature was increased to 1200</w:t>
      </w:r>
      <w:r>
        <w:rPr>
          <w:vertAlign w:val="superscript"/>
        </w:rPr>
        <w:t>o</w:t>
      </w:r>
      <w:r>
        <w:t xml:space="preserve">C in an effort to encourage a more consistent outflow. At </w:t>
      </w:r>
      <w:r w:rsidRPr="00342241">
        <w:t>1h:42m:46s</w:t>
      </w:r>
      <w:r>
        <w:t xml:space="preserve">, the beam was switched off briefly to fix a problem with the batch feeder and at </w:t>
      </w:r>
      <w:r w:rsidRPr="00342241">
        <w:t>1h:58m:38s</w:t>
      </w:r>
      <w:r>
        <w:t xml:space="preserve"> the beam switched off to simulate a period of cloud cover (</w:t>
      </w:r>
      <w:r>
        <w:fldChar w:fldCharType="begin"/>
      </w:r>
      <w:r>
        <w:instrText xml:space="preserve"> REF _Ref428970497 \h </w:instrText>
      </w:r>
      <w:r>
        <w:fldChar w:fldCharType="separate"/>
      </w:r>
      <w:r w:rsidR="00820EB1">
        <w:t xml:space="preserve">Figure </w:t>
      </w:r>
      <w:r w:rsidR="00820EB1">
        <w:rPr>
          <w:noProof/>
        </w:rPr>
        <w:t>64</w:t>
      </w:r>
      <w:r>
        <w:fldChar w:fldCharType="end"/>
      </w:r>
      <w:r>
        <w:t>).</w:t>
      </w:r>
      <w:r w:rsidRPr="00DB5438">
        <w:t xml:space="preserve"> </w:t>
      </w:r>
      <w:r>
        <w:t xml:space="preserve">During this period, the main electrical heating elements remained on with the beam inlet aperture left open and by </w:t>
      </w:r>
      <w:r w:rsidRPr="00342241">
        <w:t>2h:0m:1s</w:t>
      </w:r>
      <w:r>
        <w:t xml:space="preserve"> the glass outflow ceased. During the break, despite the fact that the electrical heating elements were left on at a set point of 1200</w:t>
      </w:r>
      <w:r>
        <w:rPr>
          <w:vertAlign w:val="superscript"/>
        </w:rPr>
        <w:t>o</w:t>
      </w:r>
      <w:r>
        <w:t>C and the outlet heater at 1000</w:t>
      </w:r>
      <w:r>
        <w:rPr>
          <w:vertAlign w:val="superscript"/>
        </w:rPr>
        <w:t>o</w:t>
      </w:r>
      <w:r>
        <w:t>C, T</w:t>
      </w:r>
      <w:r>
        <w:rPr>
          <w:vertAlign w:val="subscript"/>
        </w:rPr>
        <w:t>main</w:t>
      </w:r>
      <w:r>
        <w:t xml:space="preserve"> and </w:t>
      </w:r>
      <w:r w:rsidRPr="00BE0C7B">
        <w:t>T</w:t>
      </w:r>
      <w:r>
        <w:rPr>
          <w:vertAlign w:val="subscript"/>
        </w:rPr>
        <w:t>neck</w:t>
      </w:r>
      <w:r>
        <w:t xml:space="preserve"> both </w:t>
      </w:r>
      <w:r w:rsidRPr="00BE0C7B">
        <w:t>dropped</w:t>
      </w:r>
      <w:r>
        <w:t xml:space="preserve"> from 1154</w:t>
      </w:r>
      <w:r>
        <w:rPr>
          <w:vertAlign w:val="superscript"/>
        </w:rPr>
        <w:t>o</w:t>
      </w:r>
      <w:r>
        <w:t>C and 768</w:t>
      </w:r>
      <w:r>
        <w:rPr>
          <w:vertAlign w:val="superscript"/>
        </w:rPr>
        <w:t>o</w:t>
      </w:r>
      <w:r>
        <w:t>C at 1h:55m to 942</w:t>
      </w:r>
      <w:r>
        <w:rPr>
          <w:vertAlign w:val="superscript"/>
        </w:rPr>
        <w:t>o</w:t>
      </w:r>
      <w:r>
        <w:t>C and 647</w:t>
      </w:r>
      <w:r>
        <w:rPr>
          <w:vertAlign w:val="superscript"/>
        </w:rPr>
        <w:t>o</w:t>
      </w:r>
      <w:r>
        <w:t>C respectively by 3h:08</w:t>
      </w:r>
      <w:r w:rsidRPr="00FF727F">
        <w:t>m</w:t>
      </w:r>
      <w:r w:rsidR="00B42383">
        <w:t xml:space="preserve"> which was</w:t>
      </w:r>
      <w:r>
        <w:t xml:space="preserve"> just before the beam was restarted again for experiment C3.  </w:t>
      </w:r>
    </w:p>
    <w:p w14:paraId="21CD822B" w14:textId="77777777" w:rsidR="002B759B" w:rsidRDefault="002B759B" w:rsidP="002B759B">
      <w:pPr>
        <w:pStyle w:val="Heading3"/>
        <w:keepLines w:val="0"/>
        <w:numPr>
          <w:ilvl w:val="2"/>
          <w:numId w:val="21"/>
        </w:numPr>
        <w:spacing w:before="100" w:after="100"/>
        <w:contextualSpacing w:val="0"/>
      </w:pPr>
      <w:r>
        <w:t xml:space="preserve">Experiment C3 </w:t>
      </w:r>
    </w:p>
    <w:p w14:paraId="64077C9E" w14:textId="187381E8" w:rsidR="002B759B" w:rsidRDefault="002B759B">
      <w:r>
        <w:t xml:space="preserve">This temperature drop was probably because the heat losses associated with leaving the beam inlet and bottom outlet apertures open over the break exceeded the maximum power that could be supplied by the heating elements. Then, there was a long series of melting cycles, with varied quantities of batch being fed, after each previous charge had melted down and the glass produced accumulated in the crucible.  This pattern appeared to change from around </w:t>
      </w:r>
      <w:r w:rsidRPr="00B125C1">
        <w:t>2h:10m:5s</w:t>
      </w:r>
      <w:r>
        <w:t xml:space="preserve"> from the start of experiment C3, after which, </w:t>
      </w:r>
      <w:r w:rsidR="00DB3208">
        <w:t xml:space="preserve">any </w:t>
      </w:r>
      <w:r>
        <w:t xml:space="preserve">subsequent pellets fed, appeared to be sucked down to the bottom outlet and at this time the glass melt could be observed flowing down out through the outlet until the bottom </w:t>
      </w:r>
      <w:r w:rsidR="00DB3208">
        <w:t xml:space="preserve">of the </w:t>
      </w:r>
      <w:r>
        <w:t>outlet tube was visible again (</w:t>
      </w:r>
      <w:r>
        <w:fldChar w:fldCharType="begin"/>
      </w:r>
      <w:r>
        <w:instrText xml:space="preserve"> REF _Ref427676247 \h </w:instrText>
      </w:r>
      <w:r>
        <w:fldChar w:fldCharType="separate"/>
      </w:r>
      <w:r w:rsidR="00820EB1">
        <w:t xml:space="preserve">Figure </w:t>
      </w:r>
      <w:r w:rsidR="00820EB1">
        <w:rPr>
          <w:noProof/>
        </w:rPr>
        <w:t>66</w:t>
      </w:r>
      <w:r>
        <w:fldChar w:fldCharType="end"/>
      </w:r>
      <w:r>
        <w:t xml:space="preserve">). </w:t>
      </w:r>
    </w:p>
    <w:p w14:paraId="0E44A0CE" w14:textId="77777777" w:rsidR="002B759B" w:rsidRDefault="002B759B" w:rsidP="00EA4BBA">
      <w:r w:rsidRPr="00D46C53">
        <w:rPr>
          <w:noProof/>
        </w:rPr>
        <w:lastRenderedPageBreak/>
        <w:drawing>
          <wp:inline distT="0" distB="0" distL="0" distR="0" wp14:anchorId="207AE00E" wp14:editId="24F239C0">
            <wp:extent cx="5229225" cy="1247775"/>
            <wp:effectExtent l="0" t="0" r="9525" b="9525"/>
            <wp:docPr id="2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l="4970" t="38278" r="26357" b="32541"/>
                    <a:stretch>
                      <a:fillRect/>
                    </a:stretch>
                  </pic:blipFill>
                  <pic:spPr bwMode="auto">
                    <a:xfrm>
                      <a:off x="0" y="0"/>
                      <a:ext cx="5229225" cy="1247775"/>
                    </a:xfrm>
                    <a:prstGeom prst="rect">
                      <a:avLst/>
                    </a:prstGeom>
                    <a:noFill/>
                    <a:ln>
                      <a:noFill/>
                    </a:ln>
                  </pic:spPr>
                </pic:pic>
              </a:graphicData>
            </a:graphic>
          </wp:inline>
        </w:drawing>
      </w:r>
    </w:p>
    <w:p w14:paraId="79D9A56C" w14:textId="77777777" w:rsidR="002B759B" w:rsidRDefault="002B759B" w:rsidP="00EA4BBA">
      <w:pPr>
        <w:pStyle w:val="Caption"/>
      </w:pPr>
      <w:bookmarkStart w:id="141" w:name="_Ref427676247"/>
      <w:r>
        <w:t xml:space="preserve">Figure </w:t>
      </w:r>
      <w:r w:rsidR="00A47317">
        <w:fldChar w:fldCharType="begin"/>
      </w:r>
      <w:r w:rsidR="00A47317">
        <w:instrText xml:space="preserve"> SEQ Figure \* ARABIC </w:instrText>
      </w:r>
      <w:r w:rsidR="00A47317">
        <w:fldChar w:fldCharType="separate"/>
      </w:r>
      <w:r w:rsidR="00820EB1">
        <w:rPr>
          <w:noProof/>
        </w:rPr>
        <w:t>66</w:t>
      </w:r>
      <w:r w:rsidR="00A47317">
        <w:rPr>
          <w:noProof/>
        </w:rPr>
        <w:fldChar w:fldCharType="end"/>
      </w:r>
      <w:bookmarkEnd w:id="141"/>
      <w:r>
        <w:t xml:space="preserve">: Snapshots from video showing the view through the beam inlet aperture. The new pellets fed, melt and are sucked down through the bottom outlet tube during experiment C3 at: a) </w:t>
      </w:r>
      <w:r w:rsidRPr="007E6D92">
        <w:t>2h:19m:28s</w:t>
      </w:r>
      <w:r>
        <w:t>; b)</w:t>
      </w:r>
      <w:r w:rsidRPr="007E6D92">
        <w:t xml:space="preserve"> 2h:19m:55s</w:t>
      </w:r>
      <w:r>
        <w:t xml:space="preserve">; c) </w:t>
      </w:r>
      <w:r w:rsidRPr="00C63D04">
        <w:t>2h:20m:12s</w:t>
      </w:r>
      <w:r>
        <w:t xml:space="preserve">; d) </w:t>
      </w:r>
      <w:r w:rsidRPr="00C63D04">
        <w:t>2h:20m:32s</w:t>
      </w:r>
      <w:r>
        <w:t xml:space="preserve">; e) </w:t>
      </w:r>
      <w:r w:rsidRPr="00C63D04">
        <w:t>2h:21m:57s</w:t>
      </w:r>
      <w:r>
        <w:t>.</w:t>
      </w:r>
    </w:p>
    <w:p w14:paraId="2DAC0EFB" w14:textId="77777777" w:rsidR="002B759B" w:rsidRDefault="002B759B" w:rsidP="00EA4BBA">
      <w:r>
        <w:t>Meanwhile, at the bottom outlet the glass flow continued the cyclic pattern described above but as the day progressed even larger volumes of glass were produced. As before, the flow started very slowly with a thin stream solidifying on its way out which eventually got stuck inside the outlet tube heater which caused clogged glass to accumulate. But the period of these cycles and size of clogged glass continued to increase with the final glass blockage (</w:t>
      </w:r>
      <w:r>
        <w:fldChar w:fldCharType="begin"/>
      </w:r>
      <w:r>
        <w:instrText xml:space="preserve"> REF _Ref427679789 \h </w:instrText>
      </w:r>
      <w:r>
        <w:fldChar w:fldCharType="separate"/>
      </w:r>
      <w:r w:rsidR="00820EB1">
        <w:t xml:space="preserve">Figure </w:t>
      </w:r>
      <w:r w:rsidR="00820EB1">
        <w:rPr>
          <w:noProof/>
        </w:rPr>
        <w:t>67</w:t>
      </w:r>
      <w:r>
        <w:fldChar w:fldCharType="end"/>
      </w:r>
      <w:r>
        <w:t>) weighing 800 g, which had to be manually broken off to allow further glass to flow out.</w:t>
      </w:r>
    </w:p>
    <w:p w14:paraId="3CC778A5" w14:textId="1946EA1C" w:rsidR="002B759B" w:rsidRDefault="00B42383" w:rsidP="00EA4BBA">
      <w:pPr>
        <w:pStyle w:val="Caption"/>
      </w:pPr>
      <w:bookmarkStart w:id="142" w:name="_Ref427679013"/>
      <w:r>
        <w:rPr>
          <w:noProof/>
          <w:lang w:eastAsia="en-GB"/>
        </w:rPr>
        <w:drawing>
          <wp:inline distT="0" distB="0" distL="0" distR="0" wp14:anchorId="0DB674FC" wp14:editId="48963832">
            <wp:extent cx="3301171" cy="33147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9701" t="7217" r="47261" b="15916"/>
                    <a:stretch/>
                  </pic:blipFill>
                  <pic:spPr bwMode="auto">
                    <a:xfrm>
                      <a:off x="0" y="0"/>
                      <a:ext cx="3306353" cy="3319903"/>
                    </a:xfrm>
                    <a:prstGeom prst="rect">
                      <a:avLst/>
                    </a:prstGeom>
                    <a:ln>
                      <a:noFill/>
                    </a:ln>
                    <a:extLst>
                      <a:ext uri="{53640926-AAD7-44D8-BBD7-CCE9431645EC}">
                        <a14:shadowObscured xmlns:a14="http://schemas.microsoft.com/office/drawing/2010/main"/>
                      </a:ext>
                    </a:extLst>
                  </pic:spPr>
                </pic:pic>
              </a:graphicData>
            </a:graphic>
          </wp:inline>
        </w:drawing>
      </w:r>
    </w:p>
    <w:p w14:paraId="7146F11A" w14:textId="4B86C4E8" w:rsidR="00B42383" w:rsidRPr="00B42383" w:rsidRDefault="002B759B">
      <w:pPr>
        <w:pStyle w:val="Caption"/>
      </w:pPr>
      <w:bookmarkStart w:id="143" w:name="_Ref427679789"/>
      <w:r>
        <w:t xml:space="preserve">Figure </w:t>
      </w:r>
      <w:r w:rsidR="00A47317">
        <w:fldChar w:fldCharType="begin"/>
      </w:r>
      <w:r w:rsidR="00A47317">
        <w:instrText xml:space="preserve"> SEQ Figure \* ARABIC </w:instrText>
      </w:r>
      <w:r w:rsidR="00A47317">
        <w:fldChar w:fldCharType="separate"/>
      </w:r>
      <w:r w:rsidR="00820EB1">
        <w:rPr>
          <w:noProof/>
        </w:rPr>
        <w:t>67</w:t>
      </w:r>
      <w:r w:rsidR="00A47317">
        <w:rPr>
          <w:noProof/>
        </w:rPr>
        <w:fldChar w:fldCharType="end"/>
      </w:r>
      <w:bookmarkEnd w:id="143"/>
      <w:r>
        <w:t>: Large glass blockage at bottom outlet during experiment C3. Image rotated by 45 degrees to adjust for offset of camera position to show approximately horizontal ground.</w:t>
      </w:r>
      <w:r w:rsidR="00B42383">
        <w:t xml:space="preserve"> Scale bar based on the 8 cm inside diameter of the outlet tube heater.</w:t>
      </w:r>
    </w:p>
    <w:p w14:paraId="0C493254" w14:textId="0C62BB96" w:rsidR="002B759B" w:rsidRDefault="002B759B" w:rsidP="00EA4BBA">
      <w:r>
        <w:t xml:space="preserve">Also, the fluidity of the stream following the blockages increased as the day progressed. For example, </w:t>
      </w:r>
      <w:r>
        <w:fldChar w:fldCharType="begin"/>
      </w:r>
      <w:r>
        <w:instrText xml:space="preserve"> REF _Ref427679771 \h </w:instrText>
      </w:r>
      <w:r>
        <w:fldChar w:fldCharType="separate"/>
      </w:r>
      <w:r w:rsidR="00820EB1">
        <w:t xml:space="preserve">Figure </w:t>
      </w:r>
      <w:r w:rsidR="00820EB1">
        <w:rPr>
          <w:noProof/>
        </w:rPr>
        <w:t>68</w:t>
      </w:r>
      <w:r>
        <w:fldChar w:fldCharType="end"/>
      </w:r>
      <w:r>
        <w:t xml:space="preserve"> shows the final fluid stream - a thicker section of which can be seen falling around 1</w:t>
      </w:r>
      <w:r w:rsidR="007860FE">
        <w:t xml:space="preserve"> </w:t>
      </w:r>
      <w:r>
        <w:t>m in between the two consecutive frames of the video shown. The time interval between the frames was 0.05 seconds so the stream at this moment was flowing at a speed of approximately 25</w:t>
      </w:r>
      <w:r w:rsidR="007860FE">
        <w:t xml:space="preserve"> </w:t>
      </w:r>
      <w:r>
        <w:t>m</w:t>
      </w:r>
      <w:r w:rsidR="007860FE">
        <w:t xml:space="preserve"> </w:t>
      </w:r>
      <w:r>
        <w:t>s</w:t>
      </w:r>
      <w:r>
        <w:rPr>
          <w:vertAlign w:val="superscript"/>
        </w:rPr>
        <w:t>-1</w:t>
      </w:r>
      <w:r>
        <w:t>.</w:t>
      </w:r>
    </w:p>
    <w:p w14:paraId="2C1AE689" w14:textId="6ADD60C1" w:rsidR="00AC04F9" w:rsidRPr="00F75D99" w:rsidRDefault="00AC04F9" w:rsidP="00EA4BBA">
      <w:pPr>
        <w:rPr>
          <w:b/>
        </w:rPr>
      </w:pPr>
      <w:r>
        <w:rPr>
          <w:noProof/>
        </w:rPr>
        <w:lastRenderedPageBreak/>
        <w:drawing>
          <wp:inline distT="0" distB="0" distL="0" distR="0" wp14:anchorId="49D5CDAA" wp14:editId="37B7841E">
            <wp:extent cx="4987522" cy="2178050"/>
            <wp:effectExtent l="0" t="0" r="381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878" t="23426" r="5456" b="12362"/>
                    <a:stretch/>
                  </pic:blipFill>
                  <pic:spPr bwMode="auto">
                    <a:xfrm>
                      <a:off x="0" y="0"/>
                      <a:ext cx="4991915" cy="2179969"/>
                    </a:xfrm>
                    <a:prstGeom prst="rect">
                      <a:avLst/>
                    </a:prstGeom>
                    <a:ln>
                      <a:noFill/>
                    </a:ln>
                    <a:extLst>
                      <a:ext uri="{53640926-AAD7-44D8-BBD7-CCE9431645EC}">
                        <a14:shadowObscured xmlns:a14="http://schemas.microsoft.com/office/drawing/2010/main"/>
                      </a:ext>
                    </a:extLst>
                  </pic:spPr>
                </pic:pic>
              </a:graphicData>
            </a:graphic>
          </wp:inline>
        </w:drawing>
      </w:r>
    </w:p>
    <w:p w14:paraId="31D7063B" w14:textId="77777777" w:rsidR="002B759B" w:rsidRDefault="002B759B" w:rsidP="00EA4BBA">
      <w:pPr>
        <w:pStyle w:val="Caption"/>
      </w:pPr>
      <w:bookmarkStart w:id="144" w:name="_Ref427679771"/>
      <w:r>
        <w:t xml:space="preserve">Figure </w:t>
      </w:r>
      <w:r w:rsidR="00A47317">
        <w:fldChar w:fldCharType="begin"/>
      </w:r>
      <w:r w:rsidR="00A47317">
        <w:instrText xml:space="preserve"> SEQ Figure \* ARABIC </w:instrText>
      </w:r>
      <w:r w:rsidR="00A47317">
        <w:fldChar w:fldCharType="separate"/>
      </w:r>
      <w:r w:rsidR="00820EB1">
        <w:rPr>
          <w:noProof/>
        </w:rPr>
        <w:t>68</w:t>
      </w:r>
      <w:r w:rsidR="00A47317">
        <w:rPr>
          <w:noProof/>
        </w:rPr>
        <w:fldChar w:fldCharType="end"/>
      </w:r>
      <w:bookmarkEnd w:id="144"/>
      <w:r>
        <w:t>: Fluid steam produced at bottom outlet. The snapshot on the right is taken 0.05 seconds after that on the left. Ground level approximately 45 degrees offset from horizontal in these snapshots due to positioning of camera.</w:t>
      </w:r>
    </w:p>
    <w:bookmarkEnd w:id="142"/>
    <w:p w14:paraId="2116D516" w14:textId="77777777" w:rsidR="002B759B" w:rsidRDefault="002B759B" w:rsidP="00EA4BBA">
      <w:r>
        <w:t>This cycle repeated till the end of the day when the beam was switched off to cool down.</w:t>
      </w:r>
    </w:p>
    <w:p w14:paraId="03F963B2" w14:textId="77777777" w:rsidR="002B759B" w:rsidRDefault="002B759B" w:rsidP="00EA4BBA">
      <w:r>
        <w:t>Upon inspection after cooling to room temperature, the crucible appeared to have remained intact for the course of the experiments, evidenced by the lack of glass leakage so the cracks visible were probably formed after the experiment once the glass had cooled sufficiently to be unable to flow out of these cracks (</w:t>
      </w:r>
      <w:r>
        <w:fldChar w:fldCharType="begin"/>
      </w:r>
      <w:r>
        <w:instrText xml:space="preserve"> REF _Ref427679886 \h </w:instrText>
      </w:r>
      <w:r>
        <w:fldChar w:fldCharType="separate"/>
      </w:r>
      <w:r w:rsidR="00820EB1">
        <w:t xml:space="preserve">Figure </w:t>
      </w:r>
      <w:r w:rsidR="00820EB1">
        <w:rPr>
          <w:noProof/>
        </w:rPr>
        <w:t>69</w:t>
      </w:r>
      <w:r>
        <w:fldChar w:fldCharType="end"/>
      </w:r>
      <w:r>
        <w:t>).</w:t>
      </w:r>
    </w:p>
    <w:p w14:paraId="117247B5" w14:textId="77777777" w:rsidR="002B759B" w:rsidRDefault="002B759B" w:rsidP="00EA4BBA">
      <w:r w:rsidRPr="00D46C53">
        <w:rPr>
          <w:noProof/>
        </w:rPr>
        <w:drawing>
          <wp:inline distT="0" distB="0" distL="0" distR="0" wp14:anchorId="4CC8CEC8" wp14:editId="4EB1B169">
            <wp:extent cx="4371975" cy="3276600"/>
            <wp:effectExtent l="0" t="0" r="9525" b="0"/>
            <wp:docPr id="204"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a:ln>
                      <a:noFill/>
                    </a:ln>
                  </pic:spPr>
                </pic:pic>
              </a:graphicData>
            </a:graphic>
          </wp:inline>
        </w:drawing>
      </w:r>
    </w:p>
    <w:p w14:paraId="6835AC64" w14:textId="660F2ED6" w:rsidR="002B759B" w:rsidRDefault="002B759B">
      <w:pPr>
        <w:pStyle w:val="Caption"/>
      </w:pPr>
      <w:bookmarkStart w:id="145" w:name="_Ref427679886"/>
      <w:r>
        <w:t xml:space="preserve">Figure </w:t>
      </w:r>
      <w:r w:rsidR="00A47317">
        <w:fldChar w:fldCharType="begin"/>
      </w:r>
      <w:r w:rsidR="00A47317">
        <w:instrText xml:space="preserve"> SEQ Figure \* ARABIC </w:instrText>
      </w:r>
      <w:r w:rsidR="00A47317">
        <w:fldChar w:fldCharType="separate"/>
      </w:r>
      <w:r w:rsidR="00820EB1">
        <w:rPr>
          <w:noProof/>
        </w:rPr>
        <w:t>69</w:t>
      </w:r>
      <w:r w:rsidR="00A47317">
        <w:rPr>
          <w:noProof/>
        </w:rPr>
        <w:fldChar w:fldCharType="end"/>
      </w:r>
      <w:bookmarkEnd w:id="145"/>
      <w:r>
        <w:t>: Photograph of crucible</w:t>
      </w:r>
      <w:r w:rsidR="00AC04F9">
        <w:t xml:space="preserve"> (major inside diameter 187 mm)</w:t>
      </w:r>
      <w:r>
        <w:t xml:space="preserve"> </w:t>
      </w:r>
      <w:r w:rsidR="00FE3A6A">
        <w:t xml:space="preserve">inside the furnace with the roof opened for inspection </w:t>
      </w:r>
      <w:r>
        <w:t xml:space="preserve">after </w:t>
      </w:r>
      <w:r w:rsidR="00FE3A6A">
        <w:t xml:space="preserve">the </w:t>
      </w:r>
      <w:r>
        <w:t>preliminary experiments (C1-3)</w:t>
      </w:r>
      <w:r w:rsidR="00AC04F9">
        <w:t>.</w:t>
      </w:r>
    </w:p>
    <w:p w14:paraId="6E2356A9" w14:textId="77777777" w:rsidR="002B759B" w:rsidRPr="00665552" w:rsidRDefault="002B759B" w:rsidP="002B759B">
      <w:pPr>
        <w:pStyle w:val="Heading3"/>
        <w:keepLines w:val="0"/>
        <w:numPr>
          <w:ilvl w:val="2"/>
          <w:numId w:val="21"/>
        </w:numPr>
        <w:spacing w:before="100" w:after="100"/>
        <w:contextualSpacing w:val="0"/>
      </w:pPr>
      <w:bookmarkStart w:id="146" w:name="_Ref427139619"/>
      <w:r w:rsidRPr="00665552">
        <w:lastRenderedPageBreak/>
        <w:t>Conclusions</w:t>
      </w:r>
    </w:p>
    <w:p w14:paraId="5CC08588" w14:textId="77777777" w:rsidR="002B759B" w:rsidRDefault="002B759B" w:rsidP="00EA4BBA">
      <w:r>
        <w:t>The following conclusions regarding the design of the scale-up solar glass melting furnace were derived based on the results of the preliminary experiments described above:</w:t>
      </w:r>
    </w:p>
    <w:p w14:paraId="60CFA139" w14:textId="0AD52E77" w:rsidR="002B759B" w:rsidRDefault="002B759B" w:rsidP="002B759B">
      <w:pPr>
        <w:pStyle w:val="ListParagraph"/>
        <w:numPr>
          <w:ilvl w:val="0"/>
          <w:numId w:val="19"/>
        </w:numPr>
        <w:spacing w:before="100" w:after="100"/>
      </w:pPr>
      <w:r>
        <w:t xml:space="preserve">Continuous melting of glass forming batch with glass flowing out simultaneously </w:t>
      </w:r>
      <w:r w:rsidR="00DB3208">
        <w:t xml:space="preserve">was </w:t>
      </w:r>
      <w:r>
        <w:t>not feasible with this setup due to the small volume of glass contained and therefore insufficient retention time for the glass to fully melt, remove bubbles and</w:t>
      </w:r>
      <w:r w:rsidRPr="00C81266">
        <w:t xml:space="preserve"> homogenise</w:t>
      </w:r>
      <w:r>
        <w:t xml:space="preserve"> (fining) before flowing out and therefore producing an inconsistent stream of glass from the outlet. Therefore, instead, it </w:t>
      </w:r>
      <w:r w:rsidR="00DB3208">
        <w:t>was decided</w:t>
      </w:r>
      <w:r>
        <w:t xml:space="preserve"> that the glass outflow must be strictly prevented until all the glass forming batch fed is fully melted and fined before releasing the glass through the outlet;</w:t>
      </w:r>
    </w:p>
    <w:p w14:paraId="1868FA5A" w14:textId="2F64392A" w:rsidR="002B759B" w:rsidRDefault="002B759B" w:rsidP="002B759B">
      <w:pPr>
        <w:pStyle w:val="ListParagraph"/>
        <w:numPr>
          <w:ilvl w:val="0"/>
          <w:numId w:val="19"/>
        </w:numPr>
        <w:spacing w:before="100" w:after="100"/>
      </w:pPr>
      <w:r>
        <w:t xml:space="preserve">The cooling flow of air entering the bottom outlet, running through the furnace and out of the beam inlet aperture at the top </w:t>
      </w:r>
      <w:r w:rsidR="00DB3208">
        <w:t xml:space="preserve">needed to </w:t>
      </w:r>
      <w:r>
        <w:t>be blocked in order to reduce the associated heated losses and temperature fluctuations;</w:t>
      </w:r>
    </w:p>
    <w:p w14:paraId="0E58FEBA" w14:textId="4B3FAE21" w:rsidR="002B759B" w:rsidRDefault="002B759B" w:rsidP="002B759B">
      <w:pPr>
        <w:pStyle w:val="ListParagraph"/>
        <w:numPr>
          <w:ilvl w:val="0"/>
          <w:numId w:val="19"/>
        </w:numPr>
        <w:spacing w:before="100" w:after="100"/>
      </w:pPr>
      <w:r>
        <w:t xml:space="preserve">An improved outlet flow control system </w:t>
      </w:r>
      <w:r w:rsidR="00DB3208">
        <w:t xml:space="preserve">was </w:t>
      </w:r>
      <w:r>
        <w:t>required to produce a more consistent and controllable stream of glass in order to enable subsequent forming processes to be demonstrated;</w:t>
      </w:r>
    </w:p>
    <w:p w14:paraId="0730E99C" w14:textId="77777777" w:rsidR="002B759B" w:rsidRDefault="002B759B" w:rsidP="002B759B">
      <w:pPr>
        <w:pStyle w:val="ListParagraph"/>
        <w:numPr>
          <w:ilvl w:val="0"/>
          <w:numId w:val="19"/>
        </w:numPr>
        <w:spacing w:before="100" w:after="100"/>
      </w:pPr>
      <w:r>
        <w:t>A</w:t>
      </w:r>
      <w:r w:rsidRPr="001A7CB6">
        <w:t xml:space="preserve">lternative batch compositions </w:t>
      </w:r>
      <w:r>
        <w:t>should be considered to provide</w:t>
      </w:r>
      <w:r w:rsidRPr="001A7CB6">
        <w:t xml:space="preserve"> improved flowability</w:t>
      </w:r>
      <w:r>
        <w:t xml:space="preserve"> of the glass produced;</w:t>
      </w:r>
    </w:p>
    <w:p w14:paraId="7A7EB672" w14:textId="58268046" w:rsidR="002B759B" w:rsidRDefault="002B759B" w:rsidP="002B759B">
      <w:pPr>
        <w:pStyle w:val="ListParagraph"/>
        <w:numPr>
          <w:ilvl w:val="0"/>
          <w:numId w:val="19"/>
        </w:numPr>
        <w:spacing w:before="100" w:after="100"/>
      </w:pPr>
      <w:r>
        <w:t xml:space="preserve">An improved batch feeder </w:t>
      </w:r>
      <w:r w:rsidR="00DB3208">
        <w:t xml:space="preserve">was </w:t>
      </w:r>
      <w:r>
        <w:t>required to provide and controlled and measurable supply of batch to the melt surface;</w:t>
      </w:r>
    </w:p>
    <w:p w14:paraId="6A2A3D21" w14:textId="14894DFD" w:rsidR="002B759B" w:rsidRDefault="002B759B" w:rsidP="002B759B">
      <w:pPr>
        <w:pStyle w:val="ListParagraph"/>
        <w:numPr>
          <w:ilvl w:val="0"/>
          <w:numId w:val="19"/>
        </w:numPr>
        <w:spacing w:before="100" w:after="100"/>
      </w:pPr>
      <w:r>
        <w:t xml:space="preserve">A manually operated forming process </w:t>
      </w:r>
      <w:r w:rsidR="00DB3208">
        <w:t xml:space="preserve">was </w:t>
      </w:r>
      <w:r>
        <w:t>required in order to provide the flexibility required to deal with unpredictability of the outlet glass flow produced.</w:t>
      </w:r>
    </w:p>
    <w:p w14:paraId="717815CB" w14:textId="77777777" w:rsidR="002B759B" w:rsidRDefault="002B759B" w:rsidP="002B759B">
      <w:pPr>
        <w:pStyle w:val="Heading2"/>
        <w:numPr>
          <w:ilvl w:val="1"/>
          <w:numId w:val="21"/>
        </w:numPr>
        <w:spacing w:before="100" w:after="100"/>
        <w:contextualSpacing w:val="0"/>
      </w:pPr>
      <w:bookmarkStart w:id="147" w:name="_Toc473995170"/>
      <w:r>
        <w:t>Improvements</w:t>
      </w:r>
      <w:bookmarkEnd w:id="146"/>
      <w:bookmarkEnd w:id="147"/>
    </w:p>
    <w:p w14:paraId="26E901C9" w14:textId="77777777" w:rsidR="002B759B" w:rsidRPr="000568BA" w:rsidRDefault="002B759B" w:rsidP="00EA4BBA">
      <w:r>
        <w:t>Accordingly, the following improvements were made to the scale-up solar glass melting furnace in preparation for the final series of experiments.</w:t>
      </w:r>
    </w:p>
    <w:p w14:paraId="53F64B5E" w14:textId="77777777" w:rsidR="002B759B" w:rsidRPr="00665552" w:rsidRDefault="002B759B" w:rsidP="002B759B">
      <w:pPr>
        <w:pStyle w:val="Heading3"/>
        <w:keepLines w:val="0"/>
        <w:numPr>
          <w:ilvl w:val="2"/>
          <w:numId w:val="21"/>
        </w:numPr>
        <w:spacing w:before="100" w:after="100"/>
        <w:contextualSpacing w:val="0"/>
      </w:pPr>
      <w:r w:rsidRPr="00665552">
        <w:t>Beam inlet plug</w:t>
      </w:r>
    </w:p>
    <w:p w14:paraId="2AB63CB3" w14:textId="510FB20F" w:rsidR="002B759B" w:rsidRDefault="002B759B" w:rsidP="00EA4BBA">
      <w:r>
        <w:t>In order to reduce convective heat losses when the beam inlet was closed, an improved beam inlet plug was developed. Previously, the beam inlet was closed with layers of ceramic fibre insulation blanket. However, due to the low density of this material, after repeated use it deform</w:t>
      </w:r>
      <w:r w:rsidR="00DB3208">
        <w:t>ed</w:t>
      </w:r>
      <w:r>
        <w:t xml:space="preserve"> around the edges where it was handled, leaving gaps through which hot air could flow. Therefore, the improved beam inlet plug (appendix </w:t>
      </w:r>
      <w:r w:rsidR="0013256C">
        <w:t>ID3</w:t>
      </w:r>
      <w:r>
        <w:t>) featured a conical block of cast insulation to provide the weight required to force the attached ceramic fibre insulation layers above to form a better seal with the beam inlet aperture to prevent the air flow. It also featured a handle to prevent the deformation of the ceramic fibre insulation blanket otherwise caused by handling it directly.</w:t>
      </w:r>
    </w:p>
    <w:p w14:paraId="2C4379EB" w14:textId="77777777" w:rsidR="002B759B" w:rsidRPr="00665552" w:rsidRDefault="002B759B" w:rsidP="002B759B">
      <w:pPr>
        <w:pStyle w:val="Heading3"/>
        <w:keepLines w:val="0"/>
        <w:numPr>
          <w:ilvl w:val="2"/>
          <w:numId w:val="21"/>
        </w:numPr>
        <w:spacing w:before="100" w:after="100"/>
        <w:contextualSpacing w:val="0"/>
      </w:pPr>
      <w:r w:rsidRPr="00665552">
        <w:lastRenderedPageBreak/>
        <w:t>Outlet flow control</w:t>
      </w:r>
    </w:p>
    <w:p w14:paraId="33A8EC83" w14:textId="77777777" w:rsidR="002B759B" w:rsidRDefault="002B759B" w:rsidP="00EA4BBA">
      <w:r>
        <w:t xml:space="preserve">In order to deal with the difficulties related to controlling the flow of glass produced through to bottom outlet experienced during the preliminary experiments, an improved outlet flow control system was developed. </w:t>
      </w:r>
    </w:p>
    <w:p w14:paraId="728623A5" w14:textId="36FE1FF2" w:rsidR="002B759B" w:rsidRDefault="002B759B" w:rsidP="00EA4BBA">
      <w:r>
        <w:t>It was realised that the large space between the outlet tube heater and the outlet tube itself impeded the effectiveness of the temperature control. Therefore a new outlet tube heater was selected, which would more closely wrap around the outlet tube to provide more effective temperature control. Narrowing</w:t>
      </w:r>
      <w:r w:rsidRPr="00282546">
        <w:t xml:space="preserve"> the gap </w:t>
      </w:r>
      <w:r>
        <w:t xml:space="preserve">between the outlet tube and heater would also </w:t>
      </w:r>
      <w:r w:rsidRPr="00282546">
        <w:t xml:space="preserve">help </w:t>
      </w:r>
      <w:r>
        <w:t>to restrict</w:t>
      </w:r>
      <w:r w:rsidRPr="00282546">
        <w:t xml:space="preserve"> the cooling air flow. </w:t>
      </w:r>
      <w:r>
        <w:t xml:space="preserve">Also, the distance which the glass stream exiting the bottom of the outlet tube was required to travel before it escaped the outlet tube heater, made it likely to get stuck on the way out. So it was decided to extend the outlet tube so that it could come closer to the exit of the outlet tube heater.  Also, it was decided that the control thermocouple for the outlet heater was to be positioned inside a thermowell next to the outlet heaters heating elements in order to isolate it from any fluctuations in air temperature which caused the problems </w:t>
      </w:r>
      <w:r w:rsidR="00DB3208">
        <w:t>identified in experiments C1-3</w:t>
      </w:r>
      <w:r>
        <w:t>.</w:t>
      </w:r>
    </w:p>
    <w:p w14:paraId="1F126AC7" w14:textId="77777777" w:rsidR="002B759B" w:rsidRDefault="002B759B" w:rsidP="00EA4BBA">
      <w:r>
        <w:t>Use of SiC or MoS</w:t>
      </w:r>
      <w:r>
        <w:softHyphen/>
        <w:t>i</w:t>
      </w:r>
      <w:r>
        <w:rPr>
          <w:vertAlign w:val="subscript"/>
        </w:rPr>
        <w:t xml:space="preserve">2 </w:t>
      </w:r>
      <w:r>
        <w:t xml:space="preserve">heating elements for the outlet tube heater was considered for improved effectiveness of heating but instead a FeCrAl wire element tube heater was selected due to budget constraints. The new FeCrAl tube heater assembly selected was the </w:t>
      </w:r>
      <w:r w:rsidRPr="004C6BFD">
        <w:t>38/2/1Z/F</w:t>
      </w:r>
      <w:r>
        <w:t xml:space="preserve"> supplied by Severn Thermal Solutions as this was considered a feasible solution with a suitable size to effectively heat the extended outlet tube while fitting inside the existing space, the remaining space being packed with ceramic fibre insulation as shown in </w:t>
      </w:r>
      <w:r>
        <w:fldChar w:fldCharType="begin"/>
      </w:r>
      <w:r>
        <w:instrText xml:space="preserve"> REF _Ref427750366 \h </w:instrText>
      </w:r>
      <w:r>
        <w:fldChar w:fldCharType="separate"/>
      </w:r>
      <w:r w:rsidR="00820EB1">
        <w:t xml:space="preserve">Figure </w:t>
      </w:r>
      <w:r w:rsidR="00820EB1">
        <w:rPr>
          <w:noProof/>
        </w:rPr>
        <w:t>70</w:t>
      </w:r>
      <w:r>
        <w:fldChar w:fldCharType="end"/>
      </w:r>
      <w:r>
        <w:t>.</w:t>
      </w:r>
    </w:p>
    <w:p w14:paraId="20971542" w14:textId="77777777" w:rsidR="002B759B" w:rsidRDefault="002B759B" w:rsidP="00EA4BBA">
      <w:pPr>
        <w:pStyle w:val="Title"/>
      </w:pPr>
      <w:r w:rsidRPr="00D46C53">
        <w:drawing>
          <wp:inline distT="0" distB="0" distL="0" distR="0" wp14:anchorId="11EFF26C" wp14:editId="3D33D494">
            <wp:extent cx="3676650" cy="3105150"/>
            <wp:effectExtent l="0" t="0" r="0" b="0"/>
            <wp:docPr id="203"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4" cstate="print">
                      <a:extLst>
                        <a:ext uri="{28A0092B-C50C-407E-A947-70E740481C1C}">
                          <a14:useLocalDpi xmlns:a14="http://schemas.microsoft.com/office/drawing/2010/main" val="0"/>
                        </a:ext>
                      </a:extLst>
                    </a:blip>
                    <a:srcRect l="5214" t="12633" r="53165" b="54623"/>
                    <a:stretch>
                      <a:fillRect/>
                    </a:stretch>
                  </pic:blipFill>
                  <pic:spPr bwMode="auto">
                    <a:xfrm>
                      <a:off x="0" y="0"/>
                      <a:ext cx="3676650" cy="3105150"/>
                    </a:xfrm>
                    <a:prstGeom prst="rect">
                      <a:avLst/>
                    </a:prstGeom>
                    <a:noFill/>
                    <a:ln>
                      <a:noFill/>
                    </a:ln>
                  </pic:spPr>
                </pic:pic>
              </a:graphicData>
            </a:graphic>
          </wp:inline>
        </w:drawing>
      </w:r>
    </w:p>
    <w:p w14:paraId="5F174AF5" w14:textId="0371FE02" w:rsidR="002B759B" w:rsidRDefault="002B759B" w:rsidP="00EA4BBA">
      <w:pPr>
        <w:pStyle w:val="Caption"/>
      </w:pPr>
      <w:bookmarkStart w:id="148" w:name="_Ref427750366"/>
      <w:r>
        <w:t xml:space="preserve">Figure </w:t>
      </w:r>
      <w:r w:rsidR="00A47317">
        <w:fldChar w:fldCharType="begin"/>
      </w:r>
      <w:r w:rsidR="00A47317">
        <w:instrText xml:space="preserve"> SEQ Figure \* ARABIC </w:instrText>
      </w:r>
      <w:r w:rsidR="00A47317">
        <w:fldChar w:fldCharType="separate"/>
      </w:r>
      <w:r w:rsidR="00820EB1">
        <w:rPr>
          <w:noProof/>
        </w:rPr>
        <w:t>70</w:t>
      </w:r>
      <w:r w:rsidR="00A47317">
        <w:rPr>
          <w:noProof/>
        </w:rPr>
        <w:fldChar w:fldCharType="end"/>
      </w:r>
      <w:bookmarkEnd w:id="148"/>
      <w:r>
        <w:t xml:space="preserve">: </w:t>
      </w:r>
      <w:r w:rsidR="00DB3208">
        <w:t xml:space="preserve">Design of </w:t>
      </w:r>
      <w:r>
        <w:t>outlet tube and heater extension to fit within existing space.</w:t>
      </w:r>
    </w:p>
    <w:p w14:paraId="1BA38BDF" w14:textId="77777777" w:rsidR="002B759B" w:rsidRPr="006F4BA7" w:rsidRDefault="002B759B" w:rsidP="00EA4BBA">
      <w:r>
        <w:lastRenderedPageBreak/>
        <w:t>The new outlet tube extension and heater was tested using a prototype of the crucible with the same outlet tube length and inside diameter with the new outlet tube heater assembly as follows. The modified crucible and pre-melted soda-lime-silica glass were preheated inside gas furnaces to 1450</w:t>
      </w:r>
      <w:r>
        <w:rPr>
          <w:vertAlign w:val="superscript"/>
        </w:rPr>
        <w:t>o</w:t>
      </w:r>
      <w:r>
        <w:t>C. Meanwhile the new outlet tube heater assembly was preheated to its maximum operating temperature of 1200</w:t>
      </w:r>
      <w:r>
        <w:rPr>
          <w:vertAlign w:val="subscript"/>
        </w:rPr>
        <w:softHyphen/>
      </w:r>
      <w:r>
        <w:rPr>
          <w:vertAlign w:val="superscript"/>
        </w:rPr>
        <w:t>o</w:t>
      </w:r>
      <w:r>
        <w:t>C with an insulated space above it to accommodate the crucible with the extended outlet tube. The crucible was transferred from the preheating furnace to this space with its outlet tube passing the outlet tube heater and then the pre-melted glass was poured inside to observe the glass flow through the outlet tube. Initial attempts failed with the glass solidifying on its way out (</w:t>
      </w:r>
      <w:r>
        <w:fldChar w:fldCharType="begin"/>
      </w:r>
      <w:r>
        <w:instrText xml:space="preserve"> REF _Ref427753762 \h </w:instrText>
      </w:r>
      <w:r>
        <w:fldChar w:fldCharType="separate"/>
      </w:r>
      <w:r w:rsidR="00820EB1">
        <w:t xml:space="preserve">Figure </w:t>
      </w:r>
      <w:r w:rsidR="00820EB1">
        <w:rPr>
          <w:noProof/>
        </w:rPr>
        <w:t>71</w:t>
      </w:r>
      <w:r>
        <w:fldChar w:fldCharType="end"/>
      </w:r>
      <w:r>
        <w:t>).</w:t>
      </w:r>
    </w:p>
    <w:p w14:paraId="6C39AEF2" w14:textId="472A4FCB" w:rsidR="002B759B" w:rsidRDefault="00FE3A6A" w:rsidP="00EA4BBA">
      <w:pPr>
        <w:pStyle w:val="Title"/>
      </w:pPr>
      <w:r>
        <w:drawing>
          <wp:inline distT="0" distB="0" distL="0" distR="0" wp14:anchorId="55F951FE" wp14:editId="06B9F958">
            <wp:extent cx="2939569" cy="2194560"/>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4136" t="15720" r="34770" b="16432"/>
                    <a:stretch/>
                  </pic:blipFill>
                  <pic:spPr bwMode="auto">
                    <a:xfrm>
                      <a:off x="0" y="0"/>
                      <a:ext cx="2941818" cy="2196239"/>
                    </a:xfrm>
                    <a:prstGeom prst="rect">
                      <a:avLst/>
                    </a:prstGeom>
                    <a:ln>
                      <a:noFill/>
                    </a:ln>
                    <a:extLst>
                      <a:ext uri="{53640926-AAD7-44D8-BBD7-CCE9431645EC}">
                        <a14:shadowObscured xmlns:a14="http://schemas.microsoft.com/office/drawing/2010/main"/>
                      </a:ext>
                    </a:extLst>
                  </pic:spPr>
                </pic:pic>
              </a:graphicData>
            </a:graphic>
          </wp:inline>
        </w:drawing>
      </w:r>
    </w:p>
    <w:p w14:paraId="7BF957F2" w14:textId="3F9ECF06" w:rsidR="002B759B" w:rsidRDefault="002B759B" w:rsidP="00EA4BBA">
      <w:pPr>
        <w:pStyle w:val="Caption"/>
      </w:pPr>
      <w:bookmarkStart w:id="149" w:name="_Ref427753762"/>
      <w:r>
        <w:t xml:space="preserve">Figure </w:t>
      </w:r>
      <w:r w:rsidR="00A47317">
        <w:fldChar w:fldCharType="begin"/>
      </w:r>
      <w:r w:rsidR="00A47317">
        <w:instrText xml:space="preserve"> SEQ Figure \* ARABIC </w:instrText>
      </w:r>
      <w:r w:rsidR="00A47317">
        <w:fldChar w:fldCharType="separate"/>
      </w:r>
      <w:r w:rsidR="00820EB1">
        <w:rPr>
          <w:noProof/>
        </w:rPr>
        <w:t>71</w:t>
      </w:r>
      <w:r w:rsidR="00A47317">
        <w:rPr>
          <w:noProof/>
        </w:rPr>
        <w:fldChar w:fldCharType="end"/>
      </w:r>
      <w:bookmarkEnd w:id="149"/>
      <w:r>
        <w:t>: Irregular glass flow produced during preliminary experiments to develop outlet flow system</w:t>
      </w:r>
      <w:r w:rsidR="00DB3208">
        <w:t xml:space="preserve">. </w:t>
      </w:r>
      <w:r w:rsidR="00D35873">
        <w:t>Scale bar based on</w:t>
      </w:r>
      <w:r w:rsidR="00DB3208">
        <w:t xml:space="preserve"> inside diameter of the outlet tube heater shown here was 38 mm.</w:t>
      </w:r>
    </w:p>
    <w:p w14:paraId="27AFDD9F" w14:textId="77777777" w:rsidR="002B759B" w:rsidRDefault="002B759B" w:rsidP="00EA4BBA">
      <w:r>
        <w:t xml:space="preserve">Subsequent experiments showed that a greater weight of molten glass was required inside crucible above the outlet tube as well as further heating of the crucible to generate a more fluid flow of glass through the outlet. </w:t>
      </w:r>
    </w:p>
    <w:p w14:paraId="20D5D63C" w14:textId="695D3C86" w:rsidR="002B759B" w:rsidRDefault="002B759B" w:rsidP="00EA4BBA">
      <w:r>
        <w:t xml:space="preserve">Also, in order to enable the flow to be cut off and kept frozen, without any glass leakage until flow was required again, it was found that a water-cooled, conical metal plug was required to block the end of the outlet tube and rapidly dissipate heat otherwise simply reducing the temperature setting of the tube heater alone </w:t>
      </w:r>
      <w:r w:rsidR="00FE3A6A">
        <w:t xml:space="preserve">did </w:t>
      </w:r>
      <w:r>
        <w:t xml:space="preserve">not give a sufficiently rapid response. </w:t>
      </w:r>
    </w:p>
    <w:p w14:paraId="46887B7C" w14:textId="77777777" w:rsidR="002B759B" w:rsidRPr="00665552" w:rsidRDefault="002B759B" w:rsidP="002B759B">
      <w:pPr>
        <w:pStyle w:val="Heading3"/>
        <w:keepLines w:val="0"/>
        <w:numPr>
          <w:ilvl w:val="2"/>
          <w:numId w:val="21"/>
        </w:numPr>
        <w:spacing w:before="100" w:after="100"/>
        <w:contextualSpacing w:val="0"/>
      </w:pPr>
      <w:r w:rsidRPr="00665552">
        <w:t>Forming process</w:t>
      </w:r>
    </w:p>
    <w:p w14:paraId="7CF62D05" w14:textId="4FA3A955" w:rsidR="002B759B" w:rsidRPr="00940F54" w:rsidRDefault="002B759B" w:rsidP="00EA4BBA">
      <w:r>
        <w:t>Further experiments were conducted to test casting the glass produced from the outlet tube. These experiments were setup similarly to the previous experiments described above whereby the glass was pre-melted and poured into an insulated crucible with an outlet tube running through the outlet heater at 1200</w:t>
      </w:r>
      <w:r>
        <w:rPr>
          <w:vertAlign w:val="superscript"/>
        </w:rPr>
        <w:t>o</w:t>
      </w:r>
      <w:r>
        <w:t xml:space="preserve">C. </w:t>
      </w:r>
      <w:r>
        <w:fldChar w:fldCharType="begin"/>
      </w:r>
      <w:r>
        <w:instrText xml:space="preserve"> REF _Ref427762169 \h </w:instrText>
      </w:r>
      <w:r>
        <w:fldChar w:fldCharType="separate"/>
      </w:r>
      <w:r w:rsidR="00820EB1">
        <w:t xml:space="preserve">Figure </w:t>
      </w:r>
      <w:r w:rsidR="00820EB1">
        <w:rPr>
          <w:noProof/>
        </w:rPr>
        <w:t>72</w:t>
      </w:r>
      <w:r>
        <w:fldChar w:fldCharType="end"/>
      </w:r>
      <w:r>
        <w:t xml:space="preserve"> shows the results of such an experiment where the glass produced from the outlet was more fluid and consistent than the previous experiment</w:t>
      </w:r>
      <w:r w:rsidR="00C3592B">
        <w:t>,</w:t>
      </w:r>
      <w:r>
        <w:t xml:space="preserve"> shown in </w:t>
      </w:r>
      <w:r>
        <w:fldChar w:fldCharType="begin"/>
      </w:r>
      <w:r>
        <w:instrText xml:space="preserve"> REF _Ref427753762 \h </w:instrText>
      </w:r>
      <w:r>
        <w:fldChar w:fldCharType="separate"/>
      </w:r>
      <w:r w:rsidR="00820EB1">
        <w:t xml:space="preserve">Figure </w:t>
      </w:r>
      <w:r w:rsidR="00820EB1">
        <w:rPr>
          <w:noProof/>
        </w:rPr>
        <w:t>71</w:t>
      </w:r>
      <w:r>
        <w:fldChar w:fldCharType="end"/>
      </w:r>
      <w:r w:rsidR="00C3592B">
        <w:t>,</w:t>
      </w:r>
      <w:r>
        <w:t xml:space="preserve"> due to the increased weight of molten glass contained in the crucible above the outlet tube as well as further preheating of the crucible. However the glass stream produced from the </w:t>
      </w:r>
      <w:r>
        <w:lastRenderedPageBreak/>
        <w:t>outlet tube would not fill the preheated mould below as required for the pressed casting demonstration, rather it solidified on contact with it.</w:t>
      </w:r>
    </w:p>
    <w:p w14:paraId="0B2A0504" w14:textId="38E7DA97" w:rsidR="002B759B" w:rsidRDefault="00FE3A6A" w:rsidP="00EA4BBA">
      <w:pPr>
        <w:pStyle w:val="Title"/>
      </w:pPr>
      <w:r>
        <w:drawing>
          <wp:inline distT="0" distB="0" distL="0" distR="0" wp14:anchorId="3E976902" wp14:editId="4A0A3585">
            <wp:extent cx="3743794" cy="2992582"/>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4077" t="14868" r="38865" b="18225"/>
                    <a:stretch/>
                  </pic:blipFill>
                  <pic:spPr bwMode="auto">
                    <a:xfrm>
                      <a:off x="0" y="0"/>
                      <a:ext cx="3751499" cy="2998741"/>
                    </a:xfrm>
                    <a:prstGeom prst="rect">
                      <a:avLst/>
                    </a:prstGeom>
                    <a:ln>
                      <a:noFill/>
                    </a:ln>
                    <a:extLst>
                      <a:ext uri="{53640926-AAD7-44D8-BBD7-CCE9431645EC}">
                        <a14:shadowObscured xmlns:a14="http://schemas.microsoft.com/office/drawing/2010/main"/>
                      </a:ext>
                    </a:extLst>
                  </pic:spPr>
                </pic:pic>
              </a:graphicData>
            </a:graphic>
          </wp:inline>
        </w:drawing>
      </w:r>
    </w:p>
    <w:p w14:paraId="660F2904" w14:textId="04F49133" w:rsidR="002B759B" w:rsidRDefault="002B759B" w:rsidP="00EA4BBA">
      <w:pPr>
        <w:pStyle w:val="Caption"/>
      </w:pPr>
      <w:bookmarkStart w:id="150" w:name="_Ref427762169"/>
      <w:r>
        <w:t xml:space="preserve">Figure </w:t>
      </w:r>
      <w:r w:rsidR="00A47317">
        <w:fldChar w:fldCharType="begin"/>
      </w:r>
      <w:r w:rsidR="00A47317">
        <w:instrText xml:space="preserve"> SEQ Figure \* ARABIC </w:instrText>
      </w:r>
      <w:r w:rsidR="00A47317">
        <w:fldChar w:fldCharType="separate"/>
      </w:r>
      <w:r w:rsidR="00820EB1">
        <w:rPr>
          <w:noProof/>
        </w:rPr>
        <w:t>72</w:t>
      </w:r>
      <w:r w:rsidR="00A47317">
        <w:rPr>
          <w:noProof/>
        </w:rPr>
        <w:fldChar w:fldCharType="end"/>
      </w:r>
      <w:bookmarkEnd w:id="150"/>
      <w:r>
        <w:t>: Glass flowing out through tube heated to 1200</w:t>
      </w:r>
      <w:r>
        <w:rPr>
          <w:vertAlign w:val="superscript"/>
        </w:rPr>
        <w:t>o</w:t>
      </w:r>
      <w:r>
        <w:t>C solidifying prematurely rather than filling the shape of the mould.</w:t>
      </w:r>
      <w:r w:rsidR="006C35BB">
        <w:t xml:space="preserve"> </w:t>
      </w:r>
      <w:r w:rsidR="00FE3A6A">
        <w:t>Scale bar based on t</w:t>
      </w:r>
      <w:r w:rsidR="006C35BB">
        <w:t>he</w:t>
      </w:r>
      <w:r w:rsidR="00FE3A6A">
        <w:t xml:space="preserve"> 38 mm</w:t>
      </w:r>
      <w:r w:rsidR="006C35BB">
        <w:t xml:space="preserve"> inside diameter of the tube heater</w:t>
      </w:r>
      <w:r w:rsidR="00FE3A6A">
        <w:t>.</w:t>
      </w:r>
    </w:p>
    <w:p w14:paraId="6EA571FD" w14:textId="4AE31470" w:rsidR="002B759B" w:rsidRDefault="002B759B" w:rsidP="00EA4BBA">
      <w:r>
        <w:t xml:space="preserve">It appeared that the reason for the difficulty in casting the stream produced was because the surface area to volume ratio of the thin stream was too large so that it </w:t>
      </w:r>
      <w:r w:rsidR="00AE1FD8">
        <w:t>cooled</w:t>
      </w:r>
      <w:r>
        <w:t xml:space="preserve"> too rapidly and therefore </w:t>
      </w:r>
      <w:r w:rsidR="00AE1FD8">
        <w:t xml:space="preserve">solidified </w:t>
      </w:r>
      <w:r>
        <w:t>before it could cast. Therefore it was decided to collect the glass stream produce in a crucible contained inside another furnace at 1200</w:t>
      </w:r>
      <w:r>
        <w:rPr>
          <w:vertAlign w:val="superscript"/>
        </w:rPr>
        <w:t>o</w:t>
      </w:r>
      <w:r>
        <w:t>C and then manually pour the collected glass into a mould to demonstrate the casting process. Accordingly, preliminary experiments were conducted to test this process with the collecting furnace (</w:t>
      </w:r>
      <w:r>
        <w:fldChar w:fldCharType="begin"/>
      </w:r>
      <w:r>
        <w:instrText xml:space="preserve"> REF _Ref451037629 \h </w:instrText>
      </w:r>
      <w:r>
        <w:fldChar w:fldCharType="separate"/>
      </w:r>
      <w:r w:rsidR="00820EB1">
        <w:t xml:space="preserve">Figure </w:t>
      </w:r>
      <w:r w:rsidR="00820EB1">
        <w:rPr>
          <w:noProof/>
        </w:rPr>
        <w:t>73</w:t>
      </w:r>
      <w:r>
        <w:fldChar w:fldCharType="end"/>
      </w:r>
      <w:r>
        <w:t xml:space="preserve">c) positioned on a fork lift to enable it to </w:t>
      </w:r>
      <w:r w:rsidR="00AE1FD8">
        <w:t>be positioned close</w:t>
      </w:r>
      <w:r>
        <w:t xml:space="preserve"> to the outlet tube when collecting and then </w:t>
      </w:r>
      <w:r w:rsidR="00AE1FD8">
        <w:t xml:space="preserve">be moved </w:t>
      </w:r>
      <w:r>
        <w:t>away to provide access to cut off the stream when required.  As before the crucible with the extended outlet tube and glass was preheated inside the nearby gas furnaces (</w:t>
      </w:r>
      <w:r>
        <w:fldChar w:fldCharType="begin"/>
      </w:r>
      <w:r>
        <w:instrText xml:space="preserve"> REF _Ref451037629 \h </w:instrText>
      </w:r>
      <w:r>
        <w:fldChar w:fldCharType="separate"/>
      </w:r>
      <w:r w:rsidR="00820EB1">
        <w:t xml:space="preserve">Figure </w:t>
      </w:r>
      <w:r w:rsidR="00820EB1">
        <w:rPr>
          <w:noProof/>
        </w:rPr>
        <w:t>73</w:t>
      </w:r>
      <w:r>
        <w:fldChar w:fldCharType="end"/>
      </w:r>
      <w:r>
        <w:t>a) and the outlet tube heater was wrapped in insulation (</w:t>
      </w:r>
      <w:r>
        <w:fldChar w:fldCharType="begin"/>
      </w:r>
      <w:r>
        <w:instrText xml:space="preserve"> REF _Ref451037629 \h </w:instrText>
      </w:r>
      <w:r>
        <w:fldChar w:fldCharType="separate"/>
      </w:r>
      <w:r w:rsidR="00820EB1">
        <w:t xml:space="preserve">Figure </w:t>
      </w:r>
      <w:r w:rsidR="00820EB1">
        <w:rPr>
          <w:noProof/>
        </w:rPr>
        <w:t>73</w:t>
      </w:r>
      <w:r>
        <w:fldChar w:fldCharType="end"/>
      </w:r>
      <w:r>
        <w:t>b) with a space above it to accommodate the crucible with its bottom outlet tube to pass through the heater.</w:t>
      </w:r>
    </w:p>
    <w:p w14:paraId="5C12FA8F" w14:textId="77777777" w:rsidR="002B759B" w:rsidRDefault="002B759B" w:rsidP="00EA4BBA">
      <w:pPr>
        <w:pStyle w:val="Title"/>
      </w:pPr>
      <w:bookmarkStart w:id="151" w:name="_Ref427763586"/>
      <w:r w:rsidRPr="005B4A67">
        <w:lastRenderedPageBreak/>
        <w:drawing>
          <wp:inline distT="0" distB="0" distL="0" distR="0" wp14:anchorId="1C4B92AD" wp14:editId="1A46B63D">
            <wp:extent cx="4419600" cy="2981325"/>
            <wp:effectExtent l="0" t="0" r="0" b="9525"/>
            <wp:docPr id="197"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7">
                      <a:extLst>
                        <a:ext uri="{28A0092B-C50C-407E-A947-70E740481C1C}">
                          <a14:useLocalDpi xmlns:a14="http://schemas.microsoft.com/office/drawing/2010/main" val="0"/>
                        </a:ext>
                      </a:extLst>
                    </a:blip>
                    <a:srcRect l="11397" t="22479" r="34941" b="13394"/>
                    <a:stretch>
                      <a:fillRect/>
                    </a:stretch>
                  </pic:blipFill>
                  <pic:spPr bwMode="auto">
                    <a:xfrm>
                      <a:off x="0" y="0"/>
                      <a:ext cx="4419600" cy="2981325"/>
                    </a:xfrm>
                    <a:prstGeom prst="rect">
                      <a:avLst/>
                    </a:prstGeom>
                    <a:noFill/>
                    <a:ln>
                      <a:noFill/>
                    </a:ln>
                  </pic:spPr>
                </pic:pic>
              </a:graphicData>
            </a:graphic>
          </wp:inline>
        </w:drawing>
      </w:r>
    </w:p>
    <w:p w14:paraId="5F231F55" w14:textId="77777777" w:rsidR="002B759B" w:rsidRDefault="002B759B" w:rsidP="00EA4BBA">
      <w:pPr>
        <w:pStyle w:val="Caption"/>
      </w:pPr>
      <w:bookmarkStart w:id="152" w:name="_Ref451037629"/>
      <w:r>
        <w:t xml:space="preserve">Figure </w:t>
      </w:r>
      <w:r w:rsidR="00A47317">
        <w:fldChar w:fldCharType="begin"/>
      </w:r>
      <w:r w:rsidR="00A47317">
        <w:instrText xml:space="preserve"> SEQ Figure \* ARABIC </w:instrText>
      </w:r>
      <w:r w:rsidR="00A47317">
        <w:fldChar w:fldCharType="separate"/>
      </w:r>
      <w:r w:rsidR="00820EB1">
        <w:rPr>
          <w:noProof/>
        </w:rPr>
        <w:t>73</w:t>
      </w:r>
      <w:r w:rsidR="00A47317">
        <w:rPr>
          <w:noProof/>
        </w:rPr>
        <w:fldChar w:fldCharType="end"/>
      </w:r>
      <w:bookmarkEnd w:id="152"/>
      <w:r>
        <w:t>: Photograph showing setup of preliminary experiments to test bottom outflow system with a) glass and crucibles with outlet tubes preheated to 1450</w:t>
      </w:r>
      <w:r>
        <w:rPr>
          <w:vertAlign w:val="superscript"/>
        </w:rPr>
        <w:t>o</w:t>
      </w:r>
      <w:r>
        <w:t>C in gas furnaces, b) outlet tube heater at 1200</w:t>
      </w:r>
      <w:r>
        <w:rPr>
          <w:vertAlign w:val="superscript"/>
        </w:rPr>
        <w:t>o</w:t>
      </w:r>
      <w:r>
        <w:t>C wrapped in insulation and c) collecting furnace at 1200</w:t>
      </w:r>
      <w:r>
        <w:rPr>
          <w:vertAlign w:val="superscript"/>
        </w:rPr>
        <w:t>o</w:t>
      </w:r>
      <w:r>
        <w:t>C on a fork lift.</w:t>
      </w:r>
    </w:p>
    <w:bookmarkEnd w:id="151"/>
    <w:p w14:paraId="6175E27C" w14:textId="56290DE6" w:rsidR="002B759B" w:rsidRDefault="002B759B" w:rsidP="00D826A5">
      <w:r>
        <w:t>Despite, collecting the glass inside the crucible the industrial soda-lime-silica glass appeared too viscous to cast at 1200</w:t>
      </w:r>
      <w:r>
        <w:rPr>
          <w:vertAlign w:val="superscript"/>
        </w:rPr>
        <w:t>o</w:t>
      </w:r>
      <w:r>
        <w:t>C. So</w:t>
      </w:r>
      <w:r w:rsidR="00D826A5">
        <w:t>,</w:t>
      </w:r>
      <w:r>
        <w:t xml:space="preserve"> the same experiment was repeated </w:t>
      </w:r>
      <w:r w:rsidR="00D826A5">
        <w:t>an alternative batch (Phillips 3300 – see</w:t>
      </w:r>
      <w:r w:rsidR="00D13C8B">
        <w:t xml:space="preserve"> section </w:t>
      </w:r>
      <w:r w:rsidR="00D13C8B">
        <w:fldChar w:fldCharType="begin"/>
      </w:r>
      <w:r w:rsidR="00D13C8B">
        <w:instrText xml:space="preserve"> REF _Ref451091781 \n \h </w:instrText>
      </w:r>
      <w:r w:rsidR="00D13C8B">
        <w:fldChar w:fldCharType="separate"/>
      </w:r>
      <w:r w:rsidR="00820EB1">
        <w:t>5.5.1</w:t>
      </w:r>
      <w:r w:rsidR="00D13C8B">
        <w:fldChar w:fldCharType="end"/>
      </w:r>
      <w:r w:rsidR="00D13C8B">
        <w:t>)</w:t>
      </w:r>
      <w:r w:rsidR="00D826A5">
        <w:t xml:space="preserve"> which contained</w:t>
      </w:r>
      <w:r>
        <w:t xml:space="preserve"> </w:t>
      </w:r>
      <w:r w:rsidR="00D13C8B">
        <w:t xml:space="preserve">more </w:t>
      </w:r>
      <w:r>
        <w:t xml:space="preserve">fluxing agents </w:t>
      </w:r>
      <w:r w:rsidR="00D826A5">
        <w:t>so could be</w:t>
      </w:r>
      <w:r>
        <w:t xml:space="preserve"> cast more </w:t>
      </w:r>
      <w:r w:rsidR="00D13C8B">
        <w:t xml:space="preserve">easily </w:t>
      </w:r>
      <w:r>
        <w:t>at 1200</w:t>
      </w:r>
      <w:r>
        <w:rPr>
          <w:vertAlign w:val="superscript"/>
        </w:rPr>
        <w:t>o</w:t>
      </w:r>
      <w:r>
        <w:t>C.</w:t>
      </w:r>
    </w:p>
    <w:p w14:paraId="027E8A63" w14:textId="77777777" w:rsidR="002B759B" w:rsidRPr="00665552" w:rsidRDefault="002B759B" w:rsidP="002B759B">
      <w:pPr>
        <w:pStyle w:val="Heading3"/>
        <w:keepLines w:val="0"/>
        <w:numPr>
          <w:ilvl w:val="2"/>
          <w:numId w:val="21"/>
        </w:numPr>
        <w:spacing w:before="100" w:after="100"/>
        <w:contextualSpacing w:val="0"/>
      </w:pPr>
      <w:r w:rsidRPr="00665552">
        <w:t>Batch feed</w:t>
      </w:r>
    </w:p>
    <w:p w14:paraId="4B8FBB8D" w14:textId="7000B841" w:rsidR="002B759B" w:rsidRPr="00381C26" w:rsidRDefault="002B759B" w:rsidP="00EA4BBA">
      <w:r>
        <w:t xml:space="preserve">The </w:t>
      </w:r>
      <w:r w:rsidR="00D13C8B">
        <w:t xml:space="preserve">original </w:t>
      </w:r>
      <w:r>
        <w:t>batch feeder functioned by agitation causing pellets to fall down a slope. The limitation of this method of feeding batch was that it tended to result in uncontrolled inconsistencies in the quantity of batch fed. Also, it was difficult to measure the mass of batch fed. Therefore, a new batch feeder was developed which worked using a conveyor belt (</w:t>
      </w:r>
      <w:r>
        <w:fldChar w:fldCharType="begin"/>
      </w:r>
      <w:r>
        <w:instrText xml:space="preserve"> REF _Ref427835535 \h </w:instrText>
      </w:r>
      <w:r>
        <w:fldChar w:fldCharType="separate"/>
      </w:r>
      <w:r w:rsidR="00820EB1">
        <w:t xml:space="preserve">Figure </w:t>
      </w:r>
      <w:r w:rsidR="00820EB1">
        <w:rPr>
          <w:noProof/>
        </w:rPr>
        <w:t>74</w:t>
      </w:r>
      <w:r>
        <w:fldChar w:fldCharType="end"/>
      </w:r>
      <w:r>
        <w:t>a) rather than agitation. This allowed for greater control and consistency of the batch feed rate. This also enabled the mass of batch fed to be measured by placing the feeder with the batch stored in the hopper (</w:t>
      </w:r>
      <w:r>
        <w:fldChar w:fldCharType="begin"/>
      </w:r>
      <w:r>
        <w:instrText xml:space="preserve"> REF _Ref427835535 \h </w:instrText>
      </w:r>
      <w:r>
        <w:fldChar w:fldCharType="separate"/>
      </w:r>
      <w:r w:rsidR="00820EB1">
        <w:t xml:space="preserve">Figure </w:t>
      </w:r>
      <w:r w:rsidR="00820EB1">
        <w:rPr>
          <w:noProof/>
        </w:rPr>
        <w:t>74</w:t>
      </w:r>
      <w:r>
        <w:fldChar w:fldCharType="end"/>
      </w:r>
      <w:r>
        <w:t>b) on a mass balance (</w:t>
      </w:r>
      <w:r>
        <w:fldChar w:fldCharType="begin"/>
      </w:r>
      <w:r>
        <w:instrText xml:space="preserve"> REF _Ref427835535 \h </w:instrText>
      </w:r>
      <w:r>
        <w:fldChar w:fldCharType="separate"/>
      </w:r>
      <w:r w:rsidR="00820EB1">
        <w:t xml:space="preserve">Figure </w:t>
      </w:r>
      <w:r w:rsidR="00820EB1">
        <w:rPr>
          <w:noProof/>
        </w:rPr>
        <w:t>74</w:t>
      </w:r>
      <w:r>
        <w:fldChar w:fldCharType="end"/>
      </w:r>
      <w:r>
        <w:t>d) and recording the change in mass before and after each feed. The mass balance was connected to a data logging system (</w:t>
      </w:r>
      <w:r>
        <w:fldChar w:fldCharType="begin"/>
      </w:r>
      <w:r>
        <w:instrText xml:space="preserve"> REF _Ref427835535 \h </w:instrText>
      </w:r>
      <w:r>
        <w:fldChar w:fldCharType="separate"/>
      </w:r>
      <w:r w:rsidR="00820EB1">
        <w:t xml:space="preserve">Figure </w:t>
      </w:r>
      <w:r w:rsidR="00820EB1">
        <w:rPr>
          <w:noProof/>
        </w:rPr>
        <w:t>74</w:t>
      </w:r>
      <w:r>
        <w:fldChar w:fldCharType="end"/>
      </w:r>
      <w:r>
        <w:t>e) in order to record the results automatically during the experiments.</w:t>
      </w:r>
    </w:p>
    <w:p w14:paraId="641AE3EB" w14:textId="66A99092" w:rsidR="002B759B" w:rsidRDefault="002B759B" w:rsidP="00EA4BBA">
      <w:pPr>
        <w:pStyle w:val="Title"/>
      </w:pPr>
      <w:r>
        <w:lastRenderedPageBreak/>
        <w:t xml:space="preserve"> </w:t>
      </w:r>
      <w:r w:rsidR="00D35873">
        <w:drawing>
          <wp:inline distT="0" distB="0" distL="0" distR="0" wp14:anchorId="24E3D52E" wp14:editId="2A41F71E">
            <wp:extent cx="4762500" cy="2621322"/>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114" t="22276" r="27152" b="14349"/>
                    <a:stretch/>
                  </pic:blipFill>
                  <pic:spPr bwMode="auto">
                    <a:xfrm>
                      <a:off x="0" y="0"/>
                      <a:ext cx="4784582" cy="2633476"/>
                    </a:xfrm>
                    <a:prstGeom prst="rect">
                      <a:avLst/>
                    </a:prstGeom>
                    <a:ln>
                      <a:noFill/>
                    </a:ln>
                    <a:extLst>
                      <a:ext uri="{53640926-AAD7-44D8-BBD7-CCE9431645EC}">
                        <a14:shadowObscured xmlns:a14="http://schemas.microsoft.com/office/drawing/2010/main"/>
                      </a:ext>
                    </a:extLst>
                  </pic:spPr>
                </pic:pic>
              </a:graphicData>
            </a:graphic>
          </wp:inline>
        </w:drawing>
      </w:r>
    </w:p>
    <w:p w14:paraId="76A69B17" w14:textId="7F345038" w:rsidR="002B759B" w:rsidRDefault="002B759B" w:rsidP="00EA4BBA">
      <w:pPr>
        <w:pStyle w:val="Caption"/>
      </w:pPr>
      <w:bookmarkStart w:id="153" w:name="_Ref427835535"/>
      <w:r>
        <w:t xml:space="preserve">Figure </w:t>
      </w:r>
      <w:r w:rsidR="00A47317">
        <w:fldChar w:fldCharType="begin"/>
      </w:r>
      <w:r w:rsidR="00A47317">
        <w:instrText xml:space="preserve"> SEQ Figure \* ARABIC </w:instrText>
      </w:r>
      <w:r w:rsidR="00A47317">
        <w:fldChar w:fldCharType="separate"/>
      </w:r>
      <w:r w:rsidR="00820EB1">
        <w:rPr>
          <w:noProof/>
        </w:rPr>
        <w:t>74</w:t>
      </w:r>
      <w:r w:rsidR="00A47317">
        <w:rPr>
          <w:noProof/>
        </w:rPr>
        <w:fldChar w:fldCharType="end"/>
      </w:r>
      <w:bookmarkEnd w:id="153"/>
      <w:r>
        <w:t>: a) conveyor belt batch feeder setup to transfer batch stored in b) hopper via c) chute into scale-up solar glass furnace feed port. Feed rate measurement provided by d) weighing scale connected to e) data logging system.</w:t>
      </w:r>
      <w:r w:rsidR="00EE1820">
        <w:t xml:space="preserve"> Scale bar based on the 37 cm conveyor belt length.</w:t>
      </w:r>
    </w:p>
    <w:p w14:paraId="7098B0B2" w14:textId="75A1BB9C" w:rsidR="002B759B" w:rsidRPr="00984E9B" w:rsidRDefault="002B759B" w:rsidP="00EA4BBA">
      <w:r>
        <w:t xml:space="preserve">Also, it was decided that </w:t>
      </w:r>
      <w:r w:rsidR="00EE1820">
        <w:t xml:space="preserve">subsequent </w:t>
      </w:r>
      <w:r>
        <w:t>experiments should start by preheating one layer of pellets covering the base of the crucible (around 300 g) inside the furnace before switching the beam on. Then, the beam would initiate melting. This</w:t>
      </w:r>
      <w:r w:rsidR="00EE1820">
        <w:t xml:space="preserve"> was designed to </w:t>
      </w:r>
      <w:r>
        <w:t xml:space="preserve">ensure that the first charge of pellets could rapidly and homogeneously melt. This </w:t>
      </w:r>
      <w:r w:rsidR="00EE1820">
        <w:t xml:space="preserve">was intended to </w:t>
      </w:r>
      <w:r>
        <w:t xml:space="preserve">reduce the risk of unmelted pellets from the initial charge being prematurely swept into the outlet tube and disrupting the flow. </w:t>
      </w:r>
    </w:p>
    <w:p w14:paraId="2CBF99DF" w14:textId="77777777" w:rsidR="002B759B" w:rsidRPr="00665552" w:rsidRDefault="002B759B" w:rsidP="002B759B">
      <w:pPr>
        <w:pStyle w:val="Heading3"/>
        <w:keepLines w:val="0"/>
        <w:numPr>
          <w:ilvl w:val="2"/>
          <w:numId w:val="21"/>
        </w:numPr>
        <w:spacing w:before="100" w:after="100"/>
        <w:contextualSpacing w:val="0"/>
      </w:pPr>
      <w:r w:rsidRPr="00665552">
        <w:t xml:space="preserve"> </w:t>
      </w:r>
      <w:bookmarkStart w:id="154" w:name="_Ref428974522"/>
      <w:r w:rsidRPr="00665552">
        <w:t>Cooling air flow</w:t>
      </w:r>
      <w:bookmarkEnd w:id="154"/>
    </w:p>
    <w:p w14:paraId="4D7EC791" w14:textId="23339FD1" w:rsidR="002B759B" w:rsidRDefault="002B759B" w:rsidP="00EA4BBA">
      <w:r>
        <w:t xml:space="preserve">In order </w:t>
      </w:r>
      <w:r w:rsidR="00EE1820">
        <w:t xml:space="preserve">to </w:t>
      </w:r>
      <w:r>
        <w:t>block the cooling flow of air entering from the bottom outlet, running through the furnace and exiting through the beam inlet port (</w:t>
      </w:r>
      <w:r>
        <w:fldChar w:fldCharType="begin"/>
      </w:r>
      <w:r>
        <w:instrText xml:space="preserve"> REF _Ref427748656 \h </w:instrText>
      </w:r>
      <w:r>
        <w:fldChar w:fldCharType="separate"/>
      </w:r>
      <w:r w:rsidR="00820EB1">
        <w:t xml:space="preserve">Figure </w:t>
      </w:r>
      <w:r w:rsidR="00820EB1">
        <w:rPr>
          <w:noProof/>
        </w:rPr>
        <w:t>75</w:t>
      </w:r>
      <w:r>
        <w:fldChar w:fldCharType="end"/>
      </w:r>
      <w:r>
        <w:t>a), refractory insulation materials were used to plug the gap between the crucible and the roof and the crucible and the outlet heater (</w:t>
      </w:r>
      <w:r>
        <w:fldChar w:fldCharType="begin"/>
      </w:r>
      <w:r>
        <w:instrText xml:space="preserve"> REF _Ref427748656 \h </w:instrText>
      </w:r>
      <w:r>
        <w:fldChar w:fldCharType="separate"/>
      </w:r>
      <w:r w:rsidR="00820EB1">
        <w:t xml:space="preserve">Figure </w:t>
      </w:r>
      <w:r w:rsidR="00820EB1">
        <w:rPr>
          <w:noProof/>
        </w:rPr>
        <w:t>75</w:t>
      </w:r>
      <w:r>
        <w:fldChar w:fldCharType="end"/>
      </w:r>
      <w:r>
        <w:t xml:space="preserve">b). </w:t>
      </w:r>
    </w:p>
    <w:p w14:paraId="13BAF16D" w14:textId="77777777" w:rsidR="002B759B" w:rsidRDefault="002B759B" w:rsidP="00EA4BBA">
      <w:r w:rsidRPr="00D46C53">
        <w:rPr>
          <w:noProof/>
        </w:rPr>
        <w:lastRenderedPageBreak/>
        <w:drawing>
          <wp:inline distT="0" distB="0" distL="0" distR="0" wp14:anchorId="616E3776" wp14:editId="5C528521">
            <wp:extent cx="5200650" cy="2686050"/>
            <wp:effectExtent l="0" t="0" r="0" b="0"/>
            <wp:docPr id="194"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9">
                      <a:extLst>
                        <a:ext uri="{28A0092B-C50C-407E-A947-70E740481C1C}">
                          <a14:useLocalDpi xmlns:a14="http://schemas.microsoft.com/office/drawing/2010/main" val="0"/>
                        </a:ext>
                      </a:extLst>
                    </a:blip>
                    <a:srcRect l="12802" t="28909" r="31647" b="20219"/>
                    <a:stretch>
                      <a:fillRect/>
                    </a:stretch>
                  </pic:blipFill>
                  <pic:spPr bwMode="auto">
                    <a:xfrm>
                      <a:off x="0" y="0"/>
                      <a:ext cx="5200650" cy="2686050"/>
                    </a:xfrm>
                    <a:prstGeom prst="rect">
                      <a:avLst/>
                    </a:prstGeom>
                    <a:noFill/>
                    <a:ln>
                      <a:noFill/>
                    </a:ln>
                  </pic:spPr>
                </pic:pic>
              </a:graphicData>
            </a:graphic>
          </wp:inline>
        </w:drawing>
      </w:r>
    </w:p>
    <w:p w14:paraId="05CC9DB8" w14:textId="484AC97D" w:rsidR="002B759B" w:rsidRPr="00BD2EDD" w:rsidRDefault="002B759B" w:rsidP="00EA4BBA">
      <w:pPr>
        <w:pStyle w:val="Caption"/>
      </w:pPr>
      <w:bookmarkStart w:id="155" w:name="_Ref427748656"/>
      <w:r>
        <w:t xml:space="preserve">Figure </w:t>
      </w:r>
      <w:r w:rsidR="00A47317">
        <w:fldChar w:fldCharType="begin"/>
      </w:r>
      <w:r w:rsidR="00A47317">
        <w:instrText xml:space="preserve"> SEQ Figure \* ARABIC </w:instrText>
      </w:r>
      <w:r w:rsidR="00A47317">
        <w:fldChar w:fldCharType="separate"/>
      </w:r>
      <w:r w:rsidR="00820EB1">
        <w:rPr>
          <w:noProof/>
        </w:rPr>
        <w:t>75</w:t>
      </w:r>
      <w:r w:rsidR="00A47317">
        <w:rPr>
          <w:noProof/>
        </w:rPr>
        <w:fldChar w:fldCharType="end"/>
      </w:r>
      <w:bookmarkEnd w:id="155"/>
      <w:r>
        <w:t xml:space="preserve">: Schematic diagrams (not to scale), showing the modifications to outlet tube and heater to improve on </w:t>
      </w:r>
      <w:r w:rsidR="00EE1820">
        <w:t xml:space="preserve">the results of </w:t>
      </w:r>
      <w:r>
        <w:t xml:space="preserve">experiments </w:t>
      </w:r>
      <w:r w:rsidR="00EE1820">
        <w:t>C1-3</w:t>
      </w:r>
      <w:r>
        <w:t xml:space="preserve">. a) Original (experiments C1-3); b) Improvement (experiments D1-4). </w:t>
      </w:r>
    </w:p>
    <w:p w14:paraId="15CB5B63" w14:textId="7E620259" w:rsidR="002B759B" w:rsidRDefault="00C3592B" w:rsidP="002B759B">
      <w:pPr>
        <w:pStyle w:val="Heading2"/>
        <w:numPr>
          <w:ilvl w:val="1"/>
          <w:numId w:val="21"/>
        </w:numPr>
        <w:spacing w:before="100" w:after="100"/>
        <w:contextualSpacing w:val="0"/>
      </w:pPr>
      <w:bookmarkStart w:id="156" w:name="_Ref427139630"/>
      <w:r>
        <w:t xml:space="preserve"> </w:t>
      </w:r>
      <w:bookmarkStart w:id="157" w:name="_Toc473995171"/>
      <w:r w:rsidR="002B759B">
        <w:t>Final experiments</w:t>
      </w:r>
      <w:bookmarkEnd w:id="156"/>
      <w:r w:rsidR="002B759B">
        <w:t xml:space="preserve"> (D1-4)</w:t>
      </w:r>
      <w:bookmarkEnd w:id="157"/>
    </w:p>
    <w:p w14:paraId="580A528D" w14:textId="77777777" w:rsidR="00820EB1" w:rsidRDefault="002B759B" w:rsidP="00EA4BBA">
      <w:pPr>
        <w:pStyle w:val="Caption"/>
      </w:pPr>
      <w:r>
        <w:t xml:space="preserve">Following the improvements to the scale-up system described above, a final series of experiments </w:t>
      </w:r>
      <w:r w:rsidRPr="00E15468">
        <w:t>were conducted</w:t>
      </w:r>
      <w:r>
        <w:t xml:space="preserve">, using the HFSS to melt two types of glass forming batches. A drawing of the final scale-up solar heated glass furnace is provided in </w:t>
      </w:r>
      <w:r>
        <w:fldChar w:fldCharType="begin"/>
      </w:r>
      <w:r>
        <w:instrText xml:space="preserve"> REF _Ref443754544 \h </w:instrText>
      </w:r>
      <w:r>
        <w:fldChar w:fldCharType="separate"/>
      </w:r>
    </w:p>
    <w:p w14:paraId="357D99A4" w14:textId="13B3B2FB" w:rsidR="002B759B" w:rsidRDefault="00820EB1">
      <w:r>
        <w:t xml:space="preserve">Figure </w:t>
      </w:r>
      <w:r>
        <w:rPr>
          <w:noProof/>
        </w:rPr>
        <w:t>99</w:t>
      </w:r>
      <w:r w:rsidR="002B759B">
        <w:fldChar w:fldCharType="end"/>
      </w:r>
      <w:r w:rsidR="002B759B">
        <w:t>.</w:t>
      </w:r>
    </w:p>
    <w:p w14:paraId="2E7BF6A8" w14:textId="77777777" w:rsidR="002B759B" w:rsidRDefault="002B759B" w:rsidP="002B759B">
      <w:pPr>
        <w:pStyle w:val="Heading3"/>
        <w:keepLines w:val="0"/>
        <w:numPr>
          <w:ilvl w:val="2"/>
          <w:numId w:val="21"/>
        </w:numPr>
        <w:spacing w:before="100" w:after="100"/>
        <w:contextualSpacing w:val="0"/>
      </w:pPr>
      <w:bookmarkStart w:id="158" w:name="_Ref451091781"/>
      <w:r>
        <w:t>Materials</w:t>
      </w:r>
      <w:bookmarkEnd w:id="158"/>
      <w:r>
        <w:t xml:space="preserve"> </w:t>
      </w:r>
    </w:p>
    <w:p w14:paraId="64B248D8" w14:textId="48366362" w:rsidR="002B759B" w:rsidRPr="00A47317" w:rsidRDefault="002B759B" w:rsidP="00B41643">
      <w:pPr>
        <w:rPr>
          <w:i/>
        </w:rPr>
      </w:pPr>
      <w:r>
        <w:t>Both types of glass forming batch used for these experiments were pelletised soda-lime-silica. One, described in the following experiments (D1-4) as ‘</w:t>
      </w:r>
      <w:r w:rsidRPr="000C15A5">
        <w:rPr>
          <w:i/>
        </w:rPr>
        <w:t>industrial</w:t>
      </w:r>
      <w:r>
        <w:t>’ soda-lime-silica pelletised batch, was the same as that described in (</w:t>
      </w:r>
      <w:r w:rsidR="00EE1820">
        <w:t>Sections 3.3.2 and 4.2.2</w:t>
      </w:r>
      <w:r>
        <w:t>) and that used in experiments C1-3. This batch was representative of the composition used for large scale industrial glass production. It was designed to solidify very quickly upon cooling as required for automatic forming processes.  The other type of pelletised soda-lime-silica batch used in these experiments was ‘</w:t>
      </w:r>
      <w:r w:rsidRPr="000C15A5">
        <w:rPr>
          <w:i/>
        </w:rPr>
        <w:t>Phillips 3300</w:t>
      </w:r>
      <w:r>
        <w:rPr>
          <w:i/>
        </w:rPr>
        <w:t>’</w:t>
      </w:r>
      <w:r>
        <w:t>. According to the supplier (</w:t>
      </w:r>
      <w:r w:rsidRPr="00406B0E">
        <w:t>Glassworks Services L</w:t>
      </w:r>
      <w:r>
        <w:t xml:space="preserve">td, Doncaster), the glass composition </w:t>
      </w:r>
      <w:r w:rsidR="00EE1820">
        <w:t>of</w:t>
      </w:r>
      <w:r>
        <w:t xml:space="preserve"> this batch was as follows (mol %): 72% SiO</w:t>
      </w:r>
      <w:r>
        <w:rPr>
          <w:vertAlign w:val="subscript"/>
        </w:rPr>
        <w:t>2</w:t>
      </w:r>
      <w:r>
        <w:t>; 2% B</w:t>
      </w:r>
      <w:r>
        <w:rPr>
          <w:vertAlign w:val="subscript"/>
        </w:rPr>
        <w:t>2</w:t>
      </w:r>
      <w:r>
        <w:t>O</w:t>
      </w:r>
      <w:r>
        <w:rPr>
          <w:vertAlign w:val="subscript"/>
        </w:rPr>
        <w:t>3</w:t>
      </w:r>
      <w:r>
        <w:t>; 16% Na</w:t>
      </w:r>
      <w:r>
        <w:rPr>
          <w:vertAlign w:val="subscript"/>
        </w:rPr>
        <w:t>2</w:t>
      </w:r>
      <w:r>
        <w:t>O; 1% K</w:t>
      </w:r>
      <w:r>
        <w:rPr>
          <w:vertAlign w:val="subscript"/>
        </w:rPr>
        <w:t>2</w:t>
      </w:r>
      <w:r>
        <w:t>O; 5% CaO; 3% ZnO. The extra flux in this batch was designed to make it solidify slowly in order to provide the time required for manual forming processes. These two batches, represented a range of glass compositions to understand the suitability of solar he</w:t>
      </w:r>
      <w:r w:rsidR="00C3592B">
        <w:t>ated glass furnace for differen</w:t>
      </w:r>
      <w:r>
        <w:t>t types of production.</w:t>
      </w:r>
      <w:r w:rsidR="00B41643">
        <w:t xml:space="preserve"> The Theoretical Energy Requirement (TER) for the formation of the </w:t>
      </w:r>
      <w:r w:rsidR="00B41643">
        <w:rPr>
          <w:i/>
        </w:rPr>
        <w:t>i</w:t>
      </w:r>
      <w:r w:rsidR="00B41643" w:rsidRPr="00A47317">
        <w:rPr>
          <w:i/>
        </w:rPr>
        <w:t>ndustrial</w:t>
      </w:r>
      <w:r w:rsidR="00B41643">
        <w:rPr>
          <w:i/>
        </w:rPr>
        <w:t xml:space="preserve"> </w:t>
      </w:r>
      <w:r w:rsidR="00B41643">
        <w:t xml:space="preserve">and </w:t>
      </w:r>
      <w:r w:rsidR="00B41643">
        <w:rPr>
          <w:i/>
        </w:rPr>
        <w:t xml:space="preserve">Phillips 3300 </w:t>
      </w:r>
      <w:r w:rsidR="00B41643" w:rsidRPr="00A47317">
        <w:t>glasses were calculated</w:t>
      </w:r>
      <w:r w:rsidR="00B41643">
        <w:rPr>
          <w:i/>
        </w:rPr>
        <w:t xml:space="preserve"> </w:t>
      </w:r>
      <w:r w:rsidR="00B41643" w:rsidRPr="00A47317">
        <w:t>(</w:t>
      </w:r>
      <w:r w:rsidR="00B41643">
        <w:t>see Section 5.8.1 and Appendix ID 11)</w:t>
      </w:r>
      <w:r w:rsidR="00B41643" w:rsidRPr="00A47317">
        <w:t xml:space="preserve"> to be </w:t>
      </w:r>
      <w:r w:rsidR="00B41643">
        <w:rPr>
          <w:i/>
        </w:rPr>
        <w:t xml:space="preserve"> 2541 J g</w:t>
      </w:r>
      <w:r w:rsidR="00B41643">
        <w:rPr>
          <w:i/>
          <w:vertAlign w:val="superscript"/>
        </w:rPr>
        <w:t xml:space="preserve">-1 </w:t>
      </w:r>
      <w:r w:rsidR="00B41643">
        <w:rPr>
          <w:i/>
        </w:rPr>
        <w:t>and 2532 J g</w:t>
      </w:r>
      <w:r w:rsidR="00B41643">
        <w:rPr>
          <w:i/>
          <w:vertAlign w:val="superscript"/>
        </w:rPr>
        <w:t>-1</w:t>
      </w:r>
      <w:r w:rsidR="00B41643">
        <w:rPr>
          <w:i/>
        </w:rPr>
        <w:t xml:space="preserve"> </w:t>
      </w:r>
      <w:r w:rsidR="00B41643" w:rsidRPr="00A47317">
        <w:t>respectively.</w:t>
      </w:r>
    </w:p>
    <w:p w14:paraId="26A1810E" w14:textId="77777777" w:rsidR="002B759B" w:rsidRPr="00665552" w:rsidRDefault="002B759B" w:rsidP="002B759B">
      <w:pPr>
        <w:pStyle w:val="Heading3"/>
        <w:keepLines w:val="0"/>
        <w:numPr>
          <w:ilvl w:val="2"/>
          <w:numId w:val="21"/>
        </w:numPr>
        <w:spacing w:before="100" w:after="100"/>
        <w:contextualSpacing w:val="0"/>
      </w:pPr>
      <w:r w:rsidRPr="00665552">
        <w:lastRenderedPageBreak/>
        <w:t>Setup</w:t>
      </w:r>
    </w:p>
    <w:p w14:paraId="1CE0AFDC" w14:textId="216B915E" w:rsidR="002B759B" w:rsidRDefault="002B759B" w:rsidP="00EA4BBA">
      <w:r>
        <w:t>As in experiments</w:t>
      </w:r>
      <w:r w:rsidR="0013256C">
        <w:t xml:space="preserve"> C1-3</w:t>
      </w:r>
      <w:r>
        <w:t>, the solar glass melting furnace was carefully positioned to align the horizontal HFSS beam, deflected vertically by a water-cooled mirror at 45</w:t>
      </w:r>
      <w:r>
        <w:rPr>
          <w:vertAlign w:val="superscript"/>
        </w:rPr>
        <w:t>o</w:t>
      </w:r>
      <w:r>
        <w:t xml:space="preserve"> into the beam inlet port. The new conveyor belt batch feeder was setup on a weighing scale beside the furnace, enabling a measured flow of batch feed. For the initial experiment a water bucket was placed below the outlet, and then in later experiments, this was replaced by a vertical tube furnace to collect the glass produced.</w:t>
      </w:r>
    </w:p>
    <w:p w14:paraId="72C7401E" w14:textId="77777777" w:rsidR="002B759B" w:rsidRPr="000B1F5D" w:rsidRDefault="002B759B" w:rsidP="00EA4BBA">
      <w:r w:rsidRPr="00D46C53">
        <w:rPr>
          <w:noProof/>
        </w:rPr>
        <w:drawing>
          <wp:inline distT="0" distB="0" distL="0" distR="0" wp14:anchorId="64CA25F7" wp14:editId="3A1F72E9">
            <wp:extent cx="5048250" cy="3419475"/>
            <wp:effectExtent l="0" t="0" r="0" b="9525"/>
            <wp:docPr id="193"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90">
                      <a:extLst>
                        <a:ext uri="{28A0092B-C50C-407E-A947-70E740481C1C}">
                          <a14:useLocalDpi xmlns:a14="http://schemas.microsoft.com/office/drawing/2010/main" val="0"/>
                        </a:ext>
                      </a:extLst>
                    </a:blip>
                    <a:srcRect l="8144" t="19508" r="39508" b="17537"/>
                    <a:stretch>
                      <a:fillRect/>
                    </a:stretch>
                  </pic:blipFill>
                  <pic:spPr bwMode="auto">
                    <a:xfrm>
                      <a:off x="0" y="0"/>
                      <a:ext cx="5048250" cy="3419475"/>
                    </a:xfrm>
                    <a:prstGeom prst="rect">
                      <a:avLst/>
                    </a:prstGeom>
                    <a:noFill/>
                    <a:ln>
                      <a:noFill/>
                    </a:ln>
                  </pic:spPr>
                </pic:pic>
              </a:graphicData>
            </a:graphic>
          </wp:inline>
        </w:drawing>
      </w:r>
    </w:p>
    <w:p w14:paraId="60F3BDC0" w14:textId="77777777" w:rsidR="002B759B" w:rsidRDefault="002B759B" w:rsidP="00EA4BBA">
      <w:pPr>
        <w:pStyle w:val="Caption"/>
      </w:pPr>
      <w:r>
        <w:t xml:space="preserve">Figure </w:t>
      </w:r>
      <w:r w:rsidR="00A47317">
        <w:fldChar w:fldCharType="begin"/>
      </w:r>
      <w:r w:rsidR="00A47317">
        <w:instrText xml:space="preserve"> SEQ Figure \* ARABIC </w:instrText>
      </w:r>
      <w:r w:rsidR="00A47317">
        <w:fldChar w:fldCharType="separate"/>
      </w:r>
      <w:r w:rsidR="00820EB1">
        <w:rPr>
          <w:noProof/>
        </w:rPr>
        <w:t>76</w:t>
      </w:r>
      <w:r w:rsidR="00A47317">
        <w:rPr>
          <w:noProof/>
        </w:rPr>
        <w:fldChar w:fldCharType="end"/>
      </w:r>
      <w:r>
        <w:t>: Photograph of initial setup scale-up solar glass melting experiments</w:t>
      </w:r>
    </w:p>
    <w:p w14:paraId="01C35C86" w14:textId="4D0D01FB" w:rsidR="002B759B" w:rsidRPr="009C1962" w:rsidRDefault="002B759B" w:rsidP="00EA4BBA">
      <w:r>
        <w:t>In a separate experiment described later (</w:t>
      </w:r>
      <w:r w:rsidR="00EE1820">
        <w:t xml:space="preserve">section </w:t>
      </w:r>
      <w:r>
        <w:fldChar w:fldCharType="begin"/>
      </w:r>
      <w:r>
        <w:instrText xml:space="preserve"> REF _Ref426991075 \w \h </w:instrText>
      </w:r>
      <w:r>
        <w:fldChar w:fldCharType="separate"/>
      </w:r>
      <w:r w:rsidR="00820EB1">
        <w:t>5.6</w:t>
      </w:r>
      <w:r>
        <w:fldChar w:fldCharType="end"/>
      </w:r>
      <w:r>
        <w:t xml:space="preserve">) a calorimeter was positioned in the exact same position as the furnace shown in </w:t>
      </w:r>
      <w:r>
        <w:fldChar w:fldCharType="begin"/>
      </w:r>
      <w:r>
        <w:instrText xml:space="preserve"> REF _Ref426925335 \h  \* MERGEFORMAT </w:instrText>
      </w:r>
      <w:r>
        <w:fldChar w:fldCharType="separate"/>
      </w:r>
      <w:r w:rsidR="00820EB1" w:rsidRPr="007B28A7">
        <w:t xml:space="preserve">Figure </w:t>
      </w:r>
      <w:r w:rsidR="00820EB1">
        <w:rPr>
          <w:noProof/>
        </w:rPr>
        <w:t>54</w:t>
      </w:r>
      <w:r>
        <w:fldChar w:fldCharType="end"/>
      </w:r>
      <w:r>
        <w:t xml:space="preserve"> in order to find the ratio of indicative power (electri</w:t>
      </w:r>
      <w:r w:rsidR="00F56777">
        <w:t>cal power supplied to the lamps</w:t>
      </w:r>
      <w:r>
        <w:t xml:space="preserve"> multiplied by percentage shutter opening) to the actual radiative power supplied to furnace as measured by the calorimeter in this position, which was found to be 1:</w:t>
      </w:r>
      <w:r w:rsidRPr="00B27650">
        <w:t>0.080</w:t>
      </w:r>
      <w:r>
        <w:t xml:space="preserve">9. Based on this ratio, with the lamp power and shutter opening logged during the course of the following experiments, the radiative power supplied was inferred. CCTV cameras were setup to record furnace controller and alarm unit temperatures as well as the bottom glass outlet and batch feed inlet which were recorded and viewed live from the control room. </w:t>
      </w:r>
      <w:r w:rsidR="00EE1820">
        <w:t>Four experiments (D1-4) were conducted</w:t>
      </w:r>
      <w:r>
        <w:t xml:space="preserve">. The time of events described in the following sections, are </w:t>
      </w:r>
      <w:r w:rsidR="00EE1820">
        <w:t xml:space="preserve">reported </w:t>
      </w:r>
      <w:r>
        <w:t>in terms of the hours, minutes and seconds (</w:t>
      </w:r>
      <w:r w:rsidR="00476677">
        <w:t>hh:mm:ss</w:t>
      </w:r>
      <w:r>
        <w:t>) from the time when the beam was first switched on for</w:t>
      </w:r>
      <w:r w:rsidR="00EE1820">
        <w:t xml:space="preserve"> each</w:t>
      </w:r>
      <w:r>
        <w:t xml:space="preserve"> experiment described. </w:t>
      </w:r>
      <w:r w:rsidR="00EE1820">
        <w:t>As before, w</w:t>
      </w:r>
      <w:r>
        <w:t xml:space="preserve">here the event was manually observed and recorded, the time is specified only in hours and minutes as the accuracy of these observations (+/- 30 seconds) do not justify specification of seconds. Before, starting the beam </w:t>
      </w:r>
      <w:r>
        <w:lastRenderedPageBreak/>
        <w:t xml:space="preserve">for each experiment, the furnace was preheated using the electrical heating elements. </w:t>
      </w:r>
      <w:r w:rsidR="00EE1820">
        <w:t xml:space="preserve">Where recorded, the </w:t>
      </w:r>
      <w:r>
        <w:t>time from when the preheating was started, to when the beam switched on, is given in terms of negative hours and minutes (-h</w:t>
      </w:r>
      <w:r w:rsidR="00476677">
        <w:t>h</w:t>
      </w:r>
      <w:r>
        <w:t>:</w:t>
      </w:r>
      <w:r w:rsidR="00476677">
        <w:t>m</w:t>
      </w:r>
      <w:r>
        <w:t>m)</w:t>
      </w:r>
      <w:r w:rsidR="00EE1820">
        <w:t xml:space="preserve">. </w:t>
      </w:r>
      <w:r w:rsidR="008444B4">
        <w:t>Where the</w:t>
      </w:r>
      <w:r w:rsidR="00EE1820">
        <w:t xml:space="preserve"> start time of preheating was not specifically </w:t>
      </w:r>
      <w:r w:rsidR="008444B4">
        <w:t>recorded</w:t>
      </w:r>
      <w:r w:rsidR="00EE1820">
        <w:t xml:space="preserve">, </w:t>
      </w:r>
      <w:r w:rsidR="008444B4">
        <w:t>these periods are reported</w:t>
      </w:r>
      <w:r>
        <w:t xml:space="preserve"> as ‘overnight’.</w:t>
      </w:r>
      <w:r w:rsidR="009809EB">
        <w:t xml:space="preserve"> </w:t>
      </w:r>
    </w:p>
    <w:p w14:paraId="3EC13821" w14:textId="77777777" w:rsidR="002B759B" w:rsidRPr="000C15A5" w:rsidRDefault="002B759B" w:rsidP="002B759B">
      <w:pPr>
        <w:pStyle w:val="Heading3"/>
        <w:keepLines w:val="0"/>
        <w:numPr>
          <w:ilvl w:val="2"/>
          <w:numId w:val="21"/>
        </w:numPr>
        <w:spacing w:before="100" w:after="100"/>
        <w:contextualSpacing w:val="0"/>
      </w:pPr>
      <w:r w:rsidRPr="000C15A5">
        <w:t>Experiment D1</w:t>
      </w:r>
    </w:p>
    <w:p w14:paraId="15930D5B" w14:textId="5075ED92" w:rsidR="002B759B" w:rsidRDefault="002B759B" w:rsidP="00EA4BBA">
      <w:r>
        <w:t xml:space="preserve">The aim of the initial experiment was to test the improved scale-up solar glass melting furnace with the Phillips 3300 pelletised soda-lime-silica batch. In particular, the glass stream produced from the improved outlet control system was observed and tested in order to evaluate its suitability for subsequent forming processes. </w:t>
      </w:r>
    </w:p>
    <w:p w14:paraId="45740B7D" w14:textId="69D8C7AB" w:rsidR="002B759B" w:rsidRDefault="002B759B" w:rsidP="00EA4BBA">
      <w:r>
        <w:t xml:space="preserve">An initial charge of 298 g of the Phillips 3300 pelletised soda-lime-silica batch was preheated in the crucible overnight from 16:21 on 18/3/15 (-20h:15m), until 12:36 on 19/3/15 (0h:0m) by when the furnace temperature had reached </w:t>
      </w:r>
      <w:r w:rsidRPr="00FC157E">
        <w:t>1019</w:t>
      </w:r>
      <w:r>
        <w:rPr>
          <w:vertAlign w:val="superscript"/>
        </w:rPr>
        <w:t>o</w:t>
      </w:r>
      <w:r w:rsidRPr="00FC157E">
        <w:t>C</w:t>
      </w:r>
      <w:r>
        <w:t>. From 12:36 (0h:0m) to</w:t>
      </w:r>
      <w:r w:rsidRPr="001F5E0B">
        <w:t xml:space="preserve"> </w:t>
      </w:r>
      <w:r>
        <w:t>0h:20m</w:t>
      </w:r>
      <w:r w:rsidRPr="001F5E0B" w:rsidDel="001F5E0B">
        <w:t xml:space="preserve"> </w:t>
      </w:r>
      <w:r>
        <w:t>six lamps were switched on and shutters were fully opened, providing a total radiative power of 5.25 kW. As long as the beam stayed on, the temperature measured by outlet tube heater’s control thermocouple continued to increase and by 0h:25m the temperature exceeded its controlled set point of 1000</w:t>
      </w:r>
      <w:r>
        <w:rPr>
          <w:vertAlign w:val="superscript"/>
        </w:rPr>
        <w:t>o</w:t>
      </w:r>
      <w:r>
        <w:t xml:space="preserve">C. From </w:t>
      </w:r>
      <w:r w:rsidRPr="001F5E0B">
        <w:t>0h:35m:45s</w:t>
      </w:r>
      <w:r w:rsidRPr="001F5E0B" w:rsidDel="001F5E0B">
        <w:t xml:space="preserve"> </w:t>
      </w:r>
      <w:r>
        <w:t xml:space="preserve"> till </w:t>
      </w:r>
      <w:r w:rsidRPr="001F5E0B">
        <w:t>1h:44m:58s</w:t>
      </w:r>
      <w:r>
        <w:t xml:space="preserve">, a total of 1470 g batch was fed and melted, over a series of intermittent feeds. Initially, there were issues with reflected rays of the HFSS beam impinging on belt, causing it to overheat and therefore slip. This was resolved by constructing a heat shield and adding a fan to keep the conveyor belt batch feeder cool. At </w:t>
      </w:r>
      <w:r w:rsidRPr="00EC2F3F">
        <w:t>2h:1m:0s</w:t>
      </w:r>
      <w:r>
        <w:t>, when the T</w:t>
      </w:r>
      <w:r>
        <w:rPr>
          <w:vertAlign w:val="subscript"/>
        </w:rPr>
        <w:t>main</w:t>
      </w:r>
      <w:r>
        <w:t xml:space="preserve"> measured 1018</w:t>
      </w:r>
      <w:r>
        <w:rPr>
          <w:vertAlign w:val="superscript"/>
        </w:rPr>
        <w:t>o</w:t>
      </w:r>
      <w:r>
        <w:t>C, glass was observed flowing out into the water bucket below (</w:t>
      </w:r>
      <w:r>
        <w:fldChar w:fldCharType="begin"/>
      </w:r>
      <w:r>
        <w:instrText xml:space="preserve"> REF _Ref427841839 \h </w:instrText>
      </w:r>
      <w:r>
        <w:fldChar w:fldCharType="separate"/>
      </w:r>
      <w:r w:rsidR="00820EB1">
        <w:t xml:space="preserve">Figure </w:t>
      </w:r>
      <w:r w:rsidR="00820EB1">
        <w:rPr>
          <w:noProof/>
        </w:rPr>
        <w:t>77</w:t>
      </w:r>
      <w:r>
        <w:fldChar w:fldCharType="end"/>
      </w:r>
      <w:r>
        <w:t>). Initially (</w:t>
      </w:r>
      <w:r w:rsidRPr="00E13A07">
        <w:t>2h:1m:20s</w:t>
      </w:r>
      <w:r>
        <w:t>-</w:t>
      </w:r>
      <w:r w:rsidRPr="00E13A07">
        <w:t>2h:1m:57s</w:t>
      </w:r>
      <w:r>
        <w:t xml:space="preserve">), the glass flow emerged in irregular globs and then, from </w:t>
      </w:r>
      <w:r w:rsidRPr="00E13A07">
        <w:t>2h:1m:38s</w:t>
      </w:r>
      <w:r>
        <w:t xml:space="preserve">, it appeared as a very fluid continuous stream which continued to flow until </w:t>
      </w:r>
      <w:r w:rsidRPr="00E13A07">
        <w:t>2h:3m:43s</w:t>
      </w:r>
      <w:r>
        <w:t xml:space="preserve"> when an attempt was made to temporarily stop the outflow by switching off the outlet tube heater and cutting the stream with shears and blocking the end of the outlet tube with a metal plug</w:t>
      </w:r>
      <w:r w:rsidR="008444B4">
        <w:t>. However,</w:t>
      </w:r>
      <w:r>
        <w:t xml:space="preserve"> the stream was initially too fluid to be stopped until </w:t>
      </w:r>
      <w:r w:rsidRPr="00E13A07">
        <w:t>2h:12m:22s</w:t>
      </w:r>
      <w:r>
        <w:t xml:space="preserve"> when the stream </w:t>
      </w:r>
      <w:r w:rsidR="008444B4">
        <w:t xml:space="preserve">had </w:t>
      </w:r>
      <w:r>
        <w:t>sufficiently cooled and therefore viscous to be cut off and blocked successfully (</w:t>
      </w:r>
      <w:r>
        <w:fldChar w:fldCharType="begin"/>
      </w:r>
      <w:r>
        <w:instrText xml:space="preserve"> REF _Ref427841839 \h </w:instrText>
      </w:r>
      <w:r>
        <w:fldChar w:fldCharType="separate"/>
      </w:r>
      <w:r w:rsidR="00820EB1">
        <w:t xml:space="preserve">Figure </w:t>
      </w:r>
      <w:r w:rsidR="00820EB1">
        <w:rPr>
          <w:noProof/>
        </w:rPr>
        <w:t>77</w:t>
      </w:r>
      <w:r>
        <w:fldChar w:fldCharType="end"/>
      </w:r>
      <w:r>
        <w:t xml:space="preserve">). </w:t>
      </w:r>
    </w:p>
    <w:p w14:paraId="0FE9936E" w14:textId="3C70E16F" w:rsidR="002B759B" w:rsidRPr="00B92001" w:rsidRDefault="00AB3591" w:rsidP="00EA4BBA">
      <w:pPr>
        <w:pStyle w:val="Title"/>
      </w:pPr>
      <w:r>
        <w:lastRenderedPageBreak/>
        <w:drawing>
          <wp:inline distT="0" distB="0" distL="0" distR="0" wp14:anchorId="6A19BFA7" wp14:editId="2442EF81">
            <wp:extent cx="4933832" cy="2724150"/>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7055" t="14014" r="24153" b="18427"/>
                    <a:stretch/>
                  </pic:blipFill>
                  <pic:spPr bwMode="auto">
                    <a:xfrm>
                      <a:off x="0" y="0"/>
                      <a:ext cx="4946517" cy="2731154"/>
                    </a:xfrm>
                    <a:prstGeom prst="rect">
                      <a:avLst/>
                    </a:prstGeom>
                    <a:ln>
                      <a:noFill/>
                    </a:ln>
                    <a:extLst>
                      <a:ext uri="{53640926-AAD7-44D8-BBD7-CCE9431645EC}">
                        <a14:shadowObscured xmlns:a14="http://schemas.microsoft.com/office/drawing/2010/main"/>
                      </a:ext>
                    </a:extLst>
                  </pic:spPr>
                </pic:pic>
              </a:graphicData>
            </a:graphic>
          </wp:inline>
        </w:drawing>
      </w:r>
    </w:p>
    <w:p w14:paraId="0EC98E59" w14:textId="36EAF5F0" w:rsidR="002B759B" w:rsidRDefault="002B759B" w:rsidP="00EA4BBA">
      <w:pPr>
        <w:pStyle w:val="Caption"/>
      </w:pPr>
      <w:bookmarkStart w:id="159" w:name="_Ref427841839"/>
      <w:r>
        <w:t xml:space="preserve">Figure </w:t>
      </w:r>
      <w:r w:rsidR="00A47317">
        <w:fldChar w:fldCharType="begin"/>
      </w:r>
      <w:r w:rsidR="00A47317">
        <w:instrText xml:space="preserve"> SEQ Figure \* ARABIC </w:instrText>
      </w:r>
      <w:r w:rsidR="00A47317">
        <w:fldChar w:fldCharType="separate"/>
      </w:r>
      <w:r w:rsidR="00820EB1">
        <w:rPr>
          <w:noProof/>
        </w:rPr>
        <w:t>77</w:t>
      </w:r>
      <w:r w:rsidR="00A47317">
        <w:rPr>
          <w:noProof/>
        </w:rPr>
        <w:fldChar w:fldCharType="end"/>
      </w:r>
      <w:bookmarkEnd w:id="159"/>
      <w:r>
        <w:t>: First flow from bottom outlet during experiment D1. Time of day and corresponding times the start of experiment D1 are shown on each snapshot.</w:t>
      </w:r>
      <w:r w:rsidR="00AB3591">
        <w:t xml:space="preserve"> Scale bar based on the 38 mm inside diameter of the outlet tube heater.</w:t>
      </w:r>
    </w:p>
    <w:p w14:paraId="6566A653" w14:textId="1AE1BF5F" w:rsidR="002B759B" w:rsidRDefault="002B759B" w:rsidP="00EA4BBA">
      <w:r>
        <w:t xml:space="preserve">Since it had now been demonstrated that a controlled glass flow could be produced, a subsequent experiment was </w:t>
      </w:r>
      <w:r w:rsidR="00E81CB7">
        <w:t>run in an</w:t>
      </w:r>
      <w:r>
        <w:t xml:space="preserve"> attempt to collect the glass produced. So, at </w:t>
      </w:r>
      <w:r w:rsidRPr="002B3E69">
        <w:t>2h:9m:17s</w:t>
      </w:r>
      <w:r>
        <w:t>, the beam was switched off in order to replace the water bucket below the outlet with the collecting furnace set to 1200</w:t>
      </w:r>
      <w:r>
        <w:rPr>
          <w:vertAlign w:val="superscript"/>
        </w:rPr>
        <w:t>o</w:t>
      </w:r>
      <w:r>
        <w:t xml:space="preserve">C. The collecting furnace was seated on a weighing scale to measure the mass of any glass collected. The collecting heater contained a crucible to collect glass to demonstrate the planned indirect casting process. By </w:t>
      </w:r>
      <w:r w:rsidRPr="002B3E69">
        <w:t>2h:25m:21s</w:t>
      </w:r>
      <w:r>
        <w:t xml:space="preserve"> the collecting tube heater was setup in position to collect glass produced from the outlet and so the beam was restarted and by </w:t>
      </w:r>
      <w:r w:rsidRPr="002B3E69">
        <w:t>2h:33m:43s</w:t>
      </w:r>
      <w:r>
        <w:t xml:space="preserve"> it was at full power. At </w:t>
      </w:r>
      <w:r w:rsidRPr="002B3E69">
        <w:t>2h:32m:33s</w:t>
      </w:r>
      <w:r>
        <w:t>, an increase in mass was measured by the weighing scale below the collecting furnace as the glass flow restarted. Initially the glass appeared to be flowing into the collecting furnace fairly steadily at a rate of around 8.6 g/min (</w:t>
      </w:r>
      <w:r>
        <w:rPr>
          <w:i/>
          <w:iCs/>
        </w:rPr>
        <w:fldChar w:fldCharType="begin"/>
      </w:r>
      <w:r>
        <w:instrText xml:space="preserve"> REF _Ref451073787 \h </w:instrText>
      </w:r>
      <w:r>
        <w:rPr>
          <w:i/>
          <w:iCs/>
        </w:rPr>
      </w:r>
      <w:r>
        <w:rPr>
          <w:i/>
          <w:iCs/>
        </w:rPr>
        <w:fldChar w:fldCharType="separate"/>
      </w:r>
      <w:r w:rsidR="00820EB1">
        <w:t xml:space="preserve">Figure </w:t>
      </w:r>
      <w:r w:rsidR="00820EB1">
        <w:rPr>
          <w:noProof/>
        </w:rPr>
        <w:t>78</w:t>
      </w:r>
      <w:r>
        <w:rPr>
          <w:i/>
          <w:iCs/>
        </w:rPr>
        <w:fldChar w:fldCharType="end"/>
      </w:r>
      <w:r>
        <w:t>). At 2h:46m, while glass was still flowing through the bottom outlet into the collecting furnace, the temperature measured by the outlet tube heater control thermocouple was 1193</w:t>
      </w:r>
      <w:r>
        <w:rPr>
          <w:vertAlign w:val="superscript"/>
        </w:rPr>
        <w:t>o</w:t>
      </w:r>
      <w:r>
        <w:t>C. Around 23-25 minutes after the flow began rapid fluctuations in mass were measured (</w:t>
      </w:r>
      <w:r>
        <w:rPr>
          <w:i/>
          <w:iCs/>
        </w:rPr>
        <w:fldChar w:fldCharType="begin"/>
      </w:r>
      <w:r>
        <w:instrText xml:space="preserve"> REF _Ref451073787 \h </w:instrText>
      </w:r>
      <w:r>
        <w:rPr>
          <w:i/>
          <w:iCs/>
        </w:rPr>
      </w:r>
      <w:r>
        <w:rPr>
          <w:i/>
          <w:iCs/>
        </w:rPr>
        <w:fldChar w:fldCharType="separate"/>
      </w:r>
      <w:r w:rsidR="00820EB1">
        <w:t xml:space="preserve">Figure </w:t>
      </w:r>
      <w:r w:rsidR="00820EB1">
        <w:rPr>
          <w:noProof/>
        </w:rPr>
        <w:t>78</w:t>
      </w:r>
      <w:r>
        <w:rPr>
          <w:i/>
          <w:iCs/>
        </w:rPr>
        <w:fldChar w:fldCharType="end"/>
      </w:r>
      <w:r>
        <w:t xml:space="preserve">) so the experiment was aborted. </w:t>
      </w:r>
    </w:p>
    <w:p w14:paraId="2E07AE9F" w14:textId="77777777" w:rsidR="002B759B" w:rsidRDefault="002B759B" w:rsidP="00EA4BBA">
      <w:pPr>
        <w:pStyle w:val="Title"/>
      </w:pPr>
      <w:bookmarkStart w:id="160" w:name="_Ref425343615"/>
      <w:r w:rsidRPr="00D46C53">
        <w:lastRenderedPageBreak/>
        <w:drawing>
          <wp:inline distT="0" distB="0" distL="0" distR="0" wp14:anchorId="4815C6CB" wp14:editId="067837EF">
            <wp:extent cx="4667250" cy="2790825"/>
            <wp:effectExtent l="0" t="0" r="0" b="9525"/>
            <wp:docPr id="185" name="Picture 12">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l="12628" t="20972" r="32845" b="21021"/>
                    <a:stretch>
                      <a:fillRect/>
                    </a:stretch>
                  </pic:blipFill>
                  <pic:spPr bwMode="auto">
                    <a:xfrm>
                      <a:off x="0" y="0"/>
                      <a:ext cx="4667250" cy="2790825"/>
                    </a:xfrm>
                    <a:prstGeom prst="rect">
                      <a:avLst/>
                    </a:prstGeom>
                    <a:noFill/>
                    <a:ln>
                      <a:noFill/>
                    </a:ln>
                  </pic:spPr>
                </pic:pic>
              </a:graphicData>
            </a:graphic>
          </wp:inline>
        </w:drawing>
      </w:r>
    </w:p>
    <w:p w14:paraId="77C2D5E3" w14:textId="77777777" w:rsidR="002B759B" w:rsidRDefault="002B759B" w:rsidP="00EA4BBA">
      <w:pPr>
        <w:pStyle w:val="Caption"/>
      </w:pPr>
      <w:bookmarkStart w:id="161" w:name="_Ref451073787"/>
      <w:r>
        <w:t xml:space="preserve">Figure </w:t>
      </w:r>
      <w:r w:rsidR="00A47317">
        <w:fldChar w:fldCharType="begin"/>
      </w:r>
      <w:r w:rsidR="00A47317">
        <w:instrText xml:space="preserve"> SEQ Figure \* ARABIC </w:instrText>
      </w:r>
      <w:r w:rsidR="00A47317">
        <w:fldChar w:fldCharType="separate"/>
      </w:r>
      <w:r w:rsidR="00820EB1">
        <w:rPr>
          <w:noProof/>
        </w:rPr>
        <w:t>78</w:t>
      </w:r>
      <w:r w:rsidR="00A47317">
        <w:rPr>
          <w:noProof/>
        </w:rPr>
        <w:fldChar w:fldCharType="end"/>
      </w:r>
      <w:bookmarkEnd w:id="161"/>
      <w:r w:rsidRPr="00E03489">
        <w:t>: Mass of glass collected measured from time of first increase in mass recorded (2h:32m:33s) during experiment D1</w:t>
      </w:r>
      <w:r>
        <w:t>.</w:t>
      </w:r>
    </w:p>
    <w:bookmarkEnd w:id="160"/>
    <w:p w14:paraId="0894544A" w14:textId="3B0AB652" w:rsidR="002B759B" w:rsidRDefault="002B759B" w:rsidP="00EA4BBA">
      <w:r>
        <w:t>An insufficient mass of glass had accumulated inside the collecting furnace to demonstrate the subsequent forming process so the collecting furnace was moved out of the way and the trailing stream of glass was cleanly cut off and frozen (</w:t>
      </w:r>
      <w:r>
        <w:fldChar w:fldCharType="begin"/>
      </w:r>
      <w:r>
        <w:instrText xml:space="preserve"> REF _Ref424805680 \h </w:instrText>
      </w:r>
      <w:r>
        <w:fldChar w:fldCharType="separate"/>
      </w:r>
      <w:r w:rsidR="00820EB1">
        <w:t xml:space="preserve">Figure </w:t>
      </w:r>
      <w:r w:rsidR="00820EB1">
        <w:rPr>
          <w:noProof/>
        </w:rPr>
        <w:t>79</w:t>
      </w:r>
      <w:r>
        <w:fldChar w:fldCharType="end"/>
      </w:r>
      <w:r>
        <w:t xml:space="preserve">) to pause the flow overnight. </w:t>
      </w:r>
    </w:p>
    <w:p w14:paraId="3D7240DF" w14:textId="25014D9E" w:rsidR="002B759B" w:rsidRDefault="00E81CB7" w:rsidP="00EA4BBA">
      <w:pPr>
        <w:pStyle w:val="Title"/>
      </w:pPr>
      <w:r>
        <w:drawing>
          <wp:inline distT="0" distB="0" distL="0" distR="0" wp14:anchorId="5179F784" wp14:editId="29F15DF0">
            <wp:extent cx="3333750" cy="2222500"/>
            <wp:effectExtent l="0" t="0" r="0"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4351" t="10248" r="33913" b="16545"/>
                    <a:stretch/>
                  </pic:blipFill>
                  <pic:spPr bwMode="auto">
                    <a:xfrm>
                      <a:off x="0" y="0"/>
                      <a:ext cx="3333750" cy="2222500"/>
                    </a:xfrm>
                    <a:prstGeom prst="rect">
                      <a:avLst/>
                    </a:prstGeom>
                    <a:ln>
                      <a:noFill/>
                    </a:ln>
                    <a:extLst>
                      <a:ext uri="{53640926-AAD7-44D8-BBD7-CCE9431645EC}">
                        <a14:shadowObscured xmlns:a14="http://schemas.microsoft.com/office/drawing/2010/main"/>
                      </a:ext>
                    </a:extLst>
                  </pic:spPr>
                </pic:pic>
              </a:graphicData>
            </a:graphic>
          </wp:inline>
        </w:drawing>
      </w:r>
    </w:p>
    <w:p w14:paraId="632F885F" w14:textId="5073429A" w:rsidR="002B759B" w:rsidRDefault="002B759B" w:rsidP="00EA4BBA">
      <w:pPr>
        <w:pStyle w:val="Caption"/>
      </w:pPr>
      <w:bookmarkStart w:id="162" w:name="_Ref424805680"/>
      <w:bookmarkStart w:id="163" w:name="_Ref424805676"/>
      <w:r>
        <w:t xml:space="preserve">Figure </w:t>
      </w:r>
      <w:r w:rsidR="00A47317">
        <w:fldChar w:fldCharType="begin"/>
      </w:r>
      <w:r w:rsidR="00A47317">
        <w:instrText xml:space="preserve"> SEQ Figure \* ARABIC </w:instrText>
      </w:r>
      <w:r w:rsidR="00A47317">
        <w:fldChar w:fldCharType="separate"/>
      </w:r>
      <w:r w:rsidR="00820EB1">
        <w:rPr>
          <w:noProof/>
        </w:rPr>
        <w:t>79</w:t>
      </w:r>
      <w:r w:rsidR="00A47317">
        <w:rPr>
          <w:noProof/>
        </w:rPr>
        <w:fldChar w:fldCharType="end"/>
      </w:r>
      <w:bookmarkEnd w:id="162"/>
      <w:r>
        <w:t>: Photograph of the end of the outlet tube after successfully cutting off the fluid stream and forming a frozen glass plug while holding molten glass in the main part of the crucible above after experiment D1.</w:t>
      </w:r>
      <w:bookmarkEnd w:id="163"/>
      <w:r w:rsidR="00E81CB7">
        <w:t xml:space="preserve"> Scale bar based on the 38 mm inside diameter of the outlet tube heater.</w:t>
      </w:r>
    </w:p>
    <w:p w14:paraId="318F8ACA" w14:textId="77777777" w:rsidR="002B759B" w:rsidRPr="00665552" w:rsidRDefault="002B759B" w:rsidP="002B759B">
      <w:pPr>
        <w:pStyle w:val="Heading3"/>
        <w:keepLines w:val="0"/>
        <w:numPr>
          <w:ilvl w:val="2"/>
          <w:numId w:val="21"/>
        </w:numPr>
        <w:spacing w:before="100" w:after="100"/>
        <w:contextualSpacing w:val="0"/>
      </w:pPr>
      <w:r w:rsidRPr="00665552">
        <w:t xml:space="preserve">Experiment </w:t>
      </w:r>
      <w:r>
        <w:t>D</w:t>
      </w:r>
      <w:r w:rsidRPr="00665552">
        <w:t>2</w:t>
      </w:r>
    </w:p>
    <w:p w14:paraId="6ACC3EE6" w14:textId="043EF1B3" w:rsidR="002B759B" w:rsidRDefault="002B759B" w:rsidP="00EA4BBA">
      <w:r>
        <w:t xml:space="preserve">The aims of the next experiment (D2) were </w:t>
      </w:r>
      <w:r w:rsidR="00E81CB7">
        <w:t>to</w:t>
      </w:r>
      <w:r>
        <w:t>:</w:t>
      </w:r>
    </w:p>
    <w:p w14:paraId="3895DD64" w14:textId="1BE3628E" w:rsidR="002B759B" w:rsidRDefault="00E81CB7" w:rsidP="002B759B">
      <w:pPr>
        <w:pStyle w:val="ListParagraph"/>
        <w:numPr>
          <w:ilvl w:val="0"/>
          <w:numId w:val="20"/>
        </w:numPr>
        <w:spacing w:before="100" w:after="100"/>
      </w:pPr>
      <w:r>
        <w:t>D</w:t>
      </w:r>
      <w:r w:rsidR="002B759B">
        <w:t xml:space="preserve">emonstrate restarting the melting process in the morning after holding overnight to simulate realistic operation working around typical solar energy availability time constraints; </w:t>
      </w:r>
    </w:p>
    <w:p w14:paraId="685B0517" w14:textId="74A87E1C" w:rsidR="002B759B" w:rsidRDefault="002B759B" w:rsidP="002B759B">
      <w:pPr>
        <w:pStyle w:val="ListParagraph"/>
        <w:numPr>
          <w:ilvl w:val="0"/>
          <w:numId w:val="20"/>
        </w:numPr>
        <w:spacing w:before="100" w:after="100"/>
      </w:pPr>
      <w:r>
        <w:lastRenderedPageBreak/>
        <w:t xml:space="preserve">Accumulate </w:t>
      </w:r>
      <w:r w:rsidR="00E81CB7">
        <w:t xml:space="preserve">sufficient </w:t>
      </w:r>
      <w:r>
        <w:t>glass in the collecting furnace to demonstrate a casting process;</w:t>
      </w:r>
    </w:p>
    <w:p w14:paraId="06DF334D" w14:textId="77777777" w:rsidR="002B759B" w:rsidRDefault="002B759B" w:rsidP="002B759B">
      <w:pPr>
        <w:pStyle w:val="ListParagraph"/>
        <w:numPr>
          <w:ilvl w:val="0"/>
          <w:numId w:val="20"/>
        </w:numPr>
        <w:spacing w:before="100" w:after="100"/>
      </w:pPr>
      <w:r>
        <w:t xml:space="preserve">Produce a more consistent outflow of glass by holding the glass inside the melting chamber under the full power of the beam for a longer period to homogenise and remove bubbles. </w:t>
      </w:r>
    </w:p>
    <w:p w14:paraId="3BBFD2AF" w14:textId="77777777" w:rsidR="002B759B" w:rsidRDefault="002B759B" w:rsidP="00EA4BBA">
      <w:r>
        <w:t>During the previous experiment (D1), it was realised that the temperature of the outlet tube soon exceeded the controlled setpoint temperature of the outlet tube heater, limiting the maximum time which the glass could be held inside the main part of the crucible before flowing out. Therefore, it was decided to hold the metal plug in the end of the outlet tube in order to dissipate excess heat and block the glass from prematurely flowing out. Accordingly, the metal plug was held in by attaching it to a rod seated on a refractory insulation brick on the collecting furnace below (</w:t>
      </w:r>
      <w:r>
        <w:fldChar w:fldCharType="begin"/>
      </w:r>
      <w:r>
        <w:instrText xml:space="preserve"> REF _Ref427857590 \h </w:instrText>
      </w:r>
      <w:r>
        <w:fldChar w:fldCharType="separate"/>
      </w:r>
      <w:r w:rsidR="00820EB1">
        <w:t xml:space="preserve">Figure </w:t>
      </w:r>
      <w:r w:rsidR="00820EB1">
        <w:rPr>
          <w:noProof/>
        </w:rPr>
        <w:t>80</w:t>
      </w:r>
      <w:r>
        <w:fldChar w:fldCharType="end"/>
      </w:r>
      <w:r>
        <w:t>). The rod was connected to the outlet plug via a spring mechanism aiming to provide just enough force to hold it in place and allowing it to be removed manually without breaking the fragile outlet tube.</w:t>
      </w:r>
    </w:p>
    <w:p w14:paraId="490268E1" w14:textId="7EFAE27E" w:rsidR="002B759B" w:rsidRDefault="005218AD" w:rsidP="00EA4BBA">
      <w:r>
        <w:rPr>
          <w:noProof/>
        </w:rPr>
        <w:drawing>
          <wp:inline distT="0" distB="0" distL="0" distR="0" wp14:anchorId="5962092C" wp14:editId="0EE0C71A">
            <wp:extent cx="5202105" cy="36385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3053" t="7844" r="24153" b="14035"/>
                    <a:stretch/>
                  </pic:blipFill>
                  <pic:spPr bwMode="auto">
                    <a:xfrm>
                      <a:off x="0" y="0"/>
                      <a:ext cx="5211640" cy="3645219"/>
                    </a:xfrm>
                    <a:prstGeom prst="rect">
                      <a:avLst/>
                    </a:prstGeom>
                    <a:ln>
                      <a:noFill/>
                    </a:ln>
                    <a:extLst>
                      <a:ext uri="{53640926-AAD7-44D8-BBD7-CCE9431645EC}">
                        <a14:shadowObscured xmlns:a14="http://schemas.microsoft.com/office/drawing/2010/main"/>
                      </a:ext>
                    </a:extLst>
                  </pic:spPr>
                </pic:pic>
              </a:graphicData>
            </a:graphic>
          </wp:inline>
        </w:drawing>
      </w:r>
    </w:p>
    <w:p w14:paraId="7C7E4964" w14:textId="6042F7DA" w:rsidR="002B759B" w:rsidRDefault="002B759B" w:rsidP="00EA4BBA">
      <w:pPr>
        <w:pStyle w:val="Caption"/>
      </w:pPr>
      <w:bookmarkStart w:id="164" w:name="_Ref427857590"/>
      <w:r>
        <w:t xml:space="preserve">Figure </w:t>
      </w:r>
      <w:r w:rsidR="00A47317">
        <w:fldChar w:fldCharType="begin"/>
      </w:r>
      <w:r w:rsidR="00A47317">
        <w:instrText xml:space="preserve"> SEQ Figure \* ARABIC </w:instrText>
      </w:r>
      <w:r w:rsidR="00A47317">
        <w:fldChar w:fldCharType="separate"/>
      </w:r>
      <w:r w:rsidR="00820EB1">
        <w:rPr>
          <w:noProof/>
        </w:rPr>
        <w:t>80</w:t>
      </w:r>
      <w:r w:rsidR="00A47317">
        <w:rPr>
          <w:noProof/>
        </w:rPr>
        <w:fldChar w:fldCharType="end"/>
      </w:r>
      <w:bookmarkEnd w:id="164"/>
      <w:r>
        <w:t xml:space="preserve">: Experiment D2 setup. a) Collecting tube furnace on weighing scale positioned below glass outlet port (temporarily closed with metal plug) to collect glass to be produced; b) Glass outlet port temporarily closed by metal plug. </w:t>
      </w:r>
      <w:r w:rsidR="005218AD">
        <w:t>Scale bars (green lines) based on the 38 mm inside diameter of the outlet tube heater.</w:t>
      </w:r>
    </w:p>
    <w:p w14:paraId="13D27060" w14:textId="19A6CC35" w:rsidR="002B759B" w:rsidRDefault="002B759B" w:rsidP="00EA4BBA">
      <w:r>
        <w:t>With this setup, the main furnace temperature (T</w:t>
      </w:r>
      <w:r>
        <w:softHyphen/>
      </w:r>
      <w:r>
        <w:softHyphen/>
      </w:r>
      <w:r>
        <w:softHyphen/>
      </w:r>
      <w:r>
        <w:softHyphen/>
      </w:r>
      <w:r>
        <w:rPr>
          <w:vertAlign w:val="subscript"/>
        </w:rPr>
        <w:t>main</w:t>
      </w:r>
      <w:r>
        <w:t>)</w:t>
      </w:r>
      <w:r>
        <w:rPr>
          <w:vertAlign w:val="subscript"/>
        </w:rPr>
        <w:t xml:space="preserve"> </w:t>
      </w:r>
      <w:r>
        <w:t>and the outlet tube heater were set to 1042</w:t>
      </w:r>
      <w:r>
        <w:rPr>
          <w:vertAlign w:val="superscript"/>
        </w:rPr>
        <w:t>o</w:t>
      </w:r>
      <w:r>
        <w:t>C and 800</w:t>
      </w:r>
      <w:r>
        <w:rPr>
          <w:vertAlign w:val="superscript"/>
        </w:rPr>
        <w:t>o</w:t>
      </w:r>
      <w:r>
        <w:t>C the night before the start of experiment D2. Then, after removing the beam inlet roof plug and allowing T</w:t>
      </w:r>
      <w:r>
        <w:softHyphen/>
      </w:r>
      <w:r>
        <w:softHyphen/>
      </w:r>
      <w:r>
        <w:softHyphen/>
      </w:r>
      <w:r>
        <w:softHyphen/>
      </w:r>
      <w:r>
        <w:rPr>
          <w:vertAlign w:val="subscript"/>
        </w:rPr>
        <w:t>main</w:t>
      </w:r>
      <w:r w:rsidDel="005A1863">
        <w:t xml:space="preserve"> </w:t>
      </w:r>
      <w:r>
        <w:t>to recover back to 1042</w:t>
      </w:r>
      <w:r>
        <w:rPr>
          <w:vertAlign w:val="superscript"/>
        </w:rPr>
        <w:t>o</w:t>
      </w:r>
      <w:r>
        <w:t xml:space="preserve">C, experiment D2 began with the beam was restarted (0h:0m:0s) at full power. Then the main furnace gradually heated up beyond its </w:t>
      </w:r>
      <w:r>
        <w:lastRenderedPageBreak/>
        <w:t>controlled set point, but this time the outlet heater was successfully maintained at its control setpoint of 800</w:t>
      </w:r>
      <w:r>
        <w:rPr>
          <w:vertAlign w:val="superscript"/>
        </w:rPr>
        <w:t>o</w:t>
      </w:r>
      <w:r>
        <w:t xml:space="preserve">C with the help of the metal outlet plug dissipating excess heat. Then the beam was temporarily switched off and restarted to demonstrate operation during simulated periods of temporary cloud cover. From </w:t>
      </w:r>
      <w:r w:rsidRPr="002B0F3B">
        <w:t>2h:40m:8s</w:t>
      </w:r>
      <w:r>
        <w:t xml:space="preserve"> to </w:t>
      </w:r>
      <w:r w:rsidRPr="002B0F3B">
        <w:t>5h:15m:48s</w:t>
      </w:r>
      <w:r>
        <w:t xml:space="preserve"> a uninterrupted series of batch feeds were conducted, averaging around 300</w:t>
      </w:r>
      <w:r w:rsidR="00507C90">
        <w:t xml:space="preserve"> </w:t>
      </w:r>
      <w:r>
        <w:t>g of batch per feed and requiring around 15 minutes each to melt and recover glass temperature (</w:t>
      </w:r>
      <w:r>
        <w:fldChar w:fldCharType="begin"/>
      </w:r>
      <w:r>
        <w:instrText xml:space="preserve"> REF _Ref428186977 \h </w:instrText>
      </w:r>
      <w:r>
        <w:fldChar w:fldCharType="separate"/>
      </w:r>
      <w:r w:rsidR="00820EB1">
        <w:t xml:space="preserve">Figure </w:t>
      </w:r>
      <w:r w:rsidR="00820EB1">
        <w:rPr>
          <w:noProof/>
        </w:rPr>
        <w:t>81</w:t>
      </w:r>
      <w:r>
        <w:fldChar w:fldCharType="end"/>
      </w:r>
      <w:r>
        <w:t xml:space="preserve">). By </w:t>
      </w:r>
      <w:r w:rsidRPr="002B0F3B">
        <w:t>5h:15m:48s</w:t>
      </w:r>
      <w:r>
        <w:t xml:space="preserve"> it was considered the repeatability o</w:t>
      </w:r>
      <w:r w:rsidR="00507C90">
        <w:t>f</w:t>
      </w:r>
      <w:r>
        <w:t xml:space="preserve"> the process had been demonstrated so batch feeding was finished to allow sufficient time for the subsequent </w:t>
      </w:r>
      <w:r w:rsidR="00EB5F44">
        <w:t>fining</w:t>
      </w:r>
      <w:r>
        <w:t xml:space="preserve"> and forming processes to be completed within daylight hours to simulate realistic solar operation. So, from </w:t>
      </w:r>
      <w:r w:rsidRPr="00844736">
        <w:t>5h:15m:48s</w:t>
      </w:r>
      <w:r>
        <w:t xml:space="preserve"> the glass was held in the main chamber with the beam maintained on full power without any new batch being added to demonstrate a fining process until </w:t>
      </w:r>
      <w:r w:rsidRPr="00844736">
        <w:t xml:space="preserve">6h:32m:5s </w:t>
      </w:r>
      <w:r>
        <w:t>(</w:t>
      </w:r>
      <w:r>
        <w:fldChar w:fldCharType="begin"/>
      </w:r>
      <w:r>
        <w:instrText xml:space="preserve"> REF _Ref428186977 \h </w:instrText>
      </w:r>
      <w:r>
        <w:fldChar w:fldCharType="separate"/>
      </w:r>
      <w:r w:rsidR="00820EB1">
        <w:t xml:space="preserve">Figure </w:t>
      </w:r>
      <w:r w:rsidR="00820EB1">
        <w:rPr>
          <w:noProof/>
        </w:rPr>
        <w:t>81</w:t>
      </w:r>
      <w:r>
        <w:fldChar w:fldCharType="end"/>
      </w:r>
      <w:r>
        <w:t>). During the entire experiment from the moment the beam was switched on until the end of the fining period the outlet was successfully controlled to maintain a sufficiently low temperature to prevent premature outflow of glass, staying within 10</w:t>
      </w:r>
      <w:r>
        <w:rPr>
          <w:vertAlign w:val="superscript"/>
        </w:rPr>
        <w:t>o</w:t>
      </w:r>
      <w:r>
        <w:t>C of its controlled setpoint of 800</w:t>
      </w:r>
      <w:r>
        <w:rPr>
          <w:vertAlign w:val="superscript"/>
        </w:rPr>
        <w:t>o</w:t>
      </w:r>
      <w:r>
        <w:t>C.</w:t>
      </w:r>
    </w:p>
    <w:p w14:paraId="0B2DCDD9" w14:textId="77777777" w:rsidR="002B759B" w:rsidRDefault="002B759B" w:rsidP="00EA4BBA">
      <w:pPr>
        <w:pStyle w:val="Title"/>
      </w:pPr>
      <w:r w:rsidRPr="00D46C53">
        <w:drawing>
          <wp:inline distT="0" distB="0" distL="0" distR="0" wp14:anchorId="2DA50772" wp14:editId="2F1B7ADB">
            <wp:extent cx="4876800" cy="2371725"/>
            <wp:effectExtent l="0" t="0" r="0" b="9525"/>
            <wp:docPr id="180"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6800" cy="2371725"/>
                    </a:xfrm>
                    <a:prstGeom prst="rect">
                      <a:avLst/>
                    </a:prstGeom>
                    <a:noFill/>
                    <a:ln>
                      <a:noFill/>
                    </a:ln>
                  </pic:spPr>
                </pic:pic>
              </a:graphicData>
            </a:graphic>
          </wp:inline>
        </w:drawing>
      </w:r>
    </w:p>
    <w:p w14:paraId="773EAF6E" w14:textId="2EF4DDBA" w:rsidR="002B759B" w:rsidRDefault="002B759B" w:rsidP="00EA4BBA">
      <w:pPr>
        <w:pStyle w:val="Caption"/>
      </w:pPr>
      <w:bookmarkStart w:id="165" w:name="_Ref428186977"/>
      <w:r>
        <w:t xml:space="preserve">Figure </w:t>
      </w:r>
      <w:r w:rsidR="00A47317">
        <w:fldChar w:fldCharType="begin"/>
      </w:r>
      <w:r w:rsidR="00A47317">
        <w:instrText xml:space="preserve"> SEQ Figure \* ARABIC </w:instrText>
      </w:r>
      <w:r w:rsidR="00A47317">
        <w:fldChar w:fldCharType="separate"/>
      </w:r>
      <w:r w:rsidR="00820EB1">
        <w:rPr>
          <w:noProof/>
        </w:rPr>
        <w:t>81</w:t>
      </w:r>
      <w:r w:rsidR="00A47317">
        <w:rPr>
          <w:noProof/>
        </w:rPr>
        <w:fldChar w:fldCharType="end"/>
      </w:r>
      <w:bookmarkEnd w:id="165"/>
      <w:r>
        <w:t xml:space="preserve">: Temperatures, radiative beam power and mass of batch fed during melting and </w:t>
      </w:r>
      <w:r w:rsidR="00EB5F44">
        <w:t>fining</w:t>
      </w:r>
      <w:r>
        <w:t xml:space="preserve"> period of experiment D2.</w:t>
      </w:r>
    </w:p>
    <w:p w14:paraId="3ADD189B" w14:textId="02EB058F" w:rsidR="002B759B" w:rsidRPr="00F52EC2" w:rsidRDefault="002B759B" w:rsidP="005218AD">
      <w:pPr>
        <w:rPr>
          <w:vertAlign w:val="superscript"/>
        </w:rPr>
      </w:pPr>
      <w:r>
        <w:t>T</w:t>
      </w:r>
      <w:r>
        <w:rPr>
          <w:vertAlign w:val="subscript"/>
        </w:rPr>
        <w:t>main</w:t>
      </w:r>
      <w:r>
        <w:t xml:space="preserve"> was set to </w:t>
      </w:r>
      <w:r w:rsidRPr="0030484C">
        <w:t>1100</w:t>
      </w:r>
      <w:r w:rsidR="005218AD">
        <w:rPr>
          <w:rFonts w:cs="Times New Roman"/>
          <w:vertAlign w:val="superscript"/>
        </w:rPr>
        <w:t>°</w:t>
      </w:r>
      <w:r w:rsidRPr="0030484C">
        <w:t>C</w:t>
      </w:r>
      <w:r>
        <w:t xml:space="preserve"> at </w:t>
      </w:r>
      <w:r w:rsidRPr="00A533C0">
        <w:t>6h:22m:1s</w:t>
      </w:r>
      <w:r>
        <w:t xml:space="preserve"> so when the beam was switched off the SiC electrical resistance heating elements would maintain the melt at a sufficient temperature for the forming process to proceed. At </w:t>
      </w:r>
      <w:r w:rsidRPr="00A533C0">
        <w:t>6h:32m:6s</w:t>
      </w:r>
      <w:r>
        <w:t xml:space="preserve"> the beam was turned off in order to enter the experimental room to demonstrate the forming process. Immediately after switching the beam off, the roof plug which covers the beam inlet aperture was put in place to reduce heat losses. Then the metal outlet plug was removed from beneath the glass outlet tube and the collecting tube furnace below was raised up closer to the glass outlet to allow the glass melt to flow out of the main chamber into the collecting furnace below and the outlet tube heaters set point was increased to around 1150</w:t>
      </w:r>
      <w:r>
        <w:softHyphen/>
      </w:r>
      <w:r>
        <w:rPr>
          <w:vertAlign w:val="superscript"/>
        </w:rPr>
        <w:t>o</w:t>
      </w:r>
      <w:r>
        <w:t xml:space="preserve">C. Then at </w:t>
      </w:r>
      <w:r w:rsidRPr="008827D7">
        <w:t>6h:44m:14s</w:t>
      </w:r>
      <w:r>
        <w:t xml:space="preserve"> an increase in mass was recorded by the collecting furnace mass balance. </w:t>
      </w:r>
      <w:r>
        <w:lastRenderedPageBreak/>
        <w:t>Accordingly, a glass stream was observed flowing out of the outlet tube and into the collecting furnace (</w:t>
      </w:r>
      <w:r>
        <w:fldChar w:fldCharType="begin"/>
      </w:r>
      <w:r>
        <w:instrText xml:space="preserve"> REF _Ref425332939 \h </w:instrText>
      </w:r>
      <w:r>
        <w:fldChar w:fldCharType="separate"/>
      </w:r>
      <w:r w:rsidR="00820EB1">
        <w:t xml:space="preserve">Figure </w:t>
      </w:r>
      <w:r w:rsidR="00820EB1">
        <w:rPr>
          <w:noProof/>
        </w:rPr>
        <w:t>82</w:t>
      </w:r>
      <w:r>
        <w:fldChar w:fldCharType="end"/>
      </w:r>
      <w:r>
        <w:t xml:space="preserve">). </w:t>
      </w:r>
    </w:p>
    <w:p w14:paraId="4F05BFB5" w14:textId="0D410263" w:rsidR="002B759B" w:rsidRDefault="005218AD" w:rsidP="00EA4BBA">
      <w:pPr>
        <w:pStyle w:val="Title"/>
      </w:pPr>
      <w:r>
        <w:drawing>
          <wp:inline distT="0" distB="0" distL="0" distR="0" wp14:anchorId="68B9FAD6" wp14:editId="5D33CA4C">
            <wp:extent cx="4594719" cy="2361538"/>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798" t="17548" r="23860" b="15404"/>
                    <a:stretch/>
                  </pic:blipFill>
                  <pic:spPr bwMode="auto">
                    <a:xfrm>
                      <a:off x="0" y="0"/>
                      <a:ext cx="4611528" cy="2370177"/>
                    </a:xfrm>
                    <a:prstGeom prst="rect">
                      <a:avLst/>
                    </a:prstGeom>
                    <a:ln>
                      <a:noFill/>
                    </a:ln>
                    <a:extLst>
                      <a:ext uri="{53640926-AAD7-44D8-BBD7-CCE9431645EC}">
                        <a14:shadowObscured xmlns:a14="http://schemas.microsoft.com/office/drawing/2010/main"/>
                      </a:ext>
                    </a:extLst>
                  </pic:spPr>
                </pic:pic>
              </a:graphicData>
            </a:graphic>
          </wp:inline>
        </w:drawing>
      </w:r>
    </w:p>
    <w:p w14:paraId="2A9874F2" w14:textId="77777777" w:rsidR="002B759B" w:rsidRDefault="002B759B" w:rsidP="00EA4BBA">
      <w:pPr>
        <w:pStyle w:val="Caption"/>
      </w:pPr>
      <w:bookmarkStart w:id="166" w:name="_Ref425332939"/>
      <w:r>
        <w:t xml:space="preserve">Figure </w:t>
      </w:r>
      <w:r w:rsidR="00A47317">
        <w:fldChar w:fldCharType="begin"/>
      </w:r>
      <w:r w:rsidR="00A47317">
        <w:instrText xml:space="preserve"> SEQ Figure \* ARABIC </w:instrText>
      </w:r>
      <w:r w:rsidR="00A47317">
        <w:fldChar w:fldCharType="separate"/>
      </w:r>
      <w:r w:rsidR="00820EB1">
        <w:rPr>
          <w:noProof/>
        </w:rPr>
        <w:t>82</w:t>
      </w:r>
      <w:r w:rsidR="00A47317">
        <w:rPr>
          <w:noProof/>
        </w:rPr>
        <w:fldChar w:fldCharType="end"/>
      </w:r>
      <w:bookmarkEnd w:id="166"/>
      <w:r>
        <w:t>: Glass flowing from main furnace outlet into collecting furnace during experiment D2.</w:t>
      </w:r>
    </w:p>
    <w:p w14:paraId="35CB3ADC" w14:textId="3AD8BFE4" w:rsidR="002B759B" w:rsidRDefault="002B759B" w:rsidP="00EA4BBA">
      <w:r>
        <w:t xml:space="preserve">After an initial unsteady period of around 40 seconds, the rate of mass collected in the collecting furnace became almost perfectly constant with a linear trend line of 2.06 </w:t>
      </w:r>
      <w:r w:rsidR="00570141">
        <w:t>g/s</w:t>
      </w:r>
      <w:r>
        <w:t xml:space="preserve"> giving a close fit (</w:t>
      </w:r>
      <w:r>
        <w:fldChar w:fldCharType="begin"/>
      </w:r>
      <w:r>
        <w:instrText xml:space="preserve"> REF _Ref425708025 \h </w:instrText>
      </w:r>
      <w:r>
        <w:fldChar w:fldCharType="separate"/>
      </w:r>
      <w:r w:rsidR="00820EB1">
        <w:t xml:space="preserve">Figure </w:t>
      </w:r>
      <w:r w:rsidR="00820EB1">
        <w:rPr>
          <w:noProof/>
        </w:rPr>
        <w:t>83</w:t>
      </w:r>
      <w:r>
        <w:fldChar w:fldCharType="end"/>
      </w:r>
      <w:r>
        <w:t>).</w:t>
      </w:r>
    </w:p>
    <w:p w14:paraId="509DE6AF" w14:textId="77777777" w:rsidR="002B759B" w:rsidRDefault="002B759B" w:rsidP="00EA4BBA">
      <w:pPr>
        <w:pStyle w:val="Title"/>
      </w:pPr>
      <w:r w:rsidRPr="00D46C53">
        <w:drawing>
          <wp:inline distT="0" distB="0" distL="0" distR="0" wp14:anchorId="232EE87E" wp14:editId="5999FFB7">
            <wp:extent cx="5791200" cy="3162300"/>
            <wp:effectExtent l="0" t="0" r="0" b="0"/>
            <wp:docPr id="177" name="Picture 268">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1200" cy="3162300"/>
                    </a:xfrm>
                    <a:prstGeom prst="rect">
                      <a:avLst/>
                    </a:prstGeom>
                    <a:noFill/>
                    <a:ln>
                      <a:noFill/>
                    </a:ln>
                  </pic:spPr>
                </pic:pic>
              </a:graphicData>
            </a:graphic>
          </wp:inline>
        </w:drawing>
      </w:r>
    </w:p>
    <w:p w14:paraId="54A79C78" w14:textId="77777777" w:rsidR="002B759B" w:rsidRDefault="002B759B" w:rsidP="00EA4BBA">
      <w:pPr>
        <w:pStyle w:val="Caption"/>
      </w:pPr>
      <w:bookmarkStart w:id="167" w:name="_Ref425708025"/>
      <w:r>
        <w:t xml:space="preserve">Figure </w:t>
      </w:r>
      <w:r w:rsidR="00A47317">
        <w:fldChar w:fldCharType="begin"/>
      </w:r>
      <w:r w:rsidR="00A47317">
        <w:instrText xml:space="preserve"> SEQ Figure \* ARABIC </w:instrText>
      </w:r>
      <w:r w:rsidR="00A47317">
        <w:fldChar w:fldCharType="separate"/>
      </w:r>
      <w:r w:rsidR="00820EB1">
        <w:rPr>
          <w:noProof/>
        </w:rPr>
        <w:t>83</w:t>
      </w:r>
      <w:r w:rsidR="00A47317">
        <w:rPr>
          <w:noProof/>
        </w:rPr>
        <w:fldChar w:fldCharType="end"/>
      </w:r>
      <w:bookmarkEnd w:id="167"/>
      <w:r>
        <w:t>: Mass of glass collected in collecting furnace during experiment D2 from the moment (</w:t>
      </w:r>
      <w:r w:rsidRPr="00A85144">
        <w:t>6h:44m:14s</w:t>
      </w:r>
      <w:r>
        <w:t>) the first change of mass was recorded.</w:t>
      </w:r>
    </w:p>
    <w:p w14:paraId="3D2A79B7" w14:textId="77777777" w:rsidR="002B759B" w:rsidRDefault="002B759B" w:rsidP="00EA4BBA">
      <w:r>
        <w:t xml:space="preserve">Once the crucible inside the collecting furnace was filled with glass, the collecting furnace was moved out of the way and then an attempt was made to cut off the trailing stream of glass. However the glass flow was too hot and fluid to be cut off and so continued to flow out regardless </w:t>
      </w:r>
      <w:r>
        <w:lastRenderedPageBreak/>
        <w:t>(</w:t>
      </w:r>
      <w:r>
        <w:fldChar w:fldCharType="begin"/>
      </w:r>
      <w:r>
        <w:instrText xml:space="preserve"> REF _Ref428198606 \h </w:instrText>
      </w:r>
      <w:r>
        <w:fldChar w:fldCharType="separate"/>
      </w:r>
      <w:r w:rsidR="00820EB1">
        <w:t xml:space="preserve">Figure </w:t>
      </w:r>
      <w:r w:rsidR="00820EB1">
        <w:rPr>
          <w:noProof/>
        </w:rPr>
        <w:t>84</w:t>
      </w:r>
      <w:r>
        <w:fldChar w:fldCharType="end"/>
      </w:r>
      <w:r>
        <w:t>) and the crucible in the collecting furnace was accidentally overfilled with glass (</w:t>
      </w:r>
      <w:r>
        <w:fldChar w:fldCharType="begin"/>
      </w:r>
      <w:r>
        <w:instrText xml:space="preserve"> REF _Ref428198823 \h </w:instrText>
      </w:r>
      <w:r>
        <w:fldChar w:fldCharType="separate"/>
      </w:r>
      <w:r w:rsidR="00820EB1">
        <w:t xml:space="preserve">Figure </w:t>
      </w:r>
      <w:r w:rsidR="00820EB1">
        <w:rPr>
          <w:noProof/>
        </w:rPr>
        <w:t>85</w:t>
      </w:r>
      <w:r>
        <w:fldChar w:fldCharType="end"/>
      </w:r>
      <w:r>
        <w:t xml:space="preserve">). </w:t>
      </w:r>
    </w:p>
    <w:p w14:paraId="218C3E52" w14:textId="77777777" w:rsidR="002B759B" w:rsidRDefault="002B759B" w:rsidP="00EA4BBA">
      <w:pPr>
        <w:pStyle w:val="Title"/>
      </w:pPr>
      <w:r w:rsidRPr="008D5592">
        <w:t xml:space="preserve"> </w:t>
      </w:r>
      <w:r w:rsidRPr="00D46C53">
        <w:drawing>
          <wp:inline distT="0" distB="0" distL="0" distR="0" wp14:anchorId="03F3F670" wp14:editId="4141C9D4">
            <wp:extent cx="5076825" cy="4257675"/>
            <wp:effectExtent l="0" t="0" r="9525" b="9525"/>
            <wp:docPr id="176"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00">
                      <a:extLst>
                        <a:ext uri="{28A0092B-C50C-407E-A947-70E740481C1C}">
                          <a14:useLocalDpi xmlns:a14="http://schemas.microsoft.com/office/drawing/2010/main" val="0"/>
                        </a:ext>
                      </a:extLst>
                    </a:blip>
                    <a:srcRect l="19797" t="8475" r="25999" b="10625"/>
                    <a:stretch>
                      <a:fillRect/>
                    </a:stretch>
                  </pic:blipFill>
                  <pic:spPr bwMode="auto">
                    <a:xfrm>
                      <a:off x="0" y="0"/>
                      <a:ext cx="5076825" cy="4257675"/>
                    </a:xfrm>
                    <a:prstGeom prst="rect">
                      <a:avLst/>
                    </a:prstGeom>
                    <a:noFill/>
                    <a:ln>
                      <a:noFill/>
                    </a:ln>
                  </pic:spPr>
                </pic:pic>
              </a:graphicData>
            </a:graphic>
          </wp:inline>
        </w:drawing>
      </w:r>
    </w:p>
    <w:p w14:paraId="1C3F854A" w14:textId="77777777" w:rsidR="002B759B" w:rsidRPr="00AC7778" w:rsidRDefault="002B759B" w:rsidP="00EA4BBA">
      <w:pPr>
        <w:pStyle w:val="Caption"/>
      </w:pPr>
      <w:bookmarkStart w:id="168" w:name="_Ref428198606"/>
      <w:r>
        <w:t xml:space="preserve">Figure </w:t>
      </w:r>
      <w:r w:rsidR="00A47317">
        <w:fldChar w:fldCharType="begin"/>
      </w:r>
      <w:r w:rsidR="00A47317">
        <w:instrText xml:space="preserve"> SEQ Figure \* ARABIC </w:instrText>
      </w:r>
      <w:r w:rsidR="00A47317">
        <w:fldChar w:fldCharType="separate"/>
      </w:r>
      <w:r w:rsidR="00820EB1">
        <w:rPr>
          <w:noProof/>
        </w:rPr>
        <w:t>84</w:t>
      </w:r>
      <w:r w:rsidR="00A47317">
        <w:rPr>
          <w:noProof/>
        </w:rPr>
        <w:fldChar w:fldCharType="end"/>
      </w:r>
      <w:bookmarkEnd w:id="168"/>
      <w:r>
        <w:t>: Video snapshots of bottom outlet during failed attempt to cut off fluid glass stream during experiment D2.</w:t>
      </w:r>
    </w:p>
    <w:p w14:paraId="4BE935E2" w14:textId="28466678" w:rsidR="002B759B" w:rsidRDefault="00570141" w:rsidP="00EA4BBA">
      <w:pPr>
        <w:pStyle w:val="Title"/>
      </w:pPr>
      <w:r>
        <w:lastRenderedPageBreak/>
        <w:drawing>
          <wp:inline distT="0" distB="0" distL="0" distR="0" wp14:anchorId="108110C5" wp14:editId="568CCD76">
            <wp:extent cx="3712743" cy="2870420"/>
            <wp:effectExtent l="0" t="0" r="254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0308" t="12054" r="39187" b="18494"/>
                    <a:stretch/>
                  </pic:blipFill>
                  <pic:spPr bwMode="auto">
                    <a:xfrm>
                      <a:off x="0" y="0"/>
                      <a:ext cx="3726449" cy="2881016"/>
                    </a:xfrm>
                    <a:prstGeom prst="rect">
                      <a:avLst/>
                    </a:prstGeom>
                    <a:ln>
                      <a:noFill/>
                    </a:ln>
                    <a:extLst>
                      <a:ext uri="{53640926-AAD7-44D8-BBD7-CCE9431645EC}">
                        <a14:shadowObscured xmlns:a14="http://schemas.microsoft.com/office/drawing/2010/main"/>
                      </a:ext>
                    </a:extLst>
                  </pic:spPr>
                </pic:pic>
              </a:graphicData>
            </a:graphic>
          </wp:inline>
        </w:drawing>
      </w:r>
    </w:p>
    <w:p w14:paraId="4CC4FC50" w14:textId="651B0895" w:rsidR="002B759B" w:rsidRDefault="002B759B" w:rsidP="00EA4BBA">
      <w:pPr>
        <w:pStyle w:val="Caption"/>
      </w:pPr>
      <w:bookmarkStart w:id="169" w:name="_Ref428198823"/>
      <w:r>
        <w:t xml:space="preserve">Figure </w:t>
      </w:r>
      <w:r w:rsidR="00A47317">
        <w:fldChar w:fldCharType="begin"/>
      </w:r>
      <w:r w:rsidR="00A47317">
        <w:instrText xml:space="preserve"> SEQ Figure \* ARABIC </w:instrText>
      </w:r>
      <w:r w:rsidR="00A47317">
        <w:fldChar w:fldCharType="separate"/>
      </w:r>
      <w:r w:rsidR="00820EB1">
        <w:rPr>
          <w:noProof/>
        </w:rPr>
        <w:t>85</w:t>
      </w:r>
      <w:r w:rsidR="00A47317">
        <w:rPr>
          <w:noProof/>
        </w:rPr>
        <w:fldChar w:fldCharType="end"/>
      </w:r>
      <w:bookmarkEnd w:id="169"/>
      <w:r>
        <w:t>: Photograph of over-filled crucible inside collecting furnace from experiment D2.</w:t>
      </w:r>
      <w:r w:rsidR="00570141">
        <w:t xml:space="preserve"> Scale bar based on the 8 cm inside diameter of the collecting furnace.</w:t>
      </w:r>
    </w:p>
    <w:p w14:paraId="3C106167" w14:textId="54AA26A3" w:rsidR="002B759B" w:rsidRDefault="002B759B" w:rsidP="00EA4BBA">
      <w:r>
        <w:t>Also, while attempting to cut off the glass stream from the bottom outlet of the main furnace, the electrical power supply to the collecting furnace was unexpectedly lost as a fuse was blown causing the glass contained to cool down. Subsequently, the power supply to the collecting furnace restored and once the furnace temperature recovered to 1200</w:t>
      </w:r>
      <w:r>
        <w:rPr>
          <w:vertAlign w:val="superscript"/>
        </w:rPr>
        <w:t>o</w:t>
      </w:r>
      <w:r>
        <w:t xml:space="preserve">C an attempt was made to pour the glass contained inside the crucible into a mould to demonstrate the casting process.  Although the glass initially, flowed out the crucible it solidified before it could fill the shape of the mould. It appeared the glass was not sufficiently hot to flow because it overfilled the crucible so the top section was outside the hottest section of the furnace below and when the crucible was lifted out the tongs gripping the inside of the crucible were immersed in the top part of the melt causing the heat stored in the glass melt to </w:t>
      </w:r>
      <w:r w:rsidR="00570141">
        <w:t xml:space="preserve">be </w:t>
      </w:r>
      <w:r>
        <w:t>rapidly conduct</w:t>
      </w:r>
      <w:r w:rsidR="00570141">
        <w:t>ed</w:t>
      </w:r>
      <w:r>
        <w:t xml:space="preserve"> away.</w:t>
      </w:r>
    </w:p>
    <w:p w14:paraId="5B758C2D" w14:textId="4AFF0890" w:rsidR="002B759B" w:rsidRDefault="002B759B" w:rsidP="00EA4BBA">
      <w:r>
        <w:t>Then, an attempt was made to directly cast the glass stream still emerging from the bottom outlet but by this time it had cooled down too much to cast, with the stream solidifying before it could fill the shape of the mould (</w:t>
      </w:r>
      <w:r>
        <w:fldChar w:fldCharType="begin"/>
      </w:r>
      <w:r>
        <w:instrText xml:space="preserve"> REF _Ref450346746 \h </w:instrText>
      </w:r>
      <w:r>
        <w:fldChar w:fldCharType="separate"/>
      </w:r>
      <w:r w:rsidR="00820EB1">
        <w:t xml:space="preserve">Figure </w:t>
      </w:r>
      <w:r w:rsidR="00820EB1">
        <w:rPr>
          <w:noProof/>
        </w:rPr>
        <w:t>86</w:t>
      </w:r>
      <w:r>
        <w:fldChar w:fldCharType="end"/>
      </w:r>
      <w:r>
        <w:t>a).</w:t>
      </w:r>
      <w:r w:rsidRPr="00186C08">
        <w:t xml:space="preserve"> </w:t>
      </w:r>
      <w:r>
        <w:t>Next, the glass stream was wound on a metal</w:t>
      </w:r>
      <w:r w:rsidR="00570141">
        <w:t xml:space="preserve"> rod</w:t>
      </w:r>
      <w:r>
        <w:t xml:space="preserve"> to observe the ability to produce coiled glass filaments (</w:t>
      </w:r>
      <w:r>
        <w:fldChar w:fldCharType="begin"/>
      </w:r>
      <w:r>
        <w:instrText xml:space="preserve"> REF _Ref450346746 \h </w:instrText>
      </w:r>
      <w:r>
        <w:fldChar w:fldCharType="separate"/>
      </w:r>
      <w:r w:rsidR="00820EB1">
        <w:t xml:space="preserve">Figure </w:t>
      </w:r>
      <w:r w:rsidR="00820EB1">
        <w:rPr>
          <w:noProof/>
        </w:rPr>
        <w:t>86</w:t>
      </w:r>
      <w:r>
        <w:fldChar w:fldCharType="end"/>
      </w:r>
      <w:r>
        <w:t>b).</w:t>
      </w:r>
    </w:p>
    <w:p w14:paraId="478F796E" w14:textId="1E990C97" w:rsidR="002B759B" w:rsidRDefault="00570141" w:rsidP="00EA4BBA">
      <w:pPr>
        <w:pStyle w:val="Title"/>
      </w:pPr>
      <w:r>
        <w:lastRenderedPageBreak/>
        <w:drawing>
          <wp:inline distT="0" distB="0" distL="0" distR="0" wp14:anchorId="4C82B319" wp14:editId="3F615211">
            <wp:extent cx="5167031" cy="2495431"/>
            <wp:effectExtent l="0" t="0" r="0" b="63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092" t="22524" r="31659" b="21426"/>
                    <a:stretch/>
                  </pic:blipFill>
                  <pic:spPr bwMode="auto">
                    <a:xfrm>
                      <a:off x="0" y="0"/>
                      <a:ext cx="5188922" cy="2506003"/>
                    </a:xfrm>
                    <a:prstGeom prst="rect">
                      <a:avLst/>
                    </a:prstGeom>
                    <a:ln>
                      <a:noFill/>
                    </a:ln>
                    <a:extLst>
                      <a:ext uri="{53640926-AAD7-44D8-BBD7-CCE9431645EC}">
                        <a14:shadowObscured xmlns:a14="http://schemas.microsoft.com/office/drawing/2010/main"/>
                      </a:ext>
                    </a:extLst>
                  </pic:spPr>
                </pic:pic>
              </a:graphicData>
            </a:graphic>
          </wp:inline>
        </w:drawing>
      </w:r>
    </w:p>
    <w:p w14:paraId="66325E0E" w14:textId="13961C63" w:rsidR="002B759B" w:rsidRDefault="002B759B" w:rsidP="00EA4BBA">
      <w:pPr>
        <w:pStyle w:val="Caption"/>
      </w:pPr>
      <w:bookmarkStart w:id="170" w:name="_Ref450346746"/>
      <w:r>
        <w:t xml:space="preserve">Figure </w:t>
      </w:r>
      <w:r w:rsidR="00A47317">
        <w:fldChar w:fldCharType="begin"/>
      </w:r>
      <w:r w:rsidR="00A47317">
        <w:instrText xml:space="preserve"> SEQ Figure \* ARABIC </w:instrText>
      </w:r>
      <w:r w:rsidR="00A47317">
        <w:fldChar w:fldCharType="separate"/>
      </w:r>
      <w:r w:rsidR="00820EB1">
        <w:rPr>
          <w:noProof/>
        </w:rPr>
        <w:t>86</w:t>
      </w:r>
      <w:r w:rsidR="00A47317">
        <w:rPr>
          <w:noProof/>
        </w:rPr>
        <w:fldChar w:fldCharType="end"/>
      </w:r>
      <w:bookmarkEnd w:id="170"/>
      <w:r>
        <w:t xml:space="preserve">: </w:t>
      </w:r>
      <w:r w:rsidRPr="00C723EA">
        <w:t>a) Photograph of failed attempt at directly casting the outlet stream at 7h:2m during experiment D2; b) Snapshot of video of bottom outlet showing winding of outlet glass stream (time of day and time from start of experiment D2 shown).</w:t>
      </w:r>
      <w:r w:rsidR="00570141">
        <w:t xml:space="preserve"> Scale bars based on the 38 mm inside diameter of the outlet tube heater.</w:t>
      </w:r>
    </w:p>
    <w:p w14:paraId="354F2AE9" w14:textId="34F84ECF" w:rsidR="002B759B" w:rsidRDefault="002B759B" w:rsidP="00EA4BBA">
      <w:r>
        <w:t xml:space="preserve">Then </w:t>
      </w:r>
      <w:r w:rsidR="00570141">
        <w:t xml:space="preserve">the </w:t>
      </w:r>
      <w:r>
        <w:t>remaining glass was allowed to flow out. With the beam off but the outlet heater held at around 1200</w:t>
      </w:r>
      <w:r>
        <w:rPr>
          <w:vertAlign w:val="superscript"/>
        </w:rPr>
        <w:t>o</w:t>
      </w:r>
      <w:r>
        <w:t>C the glass continued to flow out and during this time glass fibres were drawn, with continuous lengths of many metres. The flow gradually narrowed and wound itself into coils and then eventually the flow stopped as the glass inside the crucible was depleted, leaving a tangle of glass fibres (</w:t>
      </w:r>
      <w:r>
        <w:fldChar w:fldCharType="begin"/>
      </w:r>
      <w:r>
        <w:instrText xml:space="preserve"> REF _Ref428202636 \h </w:instrText>
      </w:r>
      <w:r>
        <w:fldChar w:fldCharType="separate"/>
      </w:r>
      <w:r w:rsidR="00820EB1">
        <w:t xml:space="preserve">Figure </w:t>
      </w:r>
      <w:r w:rsidR="00820EB1">
        <w:rPr>
          <w:noProof/>
        </w:rPr>
        <w:t>87</w:t>
      </w:r>
      <w:r>
        <w:fldChar w:fldCharType="end"/>
      </w:r>
      <w:r>
        <w:t>a). Upon closer inspection the glass produced from the stream appeared to contain very few bubbles (</w:t>
      </w:r>
      <w:r>
        <w:fldChar w:fldCharType="begin"/>
      </w:r>
      <w:r>
        <w:instrText xml:space="preserve"> REF _Ref428202636 \h </w:instrText>
      </w:r>
      <w:r>
        <w:fldChar w:fldCharType="separate"/>
      </w:r>
      <w:r w:rsidR="00820EB1">
        <w:t xml:space="preserve">Figure </w:t>
      </w:r>
      <w:r w:rsidR="00820EB1">
        <w:rPr>
          <w:noProof/>
        </w:rPr>
        <w:t>87</w:t>
      </w:r>
      <w:r>
        <w:fldChar w:fldCharType="end"/>
      </w:r>
      <w:r>
        <w:t>b).</w:t>
      </w:r>
    </w:p>
    <w:p w14:paraId="392DEEBB" w14:textId="77777777" w:rsidR="002B759B" w:rsidRPr="009D7B8F" w:rsidRDefault="002B759B" w:rsidP="00EA4BBA">
      <w:pPr>
        <w:pStyle w:val="Title"/>
      </w:pPr>
      <w:r w:rsidRPr="00D46C53">
        <w:lastRenderedPageBreak/>
        <w:drawing>
          <wp:inline distT="0" distB="0" distL="0" distR="0" wp14:anchorId="6F00CC48" wp14:editId="0CA9D4AE">
            <wp:extent cx="3409950" cy="4181475"/>
            <wp:effectExtent l="0" t="0" r="0" b="9525"/>
            <wp:docPr id="162"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03">
                      <a:extLst>
                        <a:ext uri="{28A0092B-C50C-407E-A947-70E740481C1C}">
                          <a14:useLocalDpi xmlns:a14="http://schemas.microsoft.com/office/drawing/2010/main" val="0"/>
                        </a:ext>
                      </a:extLst>
                    </a:blip>
                    <a:srcRect l="22478" t="21466" r="48116" b="14351"/>
                    <a:stretch>
                      <a:fillRect/>
                    </a:stretch>
                  </pic:blipFill>
                  <pic:spPr bwMode="auto">
                    <a:xfrm>
                      <a:off x="0" y="0"/>
                      <a:ext cx="3409950" cy="4181475"/>
                    </a:xfrm>
                    <a:prstGeom prst="rect">
                      <a:avLst/>
                    </a:prstGeom>
                    <a:noFill/>
                    <a:ln>
                      <a:noFill/>
                    </a:ln>
                  </pic:spPr>
                </pic:pic>
              </a:graphicData>
            </a:graphic>
          </wp:inline>
        </w:drawing>
      </w:r>
    </w:p>
    <w:p w14:paraId="322C5DB7" w14:textId="77777777" w:rsidR="002B759B" w:rsidRDefault="002B759B" w:rsidP="00EA4BBA">
      <w:pPr>
        <w:pStyle w:val="Caption"/>
      </w:pPr>
      <w:bookmarkStart w:id="171" w:name="_Ref428202636"/>
      <w:bookmarkStart w:id="172" w:name="_Ref428202705"/>
      <w:r>
        <w:t xml:space="preserve">Figure </w:t>
      </w:r>
      <w:r w:rsidR="00A47317">
        <w:fldChar w:fldCharType="begin"/>
      </w:r>
      <w:r w:rsidR="00A47317">
        <w:instrText xml:space="preserve"> SEQ Figure \* ARABIC </w:instrText>
      </w:r>
      <w:r w:rsidR="00A47317">
        <w:fldChar w:fldCharType="separate"/>
      </w:r>
      <w:r w:rsidR="00820EB1">
        <w:rPr>
          <w:noProof/>
        </w:rPr>
        <w:t>87</w:t>
      </w:r>
      <w:r w:rsidR="00A47317">
        <w:rPr>
          <w:noProof/>
        </w:rPr>
        <w:fldChar w:fldCharType="end"/>
      </w:r>
      <w:bookmarkEnd w:id="171"/>
      <w:r>
        <w:t xml:space="preserve">: Photographs of a) all overall mass of glass produced and b) a close up image of a single piece of glass produced from experiment </w:t>
      </w:r>
      <w:bookmarkEnd w:id="172"/>
      <w:r>
        <w:t>D2.</w:t>
      </w:r>
    </w:p>
    <w:p w14:paraId="6B1410E4" w14:textId="261DD69B" w:rsidR="002B759B" w:rsidRDefault="002B759B" w:rsidP="00EA4BBA">
      <w:r>
        <w:t xml:space="preserve">A total of 3514 g of glass was collected from in and around the water bucket as shown in </w:t>
      </w:r>
      <w:r>
        <w:fldChar w:fldCharType="begin"/>
      </w:r>
      <w:r>
        <w:instrText xml:space="preserve"> REF _Ref428202636 \h </w:instrText>
      </w:r>
      <w:r>
        <w:fldChar w:fldCharType="separate"/>
      </w:r>
      <w:r w:rsidR="00820EB1">
        <w:t xml:space="preserve">Figure </w:t>
      </w:r>
      <w:r w:rsidR="00820EB1">
        <w:rPr>
          <w:noProof/>
        </w:rPr>
        <w:t>87</w:t>
      </w:r>
      <w:r>
        <w:fldChar w:fldCharType="end"/>
      </w:r>
      <w:r>
        <w:t>. Upon cooling the furnace was opened to inspect the inside (</w:t>
      </w:r>
      <w:r>
        <w:fldChar w:fldCharType="begin"/>
      </w:r>
      <w:r>
        <w:instrText xml:space="preserve"> REF _Ref428263262 \h </w:instrText>
      </w:r>
      <w:r>
        <w:fldChar w:fldCharType="separate"/>
      </w:r>
      <w:r w:rsidR="00820EB1">
        <w:t xml:space="preserve">Figure </w:t>
      </w:r>
      <w:r w:rsidR="00820EB1">
        <w:rPr>
          <w:noProof/>
        </w:rPr>
        <w:t>88</w:t>
      </w:r>
      <w:r>
        <w:fldChar w:fldCharType="end"/>
      </w:r>
      <w:r>
        <w:t xml:space="preserve">). Although, the crucible had cracked, there was no evidence of leakage of glass out of the crucible. Therefore, it appeared that the crucible must have cracked only after the experiment was finished when it cooled down below a temperature at which glass could flow. The unmelted pellets visible in </w:t>
      </w:r>
      <w:r>
        <w:fldChar w:fldCharType="begin"/>
      </w:r>
      <w:r>
        <w:instrText xml:space="preserve"> REF _Ref428263262 \h </w:instrText>
      </w:r>
      <w:r>
        <w:fldChar w:fldCharType="separate"/>
      </w:r>
      <w:r w:rsidR="00820EB1">
        <w:t xml:space="preserve">Figure </w:t>
      </w:r>
      <w:r w:rsidR="00820EB1">
        <w:rPr>
          <w:noProof/>
        </w:rPr>
        <w:t>88</w:t>
      </w:r>
      <w:r>
        <w:fldChar w:fldCharType="end"/>
      </w:r>
      <w:r>
        <w:t xml:space="preserve"> fell in while opening the furnace for inspection. </w:t>
      </w:r>
      <w:r w:rsidR="00CF3A20">
        <w:t xml:space="preserve">It can be </w:t>
      </w:r>
      <w:r>
        <w:t xml:space="preserve">seen </w:t>
      </w:r>
      <w:r w:rsidR="00CF3A20">
        <w:t xml:space="preserve">in </w:t>
      </w:r>
      <w:r>
        <w:fldChar w:fldCharType="begin"/>
      </w:r>
      <w:r>
        <w:instrText xml:space="preserve"> REF _Ref428263262 \h </w:instrText>
      </w:r>
      <w:r>
        <w:fldChar w:fldCharType="separate"/>
      </w:r>
      <w:r w:rsidR="00820EB1">
        <w:t xml:space="preserve">Figure </w:t>
      </w:r>
      <w:r w:rsidR="00820EB1">
        <w:rPr>
          <w:noProof/>
        </w:rPr>
        <w:t>88</w:t>
      </w:r>
      <w:r>
        <w:fldChar w:fldCharType="end"/>
      </w:r>
      <w:r>
        <w:t xml:space="preserve">, </w:t>
      </w:r>
      <w:r w:rsidR="00CF3A20">
        <w:t xml:space="preserve">that </w:t>
      </w:r>
      <w:r>
        <w:t xml:space="preserve">the ring of ceramic fibre insulation blanket used to block the flow of air between the top of the crucible and the roof had melted. </w:t>
      </w:r>
    </w:p>
    <w:p w14:paraId="7BD8EBBE" w14:textId="77777777" w:rsidR="002B759B" w:rsidRDefault="002B759B" w:rsidP="00EA4BBA">
      <w:pPr>
        <w:pStyle w:val="Title"/>
      </w:pPr>
      <w:r w:rsidRPr="00D46C53">
        <w:lastRenderedPageBreak/>
        <w:drawing>
          <wp:inline distT="0" distB="0" distL="0" distR="0" wp14:anchorId="6A50C7B0" wp14:editId="380998C8">
            <wp:extent cx="4010025" cy="2657475"/>
            <wp:effectExtent l="0" t="0" r="9525" b="9525"/>
            <wp:docPr id="161" name="Picture 210" descr="C:\Users\Qasid\Dropbox\PhD project\Experiments\PSI March 2015\experiments data\photos as downloaded\camera download 24th pm to sort\_DSC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Qasid\Dropbox\PhD project\Experiments\PSI March 2015\experiments data\photos as downloaded\camera download 24th pm to sort\_DSC479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10025" cy="2657475"/>
                    </a:xfrm>
                    <a:prstGeom prst="rect">
                      <a:avLst/>
                    </a:prstGeom>
                    <a:noFill/>
                    <a:ln>
                      <a:noFill/>
                    </a:ln>
                  </pic:spPr>
                </pic:pic>
              </a:graphicData>
            </a:graphic>
          </wp:inline>
        </w:drawing>
      </w:r>
    </w:p>
    <w:p w14:paraId="4BD8CE09" w14:textId="5C3A6B60" w:rsidR="002B759B" w:rsidRDefault="002B759B" w:rsidP="00EA4BBA">
      <w:pPr>
        <w:pStyle w:val="Caption"/>
      </w:pPr>
      <w:bookmarkStart w:id="173" w:name="_Ref428263262"/>
      <w:r>
        <w:t xml:space="preserve">Figure </w:t>
      </w:r>
      <w:r w:rsidR="00A47317">
        <w:fldChar w:fldCharType="begin"/>
      </w:r>
      <w:r w:rsidR="00A47317">
        <w:instrText xml:space="preserve"> SEQ Figure \* ARABIC </w:instrText>
      </w:r>
      <w:r w:rsidR="00A47317">
        <w:fldChar w:fldCharType="separate"/>
      </w:r>
      <w:r w:rsidR="00820EB1">
        <w:rPr>
          <w:noProof/>
        </w:rPr>
        <w:t>88</w:t>
      </w:r>
      <w:r w:rsidR="00A47317">
        <w:rPr>
          <w:noProof/>
        </w:rPr>
        <w:fldChar w:fldCharType="end"/>
      </w:r>
      <w:bookmarkEnd w:id="173"/>
      <w:r>
        <w:t xml:space="preserve">: Photograph of crucible used in experiments D2 after cooling. </w:t>
      </w:r>
    </w:p>
    <w:p w14:paraId="57650C67" w14:textId="70968D37" w:rsidR="002B759B" w:rsidRPr="00024C62" w:rsidRDefault="002B759B" w:rsidP="00EA4BBA">
      <w:r>
        <w:t xml:space="preserve">Also, the surface of ceramic fibre blanket around the outlet tube heater which was exposed to the inside of the main chamber of the furnace had </w:t>
      </w:r>
      <w:r w:rsidR="00CF3A20">
        <w:t>fused</w:t>
      </w:r>
      <w:r>
        <w:t>. Otherwise, all the other refractories remained in good condition.</w:t>
      </w:r>
    </w:p>
    <w:p w14:paraId="5A99C327" w14:textId="77777777" w:rsidR="002B759B" w:rsidRPr="00665552" w:rsidRDefault="002B759B" w:rsidP="002B759B">
      <w:pPr>
        <w:pStyle w:val="Heading3"/>
        <w:keepLines w:val="0"/>
        <w:numPr>
          <w:ilvl w:val="2"/>
          <w:numId w:val="21"/>
        </w:numPr>
        <w:spacing w:before="100" w:after="100"/>
        <w:contextualSpacing w:val="0"/>
      </w:pPr>
      <w:r w:rsidRPr="00665552">
        <w:t xml:space="preserve">Experiment </w:t>
      </w:r>
      <w:r>
        <w:t>D</w:t>
      </w:r>
      <w:r w:rsidRPr="00665552">
        <w:t>3</w:t>
      </w:r>
    </w:p>
    <w:p w14:paraId="57E0930C" w14:textId="56FFA6D2" w:rsidR="002B759B" w:rsidRDefault="002B759B" w:rsidP="00EA4BBA">
      <w:r>
        <w:t xml:space="preserve">The aim of experiment D3 was to demonstrate the feasibility of melting, fining, generating a flow and forming the industrial pelletised batch in the scale up solar glass melting reactor. Also, by operating a series of melting cycles over the course of a day, the productivity and efficiency of the process </w:t>
      </w:r>
      <w:r w:rsidR="00CF3A20">
        <w:t>was</w:t>
      </w:r>
      <w:r>
        <w:t xml:space="preserve"> evaluated.</w:t>
      </w:r>
    </w:p>
    <w:p w14:paraId="5D761211" w14:textId="783F59E2" w:rsidR="002B759B" w:rsidRDefault="002B759B" w:rsidP="00EA4BBA">
      <w:r>
        <w:t>195 g of industrial soda-lime-silica pelletised batch was preheated inside a new crucible with the main furnace heating elements temperature controller set to reach a target temperature of 1000</w:t>
      </w:r>
      <w:r>
        <w:rPr>
          <w:vertAlign w:val="superscript"/>
        </w:rPr>
        <w:t>o</w:t>
      </w:r>
      <w:r>
        <w:t xml:space="preserve">C the day before the start of experiment D3 (-15h:5m). A reduced quantity of batch (195 g rather than 295 g </w:t>
      </w:r>
      <w:r w:rsidR="00CF3A20">
        <w:t xml:space="preserve">used </w:t>
      </w:r>
      <w:r>
        <w:t>in experiment</w:t>
      </w:r>
      <w:r w:rsidR="00CF3A20">
        <w:t xml:space="preserve"> D2</w:t>
      </w:r>
      <w:r>
        <w:t>)</w:t>
      </w:r>
      <w:r w:rsidR="00CF3A20">
        <w:t xml:space="preserve"> </w:t>
      </w:r>
      <w:r>
        <w:t xml:space="preserve"> was preheated in this experiment in order to ensure that when the beam was switched on the initial charge of batch could be rapidly melted in order to prevent any unmelted pellets prematurely falling down the outlet tube. The outlet tube heater was set to an increased set point of 900</w:t>
      </w:r>
      <w:r>
        <w:rPr>
          <w:vertAlign w:val="superscript"/>
        </w:rPr>
        <w:t>o</w:t>
      </w:r>
      <w:r>
        <w:t>C due to the higher viscosity of the industrial glass forming batch compared to that used in experiments</w:t>
      </w:r>
      <w:r w:rsidR="00CF3A20">
        <w:t xml:space="preserve"> D1 and D2</w:t>
      </w:r>
      <w:r>
        <w:t xml:space="preserve">. </w:t>
      </w:r>
    </w:p>
    <w:p w14:paraId="15A006CC" w14:textId="77777777" w:rsidR="002B759B" w:rsidRDefault="002B759B" w:rsidP="00EA4BBA">
      <w:r>
        <w:t xml:space="preserve">Once the main chamber and outlet heaters had reached their respective set point temperatures, the beam inlet plug and shutters were opened (0h:0m:0s). Then one lamp was switched on every minute until by </w:t>
      </w:r>
      <w:r w:rsidRPr="00F6696A">
        <w:t>0h:39m:37s</w:t>
      </w:r>
      <w:r>
        <w:t xml:space="preserve"> six lamps were switched on, with the shutters 100% open, providing a 5.04 kW of radiation into the furnace. The focal point of the beam did not appear well centred so at 0h:22m, the 45 degree mirror was adjusted slightly to improve the alignment.</w:t>
      </w:r>
    </w:p>
    <w:p w14:paraId="373173D0" w14:textId="31683E78" w:rsidR="002B759B" w:rsidRPr="00FC169E" w:rsidRDefault="002B759B" w:rsidP="00EA4BBA">
      <w:r>
        <w:t xml:space="preserve">After some initial batch feed charges, at 1h:49m the feed port became clogged with pellets so the beam was switched temporarily to change the position of the batch feed chute such that the </w:t>
      </w:r>
      <w:r>
        <w:lastRenderedPageBreak/>
        <w:t xml:space="preserve">pellets could be fed through the beam inlet port instead. At </w:t>
      </w:r>
      <w:r w:rsidRPr="00303B8D">
        <w:t>2h:8m:10s</w:t>
      </w:r>
      <w:r>
        <w:t xml:space="preserve"> the beam was restarted immediately at full power (5.1 kW) and by</w:t>
      </w:r>
      <w:r w:rsidRPr="00915CAC">
        <w:t xml:space="preserve"> </w:t>
      </w:r>
      <w:r w:rsidRPr="003D1489">
        <w:t>2h:30m:54s</w:t>
      </w:r>
      <w:r>
        <w:t xml:space="preserve"> the glass temperature had recovered to 1412</w:t>
      </w:r>
      <w:r>
        <w:rPr>
          <w:vertAlign w:val="superscript"/>
        </w:rPr>
        <w:t>o</w:t>
      </w:r>
      <w:r>
        <w:t>C  and the batch feeding cycles were resumed. A series of feeding cycles were completed, initially allowing the glass temperature to increase, over consecutive feeds, until the glass reached a maximum temperature of 1563</w:t>
      </w:r>
      <w:r>
        <w:rPr>
          <w:vertAlign w:val="superscript"/>
        </w:rPr>
        <w:t>o</w:t>
      </w:r>
      <w:r>
        <w:t xml:space="preserve">C at </w:t>
      </w:r>
      <w:r w:rsidRPr="000E4CBC">
        <w:t>4h:9m:19s</w:t>
      </w:r>
      <w:r>
        <w:t xml:space="preserve"> and then the period after each consecutive charge was fed was reduced to prevent overheating. After the last charge of batch was fed, the glass was held under the full power of the beam to homogenise and remove entrained bubbles. During this series of melting cycles and fining period the full power of the beam was maintained with 5.1 kW of radiative power entering the furnace, except for short breaks of less than 2 minutes to fix problems with the batch feed</w:t>
      </w:r>
      <w:r w:rsidR="00CF3A20">
        <w:t>ing system</w:t>
      </w:r>
      <w:r>
        <w:t xml:space="preserve"> (</w:t>
      </w:r>
      <w:r>
        <w:fldChar w:fldCharType="begin"/>
      </w:r>
      <w:r>
        <w:instrText xml:space="preserve"> REF _Ref428288959 \h </w:instrText>
      </w:r>
      <w:r>
        <w:fldChar w:fldCharType="separate"/>
      </w:r>
      <w:r w:rsidR="00820EB1">
        <w:t xml:space="preserve">Figure </w:t>
      </w:r>
      <w:r w:rsidR="00820EB1">
        <w:rPr>
          <w:noProof/>
        </w:rPr>
        <w:t>89</w:t>
      </w:r>
      <w:r>
        <w:fldChar w:fldCharType="end"/>
      </w:r>
      <w:r>
        <w:t>).</w:t>
      </w:r>
    </w:p>
    <w:p w14:paraId="7F34B2C6" w14:textId="77777777" w:rsidR="002B759B" w:rsidRDefault="002B759B" w:rsidP="00EA4BBA">
      <w:r w:rsidRPr="00D46C53">
        <w:rPr>
          <w:noProof/>
        </w:rPr>
        <w:drawing>
          <wp:inline distT="0" distB="0" distL="0" distR="0" wp14:anchorId="6337156F" wp14:editId="533E28ED">
            <wp:extent cx="5238750" cy="3257550"/>
            <wp:effectExtent l="0" t="0" r="0" b="0"/>
            <wp:docPr id="160"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38750" cy="3257550"/>
                    </a:xfrm>
                    <a:prstGeom prst="rect">
                      <a:avLst/>
                    </a:prstGeom>
                    <a:noFill/>
                    <a:ln>
                      <a:noFill/>
                    </a:ln>
                  </pic:spPr>
                </pic:pic>
              </a:graphicData>
            </a:graphic>
          </wp:inline>
        </w:drawing>
      </w:r>
    </w:p>
    <w:p w14:paraId="23BB4952" w14:textId="77777777" w:rsidR="002B759B" w:rsidRDefault="002B759B" w:rsidP="00EA4BBA">
      <w:pPr>
        <w:pStyle w:val="Caption"/>
      </w:pPr>
      <w:bookmarkStart w:id="174" w:name="_Ref428288959"/>
      <w:r>
        <w:t xml:space="preserve">Figure </w:t>
      </w:r>
      <w:r w:rsidR="00A47317">
        <w:fldChar w:fldCharType="begin"/>
      </w:r>
      <w:r w:rsidR="00A47317">
        <w:instrText xml:space="preserve"> SEQ Figure \* ARABIC </w:instrText>
      </w:r>
      <w:r w:rsidR="00A47317">
        <w:fldChar w:fldCharType="separate"/>
      </w:r>
      <w:r w:rsidR="00820EB1">
        <w:rPr>
          <w:noProof/>
        </w:rPr>
        <w:t>89</w:t>
      </w:r>
      <w:r w:rsidR="00A47317">
        <w:rPr>
          <w:noProof/>
        </w:rPr>
        <w:fldChar w:fldCharType="end"/>
      </w:r>
      <w:bookmarkEnd w:id="174"/>
      <w:r>
        <w:t>: Temperature profiles and mass of batch fed during melting and fining period of experiment D3. During this period the radiative beam power was held at 5.1 kW and no additional heat was supplied by the electrical heating elements.</w:t>
      </w:r>
    </w:p>
    <w:p w14:paraId="62F89E23" w14:textId="7109AD46" w:rsidR="002B759B" w:rsidRPr="003703BE" w:rsidRDefault="002B759B" w:rsidP="00EA4BBA">
      <w:r>
        <w:t xml:space="preserve">At </w:t>
      </w:r>
      <w:r w:rsidRPr="00701B89">
        <w:t>6h:42m:49s</w:t>
      </w:r>
      <w:r>
        <w:t>, the beam was finally switched off after melting and accumulating a total of 3453g of glass forming batch. As the temperature dropped due to the absence of the beam, the electrical heating elements gradually took over to maintain the main furnace temperature at a set point of 1050</w:t>
      </w:r>
      <w:r>
        <w:rPr>
          <w:vertAlign w:val="superscript"/>
        </w:rPr>
        <w:t>o</w:t>
      </w:r>
      <w:r>
        <w:t>C, while preparations began for demonstrating a forming process. Immediately after switching off the beam, the beam inlet port was closed</w:t>
      </w:r>
      <w:r w:rsidR="00CF3A20">
        <w:t>.</w:t>
      </w:r>
      <w:r>
        <w:t xml:space="preserve"> </w:t>
      </w:r>
      <w:r w:rsidR="00CF3A20">
        <w:t>T</w:t>
      </w:r>
      <w:r>
        <w:t>hen</w:t>
      </w:r>
      <w:r w:rsidR="00CF3A20">
        <w:t>,</w:t>
      </w:r>
      <w:r>
        <w:t xml:space="preserve"> the outlet port was opened by removing the metal plug and then the collecting furnace was moved into position below the glass outlet. At </w:t>
      </w:r>
      <w:r w:rsidRPr="00701B89">
        <w:t xml:space="preserve">6h:51m:26s </w:t>
      </w:r>
      <w:r>
        <w:t xml:space="preserve">the first increase in mass was recorded by the collecting furnace corresponding to the start of the glass outlet stream. By </w:t>
      </w:r>
      <w:r w:rsidRPr="00701B89">
        <w:t>6h:55m:30s</w:t>
      </w:r>
      <w:r>
        <w:t xml:space="preserve">, the crucible inside the collecting furnace appeared sufficiently full so the collecting furnace was moved down out of the way of the stream </w:t>
      </w:r>
      <w:r w:rsidR="00CF3A20">
        <w:t xml:space="preserve">and </w:t>
      </w:r>
      <w:r>
        <w:t xml:space="preserve">an attempt was made first to directly cast the outlet stream while it still </w:t>
      </w:r>
      <w:r>
        <w:lastRenderedPageBreak/>
        <w:t xml:space="preserve">appeared sufficiently fluid at </w:t>
      </w:r>
      <w:r w:rsidRPr="00701B89">
        <w:t>6h:55m:51s</w:t>
      </w:r>
      <w:r>
        <w:t xml:space="preserve">. Before attempting the cast, the mould was preheated using a propane torch. This time the glass proved to be sufficiently fluid to fill the mould so it was then transferred to the casting table to be pressed with an engraved plunger, then removed from the mould </w:t>
      </w:r>
      <w:r w:rsidR="00CF3A20">
        <w:t xml:space="preserve">and </w:t>
      </w:r>
      <w:r>
        <w:t>finally transferred to the annealing oven to successfully demonstrate a pressed glassware forming process (</w:t>
      </w:r>
      <w:r>
        <w:fldChar w:fldCharType="begin"/>
      </w:r>
      <w:r>
        <w:instrText xml:space="preserve"> REF _Ref428373050 \h </w:instrText>
      </w:r>
      <w:r>
        <w:fldChar w:fldCharType="separate"/>
      </w:r>
      <w:r w:rsidR="00820EB1">
        <w:t xml:space="preserve">Figure </w:t>
      </w:r>
      <w:r w:rsidR="00820EB1">
        <w:rPr>
          <w:noProof/>
        </w:rPr>
        <w:t>90</w:t>
      </w:r>
      <w:r>
        <w:fldChar w:fldCharType="end"/>
      </w:r>
      <w:r>
        <w:t xml:space="preserve">). </w:t>
      </w:r>
    </w:p>
    <w:p w14:paraId="76D78C43" w14:textId="77777777" w:rsidR="002B759B" w:rsidRDefault="002B759B" w:rsidP="00EA4BBA">
      <w:r w:rsidRPr="00D46C53">
        <w:rPr>
          <w:noProof/>
        </w:rPr>
        <w:drawing>
          <wp:inline distT="0" distB="0" distL="0" distR="0" wp14:anchorId="12B4F1A1" wp14:editId="42A665AF">
            <wp:extent cx="5114925" cy="5924550"/>
            <wp:effectExtent l="0" t="0" r="9525" b="0"/>
            <wp:docPr id="158"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06">
                      <a:extLst>
                        <a:ext uri="{28A0092B-C50C-407E-A947-70E740481C1C}">
                          <a14:useLocalDpi xmlns:a14="http://schemas.microsoft.com/office/drawing/2010/main" val="0"/>
                        </a:ext>
                      </a:extLst>
                    </a:blip>
                    <a:srcRect l="21733" t="8809" r="38660" b="9448"/>
                    <a:stretch>
                      <a:fillRect/>
                    </a:stretch>
                  </pic:blipFill>
                  <pic:spPr bwMode="auto">
                    <a:xfrm>
                      <a:off x="0" y="0"/>
                      <a:ext cx="5114925" cy="5924550"/>
                    </a:xfrm>
                    <a:prstGeom prst="rect">
                      <a:avLst/>
                    </a:prstGeom>
                    <a:noFill/>
                    <a:ln>
                      <a:noFill/>
                    </a:ln>
                  </pic:spPr>
                </pic:pic>
              </a:graphicData>
            </a:graphic>
          </wp:inline>
        </w:drawing>
      </w:r>
    </w:p>
    <w:p w14:paraId="462CE797" w14:textId="77777777" w:rsidR="002B759B" w:rsidRDefault="002B759B" w:rsidP="00EA4BBA">
      <w:pPr>
        <w:pStyle w:val="Caption"/>
      </w:pPr>
      <w:bookmarkStart w:id="175" w:name="_Ref428373050"/>
      <w:r>
        <w:t xml:space="preserve">Figure </w:t>
      </w:r>
      <w:r w:rsidR="00A47317">
        <w:fldChar w:fldCharType="begin"/>
      </w:r>
      <w:r w:rsidR="00A47317">
        <w:instrText xml:space="preserve"> SEQ Figure \* ARABIC </w:instrText>
      </w:r>
      <w:r w:rsidR="00A47317">
        <w:fldChar w:fldCharType="separate"/>
      </w:r>
      <w:r w:rsidR="00820EB1">
        <w:rPr>
          <w:noProof/>
        </w:rPr>
        <w:t>90</w:t>
      </w:r>
      <w:r w:rsidR="00A47317">
        <w:rPr>
          <w:noProof/>
        </w:rPr>
        <w:fldChar w:fldCharType="end"/>
      </w:r>
      <w:bookmarkEnd w:id="175"/>
      <w:r>
        <w:t>: Snapshots from video of direct casting of glass stream produced during experiment D3. a) collecting the glass stream in a preheated mould; b) transferring filled mould to casting table; c) pressing the glass in the mould; d) releasing it therefrom; e) and transferring it to the annealing oven.</w:t>
      </w:r>
    </w:p>
    <w:p w14:paraId="43BD726F" w14:textId="77777777" w:rsidR="002B759B" w:rsidRDefault="002B759B" w:rsidP="00EA4BBA">
      <w:r>
        <w:t xml:space="preserve">The direct casting was successfully repeated a second time and then the outlet heater was switched off causing the stream to gradually slow down. Then, the outlet stream was successfully </w:t>
      </w:r>
      <w:r>
        <w:lastRenderedPageBreak/>
        <w:t xml:space="preserve">cut off again but this time as the metal plug was removed the end of the outlet tube broke off with it as shown in </w:t>
      </w:r>
      <w:r>
        <w:fldChar w:fldCharType="begin"/>
      </w:r>
      <w:r>
        <w:instrText xml:space="preserve"> REF _Ref428443574 \h </w:instrText>
      </w:r>
      <w:r>
        <w:fldChar w:fldCharType="separate"/>
      </w:r>
      <w:r w:rsidR="00820EB1">
        <w:t xml:space="preserve">Figure </w:t>
      </w:r>
      <w:r w:rsidR="00820EB1">
        <w:rPr>
          <w:noProof/>
        </w:rPr>
        <w:t>91</w:t>
      </w:r>
      <w:r>
        <w:fldChar w:fldCharType="end"/>
      </w:r>
      <w:r>
        <w:t>.</w:t>
      </w:r>
    </w:p>
    <w:p w14:paraId="55DBD959" w14:textId="1B4941E1" w:rsidR="002B759B" w:rsidRDefault="00CF3A20" w:rsidP="00EA4BBA">
      <w:pPr>
        <w:pStyle w:val="Title"/>
      </w:pPr>
      <w:r>
        <w:drawing>
          <wp:inline distT="0" distB="0" distL="0" distR="0" wp14:anchorId="0B7F309E" wp14:editId="40211574">
            <wp:extent cx="2900191" cy="2315688"/>
            <wp:effectExtent l="0" t="0" r="0" b="889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979" t="17998" r="52279" b="17039"/>
                    <a:stretch/>
                  </pic:blipFill>
                  <pic:spPr bwMode="auto">
                    <a:xfrm>
                      <a:off x="0" y="0"/>
                      <a:ext cx="2907259" cy="2321331"/>
                    </a:xfrm>
                    <a:prstGeom prst="rect">
                      <a:avLst/>
                    </a:prstGeom>
                    <a:ln>
                      <a:noFill/>
                    </a:ln>
                    <a:extLst>
                      <a:ext uri="{53640926-AAD7-44D8-BBD7-CCE9431645EC}">
                        <a14:shadowObscured xmlns:a14="http://schemas.microsoft.com/office/drawing/2010/main"/>
                      </a:ext>
                    </a:extLst>
                  </pic:spPr>
                </pic:pic>
              </a:graphicData>
            </a:graphic>
          </wp:inline>
        </w:drawing>
      </w:r>
    </w:p>
    <w:p w14:paraId="6E2E210B" w14:textId="77777777" w:rsidR="002B759B" w:rsidRDefault="002B759B" w:rsidP="00EA4BBA">
      <w:pPr>
        <w:pStyle w:val="Caption"/>
      </w:pPr>
      <w:bookmarkStart w:id="176" w:name="_Ref428443574"/>
      <w:r>
        <w:t xml:space="preserve">Figure </w:t>
      </w:r>
      <w:r w:rsidR="00A47317">
        <w:fldChar w:fldCharType="begin"/>
      </w:r>
      <w:r w:rsidR="00A47317">
        <w:instrText xml:space="preserve"> SEQ Figure \* ARABIC </w:instrText>
      </w:r>
      <w:r w:rsidR="00A47317">
        <w:fldChar w:fldCharType="separate"/>
      </w:r>
      <w:r w:rsidR="00820EB1">
        <w:rPr>
          <w:noProof/>
        </w:rPr>
        <w:t>91</w:t>
      </w:r>
      <w:r w:rsidR="00A47317">
        <w:rPr>
          <w:noProof/>
        </w:rPr>
        <w:fldChar w:fldCharType="end"/>
      </w:r>
      <w:bookmarkEnd w:id="176"/>
      <w:r>
        <w:t>: Snapshot of video of bottom outlet as outlet tube is accidentally broken off while removing the metal outlet plug tool during experiment D3. Time from start of experiment below time of day, provided at the top of the figure.</w:t>
      </w:r>
    </w:p>
    <w:p w14:paraId="7AB68A8B" w14:textId="186F37E6" w:rsidR="002B759B" w:rsidRPr="00D9327A" w:rsidRDefault="002B759B" w:rsidP="00EA4BBA">
      <w:r>
        <w:t>Since the outlet tube was broken, the remaining glass in the crucible solidified inside the outlet tube heater, causing a blockage which was eventually removed but only at the cost of seriously damaging the outlet tube heater.</w:t>
      </w:r>
    </w:p>
    <w:p w14:paraId="47EDF7E6" w14:textId="77777777" w:rsidR="002B759B" w:rsidRDefault="002B759B" w:rsidP="00EA4BBA">
      <w:r>
        <w:t>Next, an indirect casting was attempted using the glass which was held in the collecting furnace at 1200</w:t>
      </w:r>
      <w:r>
        <w:rPr>
          <w:vertAlign w:val="superscript"/>
        </w:rPr>
        <w:t>o</w:t>
      </w:r>
      <w:r>
        <w:t>C. The casting table was moved next to the collecting furnace to minimize the time required to transfer the glass from the collecting furnace to the mould which was essential to ensure the glass remained sufficiently hot. Again, the mould was preheated using a propane torch and then the collecting furnace was opened, the crucible containing the molten glass was lifted out and poured into the mould on the casting table. The trailing glass from the crucible to the mould was cut off and leaving a glob of malleable glass in the mould which was then pressed, then removed from the mould (</w:t>
      </w:r>
      <w:r>
        <w:fldChar w:fldCharType="begin"/>
      </w:r>
      <w:r>
        <w:instrText xml:space="preserve"> REF _Ref428374229 \h </w:instrText>
      </w:r>
      <w:r>
        <w:fldChar w:fldCharType="separate"/>
      </w:r>
      <w:r w:rsidR="00820EB1">
        <w:t xml:space="preserve">Figure </w:t>
      </w:r>
      <w:r w:rsidR="00820EB1">
        <w:rPr>
          <w:noProof/>
        </w:rPr>
        <w:t>92</w:t>
      </w:r>
      <w:r>
        <w:fldChar w:fldCharType="end"/>
      </w:r>
      <w:r>
        <w:t xml:space="preserve">) and finally transferred to the annealing oven. </w:t>
      </w:r>
    </w:p>
    <w:p w14:paraId="0F4C00B5" w14:textId="77777777" w:rsidR="002B759B" w:rsidRDefault="002B759B" w:rsidP="00EA4BBA">
      <w:r w:rsidRPr="00D46C53">
        <w:rPr>
          <w:noProof/>
        </w:rPr>
        <w:lastRenderedPageBreak/>
        <w:drawing>
          <wp:inline distT="0" distB="0" distL="0" distR="0" wp14:anchorId="6E8AD532" wp14:editId="5F21D998">
            <wp:extent cx="4972050" cy="2609850"/>
            <wp:effectExtent l="0" t="0" r="0" b="0"/>
            <wp:docPr id="156"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08">
                      <a:extLst>
                        <a:ext uri="{28A0092B-C50C-407E-A947-70E740481C1C}">
                          <a14:useLocalDpi xmlns:a14="http://schemas.microsoft.com/office/drawing/2010/main" val="0"/>
                        </a:ext>
                      </a:extLst>
                    </a:blip>
                    <a:srcRect l="40881" t="32513" r="4774" b="16650"/>
                    <a:stretch>
                      <a:fillRect/>
                    </a:stretch>
                  </pic:blipFill>
                  <pic:spPr bwMode="auto">
                    <a:xfrm>
                      <a:off x="0" y="0"/>
                      <a:ext cx="4972050" cy="2609850"/>
                    </a:xfrm>
                    <a:prstGeom prst="rect">
                      <a:avLst/>
                    </a:prstGeom>
                    <a:noFill/>
                    <a:ln>
                      <a:noFill/>
                    </a:ln>
                  </pic:spPr>
                </pic:pic>
              </a:graphicData>
            </a:graphic>
          </wp:inline>
        </w:drawing>
      </w:r>
    </w:p>
    <w:p w14:paraId="71C3E489" w14:textId="77777777" w:rsidR="002B759B" w:rsidRDefault="002B759B" w:rsidP="00EA4BBA">
      <w:r w:rsidRPr="00D46C53">
        <w:rPr>
          <w:noProof/>
        </w:rPr>
        <w:drawing>
          <wp:inline distT="0" distB="0" distL="0" distR="0" wp14:anchorId="30A594EE" wp14:editId="5B4F39D6">
            <wp:extent cx="4733925" cy="2476500"/>
            <wp:effectExtent l="0" t="0" r="9525" b="0"/>
            <wp:docPr id="155"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09">
                      <a:extLst>
                        <a:ext uri="{28A0092B-C50C-407E-A947-70E740481C1C}">
                          <a14:useLocalDpi xmlns:a14="http://schemas.microsoft.com/office/drawing/2010/main" val="0"/>
                        </a:ext>
                      </a:extLst>
                    </a:blip>
                    <a:srcRect l="30412" t="28966" r="14746" b="19901"/>
                    <a:stretch>
                      <a:fillRect/>
                    </a:stretch>
                  </pic:blipFill>
                  <pic:spPr bwMode="auto">
                    <a:xfrm>
                      <a:off x="0" y="0"/>
                      <a:ext cx="4733925" cy="2476500"/>
                    </a:xfrm>
                    <a:prstGeom prst="rect">
                      <a:avLst/>
                    </a:prstGeom>
                    <a:noFill/>
                    <a:ln>
                      <a:noFill/>
                    </a:ln>
                  </pic:spPr>
                </pic:pic>
              </a:graphicData>
            </a:graphic>
          </wp:inline>
        </w:drawing>
      </w:r>
    </w:p>
    <w:p w14:paraId="0323523C" w14:textId="77777777" w:rsidR="002B759B" w:rsidRDefault="002B759B" w:rsidP="00EA4BBA">
      <w:pPr>
        <w:pStyle w:val="Caption"/>
      </w:pPr>
      <w:bookmarkStart w:id="177" w:name="_Ref428374229"/>
      <w:r>
        <w:t xml:space="preserve">Figure </w:t>
      </w:r>
      <w:r w:rsidR="00A47317">
        <w:fldChar w:fldCharType="begin"/>
      </w:r>
      <w:r w:rsidR="00A47317">
        <w:instrText xml:space="preserve"> SEQ Figure \* ARABIC </w:instrText>
      </w:r>
      <w:r w:rsidR="00A47317">
        <w:fldChar w:fldCharType="separate"/>
      </w:r>
      <w:r w:rsidR="00820EB1">
        <w:rPr>
          <w:noProof/>
        </w:rPr>
        <w:t>92</w:t>
      </w:r>
      <w:r w:rsidR="00A47317">
        <w:rPr>
          <w:noProof/>
        </w:rPr>
        <w:fldChar w:fldCharType="end"/>
      </w:r>
      <w:bookmarkEnd w:id="177"/>
      <w:r>
        <w:t xml:space="preserve">: Indirect casting of glass produced during experiment D3. a) Transferring crucible from collecting furnace to the casting table; b) pouring and then c) cutting off glass glob trailing from the crucible into the mould; c) pressing glass in the mould with an engraved plunger to print a pattern; d) releasing the pressed glassware produced from the mould. </w:t>
      </w:r>
    </w:p>
    <w:p w14:paraId="7D168203" w14:textId="77777777" w:rsidR="002B759B" w:rsidRDefault="002B759B" w:rsidP="00EA4BBA">
      <w:r>
        <w:t xml:space="preserve">This indirect pressed glassware casting process was also repeated but the second time there was insufficient glass remaining in the crucible so a very thin section of glass was produced which broke due to thermal shock while being transferred into the annealing oven. </w:t>
      </w:r>
    </w:p>
    <w:p w14:paraId="6386B276" w14:textId="7247A51E" w:rsidR="002B759B" w:rsidRDefault="002B759B" w:rsidP="00EA4BBA">
      <w:r>
        <w:t>After annealing and cooling to room temperature, closer inspection of the pressed glassware produced from directly casting the glass stream (</w:t>
      </w:r>
      <w:r>
        <w:fldChar w:fldCharType="begin"/>
      </w:r>
      <w:r>
        <w:instrText xml:space="preserve"> REF _Ref428436465 \h </w:instrText>
      </w:r>
      <w:r>
        <w:fldChar w:fldCharType="separate"/>
      </w:r>
      <w:r w:rsidR="00820EB1">
        <w:t xml:space="preserve">Figure </w:t>
      </w:r>
      <w:r w:rsidR="00820EB1">
        <w:rPr>
          <w:noProof/>
        </w:rPr>
        <w:t>93</w:t>
      </w:r>
      <w:r>
        <w:fldChar w:fldCharType="end"/>
      </w:r>
      <w:r>
        <w:t>) revealed the glass contained few bubbles and the pattern from the plunger was successfully impressed upon the front surface (</w:t>
      </w:r>
      <w:r>
        <w:fldChar w:fldCharType="begin"/>
      </w:r>
      <w:r>
        <w:instrText xml:space="preserve"> REF _Ref428436465 \h </w:instrText>
      </w:r>
      <w:r>
        <w:fldChar w:fldCharType="separate"/>
      </w:r>
      <w:r w:rsidR="00820EB1">
        <w:t xml:space="preserve">Figure </w:t>
      </w:r>
      <w:r w:rsidR="00820EB1">
        <w:rPr>
          <w:noProof/>
        </w:rPr>
        <w:t>93</w:t>
      </w:r>
      <w:r>
        <w:fldChar w:fldCharType="end"/>
      </w:r>
      <w:r>
        <w:t>a). However, the back surface of the pieces directly cast from the stream (</w:t>
      </w:r>
      <w:r>
        <w:fldChar w:fldCharType="begin"/>
      </w:r>
      <w:r>
        <w:instrText xml:space="preserve"> REF _Ref428436465 \h </w:instrText>
      </w:r>
      <w:r>
        <w:fldChar w:fldCharType="separate"/>
      </w:r>
      <w:r w:rsidR="00820EB1">
        <w:t xml:space="preserve">Figure </w:t>
      </w:r>
      <w:r w:rsidR="00820EB1">
        <w:rPr>
          <w:noProof/>
        </w:rPr>
        <w:t>93</w:t>
      </w:r>
      <w:r>
        <w:fldChar w:fldCharType="end"/>
      </w:r>
      <w:r>
        <w:t>b) showed discrete folds of glass from the stream as it solidified on contact with the base of the casting plate rather than filling the mould properly.</w:t>
      </w:r>
    </w:p>
    <w:p w14:paraId="41795613" w14:textId="77777777" w:rsidR="002B759B" w:rsidRDefault="002B759B" w:rsidP="00EA4BBA">
      <w:r w:rsidRPr="00D46C53">
        <w:rPr>
          <w:noProof/>
        </w:rPr>
        <w:lastRenderedPageBreak/>
        <w:drawing>
          <wp:inline distT="0" distB="0" distL="0" distR="0" wp14:anchorId="096ABC9C" wp14:editId="5ED2556E">
            <wp:extent cx="5305425" cy="2924175"/>
            <wp:effectExtent l="0" t="0" r="9525" b="9525"/>
            <wp:docPr id="154"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0">
                      <a:extLst>
                        <a:ext uri="{28A0092B-C50C-407E-A947-70E740481C1C}">
                          <a14:useLocalDpi xmlns:a14="http://schemas.microsoft.com/office/drawing/2010/main" val="0"/>
                        </a:ext>
                      </a:extLst>
                    </a:blip>
                    <a:srcRect l="18835" t="26994" r="17905" b="11133"/>
                    <a:stretch>
                      <a:fillRect/>
                    </a:stretch>
                  </pic:blipFill>
                  <pic:spPr bwMode="auto">
                    <a:xfrm>
                      <a:off x="0" y="0"/>
                      <a:ext cx="5305425" cy="2924175"/>
                    </a:xfrm>
                    <a:prstGeom prst="rect">
                      <a:avLst/>
                    </a:prstGeom>
                    <a:noFill/>
                    <a:ln>
                      <a:noFill/>
                    </a:ln>
                  </pic:spPr>
                </pic:pic>
              </a:graphicData>
            </a:graphic>
          </wp:inline>
        </w:drawing>
      </w:r>
    </w:p>
    <w:p w14:paraId="66E7DE62" w14:textId="77777777" w:rsidR="002B759B" w:rsidRDefault="002B759B" w:rsidP="00EA4BBA">
      <w:pPr>
        <w:pStyle w:val="Caption"/>
      </w:pPr>
      <w:bookmarkStart w:id="178" w:name="_Ref428436465"/>
      <w:r>
        <w:t xml:space="preserve">Figure </w:t>
      </w:r>
      <w:r w:rsidR="00A47317">
        <w:fldChar w:fldCharType="begin"/>
      </w:r>
      <w:r w:rsidR="00A47317">
        <w:instrText xml:space="preserve"> SEQ Figure \* ARABIC </w:instrText>
      </w:r>
      <w:r w:rsidR="00A47317">
        <w:fldChar w:fldCharType="separate"/>
      </w:r>
      <w:r w:rsidR="00820EB1">
        <w:rPr>
          <w:noProof/>
        </w:rPr>
        <w:t>93</w:t>
      </w:r>
      <w:r w:rsidR="00A47317">
        <w:rPr>
          <w:noProof/>
        </w:rPr>
        <w:fldChar w:fldCharType="end"/>
      </w:r>
      <w:bookmarkEnd w:id="178"/>
      <w:r>
        <w:t>: Photographs of the first piece of pressed glassware directly cast from the glass stream during experiment D3 showing the a) front and b) the rear of the same piece.</w:t>
      </w:r>
    </w:p>
    <w:p w14:paraId="684B3A61" w14:textId="77777777" w:rsidR="002B759B" w:rsidRDefault="002B759B" w:rsidP="00EA4BBA">
      <w:r>
        <w:t>The pressed glassware produced from casting via the crucible in the collecting furnace (</w:t>
      </w:r>
      <w:r>
        <w:fldChar w:fldCharType="begin"/>
      </w:r>
      <w:r>
        <w:instrText xml:space="preserve"> REF _Ref428438152 \h </w:instrText>
      </w:r>
      <w:r>
        <w:fldChar w:fldCharType="separate"/>
      </w:r>
      <w:r w:rsidR="00820EB1">
        <w:t xml:space="preserve">Figure </w:t>
      </w:r>
      <w:r w:rsidR="00820EB1">
        <w:rPr>
          <w:noProof/>
        </w:rPr>
        <w:t>94</w:t>
      </w:r>
      <w:r>
        <w:fldChar w:fldCharType="end"/>
      </w:r>
      <w:r>
        <w:t>) avoided the problem of the discrete folds observed on the rear of the directly cast pieces but contained more bubbles and did produce a clear pattern on the front surface.</w:t>
      </w:r>
    </w:p>
    <w:p w14:paraId="290B80D8" w14:textId="77777777" w:rsidR="002B759B" w:rsidRDefault="002B759B" w:rsidP="00EA4BBA">
      <w:r w:rsidRPr="00D46C53">
        <w:rPr>
          <w:noProof/>
        </w:rPr>
        <w:drawing>
          <wp:inline distT="0" distB="0" distL="0" distR="0" wp14:anchorId="462455F8" wp14:editId="7B02F257">
            <wp:extent cx="5581650" cy="2952750"/>
            <wp:effectExtent l="0" t="0" r="0" b="0"/>
            <wp:docPr id="15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1">
                      <a:extLst>
                        <a:ext uri="{28A0092B-C50C-407E-A947-70E740481C1C}">
                          <a14:useLocalDpi xmlns:a14="http://schemas.microsoft.com/office/drawing/2010/main" val="0"/>
                        </a:ext>
                      </a:extLst>
                    </a:blip>
                    <a:srcRect l="27274" t="27721" r="25797" b="28053"/>
                    <a:stretch>
                      <a:fillRect/>
                    </a:stretch>
                  </pic:blipFill>
                  <pic:spPr bwMode="auto">
                    <a:xfrm>
                      <a:off x="0" y="0"/>
                      <a:ext cx="5581650" cy="2952750"/>
                    </a:xfrm>
                    <a:prstGeom prst="rect">
                      <a:avLst/>
                    </a:prstGeom>
                    <a:noFill/>
                    <a:ln>
                      <a:noFill/>
                    </a:ln>
                  </pic:spPr>
                </pic:pic>
              </a:graphicData>
            </a:graphic>
          </wp:inline>
        </w:drawing>
      </w:r>
    </w:p>
    <w:p w14:paraId="395A9DA2" w14:textId="77777777" w:rsidR="002B759B" w:rsidRPr="00BA44B9" w:rsidRDefault="002B759B" w:rsidP="00EA4BBA">
      <w:pPr>
        <w:pStyle w:val="Caption"/>
      </w:pPr>
      <w:bookmarkStart w:id="179" w:name="_Ref428438152"/>
      <w:r>
        <w:t xml:space="preserve">Figure </w:t>
      </w:r>
      <w:r w:rsidR="00A47317">
        <w:fldChar w:fldCharType="begin"/>
      </w:r>
      <w:r w:rsidR="00A47317">
        <w:instrText xml:space="preserve"> SEQ Figure \* ARABIC </w:instrText>
      </w:r>
      <w:r w:rsidR="00A47317">
        <w:fldChar w:fldCharType="separate"/>
      </w:r>
      <w:r w:rsidR="00820EB1">
        <w:rPr>
          <w:noProof/>
        </w:rPr>
        <w:t>94</w:t>
      </w:r>
      <w:r w:rsidR="00A47317">
        <w:rPr>
          <w:noProof/>
        </w:rPr>
        <w:fldChar w:fldCharType="end"/>
      </w:r>
      <w:bookmarkEnd w:id="179"/>
      <w:r>
        <w:t>: The first piece of pressed glassware indirectly cast via the crucible in the collecting furnace. Photographs of the a) front and b) rear of the same piece.</w:t>
      </w:r>
    </w:p>
    <w:p w14:paraId="645E2E69" w14:textId="42F88B89" w:rsidR="002B759B" w:rsidRDefault="002B759B" w:rsidP="00EA4BBA">
      <w:r>
        <w:t>Since the outlet tube of the crucible was broken, the furnace was allowed to gradually cool down to room temperature in order to replace it. Sections of the glass remaining in the crucible appeared almost completely bubble free and homogeneous (</w:t>
      </w:r>
      <w:r>
        <w:fldChar w:fldCharType="begin"/>
      </w:r>
      <w:r>
        <w:instrText xml:space="preserve"> REF _Ref451074977 \h </w:instrText>
      </w:r>
      <w:r>
        <w:fldChar w:fldCharType="separate"/>
      </w:r>
      <w:r w:rsidR="00820EB1" w:rsidRPr="006D4764">
        <w:t xml:space="preserve">Figure </w:t>
      </w:r>
      <w:r w:rsidR="00820EB1">
        <w:rPr>
          <w:noProof/>
        </w:rPr>
        <w:t>95</w:t>
      </w:r>
      <w:r>
        <w:fldChar w:fldCharType="end"/>
      </w:r>
      <w:r>
        <w:t xml:space="preserve">). </w:t>
      </w:r>
    </w:p>
    <w:p w14:paraId="0C2754D4" w14:textId="77777777" w:rsidR="002B759B" w:rsidRDefault="002B759B" w:rsidP="00EA4BBA">
      <w:pPr>
        <w:pStyle w:val="Title"/>
      </w:pPr>
      <w:r w:rsidRPr="00D46C53">
        <w:lastRenderedPageBreak/>
        <w:drawing>
          <wp:inline distT="0" distB="0" distL="0" distR="0" wp14:anchorId="3B17FF59" wp14:editId="22ABCA08">
            <wp:extent cx="6010275" cy="1819275"/>
            <wp:effectExtent l="0" t="0" r="9525" b="9525"/>
            <wp:docPr id="151"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12">
                      <a:extLst>
                        <a:ext uri="{28A0092B-C50C-407E-A947-70E740481C1C}">
                          <a14:useLocalDpi xmlns:a14="http://schemas.microsoft.com/office/drawing/2010/main" val="0"/>
                        </a:ext>
                      </a:extLst>
                    </a:blip>
                    <a:srcRect l="8282" t="32388" r="21124" b="29597"/>
                    <a:stretch>
                      <a:fillRect/>
                    </a:stretch>
                  </pic:blipFill>
                  <pic:spPr bwMode="auto">
                    <a:xfrm>
                      <a:off x="0" y="0"/>
                      <a:ext cx="6010275" cy="1819275"/>
                    </a:xfrm>
                    <a:prstGeom prst="rect">
                      <a:avLst/>
                    </a:prstGeom>
                    <a:noFill/>
                    <a:ln>
                      <a:noFill/>
                    </a:ln>
                  </pic:spPr>
                </pic:pic>
              </a:graphicData>
            </a:graphic>
          </wp:inline>
        </w:drawing>
      </w:r>
    </w:p>
    <w:p w14:paraId="5BEE04F5" w14:textId="77777777" w:rsidR="002B759B" w:rsidRPr="006D4764" w:rsidRDefault="002B759B" w:rsidP="00EA4BBA">
      <w:pPr>
        <w:pStyle w:val="Caption"/>
      </w:pPr>
      <w:bookmarkStart w:id="180" w:name="_Ref451074977"/>
      <w:r w:rsidRPr="006D4764">
        <w:t xml:space="preserve">Figure </w:t>
      </w:r>
      <w:r w:rsidR="00A47317">
        <w:fldChar w:fldCharType="begin"/>
      </w:r>
      <w:r w:rsidR="00A47317">
        <w:instrText xml:space="preserve"> SEQ Figure \* ARABIC </w:instrText>
      </w:r>
      <w:r w:rsidR="00A47317">
        <w:fldChar w:fldCharType="separate"/>
      </w:r>
      <w:r w:rsidR="00820EB1">
        <w:rPr>
          <w:noProof/>
        </w:rPr>
        <w:t>95</w:t>
      </w:r>
      <w:r w:rsidR="00A47317">
        <w:rPr>
          <w:noProof/>
        </w:rPr>
        <w:fldChar w:fldCharType="end"/>
      </w:r>
      <w:bookmarkEnd w:id="180"/>
      <w:r w:rsidRPr="006D4764">
        <w:t>: Photograph of glass piece from industrial soda-lime-silica batch recovered from the base of the crucible after experiment D3.</w:t>
      </w:r>
    </w:p>
    <w:p w14:paraId="554110D5" w14:textId="77777777" w:rsidR="002B759B" w:rsidRPr="00665552" w:rsidRDefault="002B759B" w:rsidP="002B759B">
      <w:pPr>
        <w:pStyle w:val="Heading3"/>
        <w:keepLines w:val="0"/>
        <w:numPr>
          <w:ilvl w:val="2"/>
          <w:numId w:val="21"/>
        </w:numPr>
        <w:spacing w:before="100" w:after="100"/>
        <w:contextualSpacing w:val="0"/>
      </w:pPr>
      <w:r w:rsidRPr="00665552">
        <w:t xml:space="preserve">Experiment </w:t>
      </w:r>
      <w:r>
        <w:t>D</w:t>
      </w:r>
      <w:r w:rsidRPr="00665552">
        <w:t>4</w:t>
      </w:r>
    </w:p>
    <w:p w14:paraId="3C2F8F73" w14:textId="241C8554" w:rsidR="002B759B" w:rsidRDefault="002B759B" w:rsidP="00A963BF">
      <w:r>
        <w:t xml:space="preserve">The aim of the final experiment was to demonstrate longer term, repeatable operation of the scale up solar glass melting furnace. Also, </w:t>
      </w:r>
      <w:r w:rsidR="00A963BF">
        <w:t xml:space="preserve">the intention </w:t>
      </w:r>
      <w:r>
        <w:t xml:space="preserve">was </w:t>
      </w:r>
      <w:r w:rsidR="00A963BF">
        <w:t xml:space="preserve">to run </w:t>
      </w:r>
      <w:r>
        <w:t xml:space="preserve">a series of consistent melting cycles, maintaining a similar temperature and power profile in order to extract data required to evaluate the efficiency and heat balance of the scale up solar glass melting furnace. However, there were a number of difficulties arising from the outcomes of the previous experiment (D3). Due to the time constraints associated with the limited access </w:t>
      </w:r>
      <w:r w:rsidR="00A963BF">
        <w:t xml:space="preserve">to </w:t>
      </w:r>
      <w:r>
        <w:t xml:space="preserve">the HFSS facility, experiment D4 was the last opportunity to fulfil these aims and there was insufficient time to make the required changes to the experimental setup to completely deal with these difficulties. Firstly, the outlet tube heater was damaged from the previous experiment (D3), because the only way to remove the glass blockage from the previous experiment (D3) was to remove the working tube protecting the heating elements inside the tube heater and it was not possible to replace this leaving the heating elements dangerously exposed. Second, all but one of the custom made fused silica crucibles </w:t>
      </w:r>
      <w:r w:rsidR="00A963BF">
        <w:t xml:space="preserve">had been </w:t>
      </w:r>
      <w:r>
        <w:t>destroyed in the previous experiments (D1-3) so the only remaining crucible available for experiment D4 had a short outlet tube due to an error in its production. Thirdly, the ceramic fibre insulation surrounding the outlet tube heater, which the crucible was supported on had significantly deteriorated during the course of the previous experiments (D1-3) so it was difficult to maintain the crucible in its correct position as it tended to eventually slump to one side when loaded. As a result, it was difficult to align the outlet tube of the crucible in the ideal position within the outlet tube heater</w:t>
      </w:r>
      <w:r w:rsidR="00015F72">
        <w:t xml:space="preserve"> </w:t>
      </w:r>
      <w:r>
        <w:t>- it was too far inside and off-centre.</w:t>
      </w:r>
      <w:r w:rsidR="00A963BF">
        <w:t xml:space="preserve"> Although, e</w:t>
      </w:r>
      <w:r>
        <w:t>fforts were made to correct these issues</w:t>
      </w:r>
      <w:r w:rsidR="00A963BF">
        <w:t>,</w:t>
      </w:r>
      <w:r>
        <w:t xml:space="preserve"> due to time constraints</w:t>
      </w:r>
      <w:r w:rsidR="00A963BF">
        <w:t>,</w:t>
      </w:r>
      <w:r>
        <w:t xml:space="preserve"> it was decided to proceed with the following experiment (D4) despite </w:t>
      </w:r>
      <w:r w:rsidR="00A963BF">
        <w:t>not managing to fully rectify them</w:t>
      </w:r>
      <w:r>
        <w:t xml:space="preserve">. </w:t>
      </w:r>
    </w:p>
    <w:p w14:paraId="079F00FA" w14:textId="4FA8BCF5" w:rsidR="002B759B" w:rsidRDefault="002B759B" w:rsidP="00EA4BBA">
      <w:r>
        <w:t>300 g of the industrial soda-lime-silica batch was preheated overnight to a T</w:t>
      </w:r>
      <w:r>
        <w:rPr>
          <w:vertAlign w:val="subscript"/>
        </w:rPr>
        <w:t>main</w:t>
      </w:r>
      <w:r>
        <w:t xml:space="preserve"> of 1150</w:t>
      </w:r>
      <w:r w:rsidRPr="00CA396D">
        <w:rPr>
          <w:vertAlign w:val="superscript"/>
        </w:rPr>
        <w:t>o</w:t>
      </w:r>
      <w:r>
        <w:t>C and outlet tube heater set point of 900</w:t>
      </w:r>
      <w:r w:rsidRPr="00CA396D">
        <w:rPr>
          <w:vertAlign w:val="superscript"/>
        </w:rPr>
        <w:t>o</w:t>
      </w:r>
      <w:r>
        <w:t xml:space="preserve">C. The experiment proceeded similarly to the previous experiment (D3) but this time a more regular feeding cycle was maintained from </w:t>
      </w:r>
      <w:r w:rsidR="00A963BF">
        <w:t>1h:47m</w:t>
      </w:r>
      <w:r>
        <w:t xml:space="preserve"> to </w:t>
      </w:r>
      <w:r w:rsidR="00A963BF">
        <w:t>3h</w:t>
      </w:r>
      <w:r>
        <w:t>:</w:t>
      </w:r>
      <w:r w:rsidR="00A963BF">
        <w:t>47m</w:t>
      </w:r>
      <w:r>
        <w:t>, with 300g of batch fed per cycle, melting down and recovering to 1460</w:t>
      </w:r>
      <w:r>
        <w:rPr>
          <w:vertAlign w:val="superscript"/>
        </w:rPr>
        <w:t>o</w:t>
      </w:r>
      <w:r>
        <w:t xml:space="preserve">C every 15 </w:t>
      </w:r>
      <w:r>
        <w:lastRenderedPageBreak/>
        <w:t>minutes (</w:t>
      </w:r>
      <w:r>
        <w:rPr>
          <w:i/>
          <w:iCs/>
        </w:rPr>
        <w:fldChar w:fldCharType="begin"/>
      </w:r>
      <w:r>
        <w:instrText xml:space="preserve"> REF _Ref451075318 \h </w:instrText>
      </w:r>
      <w:r>
        <w:rPr>
          <w:i/>
          <w:iCs/>
        </w:rPr>
      </w:r>
      <w:r>
        <w:rPr>
          <w:i/>
          <w:iCs/>
        </w:rPr>
        <w:fldChar w:fldCharType="separate"/>
      </w:r>
      <w:r w:rsidR="00820EB1">
        <w:t xml:space="preserve">Figure </w:t>
      </w:r>
      <w:r w:rsidR="00820EB1">
        <w:rPr>
          <w:noProof/>
        </w:rPr>
        <w:t>96</w:t>
      </w:r>
      <w:r>
        <w:rPr>
          <w:i/>
          <w:iCs/>
        </w:rPr>
        <w:fldChar w:fldCharType="end"/>
      </w:r>
      <w:r>
        <w:t>).</w:t>
      </w:r>
      <w:r w:rsidR="009A4ECB" w:rsidRPr="009A4ECB">
        <w:rPr>
          <w:noProof/>
        </w:rPr>
        <w:t xml:space="preserve"> </w:t>
      </w:r>
      <w:r w:rsidR="009A4ECB">
        <w:rPr>
          <w:noProof/>
        </w:rPr>
        <w:drawing>
          <wp:inline distT="0" distB="0" distL="0" distR="0" wp14:anchorId="384D70CA" wp14:editId="1DBF5BC5">
            <wp:extent cx="5342605" cy="11052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5070" t="56025" r="14296" b="24694"/>
                    <a:stretch/>
                  </pic:blipFill>
                  <pic:spPr bwMode="auto">
                    <a:xfrm>
                      <a:off x="0" y="0"/>
                      <a:ext cx="5411350" cy="1119452"/>
                    </a:xfrm>
                    <a:prstGeom prst="rect">
                      <a:avLst/>
                    </a:prstGeom>
                    <a:ln>
                      <a:noFill/>
                    </a:ln>
                    <a:extLst>
                      <a:ext uri="{53640926-AAD7-44D8-BBD7-CCE9431645EC}">
                        <a14:shadowObscured xmlns:a14="http://schemas.microsoft.com/office/drawing/2010/main"/>
                      </a:ext>
                    </a:extLst>
                  </pic:spPr>
                </pic:pic>
              </a:graphicData>
            </a:graphic>
          </wp:inline>
        </w:drawing>
      </w:r>
    </w:p>
    <w:p w14:paraId="79F53442" w14:textId="0493E688" w:rsidR="002B759B" w:rsidRDefault="002B759B" w:rsidP="00EA4BBA">
      <w:pPr>
        <w:pStyle w:val="Caption"/>
        <w:keepNext/>
      </w:pPr>
      <w:bookmarkStart w:id="181" w:name="_Ref427167227"/>
    </w:p>
    <w:p w14:paraId="4EE2C615" w14:textId="216B5D05" w:rsidR="002B759B" w:rsidRDefault="002B759B" w:rsidP="00EA4BBA">
      <w:pPr>
        <w:pStyle w:val="Caption"/>
      </w:pPr>
      <w:bookmarkStart w:id="182" w:name="_Ref451075318"/>
      <w:r>
        <w:t xml:space="preserve">Figure </w:t>
      </w:r>
      <w:r w:rsidR="00A47317">
        <w:fldChar w:fldCharType="begin"/>
      </w:r>
      <w:r w:rsidR="00A47317">
        <w:instrText xml:space="preserve"> SEQ Figure \* ARABIC </w:instrText>
      </w:r>
      <w:r w:rsidR="00A47317">
        <w:fldChar w:fldCharType="separate"/>
      </w:r>
      <w:r w:rsidR="00820EB1">
        <w:rPr>
          <w:noProof/>
        </w:rPr>
        <w:t>96</w:t>
      </w:r>
      <w:r w:rsidR="00A47317">
        <w:rPr>
          <w:noProof/>
        </w:rPr>
        <w:fldChar w:fldCharType="end"/>
      </w:r>
      <w:bookmarkEnd w:id="182"/>
      <w:r w:rsidRPr="00B807FA">
        <w:t>: Snapshots of the part of the glass melt surface visible though beam inlet aperture showing progression of a typical melt during experiment D4 with the time (mm:ss) from the start of  a new batch feed shown above each snapshot.</w:t>
      </w:r>
      <w:r w:rsidR="009A4ECB">
        <w:t xml:space="preserve"> Scale bar based on the 6 cm Ø aperture.</w:t>
      </w:r>
    </w:p>
    <w:bookmarkEnd w:id="181"/>
    <w:p w14:paraId="6CD5E214" w14:textId="38FF9AB7" w:rsidR="002B759B" w:rsidRPr="001717D2" w:rsidRDefault="002B759B" w:rsidP="00EA4BBA">
      <w:r>
        <w:t>These consistent feeding cycles were repeated seven times, during which time the radiative power supply from the beam was maintained at 5.26 kW. Then the accumulated glass was held for an hour at 1470-1490</w:t>
      </w:r>
      <w:r>
        <w:rPr>
          <w:vertAlign w:val="superscript"/>
        </w:rPr>
        <w:t>o</w:t>
      </w:r>
      <w:r>
        <w:t xml:space="preserve">C. During this fining period the power was gradually reduced to prevent overheating. Then at </w:t>
      </w:r>
      <w:r w:rsidR="009A4ECB" w:rsidRPr="009A4ECB">
        <w:t>4h:58m:27s</w:t>
      </w:r>
      <w:r>
        <w:t xml:space="preserve"> the beam was switched off in order to enter the experimental room to attempt casting (</w:t>
      </w:r>
      <w:r>
        <w:fldChar w:fldCharType="begin"/>
      </w:r>
      <w:r>
        <w:instrText xml:space="preserve"> REF _Ref428543865 \h </w:instrText>
      </w:r>
      <w:r>
        <w:fldChar w:fldCharType="separate"/>
      </w:r>
      <w:r w:rsidR="00820EB1">
        <w:t xml:space="preserve">Figure </w:t>
      </w:r>
      <w:r w:rsidR="00820EB1">
        <w:rPr>
          <w:noProof/>
        </w:rPr>
        <w:t>97</w:t>
      </w:r>
      <w:r>
        <w:fldChar w:fldCharType="end"/>
      </w:r>
      <w:r>
        <w:t xml:space="preserve">). </w:t>
      </w:r>
    </w:p>
    <w:p w14:paraId="644EF9EC" w14:textId="77777777" w:rsidR="002B759B" w:rsidRDefault="002B759B" w:rsidP="00EA4BBA">
      <w:pPr>
        <w:pStyle w:val="Title"/>
      </w:pPr>
      <w:r w:rsidRPr="00D46C53">
        <w:drawing>
          <wp:inline distT="0" distB="0" distL="0" distR="0" wp14:anchorId="4B6882B9" wp14:editId="036BC69B">
            <wp:extent cx="5505450" cy="3143250"/>
            <wp:effectExtent l="0" t="0" r="0" b="0"/>
            <wp:docPr id="14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05450" cy="3143250"/>
                    </a:xfrm>
                    <a:prstGeom prst="rect">
                      <a:avLst/>
                    </a:prstGeom>
                    <a:noFill/>
                    <a:ln>
                      <a:noFill/>
                    </a:ln>
                  </pic:spPr>
                </pic:pic>
              </a:graphicData>
            </a:graphic>
          </wp:inline>
        </w:drawing>
      </w:r>
    </w:p>
    <w:p w14:paraId="44D6B8DD" w14:textId="77777777" w:rsidR="002B759B" w:rsidRDefault="002B759B" w:rsidP="00EA4BBA">
      <w:pPr>
        <w:pStyle w:val="Caption"/>
      </w:pPr>
      <w:bookmarkStart w:id="183" w:name="_Ref428543865"/>
      <w:r>
        <w:t xml:space="preserve">Figure </w:t>
      </w:r>
      <w:r w:rsidR="00A47317">
        <w:fldChar w:fldCharType="begin"/>
      </w:r>
      <w:r w:rsidR="00A47317">
        <w:instrText xml:space="preserve"> SEQ Figure \* ARABIC </w:instrText>
      </w:r>
      <w:r w:rsidR="00A47317">
        <w:fldChar w:fldCharType="separate"/>
      </w:r>
      <w:r w:rsidR="00820EB1">
        <w:rPr>
          <w:noProof/>
        </w:rPr>
        <w:t>97</w:t>
      </w:r>
      <w:r w:rsidR="00A47317">
        <w:rPr>
          <w:noProof/>
        </w:rPr>
        <w:fldChar w:fldCharType="end"/>
      </w:r>
      <w:bookmarkEnd w:id="183"/>
      <w:r>
        <w:t>: Temperatures, beam power and mass of batch fed during melting and fining period of experiment D4.</w:t>
      </w:r>
    </w:p>
    <w:p w14:paraId="7C7EBFDD" w14:textId="77777777" w:rsidR="002B759B" w:rsidRDefault="002B759B" w:rsidP="00EA4BBA">
      <w:r>
        <w:t xml:space="preserve">However, since the outlet tube was too short and misaligned due to degradation of the ceramic fibre blanket which the crucible was seated on, the glass which flowed from the outlet tube adhered to the inside of the outlet tube heater. Since the protective working tube inside the tube heater was destroyed in the previous experiment, the glass produced contacted directly with the exposed heating elements thus destroying the outlet tube heater. Therefore, control of the outlet </w:t>
      </w:r>
      <w:r>
        <w:lastRenderedPageBreak/>
        <w:t xml:space="preserve">glass flow was lost and could not be restored without reconstructing the outlet tube heater so this ended the final experimental series of the project. </w:t>
      </w:r>
    </w:p>
    <w:p w14:paraId="2593695D" w14:textId="77777777" w:rsidR="002B759B" w:rsidRDefault="002B759B" w:rsidP="002B759B">
      <w:pPr>
        <w:pStyle w:val="Heading2"/>
        <w:numPr>
          <w:ilvl w:val="1"/>
          <w:numId w:val="21"/>
        </w:numPr>
        <w:spacing w:before="100" w:after="100"/>
        <w:contextualSpacing w:val="0"/>
      </w:pPr>
      <w:bookmarkStart w:id="184" w:name="_Ref426991075"/>
      <w:bookmarkStart w:id="185" w:name="_Ref450514943"/>
      <w:bookmarkStart w:id="186" w:name="_Toc473995172"/>
      <w:r>
        <w:t>Calorimeter measurements</w:t>
      </w:r>
      <w:bookmarkEnd w:id="184"/>
      <w:r>
        <w:t xml:space="preserve"> (E1)</w:t>
      </w:r>
      <w:bookmarkEnd w:id="185"/>
      <w:bookmarkEnd w:id="186"/>
    </w:p>
    <w:p w14:paraId="233DD3CD" w14:textId="4E6F343C" w:rsidR="002B759B" w:rsidRDefault="002B759B" w:rsidP="00EA4BBA">
      <w:r>
        <w:t xml:space="preserve">In a separate experiment (E1), a calorimeter was used to evaluate the radiative power supplied by the HFSS beam to the scale up solar glass melting furnace. The calorimeter consisted of an insulated cavity with a 6 cm diameter beam inlet aperture and a flow of water contained inside copper tubes completely covering the inside surface of the cavity. The radiative power supply from the beam entering the cavity via the aperture </w:t>
      </w:r>
      <w:r w:rsidR="009A4ECB">
        <w:t>was</w:t>
      </w:r>
      <w:r>
        <w:t xml:space="preserve"> calculated by measuring the water flow rate and temperatures at the inlet and outlet of the calorimeter. For these measurements, the solar-heated glass melting furnace was replaced with the calorimeter positioned exactly where the furnace was with respect to the HFSS beam (as shown in </w:t>
      </w:r>
      <w:r>
        <w:fldChar w:fldCharType="begin"/>
      </w:r>
      <w:r>
        <w:instrText xml:space="preserve"> REF _Ref426925335 \h </w:instrText>
      </w:r>
      <w:r>
        <w:fldChar w:fldCharType="separate"/>
      </w:r>
      <w:r w:rsidR="00820EB1" w:rsidRPr="007B28A7">
        <w:t xml:space="preserve">Figure </w:t>
      </w:r>
      <w:r w:rsidR="00820EB1">
        <w:rPr>
          <w:noProof/>
        </w:rPr>
        <w:t>54</w:t>
      </w:r>
      <w:r>
        <w:fldChar w:fldCharType="end"/>
      </w:r>
      <w:r>
        <w:t xml:space="preserve">) with the 6 cm beam inlet aperture of the calorimeter coinciding with where the 6 cm beam inlet aperture of the furnace was. In order to ensure the measurements from the calorimeter were comparable to the experiments conducted with the furnace, everything which was around the path of the beam from the HFSS to the beam inlet aperture of the solar-heated glass furnace during the experiments, were kept in the exact same locations during the calorimeter measurements, as show in </w:t>
      </w:r>
      <w:r>
        <w:fldChar w:fldCharType="begin"/>
      </w:r>
      <w:r>
        <w:instrText xml:space="preserve"> REF _Ref428547782 \h </w:instrText>
      </w:r>
      <w:r>
        <w:fldChar w:fldCharType="separate"/>
      </w:r>
      <w:r w:rsidR="00820EB1">
        <w:t xml:space="preserve">Figure </w:t>
      </w:r>
      <w:r w:rsidR="00820EB1">
        <w:rPr>
          <w:noProof/>
        </w:rPr>
        <w:t>98</w:t>
      </w:r>
      <w:r>
        <w:fldChar w:fldCharType="end"/>
      </w:r>
      <w:r>
        <w:t>. Furthermore, the top plate of furnace was positioned in exact</w:t>
      </w:r>
      <w:r w:rsidR="009A4ECB">
        <w:t>ly the</w:t>
      </w:r>
      <w:r>
        <w:t xml:space="preserve"> same location as it was on the furnace. Also, the batch feed chute and heat shield for the feeder were kept in place to take into account their shading effects. Finally, aluminium foil was used to cover the section corresponding to face of the furnace closest to the HFSS (</w:t>
      </w:r>
      <w:r>
        <w:fldChar w:fldCharType="begin"/>
      </w:r>
      <w:r>
        <w:instrText xml:space="preserve"> REF _Ref428547782 \h </w:instrText>
      </w:r>
      <w:r>
        <w:fldChar w:fldCharType="separate"/>
      </w:r>
      <w:r w:rsidR="00820EB1">
        <w:t xml:space="preserve">Figure </w:t>
      </w:r>
      <w:r w:rsidR="00820EB1">
        <w:rPr>
          <w:noProof/>
        </w:rPr>
        <w:t>98</w:t>
      </w:r>
      <w:r>
        <w:fldChar w:fldCharType="end"/>
      </w:r>
      <w:r>
        <w:t>).</w:t>
      </w:r>
    </w:p>
    <w:p w14:paraId="15F33019" w14:textId="77777777" w:rsidR="002B759B" w:rsidRDefault="002B759B" w:rsidP="00EA4BBA">
      <w:r w:rsidRPr="00D46C53">
        <w:rPr>
          <w:noProof/>
        </w:rPr>
        <w:drawing>
          <wp:inline distT="0" distB="0" distL="0" distR="0" wp14:anchorId="58AEE227" wp14:editId="4826D4B3">
            <wp:extent cx="5076825" cy="3200400"/>
            <wp:effectExtent l="0" t="0" r="9525" b="0"/>
            <wp:docPr id="145"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15">
                      <a:extLst>
                        <a:ext uri="{28A0092B-C50C-407E-A947-70E740481C1C}">
                          <a14:useLocalDpi xmlns:a14="http://schemas.microsoft.com/office/drawing/2010/main" val="0"/>
                        </a:ext>
                      </a:extLst>
                    </a:blip>
                    <a:srcRect l="14902" t="7227" r="15701" b="14867"/>
                    <a:stretch>
                      <a:fillRect/>
                    </a:stretch>
                  </pic:blipFill>
                  <pic:spPr bwMode="auto">
                    <a:xfrm>
                      <a:off x="0" y="0"/>
                      <a:ext cx="5076825" cy="3200400"/>
                    </a:xfrm>
                    <a:prstGeom prst="rect">
                      <a:avLst/>
                    </a:prstGeom>
                    <a:noFill/>
                    <a:ln>
                      <a:noFill/>
                    </a:ln>
                  </pic:spPr>
                </pic:pic>
              </a:graphicData>
            </a:graphic>
          </wp:inline>
        </w:drawing>
      </w:r>
    </w:p>
    <w:p w14:paraId="2D88F3A5" w14:textId="77777777" w:rsidR="002B759B" w:rsidRDefault="002B759B" w:rsidP="00EA4BBA">
      <w:pPr>
        <w:pStyle w:val="Caption"/>
      </w:pPr>
      <w:bookmarkStart w:id="187" w:name="_Ref428547782"/>
      <w:r>
        <w:t xml:space="preserve">Figure </w:t>
      </w:r>
      <w:r w:rsidR="00A47317">
        <w:fldChar w:fldCharType="begin"/>
      </w:r>
      <w:r w:rsidR="00A47317">
        <w:instrText xml:space="preserve"> SEQ Figure \* ARABIC </w:instrText>
      </w:r>
      <w:r w:rsidR="00A47317">
        <w:fldChar w:fldCharType="separate"/>
      </w:r>
      <w:r w:rsidR="00820EB1">
        <w:rPr>
          <w:noProof/>
        </w:rPr>
        <w:t>98</w:t>
      </w:r>
      <w:r w:rsidR="00A47317">
        <w:rPr>
          <w:noProof/>
        </w:rPr>
        <w:fldChar w:fldCharType="end"/>
      </w:r>
      <w:bookmarkEnd w:id="187"/>
      <w:r>
        <w:t>: Calorimeter setup in place of the scale-up solar glass melting furnace for comparable radiative power input measurements.</w:t>
      </w:r>
    </w:p>
    <w:p w14:paraId="79F7BC22" w14:textId="1E49A8FF" w:rsidR="002B759B" w:rsidRPr="00336B11" w:rsidRDefault="002B759B" w:rsidP="00336B11">
      <w:r>
        <w:lastRenderedPageBreak/>
        <w:t>Once the calorimeter was set up in position (</w:t>
      </w:r>
      <w:r>
        <w:fldChar w:fldCharType="begin"/>
      </w:r>
      <w:r>
        <w:instrText xml:space="preserve"> REF _Ref428547782 \h </w:instrText>
      </w:r>
      <w:r>
        <w:fldChar w:fldCharType="separate"/>
      </w:r>
      <w:r w:rsidR="00820EB1">
        <w:t xml:space="preserve">Figure </w:t>
      </w:r>
      <w:r w:rsidR="00820EB1">
        <w:rPr>
          <w:noProof/>
        </w:rPr>
        <w:t>98</w:t>
      </w:r>
      <w:r>
        <w:fldChar w:fldCharType="end"/>
      </w:r>
      <w:r>
        <w:t xml:space="preserve">), the beam was switched on and the power recorded by the calorimeter was logged. The beam power was adjusted incrementally within the range it was used during the course of the scale-up solar glass melting experiments i.e. from 80-100% in increments of 5% with all 6 lamps used during the experiments kept on. Comparing the </w:t>
      </w:r>
      <w:r w:rsidRPr="009C6411">
        <w:rPr>
          <w:i/>
        </w:rPr>
        <w:t>radiative power</w:t>
      </w:r>
      <w:r>
        <w:t xml:space="preserve"> recorded by the calorimeter to the </w:t>
      </w:r>
      <w:r w:rsidRPr="009C6411">
        <w:rPr>
          <w:i/>
        </w:rPr>
        <w:t>indicative power</w:t>
      </w:r>
      <w:r>
        <w:t xml:space="preserve"> (% shutter opening </w:t>
      </w:r>
      <m:oMath>
        <m:r>
          <w:rPr>
            <w:rFonts w:ascii="Cambria Math" w:hAnsi="Cambria Math"/>
          </w:rPr>
          <m:t>×</m:t>
        </m:r>
      </m:oMath>
      <w:r>
        <w:t xml:space="preserve"> electrical power supplied to the </w:t>
      </w:r>
      <w:r w:rsidR="00336B11">
        <w:t xml:space="preserve">lamps </w:t>
      </w:r>
      <m:oMath>
        <m:r>
          <m:rPr>
            <m:sty m:val="p"/>
          </m:rPr>
          <w:rPr>
            <w:rFonts w:ascii="Cambria Math" w:hAnsi="Cambria Math"/>
          </w:rPr>
          <m:t>×</m:t>
        </m:r>
      </m:oMath>
      <w:r w:rsidR="00336B11">
        <w:t xml:space="preserve"> lamps’ shading factors</w:t>
      </w:r>
      <w:r>
        <w:t>) a reasonably constant (+3.3% /-2.7%) ratio of 1:0.0809 respectively was found</w:t>
      </w:r>
      <w:r w:rsidR="00336B11">
        <w:t>.</w:t>
      </w:r>
      <w:r w:rsidR="00336B11" w:rsidRPr="00336B11">
        <w:t xml:space="preserve"> </w:t>
      </w:r>
      <w:r w:rsidR="00336B11">
        <w:t xml:space="preserve">As noted in section 5.5.2, this value was </w:t>
      </w:r>
      <w:r>
        <w:t>used to infer the radiative power supplied to the scale-up solar glass melting furnace from the indicative power logged during experiment</w:t>
      </w:r>
      <w:r w:rsidR="00336B11">
        <w:t>s</w:t>
      </w:r>
      <w:r>
        <w:t xml:space="preserve"> </w:t>
      </w:r>
      <w:r w:rsidR="00336B11">
        <w:t>D1-4</w:t>
      </w:r>
      <w:r>
        <w:t>.</w:t>
      </w:r>
    </w:p>
    <w:p w14:paraId="2FF95139" w14:textId="77777777" w:rsidR="002B759B" w:rsidRDefault="002B759B" w:rsidP="002B759B">
      <w:pPr>
        <w:pStyle w:val="Heading2"/>
        <w:numPr>
          <w:ilvl w:val="1"/>
          <w:numId w:val="21"/>
        </w:numPr>
        <w:spacing w:before="100" w:after="100"/>
        <w:contextualSpacing w:val="0"/>
      </w:pPr>
      <w:bookmarkStart w:id="188" w:name="_Toc473995173"/>
      <w:r>
        <w:t>Analysis</w:t>
      </w:r>
      <w:bookmarkEnd w:id="188"/>
      <w:r>
        <w:t xml:space="preserve"> </w:t>
      </w:r>
    </w:p>
    <w:p w14:paraId="0AADCEB4" w14:textId="77777777" w:rsidR="002B759B" w:rsidRDefault="002B759B" w:rsidP="00EA4BBA">
      <w:bookmarkStart w:id="189" w:name="_Ref427424190"/>
      <w:r>
        <w:t xml:space="preserve">The following analysis was calculated for the period from 1h:45m:37s to </w:t>
      </w:r>
      <w:r w:rsidRPr="00400556">
        <w:t>3h:53m:42s</w:t>
      </w:r>
      <w:r>
        <w:t xml:space="preserve"> of experiment D4, corresponding to a period of regular solar-heated melting cycles. All the parameters used in this analysis are shown in </w:t>
      </w:r>
      <w:r>
        <w:fldChar w:fldCharType="begin"/>
      </w:r>
      <w:r>
        <w:instrText xml:space="preserve"> REF _Ref451076922 \h </w:instrText>
      </w:r>
      <w:r>
        <w:fldChar w:fldCharType="separate"/>
      </w:r>
      <w:r w:rsidR="00820EB1">
        <w:t xml:space="preserve">Table </w:t>
      </w:r>
      <w:r w:rsidR="00820EB1">
        <w:rPr>
          <w:noProof/>
        </w:rPr>
        <w:t>5</w:t>
      </w:r>
      <w:r>
        <w:fldChar w:fldCharType="end"/>
      </w:r>
      <w:r>
        <w:t>.</w:t>
      </w:r>
    </w:p>
    <w:p w14:paraId="48DF7E72" w14:textId="4F70A4BB" w:rsidR="002B759B" w:rsidRPr="00676091" w:rsidRDefault="002B759B" w:rsidP="00EA4BBA">
      <w:r>
        <w:t>It can be seen from the process data for this period, as summarised in (</w:t>
      </w:r>
      <w:r>
        <w:fldChar w:fldCharType="begin"/>
      </w:r>
      <w:r>
        <w:instrText xml:space="preserve"> REF _Ref428543865 \h </w:instrText>
      </w:r>
      <w:r>
        <w:fldChar w:fldCharType="separate"/>
      </w:r>
      <w:r w:rsidR="00820EB1">
        <w:t xml:space="preserve">Figure </w:t>
      </w:r>
      <w:r w:rsidR="00820EB1">
        <w:rPr>
          <w:noProof/>
        </w:rPr>
        <w:t>97</w:t>
      </w:r>
      <w:r>
        <w:fldChar w:fldCharType="end"/>
      </w:r>
      <w:r>
        <w:t xml:space="preserve">) and </w:t>
      </w:r>
      <w:r>
        <w:fldChar w:fldCharType="begin"/>
      </w:r>
      <w:r>
        <w:instrText xml:space="preserve"> REF _Ref443920664 \h </w:instrText>
      </w:r>
      <w:r>
        <w:fldChar w:fldCharType="separate"/>
      </w:r>
      <w:r w:rsidR="00820EB1" w:rsidRPr="00676091">
        <w:t xml:space="preserve">Table </w:t>
      </w:r>
      <w:r w:rsidR="00820EB1">
        <w:rPr>
          <w:noProof/>
        </w:rPr>
        <w:t>4</w:t>
      </w:r>
      <w:r>
        <w:fldChar w:fldCharType="end"/>
      </w:r>
      <w:r>
        <w:t>, that the consecutive feeding cycles during this period were very similar in terms of temperature, power input and mass of batch fed so, for the following analysis, these measurements were averaged over the analysed period (</w:t>
      </w:r>
      <w:r>
        <w:fldChar w:fldCharType="begin"/>
      </w:r>
      <w:r>
        <w:instrText xml:space="preserve"> REF _Ref443920664 \h </w:instrText>
      </w:r>
      <w:r>
        <w:fldChar w:fldCharType="separate"/>
      </w:r>
      <w:r w:rsidR="00820EB1" w:rsidRPr="00676091">
        <w:t xml:space="preserve">Table </w:t>
      </w:r>
      <w:r w:rsidR="00820EB1">
        <w:rPr>
          <w:noProof/>
        </w:rPr>
        <w:t>4</w:t>
      </w:r>
      <w:r>
        <w:fldChar w:fldCharType="end"/>
      </w:r>
      <w:r>
        <w:t xml:space="preserve">) and steady state conditions were assumed.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275"/>
        <w:gridCol w:w="1276"/>
        <w:gridCol w:w="992"/>
        <w:gridCol w:w="992"/>
        <w:gridCol w:w="1276"/>
      </w:tblGrid>
      <w:tr w:rsidR="002B759B" w:rsidRPr="00396E77" w14:paraId="7E0B9126" w14:textId="77777777" w:rsidTr="00EA4BBA">
        <w:trPr>
          <w:trHeight w:val="788"/>
          <w:jc w:val="center"/>
        </w:trPr>
        <w:tc>
          <w:tcPr>
            <w:tcW w:w="988" w:type="dxa"/>
            <w:shd w:val="clear" w:color="auto" w:fill="auto"/>
          </w:tcPr>
          <w:p w14:paraId="4102B7F3" w14:textId="77777777" w:rsidR="002B759B" w:rsidRPr="00434024" w:rsidRDefault="002B759B" w:rsidP="00EA4BBA">
            <w:pPr>
              <w:pStyle w:val="Subtitle"/>
            </w:pPr>
            <w:r w:rsidRPr="00434024">
              <w:t>Cycle ID</w:t>
            </w:r>
          </w:p>
        </w:tc>
        <w:tc>
          <w:tcPr>
            <w:tcW w:w="1275" w:type="dxa"/>
            <w:shd w:val="clear" w:color="auto" w:fill="auto"/>
          </w:tcPr>
          <w:p w14:paraId="2057CBA2" w14:textId="77777777" w:rsidR="002B759B" w:rsidRPr="00434024" w:rsidRDefault="002B759B" w:rsidP="00EA4BBA">
            <w:pPr>
              <w:pStyle w:val="Subtitle"/>
            </w:pPr>
            <w:r w:rsidRPr="00434024">
              <w:t>Start time (hh:mm:ss)</w:t>
            </w:r>
          </w:p>
        </w:tc>
        <w:tc>
          <w:tcPr>
            <w:tcW w:w="1276" w:type="dxa"/>
            <w:shd w:val="clear" w:color="auto" w:fill="auto"/>
          </w:tcPr>
          <w:p w14:paraId="632BBDF9" w14:textId="77777777" w:rsidR="002B759B" w:rsidRPr="00434024" w:rsidRDefault="002B759B" w:rsidP="00EA4BBA">
            <w:pPr>
              <w:pStyle w:val="Subtitle"/>
            </w:pPr>
            <w:r w:rsidRPr="00434024">
              <w:t>Start temperature (</w:t>
            </w:r>
            <w:r w:rsidRPr="00F52EC2">
              <w:rPr>
                <w:vertAlign w:val="superscript"/>
              </w:rPr>
              <w:t>o</w:t>
            </w:r>
            <w:r w:rsidRPr="00434024">
              <w:t>C)</w:t>
            </w:r>
          </w:p>
        </w:tc>
        <w:tc>
          <w:tcPr>
            <w:tcW w:w="992" w:type="dxa"/>
            <w:shd w:val="clear" w:color="auto" w:fill="auto"/>
          </w:tcPr>
          <w:p w14:paraId="2023D52C" w14:textId="77777777" w:rsidR="002B759B" w:rsidRPr="00434024" w:rsidRDefault="002B759B" w:rsidP="00EA4BBA">
            <w:pPr>
              <w:pStyle w:val="Subtitle"/>
            </w:pPr>
            <w:r w:rsidRPr="00434024">
              <w:t>Cycle period (s)</w:t>
            </w:r>
          </w:p>
        </w:tc>
        <w:tc>
          <w:tcPr>
            <w:tcW w:w="992" w:type="dxa"/>
            <w:shd w:val="clear" w:color="auto" w:fill="auto"/>
          </w:tcPr>
          <w:p w14:paraId="19B5B90D" w14:textId="77777777" w:rsidR="002B759B" w:rsidRPr="00434024" w:rsidRDefault="002B759B" w:rsidP="00EA4BBA">
            <w:pPr>
              <w:pStyle w:val="Subtitle"/>
            </w:pPr>
            <w:r w:rsidRPr="00434024">
              <w:t>Mass of batch fed (g)</w:t>
            </w:r>
          </w:p>
        </w:tc>
        <w:tc>
          <w:tcPr>
            <w:tcW w:w="1276" w:type="dxa"/>
            <w:shd w:val="clear" w:color="auto" w:fill="auto"/>
          </w:tcPr>
          <w:p w14:paraId="6B88E6CF" w14:textId="77777777" w:rsidR="002B759B" w:rsidRPr="00434024" w:rsidRDefault="002B759B" w:rsidP="00EA4BBA">
            <w:pPr>
              <w:pStyle w:val="Subtitle"/>
            </w:pPr>
            <w:r w:rsidRPr="00434024">
              <w:t>Radiative power supply (w)</w:t>
            </w:r>
          </w:p>
        </w:tc>
      </w:tr>
      <w:tr w:rsidR="002B759B" w:rsidRPr="00396E77" w14:paraId="6D84CD4C" w14:textId="77777777" w:rsidTr="00EA4BBA">
        <w:trPr>
          <w:trHeight w:val="20"/>
          <w:jc w:val="center"/>
        </w:trPr>
        <w:tc>
          <w:tcPr>
            <w:tcW w:w="988" w:type="dxa"/>
            <w:shd w:val="clear" w:color="auto" w:fill="auto"/>
          </w:tcPr>
          <w:p w14:paraId="1CCC6C0C" w14:textId="77777777" w:rsidR="002B759B" w:rsidRPr="00434024" w:rsidRDefault="002B759B" w:rsidP="00EA4BBA">
            <w:pPr>
              <w:pStyle w:val="Subtitle"/>
            </w:pPr>
            <w:r w:rsidRPr="00434024">
              <w:t>1</w:t>
            </w:r>
          </w:p>
        </w:tc>
        <w:tc>
          <w:tcPr>
            <w:tcW w:w="1275" w:type="dxa"/>
            <w:shd w:val="clear" w:color="auto" w:fill="auto"/>
          </w:tcPr>
          <w:p w14:paraId="6959CAF8" w14:textId="77777777" w:rsidR="002B759B" w:rsidRPr="00434024" w:rsidRDefault="002B759B" w:rsidP="00EA4BBA">
            <w:pPr>
              <w:pStyle w:val="Subtitle"/>
            </w:pPr>
            <w:r w:rsidRPr="00434024">
              <w:t>01:45:37</w:t>
            </w:r>
          </w:p>
        </w:tc>
        <w:tc>
          <w:tcPr>
            <w:tcW w:w="1276" w:type="dxa"/>
            <w:shd w:val="clear" w:color="auto" w:fill="auto"/>
          </w:tcPr>
          <w:p w14:paraId="34CC784B" w14:textId="77777777" w:rsidR="002B759B" w:rsidRPr="00434024" w:rsidRDefault="002B759B" w:rsidP="00EA4BBA">
            <w:pPr>
              <w:pStyle w:val="Subtitle"/>
            </w:pPr>
            <w:r w:rsidRPr="00434024">
              <w:t>1452</w:t>
            </w:r>
          </w:p>
        </w:tc>
        <w:tc>
          <w:tcPr>
            <w:tcW w:w="992" w:type="dxa"/>
            <w:shd w:val="clear" w:color="auto" w:fill="auto"/>
          </w:tcPr>
          <w:p w14:paraId="232F93D0" w14:textId="77777777" w:rsidR="002B759B" w:rsidRPr="00434024" w:rsidRDefault="002B759B" w:rsidP="00EA4BBA">
            <w:pPr>
              <w:pStyle w:val="Subtitle"/>
            </w:pPr>
            <w:r w:rsidRPr="00434024">
              <w:t>892</w:t>
            </w:r>
          </w:p>
        </w:tc>
        <w:tc>
          <w:tcPr>
            <w:tcW w:w="992" w:type="dxa"/>
            <w:shd w:val="clear" w:color="auto" w:fill="auto"/>
          </w:tcPr>
          <w:p w14:paraId="73465FBC" w14:textId="77777777" w:rsidR="002B759B" w:rsidRPr="00434024" w:rsidRDefault="002B759B" w:rsidP="00EA4BBA">
            <w:pPr>
              <w:pStyle w:val="Subtitle"/>
            </w:pPr>
            <w:r w:rsidRPr="00434024">
              <w:t>300</w:t>
            </w:r>
          </w:p>
        </w:tc>
        <w:tc>
          <w:tcPr>
            <w:tcW w:w="1276" w:type="dxa"/>
            <w:shd w:val="clear" w:color="auto" w:fill="auto"/>
          </w:tcPr>
          <w:p w14:paraId="6DD3B2F2" w14:textId="77777777" w:rsidR="002B759B" w:rsidRPr="00434024" w:rsidRDefault="002B759B" w:rsidP="00EA4BBA">
            <w:pPr>
              <w:pStyle w:val="Subtitle"/>
            </w:pPr>
            <w:r w:rsidRPr="00434024">
              <w:t>5264</w:t>
            </w:r>
          </w:p>
        </w:tc>
      </w:tr>
      <w:tr w:rsidR="002B759B" w:rsidRPr="00396E77" w14:paraId="0EFC1E9D" w14:textId="77777777" w:rsidTr="00EA4BBA">
        <w:trPr>
          <w:trHeight w:val="20"/>
          <w:jc w:val="center"/>
        </w:trPr>
        <w:tc>
          <w:tcPr>
            <w:tcW w:w="988" w:type="dxa"/>
            <w:shd w:val="clear" w:color="auto" w:fill="auto"/>
          </w:tcPr>
          <w:p w14:paraId="1AC4BF4B" w14:textId="77777777" w:rsidR="002B759B" w:rsidRPr="00434024" w:rsidRDefault="002B759B" w:rsidP="00EA4BBA">
            <w:pPr>
              <w:pStyle w:val="Subtitle"/>
            </w:pPr>
            <w:r w:rsidRPr="00434024">
              <w:t>2</w:t>
            </w:r>
          </w:p>
        </w:tc>
        <w:tc>
          <w:tcPr>
            <w:tcW w:w="1275" w:type="dxa"/>
            <w:shd w:val="clear" w:color="auto" w:fill="auto"/>
          </w:tcPr>
          <w:p w14:paraId="08EB5C44" w14:textId="77777777" w:rsidR="002B759B" w:rsidRPr="00434024" w:rsidRDefault="002B759B" w:rsidP="00EA4BBA">
            <w:pPr>
              <w:pStyle w:val="Subtitle"/>
            </w:pPr>
            <w:r w:rsidRPr="00434024">
              <w:t>02:00:29</w:t>
            </w:r>
          </w:p>
        </w:tc>
        <w:tc>
          <w:tcPr>
            <w:tcW w:w="1276" w:type="dxa"/>
            <w:shd w:val="clear" w:color="auto" w:fill="auto"/>
          </w:tcPr>
          <w:p w14:paraId="483F6323" w14:textId="77777777" w:rsidR="002B759B" w:rsidRPr="00434024" w:rsidRDefault="002B759B" w:rsidP="00EA4BBA">
            <w:pPr>
              <w:pStyle w:val="Subtitle"/>
            </w:pPr>
            <w:r w:rsidRPr="00434024">
              <w:t>1462</w:t>
            </w:r>
          </w:p>
        </w:tc>
        <w:tc>
          <w:tcPr>
            <w:tcW w:w="992" w:type="dxa"/>
            <w:shd w:val="clear" w:color="auto" w:fill="auto"/>
          </w:tcPr>
          <w:p w14:paraId="42CB05AA" w14:textId="77777777" w:rsidR="002B759B" w:rsidRPr="00434024" w:rsidRDefault="002B759B" w:rsidP="00EA4BBA">
            <w:pPr>
              <w:pStyle w:val="Subtitle"/>
            </w:pPr>
            <w:r w:rsidRPr="00434024">
              <w:t>822</w:t>
            </w:r>
          </w:p>
        </w:tc>
        <w:tc>
          <w:tcPr>
            <w:tcW w:w="992" w:type="dxa"/>
            <w:shd w:val="clear" w:color="auto" w:fill="auto"/>
          </w:tcPr>
          <w:p w14:paraId="01A51D55" w14:textId="77777777" w:rsidR="002B759B" w:rsidRPr="00434024" w:rsidRDefault="002B759B" w:rsidP="00EA4BBA">
            <w:pPr>
              <w:pStyle w:val="Subtitle"/>
            </w:pPr>
            <w:r w:rsidRPr="00434024">
              <w:t>285</w:t>
            </w:r>
          </w:p>
        </w:tc>
        <w:tc>
          <w:tcPr>
            <w:tcW w:w="1276" w:type="dxa"/>
            <w:shd w:val="clear" w:color="auto" w:fill="auto"/>
          </w:tcPr>
          <w:p w14:paraId="3662FFCD" w14:textId="77777777" w:rsidR="002B759B" w:rsidRPr="00434024" w:rsidRDefault="002B759B" w:rsidP="00EA4BBA">
            <w:pPr>
              <w:pStyle w:val="Subtitle"/>
            </w:pPr>
            <w:r w:rsidRPr="00434024">
              <w:t>5264</w:t>
            </w:r>
          </w:p>
        </w:tc>
      </w:tr>
      <w:tr w:rsidR="002B759B" w:rsidRPr="00396E77" w14:paraId="1F8E4045" w14:textId="77777777" w:rsidTr="00EA4BBA">
        <w:trPr>
          <w:trHeight w:val="20"/>
          <w:jc w:val="center"/>
        </w:trPr>
        <w:tc>
          <w:tcPr>
            <w:tcW w:w="988" w:type="dxa"/>
            <w:shd w:val="clear" w:color="auto" w:fill="auto"/>
          </w:tcPr>
          <w:p w14:paraId="792F2262" w14:textId="77777777" w:rsidR="002B759B" w:rsidRPr="00434024" w:rsidRDefault="002B759B" w:rsidP="00EA4BBA">
            <w:pPr>
              <w:pStyle w:val="Subtitle"/>
            </w:pPr>
            <w:r w:rsidRPr="00434024">
              <w:t>3</w:t>
            </w:r>
          </w:p>
        </w:tc>
        <w:tc>
          <w:tcPr>
            <w:tcW w:w="1275" w:type="dxa"/>
            <w:shd w:val="clear" w:color="auto" w:fill="auto"/>
          </w:tcPr>
          <w:p w14:paraId="2046F008" w14:textId="77777777" w:rsidR="002B759B" w:rsidRPr="00434024" w:rsidRDefault="002B759B" w:rsidP="00EA4BBA">
            <w:pPr>
              <w:pStyle w:val="Subtitle"/>
            </w:pPr>
            <w:r w:rsidRPr="00434024">
              <w:t>02:14:11</w:t>
            </w:r>
          </w:p>
        </w:tc>
        <w:tc>
          <w:tcPr>
            <w:tcW w:w="1276" w:type="dxa"/>
            <w:shd w:val="clear" w:color="auto" w:fill="auto"/>
          </w:tcPr>
          <w:p w14:paraId="5C732212" w14:textId="77777777" w:rsidR="002B759B" w:rsidRPr="00434024" w:rsidRDefault="002B759B" w:rsidP="00EA4BBA">
            <w:pPr>
              <w:pStyle w:val="Subtitle"/>
            </w:pPr>
            <w:r w:rsidRPr="00434024">
              <w:t>1463</w:t>
            </w:r>
          </w:p>
        </w:tc>
        <w:tc>
          <w:tcPr>
            <w:tcW w:w="992" w:type="dxa"/>
            <w:shd w:val="clear" w:color="auto" w:fill="auto"/>
          </w:tcPr>
          <w:p w14:paraId="47EEEB19" w14:textId="77777777" w:rsidR="002B759B" w:rsidRPr="00434024" w:rsidRDefault="002B759B" w:rsidP="00EA4BBA">
            <w:pPr>
              <w:pStyle w:val="Subtitle"/>
            </w:pPr>
            <w:r w:rsidRPr="00434024">
              <w:t>870</w:t>
            </w:r>
          </w:p>
        </w:tc>
        <w:tc>
          <w:tcPr>
            <w:tcW w:w="992" w:type="dxa"/>
            <w:shd w:val="clear" w:color="auto" w:fill="auto"/>
          </w:tcPr>
          <w:p w14:paraId="33BE00C3" w14:textId="77777777" w:rsidR="002B759B" w:rsidRPr="00434024" w:rsidRDefault="002B759B" w:rsidP="00EA4BBA">
            <w:pPr>
              <w:pStyle w:val="Subtitle"/>
            </w:pPr>
            <w:r w:rsidRPr="00434024">
              <w:t>305</w:t>
            </w:r>
          </w:p>
        </w:tc>
        <w:tc>
          <w:tcPr>
            <w:tcW w:w="1276" w:type="dxa"/>
            <w:shd w:val="clear" w:color="auto" w:fill="auto"/>
          </w:tcPr>
          <w:p w14:paraId="1B301B26" w14:textId="77777777" w:rsidR="002B759B" w:rsidRPr="00434024" w:rsidRDefault="002B759B" w:rsidP="00EA4BBA">
            <w:pPr>
              <w:pStyle w:val="Subtitle"/>
            </w:pPr>
            <w:r w:rsidRPr="00434024">
              <w:t>5264</w:t>
            </w:r>
          </w:p>
        </w:tc>
      </w:tr>
      <w:tr w:rsidR="002B759B" w:rsidRPr="00396E77" w14:paraId="6888C302" w14:textId="77777777" w:rsidTr="00EA4BBA">
        <w:trPr>
          <w:trHeight w:val="20"/>
          <w:jc w:val="center"/>
        </w:trPr>
        <w:tc>
          <w:tcPr>
            <w:tcW w:w="988" w:type="dxa"/>
            <w:shd w:val="clear" w:color="auto" w:fill="auto"/>
          </w:tcPr>
          <w:p w14:paraId="2F446B23" w14:textId="77777777" w:rsidR="002B759B" w:rsidRPr="00434024" w:rsidRDefault="002B759B" w:rsidP="00EA4BBA">
            <w:pPr>
              <w:pStyle w:val="Subtitle"/>
            </w:pPr>
            <w:r w:rsidRPr="00434024">
              <w:t>4</w:t>
            </w:r>
          </w:p>
        </w:tc>
        <w:tc>
          <w:tcPr>
            <w:tcW w:w="1275" w:type="dxa"/>
            <w:shd w:val="clear" w:color="auto" w:fill="auto"/>
          </w:tcPr>
          <w:p w14:paraId="6ECEEFE9" w14:textId="77777777" w:rsidR="002B759B" w:rsidRPr="00434024" w:rsidRDefault="002B759B" w:rsidP="00EA4BBA">
            <w:pPr>
              <w:pStyle w:val="Subtitle"/>
            </w:pPr>
            <w:r w:rsidRPr="00434024">
              <w:t>02:28:41</w:t>
            </w:r>
          </w:p>
        </w:tc>
        <w:tc>
          <w:tcPr>
            <w:tcW w:w="1276" w:type="dxa"/>
            <w:shd w:val="clear" w:color="auto" w:fill="auto"/>
          </w:tcPr>
          <w:p w14:paraId="13D6A174" w14:textId="77777777" w:rsidR="002B759B" w:rsidRPr="00434024" w:rsidRDefault="002B759B" w:rsidP="00EA4BBA">
            <w:pPr>
              <w:pStyle w:val="Subtitle"/>
            </w:pPr>
            <w:r w:rsidRPr="00434024">
              <w:t>1460</w:t>
            </w:r>
          </w:p>
        </w:tc>
        <w:tc>
          <w:tcPr>
            <w:tcW w:w="992" w:type="dxa"/>
            <w:shd w:val="clear" w:color="auto" w:fill="auto"/>
          </w:tcPr>
          <w:p w14:paraId="2BFC9085" w14:textId="77777777" w:rsidR="002B759B" w:rsidRPr="00434024" w:rsidRDefault="002B759B" w:rsidP="00EA4BBA">
            <w:pPr>
              <w:pStyle w:val="Subtitle"/>
            </w:pPr>
            <w:r w:rsidRPr="00434024">
              <w:t>895</w:t>
            </w:r>
          </w:p>
        </w:tc>
        <w:tc>
          <w:tcPr>
            <w:tcW w:w="992" w:type="dxa"/>
            <w:shd w:val="clear" w:color="auto" w:fill="auto"/>
          </w:tcPr>
          <w:p w14:paraId="13410CB2" w14:textId="77777777" w:rsidR="002B759B" w:rsidRPr="00434024" w:rsidRDefault="002B759B" w:rsidP="00EA4BBA">
            <w:pPr>
              <w:pStyle w:val="Subtitle"/>
            </w:pPr>
            <w:r w:rsidRPr="00434024">
              <w:t>295</w:t>
            </w:r>
          </w:p>
        </w:tc>
        <w:tc>
          <w:tcPr>
            <w:tcW w:w="1276" w:type="dxa"/>
            <w:shd w:val="clear" w:color="auto" w:fill="auto"/>
          </w:tcPr>
          <w:p w14:paraId="4190BBFD" w14:textId="77777777" w:rsidR="002B759B" w:rsidRPr="00434024" w:rsidRDefault="002B759B" w:rsidP="00EA4BBA">
            <w:pPr>
              <w:pStyle w:val="Subtitle"/>
            </w:pPr>
            <w:r w:rsidRPr="00434024">
              <w:t>5264</w:t>
            </w:r>
          </w:p>
        </w:tc>
      </w:tr>
      <w:tr w:rsidR="002B759B" w:rsidRPr="00396E77" w14:paraId="5FE5FBAC" w14:textId="77777777" w:rsidTr="00EA4BBA">
        <w:trPr>
          <w:trHeight w:val="20"/>
          <w:jc w:val="center"/>
        </w:trPr>
        <w:tc>
          <w:tcPr>
            <w:tcW w:w="988" w:type="dxa"/>
            <w:shd w:val="clear" w:color="auto" w:fill="auto"/>
          </w:tcPr>
          <w:p w14:paraId="61AE055B" w14:textId="77777777" w:rsidR="002B759B" w:rsidRPr="00434024" w:rsidRDefault="002B759B" w:rsidP="00EA4BBA">
            <w:pPr>
              <w:pStyle w:val="Subtitle"/>
            </w:pPr>
            <w:r w:rsidRPr="00434024">
              <w:t>5</w:t>
            </w:r>
          </w:p>
        </w:tc>
        <w:tc>
          <w:tcPr>
            <w:tcW w:w="1275" w:type="dxa"/>
            <w:shd w:val="clear" w:color="auto" w:fill="auto"/>
          </w:tcPr>
          <w:p w14:paraId="6C1067E5" w14:textId="77777777" w:rsidR="002B759B" w:rsidRPr="00434024" w:rsidRDefault="002B759B" w:rsidP="00EA4BBA">
            <w:pPr>
              <w:pStyle w:val="Subtitle"/>
            </w:pPr>
            <w:r w:rsidRPr="00434024">
              <w:t>02:43:36</w:t>
            </w:r>
          </w:p>
        </w:tc>
        <w:tc>
          <w:tcPr>
            <w:tcW w:w="1276" w:type="dxa"/>
            <w:shd w:val="clear" w:color="auto" w:fill="auto"/>
          </w:tcPr>
          <w:p w14:paraId="4C6EB55A" w14:textId="77777777" w:rsidR="002B759B" w:rsidRPr="00434024" w:rsidRDefault="002B759B" w:rsidP="00EA4BBA">
            <w:pPr>
              <w:pStyle w:val="Subtitle"/>
            </w:pPr>
            <w:r w:rsidRPr="00434024">
              <w:t>1457</w:t>
            </w:r>
          </w:p>
        </w:tc>
        <w:tc>
          <w:tcPr>
            <w:tcW w:w="992" w:type="dxa"/>
            <w:shd w:val="clear" w:color="auto" w:fill="auto"/>
          </w:tcPr>
          <w:p w14:paraId="4E300C98" w14:textId="77777777" w:rsidR="002B759B" w:rsidRPr="00434024" w:rsidRDefault="002B759B" w:rsidP="00EA4BBA">
            <w:pPr>
              <w:pStyle w:val="Subtitle"/>
            </w:pPr>
            <w:r w:rsidRPr="00434024">
              <w:t>964</w:t>
            </w:r>
          </w:p>
        </w:tc>
        <w:tc>
          <w:tcPr>
            <w:tcW w:w="992" w:type="dxa"/>
            <w:shd w:val="clear" w:color="auto" w:fill="auto"/>
          </w:tcPr>
          <w:p w14:paraId="24600753" w14:textId="77777777" w:rsidR="002B759B" w:rsidRPr="00434024" w:rsidRDefault="002B759B" w:rsidP="00EA4BBA">
            <w:pPr>
              <w:pStyle w:val="Subtitle"/>
            </w:pPr>
            <w:r w:rsidRPr="00434024">
              <w:t>305</w:t>
            </w:r>
          </w:p>
        </w:tc>
        <w:tc>
          <w:tcPr>
            <w:tcW w:w="1276" w:type="dxa"/>
            <w:shd w:val="clear" w:color="auto" w:fill="auto"/>
          </w:tcPr>
          <w:p w14:paraId="1305C868" w14:textId="77777777" w:rsidR="002B759B" w:rsidRPr="00434024" w:rsidRDefault="002B759B" w:rsidP="00EA4BBA">
            <w:pPr>
              <w:pStyle w:val="Subtitle"/>
            </w:pPr>
            <w:r w:rsidRPr="00434024">
              <w:t>5264</w:t>
            </w:r>
          </w:p>
        </w:tc>
      </w:tr>
      <w:tr w:rsidR="002B759B" w:rsidRPr="00396E77" w14:paraId="21C35123" w14:textId="77777777" w:rsidTr="00EA4BBA">
        <w:trPr>
          <w:trHeight w:val="20"/>
          <w:jc w:val="center"/>
        </w:trPr>
        <w:tc>
          <w:tcPr>
            <w:tcW w:w="988" w:type="dxa"/>
            <w:shd w:val="clear" w:color="auto" w:fill="auto"/>
          </w:tcPr>
          <w:p w14:paraId="14F4D0AD" w14:textId="77777777" w:rsidR="002B759B" w:rsidRPr="00434024" w:rsidRDefault="002B759B" w:rsidP="00EA4BBA">
            <w:pPr>
              <w:pStyle w:val="Subtitle"/>
            </w:pPr>
            <w:r w:rsidRPr="00434024">
              <w:t>6</w:t>
            </w:r>
          </w:p>
        </w:tc>
        <w:tc>
          <w:tcPr>
            <w:tcW w:w="1275" w:type="dxa"/>
            <w:shd w:val="clear" w:color="auto" w:fill="auto"/>
          </w:tcPr>
          <w:p w14:paraId="0EF63280" w14:textId="77777777" w:rsidR="002B759B" w:rsidRPr="00434024" w:rsidRDefault="002B759B" w:rsidP="00EA4BBA">
            <w:pPr>
              <w:pStyle w:val="Subtitle"/>
            </w:pPr>
            <w:r w:rsidRPr="00434024">
              <w:t>02:59:40</w:t>
            </w:r>
          </w:p>
        </w:tc>
        <w:tc>
          <w:tcPr>
            <w:tcW w:w="1276" w:type="dxa"/>
            <w:shd w:val="clear" w:color="auto" w:fill="auto"/>
          </w:tcPr>
          <w:p w14:paraId="15FC0E14" w14:textId="77777777" w:rsidR="002B759B" w:rsidRPr="00434024" w:rsidRDefault="002B759B" w:rsidP="00EA4BBA">
            <w:pPr>
              <w:pStyle w:val="Subtitle"/>
            </w:pPr>
            <w:r w:rsidRPr="00434024">
              <w:t>1462</w:t>
            </w:r>
          </w:p>
        </w:tc>
        <w:tc>
          <w:tcPr>
            <w:tcW w:w="992" w:type="dxa"/>
            <w:shd w:val="clear" w:color="auto" w:fill="auto"/>
          </w:tcPr>
          <w:p w14:paraId="01B4C3E0" w14:textId="77777777" w:rsidR="002B759B" w:rsidRPr="00434024" w:rsidRDefault="002B759B" w:rsidP="00EA4BBA">
            <w:pPr>
              <w:pStyle w:val="Subtitle"/>
            </w:pPr>
            <w:r w:rsidRPr="00434024">
              <w:t>1059</w:t>
            </w:r>
          </w:p>
        </w:tc>
        <w:tc>
          <w:tcPr>
            <w:tcW w:w="992" w:type="dxa"/>
            <w:shd w:val="clear" w:color="auto" w:fill="auto"/>
          </w:tcPr>
          <w:p w14:paraId="0ECB1B1B" w14:textId="77777777" w:rsidR="002B759B" w:rsidRPr="00434024" w:rsidRDefault="002B759B" w:rsidP="00EA4BBA">
            <w:pPr>
              <w:pStyle w:val="Subtitle"/>
            </w:pPr>
            <w:r w:rsidRPr="00434024">
              <w:t>300</w:t>
            </w:r>
          </w:p>
        </w:tc>
        <w:tc>
          <w:tcPr>
            <w:tcW w:w="1276" w:type="dxa"/>
            <w:shd w:val="clear" w:color="auto" w:fill="auto"/>
          </w:tcPr>
          <w:p w14:paraId="20DB8D2A" w14:textId="77777777" w:rsidR="002B759B" w:rsidRPr="00434024" w:rsidRDefault="002B759B" w:rsidP="00EA4BBA">
            <w:pPr>
              <w:pStyle w:val="Subtitle"/>
            </w:pPr>
            <w:r w:rsidRPr="00434024">
              <w:t>5264</w:t>
            </w:r>
          </w:p>
        </w:tc>
      </w:tr>
      <w:tr w:rsidR="002B759B" w:rsidRPr="00396E77" w14:paraId="3CEBA0B5" w14:textId="77777777" w:rsidTr="00EA4BBA">
        <w:trPr>
          <w:trHeight w:val="20"/>
          <w:jc w:val="center"/>
        </w:trPr>
        <w:tc>
          <w:tcPr>
            <w:tcW w:w="988" w:type="dxa"/>
            <w:shd w:val="clear" w:color="auto" w:fill="auto"/>
          </w:tcPr>
          <w:p w14:paraId="5D0C6D20" w14:textId="77777777" w:rsidR="002B759B" w:rsidRPr="00434024" w:rsidRDefault="002B759B" w:rsidP="00EA4BBA">
            <w:pPr>
              <w:pStyle w:val="Subtitle"/>
            </w:pPr>
            <w:r w:rsidRPr="00434024">
              <w:t>7</w:t>
            </w:r>
          </w:p>
        </w:tc>
        <w:tc>
          <w:tcPr>
            <w:tcW w:w="1275" w:type="dxa"/>
            <w:shd w:val="clear" w:color="auto" w:fill="auto"/>
          </w:tcPr>
          <w:p w14:paraId="40C3546B" w14:textId="77777777" w:rsidR="002B759B" w:rsidRPr="00434024" w:rsidRDefault="002B759B" w:rsidP="00EA4BBA">
            <w:pPr>
              <w:pStyle w:val="Subtitle"/>
            </w:pPr>
            <w:r w:rsidRPr="00434024">
              <w:t>03:17:19</w:t>
            </w:r>
          </w:p>
        </w:tc>
        <w:tc>
          <w:tcPr>
            <w:tcW w:w="1276" w:type="dxa"/>
            <w:shd w:val="clear" w:color="auto" w:fill="auto"/>
          </w:tcPr>
          <w:p w14:paraId="208A6703" w14:textId="77777777" w:rsidR="002B759B" w:rsidRPr="00434024" w:rsidRDefault="002B759B" w:rsidP="00EA4BBA">
            <w:pPr>
              <w:pStyle w:val="Subtitle"/>
            </w:pPr>
            <w:r w:rsidRPr="00434024">
              <w:t>1466</w:t>
            </w:r>
          </w:p>
        </w:tc>
        <w:tc>
          <w:tcPr>
            <w:tcW w:w="992" w:type="dxa"/>
            <w:shd w:val="clear" w:color="auto" w:fill="auto"/>
          </w:tcPr>
          <w:p w14:paraId="789EA545" w14:textId="77777777" w:rsidR="002B759B" w:rsidRPr="00434024" w:rsidRDefault="002B759B" w:rsidP="00EA4BBA">
            <w:pPr>
              <w:pStyle w:val="Subtitle"/>
            </w:pPr>
            <w:r w:rsidRPr="00434024">
              <w:t>1116</w:t>
            </w:r>
          </w:p>
        </w:tc>
        <w:tc>
          <w:tcPr>
            <w:tcW w:w="992" w:type="dxa"/>
            <w:shd w:val="clear" w:color="auto" w:fill="auto"/>
          </w:tcPr>
          <w:p w14:paraId="79373755" w14:textId="77777777" w:rsidR="002B759B" w:rsidRPr="00434024" w:rsidRDefault="002B759B" w:rsidP="00EA4BBA">
            <w:pPr>
              <w:pStyle w:val="Subtitle"/>
            </w:pPr>
            <w:r w:rsidRPr="00434024">
              <w:t>310</w:t>
            </w:r>
          </w:p>
        </w:tc>
        <w:tc>
          <w:tcPr>
            <w:tcW w:w="1276" w:type="dxa"/>
            <w:shd w:val="clear" w:color="auto" w:fill="auto"/>
          </w:tcPr>
          <w:p w14:paraId="5652AE0A" w14:textId="77777777" w:rsidR="002B759B" w:rsidRPr="00434024" w:rsidRDefault="002B759B" w:rsidP="00EA4BBA">
            <w:pPr>
              <w:pStyle w:val="Subtitle"/>
            </w:pPr>
            <w:r w:rsidRPr="00434024">
              <w:t>5264</w:t>
            </w:r>
          </w:p>
        </w:tc>
      </w:tr>
      <w:tr w:rsidR="002B759B" w:rsidRPr="00396E77" w14:paraId="06650F8A" w14:textId="77777777" w:rsidTr="00EA4BBA">
        <w:trPr>
          <w:trHeight w:val="20"/>
          <w:jc w:val="center"/>
        </w:trPr>
        <w:tc>
          <w:tcPr>
            <w:tcW w:w="988" w:type="dxa"/>
            <w:shd w:val="clear" w:color="auto" w:fill="auto"/>
          </w:tcPr>
          <w:p w14:paraId="368108E3" w14:textId="77777777" w:rsidR="002B759B" w:rsidRPr="00434024" w:rsidRDefault="002B759B" w:rsidP="00EA4BBA">
            <w:pPr>
              <w:pStyle w:val="Subtitle"/>
            </w:pPr>
            <w:r w:rsidRPr="00434024">
              <w:t>8</w:t>
            </w:r>
          </w:p>
        </w:tc>
        <w:tc>
          <w:tcPr>
            <w:tcW w:w="1275" w:type="dxa"/>
            <w:shd w:val="clear" w:color="auto" w:fill="auto"/>
          </w:tcPr>
          <w:p w14:paraId="0F3EAABC" w14:textId="77777777" w:rsidR="002B759B" w:rsidRPr="00434024" w:rsidRDefault="002B759B" w:rsidP="00EA4BBA">
            <w:pPr>
              <w:pStyle w:val="Subtitle"/>
            </w:pPr>
            <w:r w:rsidRPr="00434024">
              <w:t>03:35:55</w:t>
            </w:r>
          </w:p>
        </w:tc>
        <w:tc>
          <w:tcPr>
            <w:tcW w:w="1276" w:type="dxa"/>
            <w:shd w:val="clear" w:color="auto" w:fill="auto"/>
          </w:tcPr>
          <w:p w14:paraId="72289F99" w14:textId="77777777" w:rsidR="002B759B" w:rsidRPr="00434024" w:rsidRDefault="002B759B" w:rsidP="00EA4BBA">
            <w:pPr>
              <w:pStyle w:val="Subtitle"/>
            </w:pPr>
            <w:r w:rsidRPr="00434024">
              <w:t>1463</w:t>
            </w:r>
          </w:p>
        </w:tc>
        <w:tc>
          <w:tcPr>
            <w:tcW w:w="992" w:type="dxa"/>
            <w:shd w:val="clear" w:color="auto" w:fill="auto"/>
          </w:tcPr>
          <w:p w14:paraId="1B7F9E5B" w14:textId="77777777" w:rsidR="002B759B" w:rsidRPr="00434024" w:rsidRDefault="002B759B" w:rsidP="00EA4BBA">
            <w:pPr>
              <w:pStyle w:val="Subtitle"/>
            </w:pPr>
            <w:r w:rsidRPr="00434024">
              <w:t>1067</w:t>
            </w:r>
          </w:p>
        </w:tc>
        <w:tc>
          <w:tcPr>
            <w:tcW w:w="992" w:type="dxa"/>
            <w:shd w:val="clear" w:color="auto" w:fill="auto"/>
          </w:tcPr>
          <w:p w14:paraId="09EAC096" w14:textId="77777777" w:rsidR="002B759B" w:rsidRPr="00434024" w:rsidRDefault="002B759B" w:rsidP="00EA4BBA">
            <w:pPr>
              <w:pStyle w:val="Subtitle"/>
            </w:pPr>
            <w:r w:rsidRPr="00434024">
              <w:t>315</w:t>
            </w:r>
          </w:p>
        </w:tc>
        <w:tc>
          <w:tcPr>
            <w:tcW w:w="1276" w:type="dxa"/>
            <w:shd w:val="clear" w:color="auto" w:fill="auto"/>
          </w:tcPr>
          <w:p w14:paraId="0DEADE76" w14:textId="77777777" w:rsidR="002B759B" w:rsidRPr="00434024" w:rsidRDefault="002B759B" w:rsidP="00EA4BBA">
            <w:pPr>
              <w:pStyle w:val="Subtitle"/>
            </w:pPr>
            <w:r w:rsidRPr="00434024">
              <w:t>5264</w:t>
            </w:r>
          </w:p>
        </w:tc>
      </w:tr>
      <w:tr w:rsidR="002B759B" w:rsidRPr="00396E77" w14:paraId="7E51947B" w14:textId="77777777" w:rsidTr="00EA4BBA">
        <w:trPr>
          <w:trHeight w:val="20"/>
          <w:jc w:val="center"/>
        </w:trPr>
        <w:tc>
          <w:tcPr>
            <w:tcW w:w="988" w:type="dxa"/>
            <w:shd w:val="clear" w:color="auto" w:fill="auto"/>
          </w:tcPr>
          <w:p w14:paraId="6E11DD39" w14:textId="77777777" w:rsidR="002B759B" w:rsidRPr="00434024" w:rsidRDefault="002B759B" w:rsidP="00EA4BBA">
            <w:pPr>
              <w:pStyle w:val="Subtitle"/>
            </w:pPr>
            <w:r w:rsidRPr="00434024">
              <w:t>Total</w:t>
            </w:r>
          </w:p>
        </w:tc>
        <w:tc>
          <w:tcPr>
            <w:tcW w:w="1275" w:type="dxa"/>
            <w:shd w:val="clear" w:color="auto" w:fill="E7E6E6"/>
          </w:tcPr>
          <w:p w14:paraId="3E60C779" w14:textId="77777777" w:rsidR="002B759B" w:rsidRPr="00434024" w:rsidRDefault="002B759B" w:rsidP="00EA4BBA">
            <w:pPr>
              <w:pStyle w:val="Subtitle"/>
            </w:pPr>
          </w:p>
        </w:tc>
        <w:tc>
          <w:tcPr>
            <w:tcW w:w="1276" w:type="dxa"/>
            <w:shd w:val="clear" w:color="auto" w:fill="E7E6E6"/>
          </w:tcPr>
          <w:p w14:paraId="21D138DD" w14:textId="77777777" w:rsidR="002B759B" w:rsidRPr="00434024" w:rsidRDefault="002B759B" w:rsidP="00EA4BBA">
            <w:pPr>
              <w:pStyle w:val="Subtitle"/>
            </w:pPr>
          </w:p>
        </w:tc>
        <w:tc>
          <w:tcPr>
            <w:tcW w:w="992" w:type="dxa"/>
            <w:shd w:val="clear" w:color="auto" w:fill="auto"/>
          </w:tcPr>
          <w:p w14:paraId="727F29D5" w14:textId="77777777" w:rsidR="002B759B" w:rsidRPr="00434024" w:rsidRDefault="002B759B" w:rsidP="00EA4BBA">
            <w:pPr>
              <w:pStyle w:val="Subtitle"/>
            </w:pPr>
            <w:r w:rsidRPr="00434024">
              <w:t>7685</w:t>
            </w:r>
          </w:p>
        </w:tc>
        <w:tc>
          <w:tcPr>
            <w:tcW w:w="992" w:type="dxa"/>
            <w:shd w:val="clear" w:color="auto" w:fill="auto"/>
          </w:tcPr>
          <w:p w14:paraId="1374CF63" w14:textId="77777777" w:rsidR="002B759B" w:rsidRPr="00434024" w:rsidRDefault="002B759B" w:rsidP="00EA4BBA">
            <w:pPr>
              <w:pStyle w:val="Subtitle"/>
            </w:pPr>
            <w:r w:rsidRPr="00434024">
              <w:t>2415</w:t>
            </w:r>
          </w:p>
        </w:tc>
        <w:tc>
          <w:tcPr>
            <w:tcW w:w="1276" w:type="dxa"/>
            <w:shd w:val="clear" w:color="auto" w:fill="E7E6E6"/>
          </w:tcPr>
          <w:p w14:paraId="0344B7F3" w14:textId="77777777" w:rsidR="002B759B" w:rsidRPr="00434024" w:rsidRDefault="002B759B" w:rsidP="00EA4BBA">
            <w:pPr>
              <w:pStyle w:val="Subtitle"/>
            </w:pPr>
          </w:p>
        </w:tc>
      </w:tr>
      <w:tr w:rsidR="002B759B" w:rsidRPr="00396E77" w14:paraId="5102A04E" w14:textId="77777777" w:rsidTr="00EA4BBA">
        <w:trPr>
          <w:trHeight w:val="20"/>
          <w:jc w:val="center"/>
        </w:trPr>
        <w:tc>
          <w:tcPr>
            <w:tcW w:w="988" w:type="dxa"/>
            <w:shd w:val="clear" w:color="auto" w:fill="auto"/>
          </w:tcPr>
          <w:p w14:paraId="1ABA1D29" w14:textId="77777777" w:rsidR="002B759B" w:rsidRPr="00434024" w:rsidRDefault="002B759B" w:rsidP="00EA4BBA">
            <w:pPr>
              <w:pStyle w:val="Subtitle"/>
            </w:pPr>
            <w:r w:rsidRPr="00434024">
              <w:t>Average</w:t>
            </w:r>
          </w:p>
        </w:tc>
        <w:tc>
          <w:tcPr>
            <w:tcW w:w="1275" w:type="dxa"/>
            <w:shd w:val="clear" w:color="auto" w:fill="E7E6E6"/>
          </w:tcPr>
          <w:p w14:paraId="70FD7CA4" w14:textId="77777777" w:rsidR="002B759B" w:rsidRPr="00434024" w:rsidRDefault="002B759B" w:rsidP="00EA4BBA">
            <w:pPr>
              <w:pStyle w:val="Subtitle"/>
            </w:pPr>
          </w:p>
        </w:tc>
        <w:tc>
          <w:tcPr>
            <w:tcW w:w="1276" w:type="dxa"/>
            <w:shd w:val="clear" w:color="auto" w:fill="auto"/>
          </w:tcPr>
          <w:p w14:paraId="47A39C1C" w14:textId="77777777" w:rsidR="002B759B" w:rsidRPr="00434024" w:rsidRDefault="002B759B" w:rsidP="00EA4BBA">
            <w:pPr>
              <w:pStyle w:val="Subtitle"/>
            </w:pPr>
            <w:r w:rsidRPr="00434024">
              <w:t>1461</w:t>
            </w:r>
          </w:p>
        </w:tc>
        <w:tc>
          <w:tcPr>
            <w:tcW w:w="992" w:type="dxa"/>
            <w:shd w:val="clear" w:color="auto" w:fill="auto"/>
          </w:tcPr>
          <w:p w14:paraId="6AA8B3D0" w14:textId="77777777" w:rsidR="002B759B" w:rsidRPr="00434024" w:rsidRDefault="002B759B" w:rsidP="00EA4BBA">
            <w:pPr>
              <w:pStyle w:val="Subtitle"/>
            </w:pPr>
            <w:r w:rsidRPr="00434024">
              <w:t>961</w:t>
            </w:r>
          </w:p>
        </w:tc>
        <w:tc>
          <w:tcPr>
            <w:tcW w:w="992" w:type="dxa"/>
            <w:shd w:val="clear" w:color="auto" w:fill="auto"/>
          </w:tcPr>
          <w:p w14:paraId="65072401" w14:textId="77777777" w:rsidR="002B759B" w:rsidRPr="00434024" w:rsidRDefault="002B759B" w:rsidP="00EA4BBA">
            <w:pPr>
              <w:pStyle w:val="Subtitle"/>
            </w:pPr>
            <w:r w:rsidRPr="00434024">
              <w:t>302</w:t>
            </w:r>
          </w:p>
        </w:tc>
        <w:tc>
          <w:tcPr>
            <w:tcW w:w="1276" w:type="dxa"/>
            <w:shd w:val="clear" w:color="auto" w:fill="auto"/>
          </w:tcPr>
          <w:p w14:paraId="5DFD145A" w14:textId="77777777" w:rsidR="002B759B" w:rsidRPr="00434024" w:rsidRDefault="002B759B" w:rsidP="00EA4BBA">
            <w:pPr>
              <w:pStyle w:val="Subtitle"/>
            </w:pPr>
            <w:r w:rsidRPr="00434024">
              <w:t>5264</w:t>
            </w:r>
          </w:p>
        </w:tc>
      </w:tr>
    </w:tbl>
    <w:p w14:paraId="6CCCA17B" w14:textId="77777777" w:rsidR="002B759B" w:rsidRDefault="002B759B" w:rsidP="00EA4BBA">
      <w:pPr>
        <w:pStyle w:val="Caption"/>
      </w:pPr>
      <w:bookmarkStart w:id="190" w:name="_Ref443920664"/>
      <w:r w:rsidRPr="00676091">
        <w:t xml:space="preserve">Table </w:t>
      </w:r>
      <w:r w:rsidR="00A47317">
        <w:fldChar w:fldCharType="begin"/>
      </w:r>
      <w:r w:rsidR="00A47317">
        <w:instrText xml:space="preserve"> SEQ Table \* ARABIC </w:instrText>
      </w:r>
      <w:r w:rsidR="00A47317">
        <w:fldChar w:fldCharType="separate"/>
      </w:r>
      <w:r w:rsidR="00486837">
        <w:rPr>
          <w:noProof/>
        </w:rPr>
        <w:t>4</w:t>
      </w:r>
      <w:r w:rsidR="00A47317">
        <w:rPr>
          <w:noProof/>
        </w:rPr>
        <w:fldChar w:fldCharType="end"/>
      </w:r>
      <w:bookmarkEnd w:id="190"/>
      <w:r w:rsidRPr="00676091">
        <w:t>: Process data for the series solar-heated glass melting cycles during experiment D4 considered for the following analysis.</w:t>
      </w:r>
      <w:r>
        <w:t xml:space="preserve"> C</w:t>
      </w:r>
      <w:r w:rsidRPr="003014C8">
        <w:t>ycle periods</w:t>
      </w:r>
      <w:r>
        <w:t xml:space="preserve"> </w:t>
      </w:r>
      <w:r w:rsidRPr="003014C8">
        <w:t>defined</w:t>
      </w:r>
      <w:r>
        <w:t xml:space="preserve"> </w:t>
      </w:r>
      <w:r w:rsidRPr="003014C8">
        <w:t xml:space="preserve">as the period from when the charge of batch was first fed (start time) till all the batch in that charge was completely melted down and then the temperature recovered the start temperature of the consecutive cycle. For the final cycle (ID </w:t>
      </w:r>
      <w:r>
        <w:t>8) before the subsequent fining period during which no more batch was fed</w:t>
      </w:r>
      <w:r w:rsidRPr="003014C8">
        <w:t xml:space="preserve">, the cycle period was defined as the </w:t>
      </w:r>
      <w:r>
        <w:t>period</w:t>
      </w:r>
      <w:r w:rsidRPr="003014C8">
        <w:t xml:space="preserve"> from the </w:t>
      </w:r>
      <w:r>
        <w:t>cycle start time</w:t>
      </w:r>
      <w:r w:rsidRPr="003014C8">
        <w:t xml:space="preserve"> till the</w:t>
      </w:r>
      <w:r>
        <w:t xml:space="preserve"> moment the</w:t>
      </w:r>
      <w:r w:rsidRPr="003014C8">
        <w:t xml:space="preserve"> temperature recovered to its start</w:t>
      </w:r>
      <w:r>
        <w:t>ing</w:t>
      </w:r>
      <w:r w:rsidRPr="003014C8">
        <w:t xml:space="preserve"> temperature.</w:t>
      </w:r>
    </w:p>
    <w:p w14:paraId="70C34C29" w14:textId="77777777" w:rsidR="00820EB1" w:rsidRDefault="002B759B" w:rsidP="00F52EC2">
      <w:r>
        <w:lastRenderedPageBreak/>
        <w:t xml:space="preserve">A control volume defined for the following heat transfer analysis was as a cylinder of equal diameter and concentric to the inner surface of the glass containing crucible and of height to fill the distance from the base of the crucible to the beam inlet aperture shown in </w:t>
      </w:r>
      <w:r>
        <w:fldChar w:fldCharType="begin"/>
      </w:r>
      <w:r>
        <w:instrText xml:space="preserve"> REF _Ref443754544 \h </w:instrText>
      </w:r>
      <w:r w:rsidR="007F707B">
        <w:instrText xml:space="preserve"> \* MERGEFORMAT </w:instrText>
      </w:r>
      <w:r>
        <w:fldChar w:fldCharType="separate"/>
      </w:r>
    </w:p>
    <w:p w14:paraId="015BE107" w14:textId="6CD6594B" w:rsidR="002B759B" w:rsidRDefault="00820EB1">
      <w:r>
        <w:t>Figure</w:t>
      </w:r>
      <w:r>
        <w:rPr>
          <w:noProof/>
        </w:rPr>
        <w:t xml:space="preserve"> </w:t>
      </w:r>
      <w:r>
        <w:t>99</w:t>
      </w:r>
      <w:r w:rsidR="002B759B">
        <w:fldChar w:fldCharType="end"/>
      </w:r>
      <w:r w:rsidR="002B759B">
        <w:t>.</w:t>
      </w:r>
    </w:p>
    <w:p w14:paraId="25C6BC3B" w14:textId="1518EC68" w:rsidR="00336B11" w:rsidRDefault="00336B11" w:rsidP="00EA4BBA">
      <w:pPr>
        <w:pStyle w:val="Caption"/>
      </w:pPr>
      <w:r>
        <w:rPr>
          <w:noProof/>
          <w:lang w:eastAsia="en-GB"/>
        </w:rPr>
        <w:drawing>
          <wp:inline distT="0" distB="0" distL="0" distR="0" wp14:anchorId="05D1DE6C" wp14:editId="57E8B34A">
            <wp:extent cx="5768447" cy="2084832"/>
            <wp:effectExtent l="0" t="0" r="381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168" t="13976" r="3360" b="25292"/>
                    <a:stretch/>
                  </pic:blipFill>
                  <pic:spPr bwMode="auto">
                    <a:xfrm>
                      <a:off x="0" y="0"/>
                      <a:ext cx="5782080" cy="20897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Del="00336B11">
        <w:rPr>
          <w:noProof/>
        </w:rPr>
        <w:t xml:space="preserve"> </w:t>
      </w:r>
      <w:bookmarkStart w:id="191" w:name="_Ref443754544"/>
    </w:p>
    <w:p w14:paraId="3BA81EB4" w14:textId="77777777" w:rsidR="002B759B" w:rsidRDefault="002B759B" w:rsidP="00EA4BBA">
      <w:pPr>
        <w:pStyle w:val="Caption"/>
      </w:pPr>
      <w:bookmarkStart w:id="192" w:name="_Ref457074450"/>
      <w:r>
        <w:t xml:space="preserve">Figure </w:t>
      </w:r>
      <w:r w:rsidR="00A47317">
        <w:fldChar w:fldCharType="begin"/>
      </w:r>
      <w:r w:rsidR="00A47317">
        <w:instrText xml:space="preserve"> SEQ Figure \* ARABIC </w:instrText>
      </w:r>
      <w:r w:rsidR="00A47317">
        <w:fldChar w:fldCharType="separate"/>
      </w:r>
      <w:r w:rsidR="00820EB1">
        <w:rPr>
          <w:noProof/>
        </w:rPr>
        <w:t>99</w:t>
      </w:r>
      <w:r w:rsidR="00A47317">
        <w:rPr>
          <w:noProof/>
        </w:rPr>
        <w:fldChar w:fldCharType="end"/>
      </w:r>
      <w:bookmarkEnd w:id="191"/>
      <w:bookmarkEnd w:id="192"/>
      <w:r>
        <w:t>: a) Locations of the boundaries of control volume and positions of temperature measurements for the following thermal analysis and b) main heat flows involved.</w:t>
      </w:r>
    </w:p>
    <w:p w14:paraId="3BAEA0E1" w14:textId="77777777" w:rsidR="002B759B" w:rsidRPr="006D1670" w:rsidRDefault="002B759B" w:rsidP="00EA4BBA">
      <w:r w:rsidRPr="00F52EC2">
        <w:rPr>
          <w:i/>
        </w:rPr>
        <w:t>Q</w:t>
      </w:r>
      <w:r w:rsidRPr="00F52EC2">
        <w:rPr>
          <w:i/>
          <w:vertAlign w:val="subscript"/>
        </w:rPr>
        <w:t>x</w:t>
      </w:r>
      <w:r>
        <w:rPr>
          <w:vertAlign w:val="subscript"/>
        </w:rPr>
        <w:t xml:space="preserve"> </w:t>
      </w:r>
      <w:r>
        <w:t xml:space="preserve">are the main heat flows analysed as explained and evaluated in the following paragraphs and the results summarised in </w:t>
      </w:r>
      <w:r>
        <w:fldChar w:fldCharType="begin"/>
      </w:r>
      <w:r>
        <w:instrText xml:space="preserve"> REF _Ref444168492 \h </w:instrText>
      </w:r>
      <w:r>
        <w:fldChar w:fldCharType="separate"/>
      </w:r>
      <w:r w:rsidR="00820EB1">
        <w:t xml:space="preserve">Figure </w:t>
      </w:r>
      <w:r w:rsidR="00820EB1">
        <w:rPr>
          <w:noProof/>
        </w:rPr>
        <w:t>101</w:t>
      </w:r>
      <w:r>
        <w:fldChar w:fldCharType="end"/>
      </w:r>
      <w:r>
        <w:t>.</w:t>
      </w:r>
    </w:p>
    <w:p w14:paraId="355EA823" w14:textId="02EEB83F" w:rsidR="002B759B" w:rsidRPr="00FF2EEA" w:rsidRDefault="00A47317" w:rsidP="00EA4BBA">
      <m:oMath>
        <m:sSub>
          <m:sSubPr>
            <m:ctrlPr>
              <w:rPr>
                <w:rFonts w:ascii="Cambria Math" w:hAnsi="Cambria Math"/>
                <w:i/>
              </w:rPr>
            </m:ctrlPr>
          </m:sSubPr>
          <m:e>
            <m:r>
              <w:rPr>
                <w:rFonts w:ascii="Cambria Math" w:hAnsi="Cambria Math"/>
              </w:rPr>
              <m:t>Q</m:t>
            </m:r>
          </m:e>
          <m:sub>
            <m:r>
              <w:rPr>
                <w:rFonts w:ascii="Cambria Math" w:hAnsi="Cambria Math"/>
                <w:vertAlign w:val="subscript"/>
              </w:rPr>
              <m:t>solar in</m:t>
            </m:r>
          </m:sub>
        </m:sSub>
      </m:oMath>
      <w:r w:rsidR="002B759B">
        <w:t xml:space="preserve"> was the </w:t>
      </w:r>
      <w:r w:rsidR="002B759B" w:rsidRPr="001E75E7">
        <w:rPr>
          <w:i/>
        </w:rPr>
        <w:t>radiative</w:t>
      </w:r>
      <w:r w:rsidR="002B759B">
        <w:t xml:space="preserve"> </w:t>
      </w:r>
      <w:r w:rsidR="002B759B" w:rsidRPr="00FF2EEA">
        <w:rPr>
          <w:i/>
        </w:rPr>
        <w:t>power</w:t>
      </w:r>
      <w:r w:rsidR="002B759B">
        <w:t xml:space="preserve"> supplied from the HFSS beam entering the beam inlet aperture and this was constant throughout the period analysed. This was calculated by measurements of the electrical power supply to the HFSS lamps and shutter openings, combined calorimeter measurements at the beam inlet aperture as explained in section </w:t>
      </w:r>
      <w:r w:rsidR="002B759B">
        <w:fldChar w:fldCharType="begin"/>
      </w:r>
      <w:r w:rsidR="002B759B">
        <w:instrText xml:space="preserve"> REF _Ref450514943 \n \h </w:instrText>
      </w:r>
      <w:r w:rsidR="002B759B">
        <w:fldChar w:fldCharType="separate"/>
      </w:r>
      <w:r w:rsidR="00820EB1">
        <w:t>5.6</w:t>
      </w:r>
      <w:r w:rsidR="002B759B">
        <w:fldChar w:fldCharType="end"/>
      </w:r>
      <w:r w:rsidR="002B759B">
        <w:t>.</w:t>
      </w:r>
    </w:p>
    <w:p w14:paraId="5F04F902" w14:textId="5FDDDBE6" w:rsidR="00790703" w:rsidRDefault="00A47317" w:rsidP="00EA4BBA">
      <m:oMath>
        <m:sSub>
          <m:sSubPr>
            <m:ctrlPr>
              <w:rPr>
                <w:rFonts w:ascii="Cambria Math" w:hAnsi="Cambria Math"/>
                <w:i/>
              </w:rPr>
            </m:ctrlPr>
          </m:sSubPr>
          <m:e>
            <m:r>
              <w:rPr>
                <w:rFonts w:ascii="Cambria Math" w:hAnsi="Cambria Math"/>
              </w:rPr>
              <m:t>Q</m:t>
            </m:r>
          </m:e>
          <m:sub>
            <m:r>
              <w:rPr>
                <w:rFonts w:ascii="Cambria Math" w:hAnsi="Cambria Math"/>
                <w:vertAlign w:val="subscript"/>
              </w:rPr>
              <m:t>melting</m:t>
            </m:r>
          </m:sub>
        </m:sSub>
      </m:oMath>
      <w:r w:rsidR="002B759B">
        <w:rPr>
          <w:vertAlign w:val="subscript"/>
        </w:rPr>
        <w:t xml:space="preserve"> </w:t>
      </w:r>
      <w:r w:rsidR="002B759B">
        <w:t xml:space="preserve"> was the power utilised to overcome the chemical heat of the glass forming reactions and for heating up the raw materials up to the melting temperature. This was averaged over the analysed period of melting cycles</w:t>
      </w:r>
      <w:r w:rsidR="00790703">
        <w:t xml:space="preserve"> using</w:t>
      </w:r>
    </w:p>
    <w:tbl>
      <w:tblPr>
        <w:tblW w:w="0" w:type="auto"/>
        <w:tblInd w:w="284" w:type="dxa"/>
        <w:tblLook w:val="04A0" w:firstRow="1" w:lastRow="0" w:firstColumn="1" w:lastColumn="0" w:noHBand="0" w:noVBand="1"/>
      </w:tblPr>
      <w:tblGrid>
        <w:gridCol w:w="6893"/>
        <w:gridCol w:w="1327"/>
      </w:tblGrid>
      <w:tr w:rsidR="00790703" w:rsidRPr="00396E77" w14:paraId="010F6B3D" w14:textId="77777777" w:rsidTr="0039705F">
        <w:trPr>
          <w:trHeight w:val="261"/>
        </w:trPr>
        <w:tc>
          <w:tcPr>
            <w:tcW w:w="7371" w:type="dxa"/>
            <w:shd w:val="clear" w:color="auto" w:fill="auto"/>
            <w:vAlign w:val="center"/>
          </w:tcPr>
          <w:p w14:paraId="5336262C" w14:textId="3B75A741" w:rsidR="00790703" w:rsidRPr="008C3622" w:rsidRDefault="00A47317" w:rsidP="00F01095">
            <w:pPr>
              <w:spacing w:after="0"/>
              <w:ind w:firstLine="0"/>
              <w:jc w:val="center"/>
              <w:rPr>
                <w:rFonts w:eastAsia="Times New Roman"/>
              </w:rPr>
            </w:pPr>
            <m:oMathPara>
              <m:oMath>
                <m:sSub>
                  <m:sSubPr>
                    <m:ctrlPr>
                      <w:rPr>
                        <w:rFonts w:ascii="Cambria Math" w:eastAsia="Times New Roman" w:hAnsi="Cambria Math"/>
                        <w:i/>
                      </w:rPr>
                    </m:ctrlPr>
                  </m:sSubPr>
                  <m:e>
                    <m:r>
                      <w:rPr>
                        <w:rFonts w:ascii="Cambria Math" w:eastAsia="Times New Roman" w:hAnsi="Cambria Math"/>
                      </w:rPr>
                      <m:t>Q</m:t>
                    </m:r>
                  </m:e>
                  <m:sub>
                    <m:r>
                      <w:rPr>
                        <w:rFonts w:ascii="Cambria Math" w:eastAsia="Times New Roman" w:hAnsi="Cambria Math"/>
                      </w:rPr>
                      <m:t>melting</m:t>
                    </m:r>
                  </m:sub>
                </m:sSub>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 xml:space="preserve">γ </m:t>
                    </m:r>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batch</m:t>
                        </m:r>
                      </m:sub>
                    </m:sSub>
                  </m:num>
                  <m:den>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melting</m:t>
                        </m:r>
                      </m:sub>
                    </m:sSub>
                  </m:den>
                </m:f>
                <m:r>
                  <w:rPr>
                    <w:rFonts w:ascii="Cambria Math" w:eastAsia="Times New Roman" w:hAnsi="Cambria Math"/>
                  </w:rPr>
                  <m:t>=</m:t>
                </m:r>
                <m:f>
                  <m:fPr>
                    <m:ctrlPr>
                      <w:rPr>
                        <w:rFonts w:ascii="Cambria Math" w:eastAsia="Times New Roman" w:hAnsi="Cambria Math"/>
                        <w:i/>
                      </w:rPr>
                    </m:ctrlPr>
                  </m:fPr>
                  <m:num>
                    <m:r>
                      <m:rPr>
                        <m:sty m:val="p"/>
                      </m:rPr>
                      <w:rPr>
                        <w:rFonts w:ascii="Cambria Math" w:eastAsia="Times New Roman" w:hAnsi="Cambria Math"/>
                      </w:rPr>
                      <m:t xml:space="preserve">2635 </m:t>
                    </m:r>
                    <m:r>
                      <m:rPr>
                        <m:sty m:val="p"/>
                      </m:rPr>
                      <w:rPr>
                        <w:rFonts w:ascii="Cambria Math" w:eastAsia="Times New Roman" w:hAnsi="Cambria Math" w:cs="Cambria Math"/>
                      </w:rPr>
                      <m:t xml:space="preserve">J </m:t>
                    </m:r>
                    <m:sSup>
                      <m:sSupPr>
                        <m:ctrlPr>
                          <w:rPr>
                            <w:rFonts w:ascii="Cambria Math" w:eastAsia="Times New Roman" w:hAnsi="Cambria Math" w:cs="Cambria Math"/>
                            <w:iCs/>
                          </w:rPr>
                        </m:ctrlPr>
                      </m:sSupPr>
                      <m:e>
                        <m:r>
                          <m:rPr>
                            <m:sty m:val="p"/>
                          </m:rPr>
                          <w:rPr>
                            <w:rFonts w:ascii="Cambria Math" w:eastAsia="Times New Roman" w:hAnsi="Cambria Math" w:cs="Cambria Math"/>
                          </w:rPr>
                          <m:t>g</m:t>
                        </m:r>
                        <m:r>
                          <m:rPr>
                            <m:sty m:val="p"/>
                          </m:rPr>
                          <w:rPr>
                            <w:rFonts w:ascii="Cambria Math" w:eastAsia="Times New Roman" w:hAnsi="Cambria Math"/>
                          </w:rPr>
                          <m:t xml:space="preserve"> </m:t>
                        </m:r>
                      </m:e>
                      <m:sup>
                        <m:r>
                          <w:rPr>
                            <w:rFonts w:ascii="Cambria Math" w:eastAsia="Times New Roman" w:hAnsi="Cambria Math" w:cs="Cambria Math"/>
                          </w:rPr>
                          <m:t>-1</m:t>
                        </m:r>
                      </m:sup>
                    </m:sSup>
                    <m:r>
                      <m:rPr>
                        <m:sty m:val="p"/>
                      </m:rPr>
                      <w:rPr>
                        <w:rFonts w:ascii="Cambria Math" w:eastAsia="Times New Roman" w:hAnsi="Cambria Math"/>
                      </w:rPr>
                      <m:t xml:space="preserve"> × 2415 g</m:t>
                    </m:r>
                  </m:num>
                  <m:den>
                    <m:r>
                      <m:rPr>
                        <m:sty m:val="p"/>
                      </m:rPr>
                      <w:rPr>
                        <w:rFonts w:ascii="Cambria Math" w:eastAsia="Times New Roman" w:hAnsi="Cambria Math"/>
                      </w:rPr>
                      <m:t>7685 s</m:t>
                    </m:r>
                  </m:den>
                </m:f>
                <m:r>
                  <w:rPr>
                    <w:rFonts w:ascii="Cambria Math" w:eastAsia="Times New Roman" w:hAnsi="Cambria Math"/>
                  </w:rPr>
                  <m:t xml:space="preserve">=828 </m:t>
                </m:r>
                <m:r>
                  <m:rPr>
                    <m:sty m:val="p"/>
                  </m:rPr>
                  <w:rPr>
                    <w:rFonts w:ascii="Cambria Math" w:eastAsia="Times New Roman" w:hAnsi="Cambria Math"/>
                  </w:rPr>
                  <m:t>W</m:t>
                </m:r>
              </m:oMath>
            </m:oMathPara>
          </w:p>
        </w:tc>
        <w:tc>
          <w:tcPr>
            <w:tcW w:w="1361" w:type="dxa"/>
            <w:shd w:val="clear" w:color="auto" w:fill="auto"/>
            <w:vAlign w:val="center"/>
          </w:tcPr>
          <w:p w14:paraId="5F63570D" w14:textId="77777777" w:rsidR="00790703" w:rsidRPr="00396E77" w:rsidRDefault="00790703" w:rsidP="0039705F">
            <w:pPr>
              <w:spacing w:after="0"/>
              <w:ind w:firstLine="0"/>
              <w:jc w:val="right"/>
            </w:pPr>
            <w:bookmarkStart w:id="193" w:name="_Ref443988723"/>
            <w:r w:rsidRPr="00396E77">
              <w:t xml:space="preserve">Equation </w:t>
            </w:r>
            <w:r w:rsidR="00A47317">
              <w:fldChar w:fldCharType="begin"/>
            </w:r>
            <w:r w:rsidR="00A47317">
              <w:instrText xml:space="preserve"> SEQ Equation \* ARABIC </w:instrText>
            </w:r>
            <w:r w:rsidR="00A47317">
              <w:fldChar w:fldCharType="separate"/>
            </w:r>
            <w:r w:rsidR="00820EB1">
              <w:rPr>
                <w:noProof/>
              </w:rPr>
              <w:t>4</w:t>
            </w:r>
            <w:r w:rsidR="00A47317">
              <w:rPr>
                <w:noProof/>
              </w:rPr>
              <w:fldChar w:fldCharType="end"/>
            </w:r>
            <w:bookmarkEnd w:id="193"/>
          </w:p>
        </w:tc>
      </w:tr>
    </w:tbl>
    <w:p w14:paraId="0B651CBC" w14:textId="2B9E43F4" w:rsidR="002B759B" w:rsidRPr="002761D6" w:rsidRDefault="00790703" w:rsidP="00790703">
      <w:pPr>
        <w:ind w:firstLine="0"/>
      </w:pPr>
      <w:r>
        <w:rPr>
          <w:rFonts w:eastAsia="Times New Roman"/>
        </w:rPr>
        <w:t>w</w:t>
      </w:r>
      <w:r w:rsidR="002B759B" w:rsidRPr="00396E77">
        <w:rPr>
          <w:rFonts w:eastAsia="Times New Roman"/>
        </w:rPr>
        <w:t>here</w:t>
      </w:r>
      <m:oMath>
        <m:r>
          <w:rPr>
            <w:rFonts w:ascii="Cambria Math" w:eastAsia="Times New Roman" w:hAnsi="Cambria Math"/>
          </w:rPr>
          <m:t xml:space="preserve"> </m:t>
        </m:r>
        <m:r>
          <w:rPr>
            <w:rFonts w:ascii="Cambria Math" w:hAnsi="Cambria Math"/>
          </w:rPr>
          <m:t>γ</m:t>
        </m:r>
      </m:oMath>
      <w:r w:rsidR="00C766E1">
        <w:rPr>
          <w:rFonts w:eastAsia="Times New Roman"/>
        </w:rPr>
        <w:t xml:space="preserve"> </w:t>
      </w:r>
      <w:r w:rsidR="002B759B">
        <w:t>is the chemical energy demand per unit mass of glass melted for heating up the raw materials from room temperature to an assumed melting temperature of 1500</w:t>
      </w:r>
      <w:r w:rsidR="002B759B">
        <w:rPr>
          <w:vertAlign w:val="superscript"/>
        </w:rPr>
        <w:t>o</w:t>
      </w:r>
      <w:r w:rsidR="002B759B">
        <w:t xml:space="preserve">C and converting </w:t>
      </w:r>
      <w:r w:rsidR="004C2DB5">
        <w:t xml:space="preserve"> </w:t>
      </w:r>
      <w:r w:rsidR="002B759B">
        <w:t>the batch to glass</w:t>
      </w:r>
      <w:r w:rsidR="00C766E1">
        <w:rPr>
          <w:rStyle w:val="FootnoteReference"/>
        </w:rPr>
        <w:footnoteReference w:id="4"/>
      </w:r>
      <w:r w:rsidR="002B759B" w:rsidRPr="00396E77">
        <w:rPr>
          <w:rFonts w:eastAsia="Times New Roman"/>
        </w:rPr>
        <w:t xml:space="preserve">. </w:t>
      </w:r>
      <m:oMath>
        <m:sSub>
          <m:sSubPr>
            <m:ctrlPr>
              <w:rPr>
                <w:rFonts w:ascii="Cambria Math" w:hAnsi="Cambria Math"/>
                <w:i/>
              </w:rPr>
            </m:ctrlPr>
          </m:sSubPr>
          <m:e>
            <m:r>
              <w:rPr>
                <w:rFonts w:ascii="Cambria Math" w:hAnsi="Cambria Math"/>
              </w:rPr>
              <m:t>m</m:t>
            </m:r>
          </m:e>
          <m:sub>
            <m:r>
              <w:rPr>
                <w:rFonts w:ascii="Cambria Math" w:hAnsi="Cambria Math"/>
              </w:rPr>
              <m:t>batch</m:t>
            </m:r>
          </m:sub>
        </m:sSub>
        <m:r>
          <w:rPr>
            <w:rFonts w:ascii="Cambria Math" w:eastAsia="Times New Roman" w:hAnsi="Cambria Math"/>
          </w:rPr>
          <m:t xml:space="preserve"> </m:t>
        </m:r>
      </m:oMath>
      <w:r w:rsidR="002B759B" w:rsidRPr="00396E77">
        <w:rPr>
          <w:rFonts w:eastAsia="Times New Roman"/>
        </w:rPr>
        <w:t xml:space="preserve">is the total mass of batch which was fed, melted and recovered to the starting temperature over </w:t>
      </w:r>
      <m:oMath>
        <m:sSub>
          <m:sSubPr>
            <m:ctrlPr>
              <w:rPr>
                <w:rFonts w:ascii="Cambria Math" w:hAnsi="Cambria Math"/>
                <w:i/>
              </w:rPr>
            </m:ctrlPr>
          </m:sSubPr>
          <m:e>
            <m:r>
              <w:rPr>
                <w:rFonts w:ascii="Cambria Math" w:hAnsi="Cambria Math"/>
              </w:rPr>
              <m:t>t</m:t>
            </m:r>
          </m:e>
          <m:sub>
            <m:r>
              <w:rPr>
                <w:rFonts w:ascii="Cambria Math" w:hAnsi="Cambria Math"/>
              </w:rPr>
              <m:t>melting</m:t>
            </m:r>
          </m:sub>
        </m:sSub>
      </m:oMath>
      <w:r w:rsidR="002B759B" w:rsidRPr="00396E77">
        <w:rPr>
          <w:rFonts w:eastAsia="Times New Roman"/>
        </w:rPr>
        <w:t xml:space="preserve">, the total period analysed as shown in </w:t>
      </w:r>
      <w:r w:rsidR="002B759B" w:rsidRPr="00396E77">
        <w:rPr>
          <w:rFonts w:eastAsia="Times New Roman"/>
        </w:rPr>
        <w:fldChar w:fldCharType="begin"/>
      </w:r>
      <w:r w:rsidR="002B759B" w:rsidRPr="00396E77">
        <w:rPr>
          <w:rFonts w:eastAsia="Times New Roman"/>
        </w:rPr>
        <w:instrText xml:space="preserve"> REF _Ref443920664 \h  \* MERGEFORMAT </w:instrText>
      </w:r>
      <w:r w:rsidR="002B759B" w:rsidRPr="00396E77">
        <w:rPr>
          <w:rFonts w:eastAsia="Times New Roman"/>
        </w:rPr>
      </w:r>
      <w:r w:rsidR="002B759B" w:rsidRPr="00396E77">
        <w:rPr>
          <w:rFonts w:eastAsia="Times New Roman"/>
        </w:rPr>
        <w:fldChar w:fldCharType="separate"/>
      </w:r>
      <w:r w:rsidR="00820EB1" w:rsidRPr="00676091">
        <w:t xml:space="preserve">Table </w:t>
      </w:r>
      <w:r w:rsidR="00820EB1">
        <w:t>4</w:t>
      </w:r>
      <w:r w:rsidR="002B759B" w:rsidRPr="00396E77">
        <w:rPr>
          <w:rFonts w:eastAsia="Times New Roman"/>
        </w:rPr>
        <w:fldChar w:fldCharType="end"/>
      </w:r>
      <w:r w:rsidR="002B759B" w:rsidRPr="00396E77">
        <w:rPr>
          <w:rFonts w:eastAsia="Times New Roman"/>
        </w:rPr>
        <w:t>.</w:t>
      </w:r>
    </w:p>
    <w:p w14:paraId="74B21CCE" w14:textId="77777777" w:rsidR="002B759B" w:rsidRPr="00396E77" w:rsidRDefault="002B759B" w:rsidP="00EA4BBA">
      <w:r w:rsidRPr="00396E77">
        <w:t xml:space="preserve">From </w:t>
      </w:r>
      <m:oMath>
        <m:sSub>
          <m:sSubPr>
            <m:ctrlPr>
              <w:rPr>
                <w:rFonts w:ascii="Cambria Math" w:hAnsi="Cambria Math"/>
              </w:rPr>
            </m:ctrlPr>
          </m:sSubPr>
          <m:e>
            <m:r>
              <m:rPr>
                <m:sty m:val="p"/>
              </m:rPr>
              <w:rPr>
                <w:rFonts w:ascii="Cambria Math" w:hAnsi="Cambria Math"/>
              </w:rPr>
              <m:t xml:space="preserve">Q </m:t>
            </m:r>
          </m:e>
          <m:sub>
            <m:r>
              <w:rPr>
                <w:rFonts w:ascii="Cambria Math" w:hAnsi="Cambria Math"/>
                <w:vertAlign w:val="subscript"/>
              </w:rPr>
              <m:t>solar in</m:t>
            </m:r>
          </m:sub>
        </m:sSub>
      </m:oMath>
      <w:r w:rsidRPr="00396E77">
        <w:rPr>
          <w:vertAlign w:val="subscript"/>
        </w:rPr>
        <w:t xml:space="preserve"> </w:t>
      </w:r>
      <w:r w:rsidRPr="00396E77">
        <w:t xml:space="preserve">, </w:t>
      </w:r>
      <m:oMath>
        <m:sSub>
          <m:sSubPr>
            <m:ctrlPr>
              <w:rPr>
                <w:rFonts w:ascii="Cambria Math" w:hAnsi="Cambria Math"/>
                <w:i/>
              </w:rPr>
            </m:ctrlPr>
          </m:sSubPr>
          <m:e>
            <m:r>
              <w:rPr>
                <w:rFonts w:ascii="Cambria Math" w:hAnsi="Cambria Math"/>
              </w:rPr>
              <m:t>Q</m:t>
            </m:r>
          </m:e>
          <m:sub>
            <m:r>
              <w:rPr>
                <w:rFonts w:ascii="Cambria Math" w:hAnsi="Cambria Math"/>
              </w:rPr>
              <m:t>melting</m:t>
            </m:r>
          </m:sub>
        </m:sSub>
      </m:oMath>
      <w:r w:rsidRPr="00396E77">
        <w:rPr>
          <w:vertAlign w:val="subscript"/>
        </w:rPr>
        <w:t xml:space="preserve"> </w:t>
      </w:r>
      <w:r w:rsidRPr="00396E77">
        <w:t xml:space="preserve">, </w:t>
      </w:r>
      <m:oMath>
        <m:sSub>
          <m:sSubPr>
            <m:ctrlPr>
              <w:rPr>
                <w:rFonts w:ascii="Cambria Math" w:hAnsi="Cambria Math"/>
                <w:i/>
              </w:rPr>
            </m:ctrlPr>
          </m:sSubPr>
          <m:e>
            <m:r>
              <w:rPr>
                <w:rFonts w:ascii="Cambria Math" w:hAnsi="Cambria Math"/>
              </w:rPr>
              <m:t>m</m:t>
            </m:r>
          </m:e>
          <m:sub>
            <m:r>
              <w:rPr>
                <w:rFonts w:ascii="Cambria Math" w:hAnsi="Cambria Math"/>
              </w:rPr>
              <m:t>batch</m:t>
            </m:r>
          </m:sub>
        </m:sSub>
      </m:oMath>
      <w:r w:rsidRPr="00396E77">
        <w:t xml:space="preserve"> , </w:t>
      </w:r>
      <m:oMath>
        <m:r>
          <w:rPr>
            <w:rFonts w:ascii="Cambria Math" w:hAnsi="Cambria Math"/>
          </w:rPr>
          <m:t>β</m:t>
        </m:r>
      </m:oMath>
      <w:r w:rsidRPr="00396E77">
        <w:t xml:space="preserve"> and </w:t>
      </w:r>
      <m:oMath>
        <m:sSub>
          <m:sSubPr>
            <m:ctrlPr>
              <w:rPr>
                <w:rFonts w:ascii="Cambria Math" w:hAnsi="Cambria Math"/>
                <w:i/>
              </w:rPr>
            </m:ctrlPr>
          </m:sSubPr>
          <m:e>
            <m:r>
              <w:rPr>
                <w:rFonts w:ascii="Cambria Math" w:hAnsi="Cambria Math"/>
              </w:rPr>
              <m:t>t</m:t>
            </m:r>
          </m:e>
          <m:sub>
            <m:r>
              <w:rPr>
                <w:rFonts w:ascii="Cambria Math" w:hAnsi="Cambria Math"/>
              </w:rPr>
              <m:t>melting</m:t>
            </m:r>
          </m:sub>
        </m:sSub>
      </m:oMath>
      <w:r w:rsidRPr="00396E77">
        <w:t xml:space="preserve"> the thermal efficiency (</w:t>
      </w:r>
      <m:oMath>
        <m:sSub>
          <m:sSubPr>
            <m:ctrlPr>
              <w:rPr>
                <w:rFonts w:ascii="Cambria Math" w:hAnsi="Cambria Math"/>
              </w:rPr>
            </m:ctrlPr>
          </m:sSubPr>
          <m:e>
            <m:r>
              <w:rPr>
                <w:rFonts w:ascii="Cambria Math" w:hAnsi="Cambria Math"/>
              </w:rPr>
              <m:t>η</m:t>
            </m:r>
          </m:e>
          <m:sub>
            <m:r>
              <w:rPr>
                <w:rFonts w:ascii="Cambria Math" w:hAnsi="Cambria Math"/>
              </w:rPr>
              <m:t>th melting</m:t>
            </m:r>
          </m:sub>
        </m:sSub>
      </m:oMath>
      <w:r w:rsidRPr="00396E77">
        <w:t xml:space="preserve">) and glass melting rate </w:t>
      </w:r>
      <m:oMath>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m</m:t>
                </m:r>
              </m:e>
              <m:sub>
                <m:r>
                  <w:rPr>
                    <w:rFonts w:ascii="Cambria Math" w:hAnsi="Cambria Math"/>
                  </w:rPr>
                  <m:t>gm</m:t>
                </m:r>
              </m:sub>
            </m:sSub>
            <m:r>
              <w:rPr>
                <w:rFonts w:ascii="Cambria Math" w:hAnsi="Cambria Math"/>
              </w:rPr>
              <m:t>)</m:t>
            </m:r>
          </m:e>
        </m:acc>
      </m:oMath>
      <w:r w:rsidRPr="00396E77">
        <w:rPr>
          <w:vertAlign w:val="subscript"/>
        </w:rPr>
        <w:t xml:space="preserve"> </w:t>
      </w:r>
      <w:r w:rsidRPr="00396E77">
        <w:t>of the solar-heated glass melting process is calculated as follows:</w:t>
      </w:r>
    </w:p>
    <w:tbl>
      <w:tblPr>
        <w:tblW w:w="0" w:type="auto"/>
        <w:tblInd w:w="284" w:type="dxa"/>
        <w:tblLook w:val="04A0" w:firstRow="1" w:lastRow="0" w:firstColumn="1" w:lastColumn="0" w:noHBand="0" w:noVBand="1"/>
      </w:tblPr>
      <w:tblGrid>
        <w:gridCol w:w="6501"/>
        <w:gridCol w:w="1719"/>
      </w:tblGrid>
      <w:tr w:rsidR="002B759B" w:rsidRPr="00396E77" w14:paraId="0F2B17ED" w14:textId="77777777" w:rsidTr="00EA4BBA">
        <w:trPr>
          <w:trHeight w:val="261"/>
        </w:trPr>
        <w:tc>
          <w:tcPr>
            <w:tcW w:w="6941" w:type="dxa"/>
            <w:shd w:val="clear" w:color="auto" w:fill="auto"/>
            <w:vAlign w:val="center"/>
          </w:tcPr>
          <w:p w14:paraId="70080C3C" w14:textId="6232A3C3" w:rsidR="002B759B" w:rsidRPr="008C3622" w:rsidRDefault="00A47317" w:rsidP="00F01095">
            <w:pPr>
              <w:spacing w:after="0"/>
              <w:ind w:firstLine="0"/>
              <w:jc w:val="left"/>
              <w:rPr>
                <w:rFonts w:eastAsia="Times New Roman"/>
              </w:rPr>
            </w:pPr>
            <m:oMathPara>
              <m:oMath>
                <m:sSub>
                  <m:sSubPr>
                    <m:ctrlPr>
                      <w:rPr>
                        <w:rFonts w:ascii="Cambria Math" w:hAnsi="Cambria Math"/>
                      </w:rPr>
                    </m:ctrlPr>
                  </m:sSubPr>
                  <m:e>
                    <m:r>
                      <w:rPr>
                        <w:rFonts w:ascii="Cambria Math" w:hAnsi="Cambria Math"/>
                      </w:rPr>
                      <m:t>η</m:t>
                    </m:r>
                  </m:e>
                  <m:sub>
                    <m:r>
                      <w:rPr>
                        <w:rFonts w:ascii="Cambria Math" w:hAnsi="Cambria Math"/>
                      </w:rPr>
                      <m:t>th melting</m:t>
                    </m:r>
                  </m:sub>
                </m:sSub>
                <m:r>
                  <m:rPr>
                    <m:sty m:val="p"/>
                  </m:rPr>
                  <w:rPr>
                    <w:rFonts w:ascii="Cambria Math" w:hAnsi="Cambria Math"/>
                  </w:rPr>
                  <m:t>=</m:t>
                </m:r>
                <m:f>
                  <m:fPr>
                    <m:ctrlPr>
                      <w:rPr>
                        <w:rFonts w:ascii="Cambria Math" w:hAnsi="Cambria Math"/>
                      </w:rPr>
                    </m:ctrlPr>
                  </m:fPr>
                  <m:num>
                    <m:r>
                      <w:rPr>
                        <w:rFonts w:ascii="Cambria Math" w:hAnsi="Cambria Math"/>
                      </w:rPr>
                      <m:t>useful power</m:t>
                    </m:r>
                  </m:num>
                  <m:den>
                    <m:r>
                      <w:rPr>
                        <w:rFonts w:ascii="Cambria Math" w:hAnsi="Cambria Math"/>
                      </w:rPr>
                      <m:t>total power input</m:t>
                    </m:r>
                  </m:den>
                </m:f>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r>
                          <w:rPr>
                            <w:rFonts w:ascii="Cambria Math" w:hAnsi="Cambria Math"/>
                          </w:rPr>
                          <m:t>Q</m:t>
                        </m:r>
                      </m:e>
                      <m:sub>
                        <m:r>
                          <w:rPr>
                            <w:rFonts w:ascii="Cambria Math" w:hAnsi="Cambria Math"/>
                          </w:rPr>
                          <m:t>melting</m:t>
                        </m:r>
                      </m:sub>
                    </m:sSub>
                  </m:num>
                  <m:den>
                    <m:sSub>
                      <m:sSubPr>
                        <m:ctrlPr>
                          <w:rPr>
                            <w:rFonts w:ascii="Cambria Math" w:hAnsi="Cambria Math"/>
                          </w:rPr>
                        </m:ctrlPr>
                      </m:sSubPr>
                      <m:e>
                        <m:r>
                          <m:rPr>
                            <m:sty m:val="p"/>
                          </m:rPr>
                          <w:rPr>
                            <w:rFonts w:ascii="Cambria Math" w:hAnsi="Cambria Math"/>
                          </w:rPr>
                          <m:t xml:space="preserve">Q </m:t>
                        </m:r>
                      </m:e>
                      <m:sub>
                        <m:r>
                          <m:rPr>
                            <m:sty m:val="p"/>
                          </m:rPr>
                          <w:rPr>
                            <w:rFonts w:ascii="Cambria Math" w:hAnsi="Cambria Math"/>
                            <w:vertAlign w:val="subscript"/>
                          </w:rPr>
                          <m:t>solar in</m:t>
                        </m:r>
                      </m:sub>
                    </m:sSub>
                  </m:den>
                </m:f>
                <m:r>
                  <w:rPr>
                    <w:rFonts w:ascii="Cambria Math" w:eastAsia="Times New Roman" w:hAnsi="Cambria Math"/>
                  </w:rPr>
                  <m:t>=</m:t>
                </m:r>
                <m:f>
                  <m:fPr>
                    <m:ctrlPr>
                      <w:rPr>
                        <w:rFonts w:ascii="Cambria Math" w:eastAsia="Times New Roman" w:hAnsi="Cambria Math"/>
                        <w:i/>
                      </w:rPr>
                    </m:ctrlPr>
                  </m:fPr>
                  <m:num>
                    <m:r>
                      <w:rPr>
                        <w:rFonts w:ascii="Cambria Math" w:hAnsi="Cambria Math"/>
                      </w:rPr>
                      <m:t xml:space="preserve">828 </m:t>
                    </m:r>
                    <m:r>
                      <m:rPr>
                        <m:sty m:val="p"/>
                      </m:rPr>
                      <w:rPr>
                        <w:rFonts w:ascii="Cambria Math" w:hAnsi="Cambria Math"/>
                      </w:rPr>
                      <m:t>W</m:t>
                    </m:r>
                  </m:num>
                  <m:den>
                    <m:r>
                      <m:rPr>
                        <m:sty m:val="p"/>
                      </m:rPr>
                      <w:rPr>
                        <w:rFonts w:ascii="Cambria Math" w:hAnsi="Cambria Math"/>
                      </w:rPr>
                      <m:t>5264 W</m:t>
                    </m:r>
                  </m:den>
                </m:f>
                <m:r>
                  <w:rPr>
                    <w:rFonts w:ascii="Cambria Math" w:eastAsia="Times New Roman" w:hAnsi="Cambria Math"/>
                  </w:rPr>
                  <m:t>=15.7 %</m:t>
                </m:r>
              </m:oMath>
            </m:oMathPara>
          </w:p>
        </w:tc>
        <w:tc>
          <w:tcPr>
            <w:tcW w:w="1791" w:type="dxa"/>
            <w:shd w:val="clear" w:color="auto" w:fill="auto"/>
            <w:vAlign w:val="center"/>
          </w:tcPr>
          <w:p w14:paraId="7FCA4E4F" w14:textId="77777777" w:rsidR="002B759B" w:rsidRPr="00396E77" w:rsidRDefault="002B759B" w:rsidP="00EA4BBA">
            <w:pPr>
              <w:spacing w:after="0"/>
              <w:ind w:firstLine="0"/>
              <w:jc w:val="right"/>
            </w:pPr>
            <w:r w:rsidRPr="00396E77">
              <w:t xml:space="preserve">Equation </w:t>
            </w:r>
            <w:r w:rsidR="00A47317">
              <w:fldChar w:fldCharType="begin"/>
            </w:r>
            <w:r w:rsidR="00A47317">
              <w:instrText xml:space="preserve"> SEQ Equation \* ARABIC </w:instrText>
            </w:r>
            <w:r w:rsidR="00A47317">
              <w:fldChar w:fldCharType="separate"/>
            </w:r>
            <w:r w:rsidR="00820EB1">
              <w:rPr>
                <w:noProof/>
              </w:rPr>
              <w:t>5</w:t>
            </w:r>
            <w:r w:rsidR="00A47317">
              <w:rPr>
                <w:noProof/>
              </w:rPr>
              <w:fldChar w:fldCharType="end"/>
            </w:r>
          </w:p>
        </w:tc>
      </w:tr>
      <w:tr w:rsidR="002B759B" w:rsidRPr="00396E77" w14:paraId="064D453C" w14:textId="77777777" w:rsidTr="00EA4BBA">
        <w:trPr>
          <w:trHeight w:val="593"/>
        </w:trPr>
        <w:tc>
          <w:tcPr>
            <w:tcW w:w="6941" w:type="dxa"/>
            <w:shd w:val="clear" w:color="auto" w:fill="auto"/>
            <w:vAlign w:val="center"/>
          </w:tcPr>
          <w:p w14:paraId="03418FE1" w14:textId="16A7EBB8" w:rsidR="002B759B" w:rsidRPr="008C3622" w:rsidRDefault="00A47317" w:rsidP="00EA4BBA">
            <w:pPr>
              <w:spacing w:after="0"/>
              <w:ind w:firstLine="0"/>
              <w:jc w:val="center"/>
              <w:rPr>
                <w:rFonts w:eastAsia="Times New Roman"/>
              </w:rPr>
            </w:pPr>
            <m:oMathPara>
              <m:oMath>
                <m:acc>
                  <m:accPr>
                    <m:chr m:val="̇"/>
                    <m:ctrlPr>
                      <w:rPr>
                        <w:rFonts w:ascii="Cambria Math" w:eastAsia="Times New Roman" w:hAnsi="Cambria Math"/>
                        <w:i/>
                      </w:rPr>
                    </m:ctrlPr>
                  </m:accPr>
                  <m:e>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gm</m:t>
                        </m:r>
                      </m:sub>
                    </m:sSub>
                  </m:e>
                </m:acc>
                <m:r>
                  <w:rPr>
                    <w:rFonts w:ascii="Cambria Math" w:eastAsia="Times New Roman" w:hAnsi="Cambria Math"/>
                  </w:rPr>
                  <m:t>=</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glass</m:t>
                        </m:r>
                      </m:sub>
                    </m:sSub>
                  </m:num>
                  <m:den>
                    <m:sSub>
                      <m:sSubPr>
                        <m:ctrlPr>
                          <w:rPr>
                            <w:rFonts w:ascii="Cambria Math" w:hAnsi="Cambria Math"/>
                            <w:i/>
                          </w:rPr>
                        </m:ctrlPr>
                      </m:sSubPr>
                      <m:e>
                        <m:r>
                          <w:rPr>
                            <w:rFonts w:ascii="Cambria Math" w:hAnsi="Cambria Math"/>
                          </w:rPr>
                          <m:t>t</m:t>
                        </m:r>
                      </m:e>
                      <m:sub>
                        <m:r>
                          <w:rPr>
                            <w:rFonts w:ascii="Cambria Math" w:hAnsi="Cambria Math"/>
                          </w:rPr>
                          <m:t>melting</m:t>
                        </m:r>
                      </m:sub>
                    </m:sSub>
                  </m:den>
                </m:f>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β</m:t>
                    </m:r>
                    <m:sSub>
                      <m:sSubPr>
                        <m:ctrlPr>
                          <w:rPr>
                            <w:rFonts w:ascii="Cambria Math" w:eastAsia="Times New Roman" w:hAnsi="Cambria Math"/>
                            <w:i/>
                          </w:rPr>
                        </m:ctrlPr>
                      </m:sSubPr>
                      <m:e>
                        <m:r>
                          <w:rPr>
                            <w:rFonts w:ascii="Cambria Math" w:eastAsia="Times New Roman" w:hAnsi="Cambria Math"/>
                          </w:rPr>
                          <m:t>m</m:t>
                        </m:r>
                      </m:e>
                      <m:sub>
                        <m:r>
                          <w:rPr>
                            <w:rFonts w:ascii="Cambria Math" w:eastAsia="Times New Roman" w:hAnsi="Cambria Math"/>
                          </w:rPr>
                          <m:t>batch</m:t>
                        </m:r>
                      </m:sub>
                    </m:sSub>
                  </m:num>
                  <m:den>
                    <m:sSub>
                      <m:sSubPr>
                        <m:ctrlPr>
                          <w:rPr>
                            <w:rFonts w:ascii="Cambria Math" w:hAnsi="Cambria Math"/>
                            <w:i/>
                          </w:rPr>
                        </m:ctrlPr>
                      </m:sSubPr>
                      <m:e>
                        <m:r>
                          <w:rPr>
                            <w:rFonts w:ascii="Cambria Math" w:hAnsi="Cambria Math"/>
                          </w:rPr>
                          <m:t>t</m:t>
                        </m:r>
                      </m:e>
                      <m:sub>
                        <m:r>
                          <w:rPr>
                            <w:rFonts w:ascii="Cambria Math" w:hAnsi="Cambria Math"/>
                          </w:rPr>
                          <m:t>melting</m:t>
                        </m:r>
                      </m:sub>
                    </m:sSub>
                  </m:den>
                </m:f>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 xml:space="preserve">0.8 × </m:t>
                    </m:r>
                    <m:r>
                      <m:rPr>
                        <m:sty m:val="p"/>
                      </m:rPr>
                      <w:rPr>
                        <w:rFonts w:ascii="Cambria Math" w:hAnsi="Cambria Math"/>
                      </w:rPr>
                      <m:t>2415 g</m:t>
                    </m:r>
                    <m:r>
                      <w:rPr>
                        <w:rFonts w:ascii="Cambria Math" w:eastAsia="Times New Roman" w:hAnsi="Cambria Math"/>
                      </w:rPr>
                      <m:t xml:space="preserve"> </m:t>
                    </m:r>
                  </m:num>
                  <m:den>
                    <m:r>
                      <m:rPr>
                        <m:sty m:val="p"/>
                      </m:rPr>
                      <w:rPr>
                        <w:rFonts w:ascii="Cambria Math" w:hAnsi="Cambria Math"/>
                      </w:rPr>
                      <m:t>7685 s</m:t>
                    </m:r>
                  </m:den>
                </m:f>
                <m:r>
                  <w:rPr>
                    <w:rFonts w:ascii="Cambria Math" w:eastAsia="Times New Roman" w:hAnsi="Cambria Math"/>
                  </w:rPr>
                  <m:t xml:space="preserve">=0.251 </m:t>
                </m:r>
                <m:f>
                  <m:fPr>
                    <m:ctrlPr>
                      <w:rPr>
                        <w:rFonts w:ascii="Cambria Math" w:eastAsia="Times New Roman" w:hAnsi="Cambria Math"/>
                      </w:rPr>
                    </m:ctrlPr>
                  </m:fPr>
                  <m:num>
                    <m:r>
                      <m:rPr>
                        <m:sty m:val="p"/>
                      </m:rPr>
                      <w:rPr>
                        <w:rFonts w:ascii="Cambria Math" w:eastAsia="Times New Roman" w:hAnsi="Cambria Math"/>
                      </w:rPr>
                      <m:t>g</m:t>
                    </m:r>
                  </m:num>
                  <m:den>
                    <m:r>
                      <m:rPr>
                        <m:sty m:val="p"/>
                      </m:rPr>
                      <w:rPr>
                        <w:rFonts w:ascii="Cambria Math" w:eastAsia="Times New Roman" w:hAnsi="Cambria Math"/>
                      </w:rPr>
                      <m:t>s</m:t>
                    </m:r>
                  </m:den>
                </m:f>
                <m:r>
                  <w:rPr>
                    <w:rFonts w:ascii="Cambria Math" w:eastAsia="Times New Roman" w:hAnsi="Cambria Math"/>
                  </w:rPr>
                  <m:t xml:space="preserve">=0.91 </m:t>
                </m:r>
                <m:f>
                  <m:fPr>
                    <m:ctrlPr>
                      <w:rPr>
                        <w:rFonts w:ascii="Cambria Math" w:eastAsia="Times New Roman" w:hAnsi="Cambria Math"/>
                      </w:rPr>
                    </m:ctrlPr>
                  </m:fPr>
                  <m:num>
                    <m:r>
                      <m:rPr>
                        <m:sty m:val="p"/>
                      </m:rPr>
                      <w:rPr>
                        <w:rFonts w:ascii="Cambria Math" w:eastAsia="Times New Roman" w:hAnsi="Cambria Math"/>
                      </w:rPr>
                      <m:t>kg</m:t>
                    </m:r>
                  </m:num>
                  <m:den>
                    <m:r>
                      <m:rPr>
                        <m:sty m:val="p"/>
                      </m:rPr>
                      <w:rPr>
                        <w:rFonts w:ascii="Cambria Math" w:eastAsia="Times New Roman" w:hAnsi="Cambria Math"/>
                      </w:rPr>
                      <m:t>hr</m:t>
                    </m:r>
                  </m:den>
                </m:f>
              </m:oMath>
            </m:oMathPara>
          </w:p>
        </w:tc>
        <w:tc>
          <w:tcPr>
            <w:tcW w:w="1791" w:type="dxa"/>
            <w:shd w:val="clear" w:color="auto" w:fill="auto"/>
            <w:vAlign w:val="center"/>
          </w:tcPr>
          <w:p w14:paraId="053967BC" w14:textId="77777777" w:rsidR="002B759B" w:rsidRPr="00396E77" w:rsidRDefault="002B759B" w:rsidP="00EA4BBA">
            <w:pPr>
              <w:spacing w:after="0"/>
              <w:ind w:firstLine="0"/>
              <w:jc w:val="right"/>
            </w:pPr>
            <w:r w:rsidRPr="00396E77">
              <w:t xml:space="preserve">Equation </w:t>
            </w:r>
            <w:r w:rsidR="00A47317">
              <w:fldChar w:fldCharType="begin"/>
            </w:r>
            <w:r w:rsidR="00A47317">
              <w:instrText xml:space="preserve"> SEQ Equation \* ARABIC </w:instrText>
            </w:r>
            <w:r w:rsidR="00A47317">
              <w:fldChar w:fldCharType="separate"/>
            </w:r>
            <w:r w:rsidR="00820EB1">
              <w:rPr>
                <w:noProof/>
              </w:rPr>
              <w:t>6</w:t>
            </w:r>
            <w:r w:rsidR="00A47317">
              <w:rPr>
                <w:noProof/>
              </w:rPr>
              <w:fldChar w:fldCharType="end"/>
            </w:r>
          </w:p>
        </w:tc>
      </w:tr>
    </w:tbl>
    <w:p w14:paraId="5D65C02A" w14:textId="3456ECDD" w:rsidR="002B759B" w:rsidRDefault="00A47317" w:rsidP="00EA4BBA">
      <m:oMath>
        <m:sSub>
          <m:sSubPr>
            <m:ctrlPr>
              <w:rPr>
                <w:rFonts w:ascii="Cambria Math" w:hAnsi="Cambria Math"/>
              </w:rPr>
            </m:ctrlPr>
          </m:sSubPr>
          <m:e>
            <m:r>
              <m:rPr>
                <m:sty m:val="p"/>
              </m:rPr>
              <w:rPr>
                <w:rFonts w:ascii="Cambria Math" w:hAnsi="Cambria Math"/>
              </w:rPr>
              <m:t>Q</m:t>
            </m:r>
          </m:e>
          <m:sub>
            <m:r>
              <w:rPr>
                <w:rFonts w:ascii="Cambria Math" w:hAnsi="Cambria Math"/>
                <w:vertAlign w:val="subscript"/>
              </w:rPr>
              <m:t>cond</m:t>
            </m:r>
          </m:sub>
        </m:sSub>
      </m:oMath>
      <w:r w:rsidR="002B759B">
        <w:t xml:space="preserve"> is the conduction heat loss through the boundaries of the control volume which subdivided into </w:t>
      </w:r>
      <m:oMath>
        <m:sSub>
          <m:sSubPr>
            <m:ctrlPr>
              <w:rPr>
                <w:rFonts w:ascii="Cambria Math" w:hAnsi="Cambria Math"/>
                <w:i/>
              </w:rPr>
            </m:ctrlPr>
          </m:sSubPr>
          <m:e>
            <m:r>
              <w:rPr>
                <w:rFonts w:ascii="Cambria Math" w:hAnsi="Cambria Math"/>
              </w:rPr>
              <m:t>Q</m:t>
            </m:r>
          </m:e>
          <m:sub>
            <m:r>
              <w:rPr>
                <w:rFonts w:ascii="Cambria Math" w:hAnsi="Cambria Math"/>
              </w:rPr>
              <m:t>cond  base</m:t>
            </m:r>
          </m:sub>
        </m:sSub>
      </m:oMath>
      <w:r w:rsidR="002B759B">
        <w:t xml:space="preserve"> and </w:t>
      </w:r>
      <m:oMath>
        <m:sSub>
          <m:sSubPr>
            <m:ctrlPr>
              <w:rPr>
                <w:rFonts w:ascii="Cambria Math" w:hAnsi="Cambria Math"/>
                <w:i/>
              </w:rPr>
            </m:ctrlPr>
          </m:sSubPr>
          <m:e>
            <m:r>
              <w:rPr>
                <w:rFonts w:ascii="Cambria Math" w:hAnsi="Cambria Math"/>
              </w:rPr>
              <m:t>Q</m:t>
            </m:r>
          </m:e>
          <m:sub>
            <m:r>
              <w:rPr>
                <w:rFonts w:ascii="Cambria Math" w:hAnsi="Cambria Math"/>
              </w:rPr>
              <m:t>cond sides</m:t>
            </m:r>
          </m:sub>
        </m:sSub>
      </m:oMath>
      <w:r w:rsidR="002B759B" w:rsidRPr="00396E77">
        <w:rPr>
          <w:rFonts w:eastAsia="Times New Roman"/>
        </w:rPr>
        <w:t xml:space="preserve"> as explained in the following paragraphs</w:t>
      </w:r>
      <w:r w:rsidR="002B759B">
        <w:t>. Since the temperatures on either side of the walls conducting heat away from the control volume were measured and the thermal conductivities of the materials constituting these walls were known, the heat losses by conduction, were calculated by application of Fourier’s law, assuming 1D steady state heat transfer as follows (</w:t>
      </w:r>
      <w:r w:rsidR="002B759B">
        <w:fldChar w:fldCharType="begin"/>
      </w:r>
      <w:r w:rsidR="002B759B">
        <w:instrText xml:space="preserve"> REF _Ref451075808 \h </w:instrText>
      </w:r>
      <w:r w:rsidR="002B759B">
        <w:fldChar w:fldCharType="separate"/>
      </w:r>
      <w:r w:rsidR="00820EB1">
        <w:t xml:space="preserve">Equation </w:t>
      </w:r>
      <w:r w:rsidR="00820EB1">
        <w:rPr>
          <w:noProof/>
        </w:rPr>
        <w:t>7</w:t>
      </w:r>
      <w:r w:rsidR="002B759B">
        <w:fldChar w:fldCharType="end"/>
      </w:r>
      <w:r w:rsidR="002B759B">
        <w:t xml:space="preserve">). </w:t>
      </w:r>
    </w:p>
    <w:tbl>
      <w:tblPr>
        <w:tblW w:w="0" w:type="auto"/>
        <w:tblInd w:w="284" w:type="dxa"/>
        <w:tblLook w:val="04A0" w:firstRow="1" w:lastRow="0" w:firstColumn="1" w:lastColumn="0" w:noHBand="0" w:noVBand="1"/>
      </w:tblPr>
      <w:tblGrid>
        <w:gridCol w:w="6206"/>
        <w:gridCol w:w="1502"/>
        <w:gridCol w:w="512"/>
      </w:tblGrid>
      <w:tr w:rsidR="002B759B" w:rsidRPr="00396E77" w14:paraId="40AF37E8" w14:textId="77777777" w:rsidTr="00EA4BBA">
        <w:trPr>
          <w:trHeight w:val="261"/>
        </w:trPr>
        <w:tc>
          <w:tcPr>
            <w:tcW w:w="6657" w:type="dxa"/>
            <w:shd w:val="clear" w:color="auto" w:fill="auto"/>
            <w:vAlign w:val="center"/>
          </w:tcPr>
          <w:p w14:paraId="2389F0BE" w14:textId="77777777" w:rsidR="002B759B" w:rsidRPr="00396E77" w:rsidRDefault="00A47317" w:rsidP="00EA4BBA">
            <w:pPr>
              <w:pStyle w:val="Subtitle"/>
              <w:rPr>
                <w:rFonts w:eastAsia="Times New Roman"/>
              </w:rPr>
            </w:pPr>
            <m:oMath>
              <m:sSub>
                <m:sSubPr>
                  <m:ctrlPr>
                    <w:rPr>
                      <w:rFonts w:ascii="Cambria Math" w:hAnsi="Cambria Math"/>
                    </w:rPr>
                  </m:ctrlPr>
                </m:sSubPr>
                <m:e>
                  <m:r>
                    <w:rPr>
                      <w:rFonts w:ascii="Cambria Math" w:hAnsi="Cambria Math"/>
                    </w:rPr>
                    <m:t>Q</m:t>
                  </m:r>
                </m:e>
                <m:sub>
                  <m:r>
                    <w:rPr>
                      <w:rFonts w:ascii="Cambria Math" w:hAnsi="Cambria Math"/>
                    </w:rPr>
                    <m:t>cond</m:t>
                  </m:r>
                  <m:r>
                    <m:rPr>
                      <m:sty m:val="p"/>
                    </m:rPr>
                    <w:rPr>
                      <w:rFonts w:ascii="Cambria Math" w:hAnsi="Cambria Math"/>
                    </w:rPr>
                    <m:t xml:space="preserve"> (</m:t>
                  </m:r>
                  <m:r>
                    <w:rPr>
                      <w:rFonts w:ascii="Cambria Math" w:hAnsi="Cambria Math"/>
                    </w:rPr>
                    <m:t>linear</m:t>
                  </m:r>
                  <m:r>
                    <m:rPr>
                      <m:sty m:val="p"/>
                    </m:rPr>
                    <w:rPr>
                      <w:rFonts w:ascii="Cambria Math" w:hAnsi="Cambria Math"/>
                    </w:rPr>
                    <m:t>)</m:t>
                  </m:r>
                </m:sub>
              </m:sSub>
              <m:r>
                <m:rPr>
                  <m:sty m:val="p"/>
                </m:rPr>
                <w:rPr>
                  <w:rFonts w:ascii="Cambria Math" w:hAnsi="Cambria Math"/>
                </w:rPr>
                <m:t>=</m:t>
              </m:r>
              <m:r>
                <w:rPr>
                  <w:rFonts w:ascii="Cambria Math" w:hAnsi="Cambria Math"/>
                </w:rPr>
                <m:t>kA</m:t>
              </m:r>
              <m:f>
                <m:fPr>
                  <m:ctrlPr>
                    <w:rPr>
                      <w:rFonts w:ascii="Cambria Math" w:hAnsi="Cambria Math"/>
                    </w:rPr>
                  </m:ctrlPr>
                </m:fPr>
                <m:num>
                  <m:r>
                    <w:rPr>
                      <w:rFonts w:ascii="Cambria Math" w:hAnsi="Cambria Math"/>
                    </w:rPr>
                    <m:t>∂T</m:t>
                  </m:r>
                </m:num>
                <m:den>
                  <m:r>
                    <w:rPr>
                      <w:rFonts w:ascii="Cambria Math" w:hAnsi="Cambria Math"/>
                    </w:rPr>
                    <m:t>∂x</m:t>
                  </m:r>
                </m:den>
              </m:f>
            </m:oMath>
            <w:r w:rsidR="002B759B" w:rsidRPr="00396E77">
              <w:rPr>
                <w:rFonts w:eastAsia="Times New Roman"/>
              </w:rPr>
              <w:t xml:space="preserve"> </w:t>
            </w:r>
            <m:oMath>
              <m:sSub>
                <m:sSubPr>
                  <m:ctrlPr>
                    <w:rPr>
                      <w:rFonts w:ascii="Cambria Math" w:hAnsi="Cambria Math"/>
                    </w:rPr>
                  </m:ctrlPr>
                </m:sSubPr>
                <m:e>
                  <m:r>
                    <m:rPr>
                      <m:sty m:val="p"/>
                    </m:rPr>
                    <w:rPr>
                      <w:rFonts w:ascii="Cambria Math" w:hAnsi="Cambria Math"/>
                    </w:rPr>
                    <m:t xml:space="preserve">     ,       </m:t>
                  </m:r>
                  <m:r>
                    <w:rPr>
                      <w:rFonts w:ascii="Cambria Math" w:hAnsi="Cambria Math"/>
                    </w:rPr>
                    <m:t>Q</m:t>
                  </m:r>
                </m:e>
                <m:sub>
                  <m:r>
                    <w:rPr>
                      <w:rFonts w:ascii="Cambria Math" w:hAnsi="Cambria Math"/>
                    </w:rPr>
                    <m:t>cond</m:t>
                  </m:r>
                  <m:r>
                    <m:rPr>
                      <m:sty m:val="p"/>
                    </m:rPr>
                    <w:rPr>
                      <w:rFonts w:ascii="Cambria Math" w:hAnsi="Cambria Math"/>
                    </w:rPr>
                    <m:t xml:space="preserve"> (</m:t>
                  </m:r>
                  <m:r>
                    <w:rPr>
                      <w:rFonts w:ascii="Cambria Math" w:hAnsi="Cambria Math"/>
                    </w:rPr>
                    <m:t>radial</m:t>
                  </m:r>
                  <m:r>
                    <m:rPr>
                      <m:sty m:val="p"/>
                    </m:rPr>
                    <w:rPr>
                      <w:rFonts w:ascii="Cambria Math" w:hAnsi="Cambria Math"/>
                    </w:rPr>
                    <m:t>)</m:t>
                  </m:r>
                </m:sub>
              </m:sSub>
              <m:r>
                <m:rPr>
                  <m:sty m:val="p"/>
                </m:rPr>
                <w:rPr>
                  <w:rFonts w:ascii="Cambria Math" w:hAnsi="Cambria Math"/>
                </w:rPr>
                <m:t>=</m:t>
              </m:r>
              <m:r>
                <w:rPr>
                  <w:rFonts w:ascii="Cambria Math" w:hAnsi="Cambria Math"/>
                </w:rPr>
                <m:t>kA</m:t>
              </m:r>
              <m:f>
                <m:fPr>
                  <m:ctrlPr>
                    <w:rPr>
                      <w:rFonts w:ascii="Cambria Math" w:hAnsi="Cambria Math"/>
                    </w:rPr>
                  </m:ctrlPr>
                </m:fPr>
                <m:num>
                  <m:r>
                    <w:rPr>
                      <w:rFonts w:ascii="Cambria Math" w:hAnsi="Cambria Math"/>
                    </w:rPr>
                    <m:t>∂T</m:t>
                  </m:r>
                </m:num>
                <m:den>
                  <m:r>
                    <w:rPr>
                      <w:rFonts w:ascii="Cambria Math" w:hAnsi="Cambria Math"/>
                    </w:rPr>
                    <m:t>∂r</m:t>
                  </m:r>
                </m:den>
              </m:f>
            </m:oMath>
          </w:p>
        </w:tc>
        <w:tc>
          <w:tcPr>
            <w:tcW w:w="1559" w:type="dxa"/>
            <w:shd w:val="clear" w:color="auto" w:fill="auto"/>
            <w:vAlign w:val="center"/>
          </w:tcPr>
          <w:p w14:paraId="7DE561AA" w14:textId="77777777" w:rsidR="002B759B" w:rsidRDefault="002B759B" w:rsidP="00EA4BBA">
            <w:pPr>
              <w:pStyle w:val="Subtitle"/>
              <w:jc w:val="right"/>
            </w:pPr>
            <w:bookmarkStart w:id="194" w:name="_Ref451075808"/>
            <w:r>
              <w:t xml:space="preserve">Equation </w:t>
            </w:r>
            <w:r w:rsidR="00A47317">
              <w:fldChar w:fldCharType="begin"/>
            </w:r>
            <w:r w:rsidR="00A47317">
              <w:instrText xml:space="preserve"> SEQ Equation \* ARABIC </w:instrText>
            </w:r>
            <w:r w:rsidR="00A47317">
              <w:fldChar w:fldCharType="separate"/>
            </w:r>
            <w:r w:rsidR="00820EB1">
              <w:rPr>
                <w:noProof/>
              </w:rPr>
              <w:t>7</w:t>
            </w:r>
            <w:r w:rsidR="00A47317">
              <w:rPr>
                <w:noProof/>
              </w:rPr>
              <w:fldChar w:fldCharType="end"/>
            </w:r>
            <w:bookmarkEnd w:id="194"/>
          </w:p>
        </w:tc>
        <w:tc>
          <w:tcPr>
            <w:tcW w:w="516" w:type="dxa"/>
            <w:shd w:val="clear" w:color="auto" w:fill="auto"/>
            <w:vAlign w:val="center"/>
          </w:tcPr>
          <w:p w14:paraId="63E0C33F" w14:textId="77777777" w:rsidR="002B759B" w:rsidRDefault="002B759B" w:rsidP="00EA4BBA">
            <w:pPr>
              <w:pStyle w:val="Subtitle"/>
            </w:pPr>
            <w:r>
              <w:t>a,b</w:t>
            </w:r>
          </w:p>
        </w:tc>
      </w:tr>
      <w:tr w:rsidR="002B759B" w:rsidRPr="00396E77" w14:paraId="1419B2C6" w14:textId="77777777" w:rsidTr="00EA4BBA">
        <w:trPr>
          <w:trHeight w:val="261"/>
        </w:trPr>
        <w:tc>
          <w:tcPr>
            <w:tcW w:w="6657" w:type="dxa"/>
            <w:shd w:val="clear" w:color="auto" w:fill="auto"/>
            <w:vAlign w:val="center"/>
          </w:tcPr>
          <w:p w14:paraId="1D0087F7" w14:textId="77777777" w:rsidR="002B759B" w:rsidRDefault="002B759B" w:rsidP="00EA4BBA">
            <w:pPr>
              <w:pStyle w:val="Subtitle"/>
            </w:pPr>
          </w:p>
        </w:tc>
        <w:tc>
          <w:tcPr>
            <w:tcW w:w="1559" w:type="dxa"/>
            <w:shd w:val="clear" w:color="auto" w:fill="auto"/>
            <w:vAlign w:val="center"/>
          </w:tcPr>
          <w:p w14:paraId="386CC98D" w14:textId="77777777" w:rsidR="002B759B" w:rsidRDefault="002B759B" w:rsidP="00EA4BBA">
            <w:pPr>
              <w:pStyle w:val="Subtitle"/>
              <w:jc w:val="right"/>
            </w:pPr>
          </w:p>
        </w:tc>
        <w:tc>
          <w:tcPr>
            <w:tcW w:w="516" w:type="dxa"/>
            <w:shd w:val="clear" w:color="auto" w:fill="auto"/>
            <w:vAlign w:val="center"/>
          </w:tcPr>
          <w:p w14:paraId="407CF041" w14:textId="77777777" w:rsidR="002B759B" w:rsidRDefault="002B759B" w:rsidP="00EA4BBA">
            <w:pPr>
              <w:pStyle w:val="Subtitle"/>
            </w:pPr>
          </w:p>
        </w:tc>
      </w:tr>
    </w:tbl>
    <w:p w14:paraId="31DF3152" w14:textId="512FC918" w:rsidR="00820EB1" w:rsidRDefault="00A47317" w:rsidP="00F52EC2">
      <m:oMath>
        <m:sSub>
          <m:sSubPr>
            <m:ctrlPr>
              <w:rPr>
                <w:rFonts w:ascii="Cambria Math" w:hAnsi="Cambria Math"/>
              </w:rPr>
            </m:ctrlPr>
          </m:sSubPr>
          <m:e>
            <m:r>
              <w:rPr>
                <w:rFonts w:ascii="Cambria Math" w:hAnsi="Cambria Math"/>
              </w:rPr>
              <m:t>Q</m:t>
            </m:r>
          </m:e>
          <m:sub>
            <m:r>
              <w:rPr>
                <w:rFonts w:ascii="Cambria Math" w:hAnsi="Cambria Math"/>
              </w:rPr>
              <m:t>cond</m:t>
            </m:r>
            <m:r>
              <m:rPr>
                <m:sty m:val="p"/>
              </m:rPr>
              <w:rPr>
                <w:rFonts w:ascii="Cambria Math" w:hAnsi="Cambria Math"/>
              </w:rPr>
              <m:t xml:space="preserve">  </m:t>
            </m:r>
            <m:r>
              <w:rPr>
                <w:rFonts w:ascii="Cambria Math" w:hAnsi="Cambria Math"/>
              </w:rPr>
              <m:t>base</m:t>
            </m:r>
          </m:sub>
        </m:sSub>
      </m:oMath>
      <w:r w:rsidR="002B759B" w:rsidRPr="00396E77">
        <w:rPr>
          <w:vertAlign w:val="subscript"/>
        </w:rPr>
        <w:t xml:space="preserve"> </w:t>
      </w:r>
      <w:r w:rsidR="002B759B" w:rsidRPr="00396E77">
        <w:t xml:space="preserve">: There was no flow of glass out of the bottom outlet during the period analysed, the surface area of the frozen column of glass through the bottom outlet was very small compared to that of the base and the thermal conductivity of and temperature gradient across this section of  glass in the bottom outlet was sufficiently similar to that of the crucible so it was considered acceptable to model the </w:t>
      </w:r>
      <w:r w:rsidR="002B759B">
        <w:t>base of the crucible with the bottom outlet, together as a single plane wall with constant thermal conductivity (</w:t>
      </w:r>
      <m:oMath>
        <m:sSub>
          <m:sSubPr>
            <m:ctrlPr>
              <w:rPr>
                <w:rFonts w:ascii="Cambria Math" w:hAnsi="Cambria Math"/>
              </w:rPr>
            </m:ctrlPr>
          </m:sSubPr>
          <m:e>
            <m:r>
              <w:rPr>
                <w:rFonts w:ascii="Cambria Math" w:hAnsi="Cambria Math"/>
              </w:rPr>
              <m:t>k</m:t>
            </m:r>
          </m:e>
          <m:sub>
            <m:r>
              <w:rPr>
                <w:rFonts w:ascii="Cambria Math" w:hAnsi="Cambria Math"/>
              </w:rPr>
              <m:t>crucible</m:t>
            </m:r>
          </m:sub>
        </m:sSub>
        <m:r>
          <m:rPr>
            <m:sty m:val="p"/>
          </m:rPr>
          <w:rPr>
            <w:rFonts w:ascii="Cambria Math" w:hAnsi="Cambria Math"/>
          </w:rPr>
          <m:t xml:space="preserve">) </m:t>
        </m:r>
      </m:oMath>
      <w:r w:rsidR="002B759B" w:rsidRPr="00396E77">
        <w:t>and thickness (</w:t>
      </w:r>
      <m:oMath>
        <m:sSub>
          <m:sSubPr>
            <m:ctrlPr>
              <w:rPr>
                <w:rFonts w:ascii="Cambria Math" w:hAnsi="Cambria Math"/>
              </w:rPr>
            </m:ctrlPr>
          </m:sSubPr>
          <m:e>
            <m:r>
              <w:rPr>
                <w:rFonts w:ascii="Cambria Math" w:hAnsi="Cambria Math"/>
              </w:rPr>
              <m:t>x</m:t>
            </m:r>
          </m:e>
          <m:sub>
            <m:r>
              <w:rPr>
                <w:rFonts w:ascii="Cambria Math" w:hAnsi="Cambria Math"/>
              </w:rPr>
              <m:t>base</m:t>
            </m:r>
          </m:sub>
        </m:sSub>
        <m:r>
          <m:rPr>
            <m:sty m:val="p"/>
          </m:rPr>
          <w:rPr>
            <w:rFonts w:ascii="Cambria Math" w:hAnsi="Cambria Math"/>
          </w:rPr>
          <m:t>)</m:t>
        </m:r>
      </m:oMath>
      <w:r w:rsidR="002B759B" w:rsidRPr="00396E77">
        <w:t xml:space="preserve"> </w:t>
      </w:r>
      <w:r w:rsidR="002B759B">
        <w:t xml:space="preserve">so the heat transfer across this boundary could be found by application of </w:t>
      </w:r>
      <w:r w:rsidR="002B759B">
        <w:fldChar w:fldCharType="begin"/>
      </w:r>
      <w:r w:rsidR="002B759B">
        <w:instrText xml:space="preserve"> REF _Ref443994998 \h </w:instrText>
      </w:r>
      <w:r w:rsidR="007F707B">
        <w:instrText xml:space="preserve"> \* MERGEFORMAT </w:instrText>
      </w:r>
      <w:r w:rsidR="002B759B">
        <w:fldChar w:fldCharType="separate"/>
      </w:r>
      <w:r w:rsidR="00820EB1" w:rsidRPr="00396E77">
        <w:t xml:space="preserve">Equation </w:t>
      </w:r>
      <w:r w:rsidR="00820EB1">
        <w:rPr>
          <w:noProof/>
        </w:rPr>
        <w:t>8</w:t>
      </w:r>
      <w:r w:rsidR="002B759B">
        <w:fldChar w:fldCharType="end"/>
      </w:r>
      <w:r w:rsidR="002B759B">
        <w:t xml:space="preserve">, which was derived by integration of </w:t>
      </w:r>
      <w:r w:rsidR="002B759B">
        <w:fldChar w:fldCharType="begin"/>
      </w:r>
      <w:r w:rsidR="002B759B">
        <w:instrText xml:space="preserve"> REF _Ref451075808 \h </w:instrText>
      </w:r>
      <w:r w:rsidR="007F707B">
        <w:instrText xml:space="preserve"> \* MERGEFORMAT </w:instrText>
      </w:r>
      <w:r w:rsidR="002B759B">
        <w:fldChar w:fldCharType="separate"/>
      </w:r>
      <w:r w:rsidR="00820EB1">
        <w:t xml:space="preserve">Equation </w:t>
      </w:r>
      <w:r w:rsidR="00820EB1">
        <w:rPr>
          <w:noProof/>
        </w:rPr>
        <w:t>7</w:t>
      </w:r>
      <w:r w:rsidR="002B759B">
        <w:fldChar w:fldCharType="end"/>
      </w:r>
      <w:r w:rsidR="002B759B">
        <w:t>a over the thickness of the crucible base.</w:t>
      </w:r>
      <w:r w:rsidR="002B759B" w:rsidRPr="00396E77">
        <w:t xml:space="preserve"> The inside surface of the crucible (</w:t>
      </w:r>
      <m:oMath>
        <m:sSub>
          <m:sSubPr>
            <m:ctrlPr>
              <w:rPr>
                <w:rFonts w:ascii="Cambria Math" w:hAnsi="Cambria Math"/>
              </w:rPr>
            </m:ctrlPr>
          </m:sSubPr>
          <m:e>
            <m:r>
              <w:rPr>
                <w:rFonts w:ascii="Cambria Math" w:hAnsi="Cambria Math"/>
              </w:rPr>
              <m:t>T</m:t>
            </m:r>
          </m:e>
          <m:sub>
            <m:r>
              <w:rPr>
                <w:rFonts w:ascii="Cambria Math" w:hAnsi="Cambria Math"/>
              </w:rPr>
              <m:t>inside</m:t>
            </m:r>
            <m:r>
              <m:rPr>
                <m:sty m:val="p"/>
              </m:rPr>
              <w:rPr>
                <w:rFonts w:ascii="Cambria Math" w:hAnsi="Cambria Math"/>
              </w:rPr>
              <m:t xml:space="preserve"> </m:t>
            </m:r>
            <m:r>
              <w:rPr>
                <w:rFonts w:ascii="Cambria Math" w:hAnsi="Cambria Math"/>
              </w:rPr>
              <m:t>crucible</m:t>
            </m:r>
          </m:sub>
        </m:sSub>
        <m:r>
          <m:rPr>
            <m:sty m:val="p"/>
          </m:rPr>
          <w:rPr>
            <w:rFonts w:ascii="Cambria Math" w:hAnsi="Cambria Math"/>
          </w:rPr>
          <m:t>=1416℃</m:t>
        </m:r>
      </m:oMath>
      <w:r w:rsidR="002B759B" w:rsidRPr="00396E77">
        <w:t>) was assumed to be approximately equal to the average temperature measured by the thermocouple inside the glass melt (T</w:t>
      </w:r>
      <w:r w:rsidR="002B759B" w:rsidRPr="00396E77">
        <w:rPr>
          <w:vertAlign w:val="subscript"/>
        </w:rPr>
        <w:t>glass</w:t>
      </w:r>
      <w:r w:rsidR="002B759B" w:rsidRPr="00396E77">
        <w:t xml:space="preserve">) over the period analysed. The outside </w:t>
      </w:r>
      <w:r w:rsidR="002B759B">
        <w:t xml:space="preserve">surface temperature </w:t>
      </w:r>
      <w:r w:rsidR="002B759B" w:rsidRPr="00396E77">
        <w:t>of the cruc</w:t>
      </w:r>
      <w:r w:rsidR="002B759B">
        <w:t xml:space="preserve">ible was measured by thermocouples in two similar locations: 1) </w:t>
      </w:r>
      <w:r w:rsidR="002B759B" w:rsidRPr="00476677">
        <w:t>T</w:t>
      </w:r>
      <w:r w:rsidR="002B759B" w:rsidRPr="00476677">
        <w:rPr>
          <w:vertAlign w:val="subscript"/>
        </w:rPr>
        <w:t>crucible</w:t>
      </w:r>
      <w:r w:rsidR="002B759B">
        <w:t xml:space="preserve"> and 2) </w:t>
      </w:r>
      <w:r w:rsidR="002B759B" w:rsidRPr="00476677">
        <w:t>T</w:t>
      </w:r>
      <w:r w:rsidR="002B759B" w:rsidRPr="00476677">
        <w:rPr>
          <w:vertAlign w:val="subscript"/>
        </w:rPr>
        <w:t>neck</w:t>
      </w:r>
      <w:r w:rsidR="002B759B">
        <w:rPr>
          <w:vertAlign w:val="subscript"/>
        </w:rPr>
        <w:t xml:space="preserve"> </w:t>
      </w:r>
      <w:r w:rsidR="002B759B">
        <w:t xml:space="preserve">, corresponding to the locations shown in </w:t>
      </w:r>
      <w:r w:rsidR="002B759B">
        <w:fldChar w:fldCharType="begin"/>
      </w:r>
      <w:r w:rsidR="002B759B">
        <w:instrText xml:space="preserve"> REF _Ref443754544 \h </w:instrText>
      </w:r>
      <w:r w:rsidR="007F707B">
        <w:instrText xml:space="preserve"> \* MERGEFORMAT </w:instrText>
      </w:r>
      <w:r w:rsidR="002B759B">
        <w:fldChar w:fldCharType="separate"/>
      </w:r>
    </w:p>
    <w:p w14:paraId="38EC2282" w14:textId="5CE066E8" w:rsidR="002B759B" w:rsidRPr="00396E77" w:rsidRDefault="00820EB1">
      <w:r>
        <w:t xml:space="preserve">Figure </w:t>
      </w:r>
      <w:r>
        <w:rPr>
          <w:noProof/>
        </w:rPr>
        <w:t>99</w:t>
      </w:r>
      <w:r w:rsidR="002B759B">
        <w:fldChar w:fldCharType="end"/>
      </w:r>
      <w:r w:rsidR="002B759B" w:rsidRPr="00396E77">
        <w:t>. The tempe</w:t>
      </w:r>
      <w:r w:rsidR="002B759B">
        <w:t>r</w:t>
      </w:r>
      <w:r w:rsidR="002B759B" w:rsidRPr="00396E77">
        <w:t xml:space="preserve">atures measured at these positions were very similar throughout the period analysed so the average of </w:t>
      </w:r>
      <w:r w:rsidR="002B759B" w:rsidRPr="00F52EC2">
        <w:rPr>
          <w:i/>
        </w:rPr>
        <w:t>T</w:t>
      </w:r>
      <w:r w:rsidR="002B759B" w:rsidRPr="00F52EC2">
        <w:rPr>
          <w:i/>
          <w:vertAlign w:val="subscript"/>
        </w:rPr>
        <w:t>neck</w:t>
      </w:r>
      <w:r w:rsidR="002B759B" w:rsidRPr="00396E77">
        <w:t xml:space="preserve"> and </w:t>
      </w:r>
      <w:r w:rsidR="002B759B" w:rsidRPr="00F52EC2">
        <w:rPr>
          <w:i/>
        </w:rPr>
        <w:t>T</w:t>
      </w:r>
      <w:r w:rsidR="002B759B" w:rsidRPr="00F52EC2">
        <w:rPr>
          <w:i/>
          <w:vertAlign w:val="subscript"/>
        </w:rPr>
        <w:t>crucible</w:t>
      </w:r>
      <w:r w:rsidR="002B759B" w:rsidRPr="00396E77">
        <w:rPr>
          <w:vertAlign w:val="subscript"/>
        </w:rPr>
        <w:t xml:space="preserve"> </w:t>
      </w:r>
      <w:r w:rsidR="002B759B" w:rsidRPr="00396E77">
        <w:t>was used to give the outside surface temperature of the crucible</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outside</m:t>
            </m:r>
          </m:sub>
        </m:sSub>
        <m:r>
          <w:rPr>
            <w:rFonts w:ascii="Cambria Math" w:hAnsi="Cambria Math"/>
          </w:rPr>
          <m:t>=</m:t>
        </m:r>
        <m:r>
          <m:rPr>
            <m:sty m:val="p"/>
          </m:rPr>
          <w:rPr>
            <w:rFonts w:ascii="Cambria Math" w:hAnsi="Cambria Math"/>
          </w:rPr>
          <m:t xml:space="preserve">1252 </m:t>
        </m:r>
        <m:r>
          <m:rPr>
            <m:sty m:val="p"/>
          </m:rPr>
          <w:rPr>
            <w:rFonts w:ascii="Cambria Math" w:hAnsi="Cambria Math"/>
            <w:vertAlign w:val="superscript"/>
          </w:rPr>
          <m:t>℃</m:t>
        </m:r>
        <m:r>
          <w:rPr>
            <w:rFonts w:ascii="Cambria Math" w:hAnsi="Cambria Math"/>
          </w:rPr>
          <m:t>)</m:t>
        </m:r>
      </m:oMath>
      <w:r w:rsidR="002B759B" w:rsidRPr="00396E77">
        <w:t>.</w:t>
      </w:r>
    </w:p>
    <w:tbl>
      <w:tblPr>
        <w:tblW w:w="0" w:type="auto"/>
        <w:tblInd w:w="284" w:type="dxa"/>
        <w:tblLook w:val="04A0" w:firstRow="1" w:lastRow="0" w:firstColumn="1" w:lastColumn="0" w:noHBand="0" w:noVBand="1"/>
      </w:tblPr>
      <w:tblGrid>
        <w:gridCol w:w="6785"/>
        <w:gridCol w:w="1435"/>
      </w:tblGrid>
      <w:tr w:rsidR="002B759B" w:rsidRPr="00396E77" w14:paraId="4BB79E8F" w14:textId="77777777" w:rsidTr="00EA4BBA">
        <w:trPr>
          <w:trHeight w:val="261"/>
        </w:trPr>
        <w:tc>
          <w:tcPr>
            <w:tcW w:w="7224" w:type="dxa"/>
            <w:shd w:val="clear" w:color="auto" w:fill="auto"/>
            <w:vAlign w:val="center"/>
          </w:tcPr>
          <w:p w14:paraId="55F4A121" w14:textId="27D8B38A" w:rsidR="002B759B" w:rsidRPr="008C3622" w:rsidRDefault="00A47317" w:rsidP="00EA4BBA">
            <w:pPr>
              <w:spacing w:after="0"/>
              <w:ind w:firstLine="0"/>
              <w:jc w:val="center"/>
            </w:pPr>
            <m:oMathPara>
              <m:oMath>
                <m:sSub>
                  <m:sSubPr>
                    <m:ctrlPr>
                      <w:rPr>
                        <w:rFonts w:ascii="Cambria Math" w:hAnsi="Cambria Math"/>
                        <w:i/>
                      </w:rPr>
                    </m:ctrlPr>
                  </m:sSubPr>
                  <m:e>
                    <m:r>
                      <w:rPr>
                        <w:rFonts w:ascii="Cambria Math" w:hAnsi="Cambria Math"/>
                      </w:rPr>
                      <m:t>Q</m:t>
                    </m:r>
                  </m:e>
                  <m:sub>
                    <m:r>
                      <w:rPr>
                        <w:rFonts w:ascii="Cambria Math" w:hAnsi="Cambria Math"/>
                      </w:rPr>
                      <m:t>cond  base</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crucible</m:t>
                    </m:r>
                  </m:sub>
                </m:sSub>
                <m:r>
                  <w:rPr>
                    <w:rFonts w:ascii="Cambria Math" w:hAnsi="Cambria Math"/>
                  </w:rPr>
                  <m:t xml:space="preserve"> </m:t>
                </m:r>
                <m:sSub>
                  <m:sSubPr>
                    <m:ctrlPr>
                      <w:rPr>
                        <w:rFonts w:ascii="Cambria Math" w:hAnsi="Cambria Math"/>
                        <w:i/>
                      </w:rPr>
                    </m:ctrlPr>
                  </m:sSubPr>
                  <m:e>
                    <m:r>
                      <w:rPr>
                        <w:rFonts w:ascii="Cambria Math" w:hAnsi="Cambria Math"/>
                      </w:rPr>
                      <m:t>A</m:t>
                    </m:r>
                  </m:e>
                  <m:sub>
                    <m:r>
                      <w:rPr>
                        <w:rFonts w:ascii="Cambria Math" w:hAnsi="Cambria Math"/>
                      </w:rPr>
                      <m:t>base</m:t>
                    </m:r>
                  </m:sub>
                </m:sSub>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inside</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outside</m:t>
                            </m:r>
                          </m:sub>
                        </m:sSub>
                        <m:r>
                          <w:rPr>
                            <w:rFonts w:ascii="Cambria Math" w:hAnsi="Cambria Math"/>
                          </w:rPr>
                          <m:t>]</m:t>
                        </m:r>
                      </m:e>
                      <m:sub>
                        <m:r>
                          <w:rPr>
                            <w:rFonts w:ascii="Cambria Math" w:hAnsi="Cambria Math"/>
                          </w:rPr>
                          <m:t>crucible</m:t>
                        </m:r>
                      </m:sub>
                    </m:sSub>
                  </m:num>
                  <m:den>
                    <m:sSub>
                      <m:sSubPr>
                        <m:ctrlPr>
                          <w:rPr>
                            <w:rFonts w:ascii="Cambria Math" w:hAnsi="Cambria Math"/>
                            <w:i/>
                          </w:rPr>
                        </m:ctrlPr>
                      </m:sSubPr>
                      <m:e>
                        <m:r>
                          <w:rPr>
                            <w:rFonts w:ascii="Cambria Math" w:hAnsi="Cambria Math"/>
                          </w:rPr>
                          <m:t>x</m:t>
                        </m:r>
                      </m:e>
                      <m:sub>
                        <m:r>
                          <w:rPr>
                            <w:rFonts w:ascii="Cambria Math" w:hAnsi="Cambria Math"/>
                          </w:rPr>
                          <m:t>base</m:t>
                        </m:r>
                      </m:sub>
                    </m:sSub>
                  </m:den>
                </m:f>
                <m:r>
                  <w:rPr>
                    <w:rFonts w:ascii="Cambria Math" w:eastAsia="Times New Roman" w:hAnsi="Cambria Math"/>
                  </w:rPr>
                  <m:t>=1.0</m:t>
                </m:r>
                <m:f>
                  <m:fPr>
                    <m:ctrlPr>
                      <w:rPr>
                        <w:rFonts w:ascii="Cambria Math" w:hAnsi="Cambria Math"/>
                      </w:rPr>
                    </m:ctrlPr>
                  </m:fPr>
                  <m:num>
                    <m:r>
                      <m:rPr>
                        <m:sty m:val="p"/>
                      </m:rPr>
                      <w:rPr>
                        <w:rFonts w:ascii="Cambria Math" w:hAnsi="Cambria Math"/>
                      </w:rPr>
                      <m:t>W</m:t>
                    </m:r>
                  </m:num>
                  <m:den>
                    <m:r>
                      <m:rPr>
                        <m:sty m:val="p"/>
                      </m:rPr>
                      <w:rPr>
                        <w:rFonts w:ascii="Cambria Math" w:hAnsi="Cambria Math"/>
                      </w:rPr>
                      <m:t>mK</m:t>
                    </m:r>
                  </m:den>
                </m:f>
                <m:d>
                  <m:dPr>
                    <m:ctrlPr>
                      <w:rPr>
                        <w:rFonts w:ascii="Cambria Math" w:hAnsi="Cambria Math"/>
                        <w:i/>
                      </w:rPr>
                    </m:ctrlPr>
                  </m:dPr>
                  <m:e>
                    <m:r>
                      <w:rPr>
                        <w:rFonts w:ascii="Cambria Math" w:hAnsi="Cambria Math"/>
                      </w:rPr>
                      <m:t>π×</m:t>
                    </m:r>
                    <m:sSup>
                      <m:sSupPr>
                        <m:ctrlPr>
                          <w:rPr>
                            <w:rFonts w:ascii="Cambria Math" w:hAnsi="Cambria Math"/>
                            <w:i/>
                          </w:rPr>
                        </m:ctrlPr>
                      </m:sSupPr>
                      <m:e>
                        <m:r>
                          <w:rPr>
                            <w:rFonts w:ascii="Cambria Math" w:hAnsi="Cambria Math"/>
                          </w:rPr>
                          <m:t>0.0953</m:t>
                        </m:r>
                      </m:e>
                      <m:sup>
                        <m:r>
                          <w:rPr>
                            <w:rFonts w:ascii="Cambria Math" w:hAnsi="Cambria Math"/>
                          </w:rPr>
                          <m:t>2</m:t>
                        </m:r>
                      </m:sup>
                    </m:sSup>
                    <m:r>
                      <w:rPr>
                        <w:rFonts w:ascii="Cambria Math" w:hAnsi="Cambria Math"/>
                      </w:rPr>
                      <m:t>×0.015</m:t>
                    </m:r>
                  </m:e>
                </m:d>
                <m:sSup>
                  <m:sSupPr>
                    <m:ctrlPr>
                      <w:rPr>
                        <w:rFonts w:ascii="Cambria Math" w:hAnsi="Cambria Math"/>
                        <w:i/>
                      </w:rPr>
                    </m:ctrlPr>
                  </m:sSupPr>
                  <m:e>
                    <m:r>
                      <m:rPr>
                        <m:sty m:val="p"/>
                      </m:rPr>
                      <w:rPr>
                        <w:rFonts w:ascii="Cambria Math" w:hAnsi="Cambria Math"/>
                      </w:rPr>
                      <m:t>m</m:t>
                    </m:r>
                  </m:e>
                  <m:sup>
                    <m:r>
                      <w:rPr>
                        <w:rFonts w:ascii="Cambria Math" w:hAnsi="Cambria Math"/>
                      </w:rPr>
                      <m:t>2</m:t>
                    </m:r>
                  </m:sup>
                </m:sSup>
                <m:f>
                  <m:fPr>
                    <m:ctrlPr>
                      <w:rPr>
                        <w:rFonts w:ascii="Cambria Math" w:hAnsi="Cambria Math"/>
                        <w:i/>
                      </w:rPr>
                    </m:ctrlPr>
                  </m:fPr>
                  <m:num>
                    <m:r>
                      <m:rPr>
                        <m:sty m:val="p"/>
                      </m:rPr>
                      <w:rPr>
                        <w:rFonts w:ascii="Cambria Math" w:hAnsi="Cambria Math"/>
                      </w:rPr>
                      <m:t>1416°C-1252°C</m:t>
                    </m:r>
                  </m:num>
                  <m:den>
                    <m:r>
                      <w:rPr>
                        <w:rFonts w:ascii="Cambria Math" w:hAnsi="Cambria Math"/>
                      </w:rPr>
                      <m:t xml:space="preserve">0.015 </m:t>
                    </m:r>
                    <m:r>
                      <m:rPr>
                        <m:sty m:val="p"/>
                      </m:rPr>
                      <w:rPr>
                        <w:rFonts w:ascii="Cambria Math" w:hAnsi="Cambria Math"/>
                      </w:rPr>
                      <m:t>m</m:t>
                    </m:r>
                  </m:den>
                </m:f>
                <m:r>
                  <w:rPr>
                    <w:rFonts w:ascii="Cambria Math" w:hAnsi="Cambria Math"/>
                  </w:rPr>
                  <m:t>=</m:t>
                </m:r>
                <m:r>
                  <w:rPr>
                    <w:rFonts w:ascii="Cambria Math" w:eastAsia="Times New Roman" w:hAnsi="Cambria Math"/>
                  </w:rPr>
                  <m:t xml:space="preserve">301 </m:t>
                </m:r>
                <m:r>
                  <m:rPr>
                    <m:sty m:val="p"/>
                  </m:rPr>
                  <w:rPr>
                    <w:rFonts w:ascii="Cambria Math" w:eastAsia="Times New Roman" w:hAnsi="Cambria Math"/>
                  </w:rPr>
                  <m:t>W</m:t>
                </m:r>
              </m:oMath>
            </m:oMathPara>
          </w:p>
        </w:tc>
        <w:tc>
          <w:tcPr>
            <w:tcW w:w="1508" w:type="dxa"/>
            <w:shd w:val="clear" w:color="auto" w:fill="auto"/>
            <w:vAlign w:val="center"/>
          </w:tcPr>
          <w:p w14:paraId="24D648E7" w14:textId="77777777" w:rsidR="002B759B" w:rsidRPr="00396E77" w:rsidRDefault="002B759B" w:rsidP="00EA4BBA">
            <w:pPr>
              <w:spacing w:after="0"/>
              <w:ind w:firstLine="0"/>
              <w:jc w:val="right"/>
            </w:pPr>
            <w:bookmarkStart w:id="195" w:name="_Ref443994998"/>
            <w:r w:rsidRPr="00396E77">
              <w:t xml:space="preserve">Equation </w:t>
            </w:r>
            <w:r w:rsidR="00A47317">
              <w:fldChar w:fldCharType="begin"/>
            </w:r>
            <w:r w:rsidR="00A47317">
              <w:instrText xml:space="preserve"> SEQ Equation \* ARABIC </w:instrText>
            </w:r>
            <w:r w:rsidR="00A47317">
              <w:fldChar w:fldCharType="separate"/>
            </w:r>
            <w:r w:rsidR="00820EB1">
              <w:rPr>
                <w:noProof/>
              </w:rPr>
              <w:t>8</w:t>
            </w:r>
            <w:r w:rsidR="00A47317">
              <w:rPr>
                <w:noProof/>
              </w:rPr>
              <w:fldChar w:fldCharType="end"/>
            </w:r>
            <w:bookmarkEnd w:id="195"/>
          </w:p>
        </w:tc>
      </w:tr>
    </w:tbl>
    <w:p w14:paraId="5E4AA937" w14:textId="2ED58C9D" w:rsidR="002B759B" w:rsidRDefault="00A47317" w:rsidP="00EA4BBA">
      <m:oMath>
        <m:sSub>
          <m:sSubPr>
            <m:ctrlPr>
              <w:rPr>
                <w:rFonts w:ascii="Cambria Math" w:hAnsi="Cambria Math"/>
                <w:i/>
              </w:rPr>
            </m:ctrlPr>
          </m:sSubPr>
          <m:e>
            <m:r>
              <w:rPr>
                <w:rFonts w:ascii="Cambria Math" w:hAnsi="Cambria Math"/>
              </w:rPr>
              <m:t>Q</m:t>
            </m:r>
          </m:e>
          <m:sub>
            <m:r>
              <w:rPr>
                <w:rFonts w:ascii="Cambria Math" w:hAnsi="Cambria Math"/>
              </w:rPr>
              <m:t>cond sides</m:t>
            </m:r>
          </m:sub>
        </m:sSub>
      </m:oMath>
      <w:r w:rsidR="002B759B">
        <w:t xml:space="preserve"> : The ring of insulation between the top of the crucible and the roof was made of ceramic fibre insulation wool but was greatly compressed</w:t>
      </w:r>
      <w:r w:rsidR="006746EA">
        <w:t xml:space="preserve"> so it was assumed to have a si</w:t>
      </w:r>
      <w:r w:rsidR="002B759B">
        <w:t xml:space="preserve">milar thermal conductivity as the side walls of the crucible. Even if there was a small difference in the conductivities of these two parts, the proportional effect this would have on the overall heat </w:t>
      </w:r>
      <w:r w:rsidR="002B759B">
        <w:lastRenderedPageBreak/>
        <w:t xml:space="preserve">balance was considered negligible because of the relatively small surface area of </w:t>
      </w:r>
      <w:r w:rsidR="00613E32">
        <w:t xml:space="preserve">the </w:t>
      </w:r>
      <w:r w:rsidR="002B759B">
        <w:t>ring of insulation. Therefore, this ring of insulation together with the side walls of the crucible were modelled as a single open cylinder, with constant thermal conductivity (</w:t>
      </w:r>
      <m:oMath>
        <m:sSub>
          <m:sSubPr>
            <m:ctrlPr>
              <w:rPr>
                <w:rFonts w:ascii="Cambria Math" w:hAnsi="Cambria Math"/>
                <w:i/>
              </w:rPr>
            </m:ctrlPr>
          </m:sSubPr>
          <m:e>
            <m:r>
              <w:rPr>
                <w:rFonts w:ascii="Cambria Math" w:hAnsi="Cambria Math"/>
              </w:rPr>
              <m:t>k</m:t>
            </m:r>
          </m:e>
          <m:sub>
            <m:r>
              <w:rPr>
                <w:rFonts w:ascii="Cambria Math" w:hAnsi="Cambria Math"/>
              </w:rPr>
              <m:t>crucible</m:t>
            </m:r>
          </m:sub>
        </m:sSub>
        <m:r>
          <w:rPr>
            <w:rFonts w:ascii="Cambria Math" w:hAnsi="Cambria Math"/>
          </w:rPr>
          <m:t>)</m:t>
        </m:r>
      </m:oMath>
      <w:r w:rsidR="002B759B">
        <w:t>; side length equal to the distance depth of the crucible (</w:t>
      </w:r>
      <w:r w:rsidR="002B759B" w:rsidRPr="00F52EC2">
        <w:rPr>
          <w:i/>
        </w:rPr>
        <w:t>H</w:t>
      </w:r>
      <w:r w:rsidR="002B759B">
        <w:rPr>
          <w:vertAlign w:val="subscript"/>
        </w:rPr>
        <w:t xml:space="preserve">crucible depth </w:t>
      </w:r>
      <w:r w:rsidR="002B759B">
        <w:t>) plus the height of the ring of insulation (</w:t>
      </w:r>
      <w:r w:rsidR="002B759B" w:rsidRPr="00F52EC2">
        <w:rPr>
          <w:i/>
        </w:rPr>
        <w:t>H</w:t>
      </w:r>
      <w:r w:rsidR="002B759B">
        <w:rPr>
          <w:vertAlign w:val="subscript"/>
        </w:rPr>
        <w:t>insulation ring</w:t>
      </w:r>
      <w:r w:rsidR="002B759B">
        <w:t>);  inside and outside radii (</w:t>
      </w:r>
      <w:r w:rsidR="002B759B" w:rsidRPr="00F52EC2">
        <w:rPr>
          <w:i/>
        </w:rPr>
        <w:t>r</w:t>
      </w:r>
      <w:r w:rsidR="002B759B">
        <w:rPr>
          <w:vertAlign w:val="subscript"/>
        </w:rPr>
        <w:t>i,o</w:t>
      </w:r>
      <w:r w:rsidR="002B759B">
        <w:t xml:space="preserve">)  equal to that of the crucible. So the heat transfer across this boundary could be found by use of the following equation which is derived by integration of </w:t>
      </w:r>
      <w:r w:rsidR="002B759B">
        <w:fldChar w:fldCharType="begin"/>
      </w:r>
      <w:r w:rsidR="002B759B">
        <w:instrText xml:space="preserve"> REF _Ref451075808 \h </w:instrText>
      </w:r>
      <w:r w:rsidR="002B759B">
        <w:fldChar w:fldCharType="separate"/>
      </w:r>
      <w:r w:rsidR="00820EB1">
        <w:t xml:space="preserve">Equation </w:t>
      </w:r>
      <w:r w:rsidR="00820EB1">
        <w:rPr>
          <w:noProof/>
        </w:rPr>
        <w:t>7</w:t>
      </w:r>
      <w:r w:rsidR="002B759B">
        <w:fldChar w:fldCharType="end"/>
      </w:r>
      <w:r w:rsidR="002B759B">
        <w:t>b over the thickness of the crucible side walls:</w:t>
      </w:r>
    </w:p>
    <w:tbl>
      <w:tblPr>
        <w:tblW w:w="0" w:type="auto"/>
        <w:tblInd w:w="-5" w:type="dxa"/>
        <w:tblLook w:val="04A0" w:firstRow="1" w:lastRow="0" w:firstColumn="1" w:lastColumn="0" w:noHBand="0" w:noVBand="1"/>
      </w:tblPr>
      <w:tblGrid>
        <w:gridCol w:w="7084"/>
        <w:gridCol w:w="1415"/>
      </w:tblGrid>
      <w:tr w:rsidR="002B759B" w:rsidRPr="00396E77" w14:paraId="71B7542D" w14:textId="77777777" w:rsidTr="00684240">
        <w:trPr>
          <w:trHeight w:val="261"/>
        </w:trPr>
        <w:tc>
          <w:tcPr>
            <w:tcW w:w="7084" w:type="dxa"/>
            <w:shd w:val="clear" w:color="auto" w:fill="auto"/>
            <w:vAlign w:val="center"/>
          </w:tcPr>
          <w:p w14:paraId="714A97F1" w14:textId="7BF0D447" w:rsidR="002B759B" w:rsidRPr="008C3622" w:rsidRDefault="00A47317" w:rsidP="00EA4BBA">
            <w:pPr>
              <w:spacing w:after="0"/>
              <w:ind w:firstLine="0"/>
              <w:jc w:val="center"/>
              <w:rPr>
                <w:rFonts w:eastAsia="Times New Roman"/>
              </w:rPr>
            </w:pPr>
            <m:oMathPara>
              <m:oMath>
                <m:sSub>
                  <m:sSubPr>
                    <m:ctrlPr>
                      <w:rPr>
                        <w:rFonts w:ascii="Cambria Math" w:hAnsi="Cambria Math"/>
                        <w:i/>
                      </w:rPr>
                    </m:ctrlPr>
                  </m:sSubPr>
                  <m:e>
                    <m:r>
                      <w:rPr>
                        <w:rFonts w:ascii="Cambria Math" w:hAnsi="Cambria Math"/>
                      </w:rPr>
                      <m:t>Q</m:t>
                    </m:r>
                  </m:e>
                  <m:sub>
                    <m:r>
                      <w:rPr>
                        <w:rFonts w:ascii="Cambria Math" w:hAnsi="Cambria Math"/>
                      </w:rPr>
                      <m:t>cond sides</m:t>
                    </m:r>
                  </m:sub>
                </m:sSub>
                <m:r>
                  <w:rPr>
                    <w:rFonts w:ascii="Cambria Math" w:hAnsi="Cambria Math"/>
                    <w:vertAlign w:val="subscript"/>
                  </w:rPr>
                  <m:t xml:space="preserve">= </m:t>
                </m:r>
                <m:sSub>
                  <m:sSubPr>
                    <m:ctrlPr>
                      <w:rPr>
                        <w:rFonts w:ascii="Cambria Math" w:hAnsi="Cambria Math"/>
                        <w:i/>
                      </w:rPr>
                    </m:ctrlPr>
                  </m:sSubPr>
                  <m:e>
                    <m:r>
                      <w:rPr>
                        <w:rFonts w:ascii="Cambria Math" w:hAnsi="Cambria Math"/>
                      </w:rPr>
                      <m:t>k</m:t>
                    </m:r>
                  </m:e>
                  <m:sub>
                    <m:r>
                      <w:rPr>
                        <w:rFonts w:ascii="Cambria Math" w:hAnsi="Cambria Math"/>
                      </w:rPr>
                      <m:t>crucible</m:t>
                    </m:r>
                  </m:sub>
                </m:sSub>
                <m:r>
                  <w:rPr>
                    <w:rFonts w:ascii="Cambria Math" w:hAnsi="Cambria Math"/>
                  </w:rPr>
                  <m:t xml:space="preserve"> 2π(</m:t>
                </m:r>
                <m:sSub>
                  <m:sSubPr>
                    <m:ctrlPr>
                      <w:rPr>
                        <w:rFonts w:ascii="Cambria Math" w:hAnsi="Cambria Math"/>
                      </w:rPr>
                    </m:ctrlPr>
                  </m:sSubPr>
                  <m:e>
                    <m:r>
                      <w:rPr>
                        <w:rFonts w:ascii="Cambria Math" w:hAnsi="Cambria Math"/>
                      </w:rPr>
                      <m:t>H</m:t>
                    </m:r>
                  </m:e>
                  <m:sub>
                    <m:r>
                      <w:rPr>
                        <w:rFonts w:ascii="Cambria Math" w:hAnsi="Cambria Math"/>
                      </w:rPr>
                      <m:t>crucible depth</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insulation ring</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w:rPr>
                                <w:rFonts w:ascii="Cambria Math" w:hAnsi="Cambria Math"/>
                              </w:rPr>
                              <m:t>inside</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outside</m:t>
                            </m:r>
                          </m:sub>
                        </m:sSub>
                        <m:r>
                          <w:rPr>
                            <w:rFonts w:ascii="Cambria Math" w:hAnsi="Cambria Math"/>
                          </w:rPr>
                          <m:t>]</m:t>
                        </m:r>
                      </m:e>
                      <m:sub>
                        <m:r>
                          <w:rPr>
                            <w:rFonts w:ascii="Cambria Math" w:hAnsi="Cambria Math"/>
                          </w:rPr>
                          <m:t>crucible</m:t>
                        </m:r>
                      </m:sub>
                    </m:sSub>
                  </m:num>
                  <m:den>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o</m:t>
                                    </m:r>
                                  </m:sub>
                                </m:sSub>
                              </m:num>
                              <m:den>
                                <m:sSub>
                                  <m:sSubPr>
                                    <m:ctrlPr>
                                      <w:rPr>
                                        <w:rFonts w:ascii="Cambria Math" w:hAnsi="Cambria Math"/>
                                        <w:i/>
                                      </w:rPr>
                                    </m:ctrlPr>
                                  </m:sSubPr>
                                  <m:e>
                                    <m:r>
                                      <w:rPr>
                                        <w:rFonts w:ascii="Cambria Math" w:hAnsi="Cambria Math"/>
                                      </w:rPr>
                                      <m:t>r</m:t>
                                    </m:r>
                                  </m:e>
                                  <m:sub>
                                    <m:r>
                                      <w:rPr>
                                        <w:rFonts w:ascii="Cambria Math" w:hAnsi="Cambria Math"/>
                                      </w:rPr>
                                      <m:t>i</m:t>
                                    </m:r>
                                  </m:sub>
                                </m:sSub>
                              </m:den>
                            </m:f>
                          </m:e>
                        </m:d>
                      </m:e>
                    </m:func>
                  </m:den>
                </m:f>
                <m:r>
                  <w:rPr>
                    <w:rFonts w:ascii="Cambria Math" w:eastAsia="Times New Roman" w:hAnsi="Cambria Math"/>
                  </w:rPr>
                  <m:t>=1.0</m:t>
                </m:r>
                <m:f>
                  <m:fPr>
                    <m:ctrlPr>
                      <w:rPr>
                        <w:rFonts w:ascii="Cambria Math" w:hAnsi="Cambria Math"/>
                      </w:rPr>
                    </m:ctrlPr>
                  </m:fPr>
                  <m:num>
                    <m:r>
                      <m:rPr>
                        <m:sty m:val="p"/>
                      </m:rPr>
                      <w:rPr>
                        <w:rFonts w:ascii="Cambria Math" w:hAnsi="Cambria Math"/>
                      </w:rPr>
                      <m:t xml:space="preserve">W </m:t>
                    </m:r>
                  </m:num>
                  <m:den>
                    <m:r>
                      <m:rPr>
                        <m:sty m:val="p"/>
                      </m:rPr>
                      <w:rPr>
                        <w:rFonts w:ascii="Cambria Math" w:hAnsi="Cambria Math"/>
                      </w:rPr>
                      <m:t>mK</m:t>
                    </m:r>
                  </m:den>
                </m:f>
                <m:r>
                  <w:rPr>
                    <w:rFonts w:ascii="Cambria Math" w:hAnsi="Cambria Math"/>
                  </w:rPr>
                  <m:t xml:space="preserve"> 2</m:t>
                </m:r>
                <m:r>
                  <m:rPr>
                    <m:sty m:val="p"/>
                  </m:rPr>
                  <w:rPr>
                    <w:rFonts w:ascii="Cambria Math" w:hAnsi="Cambria Math" w:hint="eastAsia"/>
                  </w:rPr>
                  <m:t>π</m:t>
                </m:r>
                <m:r>
                  <w:rPr>
                    <w:rFonts w:ascii="Cambria Math" w:hAnsi="Cambria Math"/>
                  </w:rPr>
                  <m:t xml:space="preserve">(0.120+0.025) </m:t>
                </m:r>
                <m:r>
                  <m:rPr>
                    <m:sty m:val="p"/>
                  </m:rPr>
                  <w:rPr>
                    <w:rFonts w:ascii="Cambria Math" w:hAnsi="Cambria Math"/>
                  </w:rPr>
                  <m:t>m</m:t>
                </m:r>
                <m:r>
                  <w:rPr>
                    <w:rFonts w:ascii="Cambria Math" w:hAnsi="Cambria Math"/>
                  </w:rPr>
                  <m:t xml:space="preserve"> </m:t>
                </m:r>
                <m:f>
                  <m:fPr>
                    <m:ctrlPr>
                      <w:rPr>
                        <w:rFonts w:ascii="Cambria Math" w:hAnsi="Cambria Math"/>
                        <w:i/>
                      </w:rPr>
                    </m:ctrlPr>
                  </m:fPr>
                  <m:num>
                    <m:r>
                      <m:rPr>
                        <m:sty m:val="p"/>
                      </m:rPr>
                      <w:rPr>
                        <w:rFonts w:ascii="Cambria Math" w:hAnsi="Cambria Math"/>
                      </w:rPr>
                      <m:t>1416°C-1252°C</m:t>
                    </m:r>
                  </m:num>
                  <m:den>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f>
                              <m:fPr>
                                <m:ctrlPr>
                                  <w:rPr>
                                    <w:rFonts w:ascii="Cambria Math" w:hAnsi="Cambria Math"/>
                                    <w:i/>
                                  </w:rPr>
                                </m:ctrlPr>
                              </m:fPr>
                              <m:num>
                                <m:r>
                                  <w:rPr>
                                    <w:rFonts w:ascii="Cambria Math" w:hAnsi="Cambria Math"/>
                                  </w:rPr>
                                  <m:t xml:space="preserve">0.1065 </m:t>
                                </m:r>
                                <m:r>
                                  <m:rPr>
                                    <m:sty m:val="p"/>
                                  </m:rPr>
                                  <w:rPr>
                                    <w:rFonts w:ascii="Cambria Math" w:hAnsi="Cambria Math" w:hint="eastAsia"/>
                                  </w:rPr>
                                  <m:t>m</m:t>
                                </m:r>
                              </m:num>
                              <m:den>
                                <m:r>
                                  <w:rPr>
                                    <w:rFonts w:ascii="Cambria Math" w:hAnsi="Cambria Math"/>
                                  </w:rPr>
                                  <m:t xml:space="preserve">0.0935 </m:t>
                                </m:r>
                                <m:r>
                                  <m:rPr>
                                    <m:sty m:val="p"/>
                                  </m:rPr>
                                  <w:rPr>
                                    <w:rFonts w:ascii="Cambria Math" w:hAnsi="Cambria Math" w:hint="eastAsia"/>
                                  </w:rPr>
                                  <m:t>m</m:t>
                                </m:r>
                              </m:den>
                            </m:f>
                          </m:e>
                        </m:d>
                      </m:e>
                    </m:func>
                  </m:den>
                </m:f>
                <m:r>
                  <w:rPr>
                    <w:rFonts w:ascii="Cambria Math" w:hAnsi="Cambria Math"/>
                  </w:rPr>
                  <m:t xml:space="preserve">=1150 </m:t>
                </m:r>
                <m:r>
                  <m:rPr>
                    <m:sty m:val="p"/>
                  </m:rPr>
                  <w:rPr>
                    <w:rFonts w:ascii="Cambria Math" w:hAnsi="Cambria Math"/>
                  </w:rPr>
                  <m:t>W</m:t>
                </m:r>
              </m:oMath>
            </m:oMathPara>
          </w:p>
        </w:tc>
        <w:tc>
          <w:tcPr>
            <w:tcW w:w="1415" w:type="dxa"/>
            <w:shd w:val="clear" w:color="auto" w:fill="auto"/>
          </w:tcPr>
          <w:p w14:paraId="6AC77B02" w14:textId="77777777" w:rsidR="00613E32" w:rsidRDefault="00613E32" w:rsidP="00EA4BBA">
            <w:pPr>
              <w:spacing w:after="0"/>
              <w:ind w:firstLine="0"/>
              <w:jc w:val="center"/>
            </w:pPr>
          </w:p>
          <w:p w14:paraId="55B3E725" w14:textId="77777777" w:rsidR="002B759B" w:rsidRPr="00396E77" w:rsidRDefault="002B759B" w:rsidP="00EA4BBA">
            <w:pPr>
              <w:spacing w:after="0"/>
              <w:ind w:firstLine="0"/>
              <w:jc w:val="center"/>
            </w:pPr>
            <w:r w:rsidRPr="00396E77">
              <w:t xml:space="preserve">Equation </w:t>
            </w:r>
            <w:r w:rsidR="00A47317">
              <w:fldChar w:fldCharType="begin"/>
            </w:r>
            <w:r w:rsidR="00A47317">
              <w:instrText xml:space="preserve"> SEQ Equation \* ARABIC </w:instrText>
            </w:r>
            <w:r w:rsidR="00A47317">
              <w:fldChar w:fldCharType="separate"/>
            </w:r>
            <w:r w:rsidR="00820EB1">
              <w:rPr>
                <w:noProof/>
              </w:rPr>
              <w:t>9</w:t>
            </w:r>
            <w:r w:rsidR="00A47317">
              <w:rPr>
                <w:noProof/>
              </w:rPr>
              <w:fldChar w:fldCharType="end"/>
            </w:r>
          </w:p>
        </w:tc>
      </w:tr>
    </w:tbl>
    <w:p w14:paraId="2125251B" w14:textId="3AF7F198" w:rsidR="002B759B" w:rsidRDefault="00A47317" w:rsidP="00EA4BBA">
      <m:oMath>
        <m:sSub>
          <m:sSubPr>
            <m:ctrlPr>
              <w:rPr>
                <w:rFonts w:ascii="Cambria Math" w:hAnsi="Cambria Math"/>
                <w:i/>
              </w:rPr>
            </m:ctrlPr>
          </m:sSubPr>
          <m:e>
            <m:r>
              <w:rPr>
                <w:rFonts w:ascii="Cambria Math" w:hAnsi="Cambria Math"/>
              </w:rPr>
              <m:t>Q</m:t>
            </m:r>
          </m:e>
          <m:sub>
            <m:r>
              <w:rPr>
                <w:rFonts w:ascii="Cambria Math" w:hAnsi="Cambria Math"/>
              </w:rPr>
              <m:t>cond roof</m:t>
            </m:r>
          </m:sub>
        </m:sSub>
      </m:oMath>
      <w:r w:rsidR="002B759B">
        <w:rPr>
          <w:vertAlign w:val="subscript"/>
        </w:rPr>
        <w:t xml:space="preserve"> </w:t>
      </w:r>
      <w:r w:rsidR="002B759B">
        <w:t xml:space="preserve">: The rate of conduction heat flow from the inside surface of the roof bounding the control volume to the to the outside by conduction was estimated to be similar to heat flow in the opposite direction due to the high intensity of radiation spilled over the surface of the roof near the beam inlet aperture so </w:t>
      </w:r>
      <w:r w:rsidR="00613E32">
        <w:t xml:space="preserve">the </w:t>
      </w:r>
      <w:r w:rsidR="002B759B">
        <w:t xml:space="preserve">net heat transfer across this boundary was considered too small relative to the overall heat flows to justify </w:t>
      </w:r>
      <w:r w:rsidR="00613E32">
        <w:t xml:space="preserve">the </w:t>
      </w:r>
      <w:r w:rsidR="002B759B">
        <w:t>computational cost required so the conduction heat flow through this roof section was ignored (</w:t>
      </w:r>
      <w:r w:rsidR="002B759B" w:rsidRPr="00F52EC2">
        <w:rPr>
          <w:i/>
        </w:rPr>
        <w:t>Q</w:t>
      </w:r>
      <w:r w:rsidR="002B759B">
        <w:rPr>
          <w:vertAlign w:val="subscript"/>
        </w:rPr>
        <w:t>cond roof</w:t>
      </w:r>
      <w:r w:rsidR="002B759B">
        <w:t xml:space="preserve"> = 0) for the purpose of this analysis. </w:t>
      </w:r>
      <w:r w:rsidR="002B759B" w:rsidRPr="001E18BA">
        <w:t>The overall conductive heat losses is given by</w:t>
      </w:r>
      <w:r w:rsidR="002B759B">
        <w:t xml:space="preserve"> </w:t>
      </w:r>
      <w:r w:rsidR="002B759B">
        <w:fldChar w:fldCharType="begin"/>
      </w:r>
      <w:r w:rsidR="002B759B">
        <w:instrText xml:space="preserve"> REF _Ref444098357 \h </w:instrText>
      </w:r>
      <w:r w:rsidR="002B759B">
        <w:fldChar w:fldCharType="separate"/>
      </w:r>
      <w:r w:rsidR="00820EB1" w:rsidRPr="00396E77">
        <w:t xml:space="preserve">Equation </w:t>
      </w:r>
      <w:r w:rsidR="00820EB1">
        <w:rPr>
          <w:noProof/>
        </w:rPr>
        <w:t>10</w:t>
      </w:r>
      <w:r w:rsidR="002B759B">
        <w:fldChar w:fldCharType="end"/>
      </w:r>
      <w:r w:rsidR="002B759B">
        <w:t xml:space="preserve">. </w:t>
      </w:r>
    </w:p>
    <w:tbl>
      <w:tblPr>
        <w:tblW w:w="0" w:type="auto"/>
        <w:tblInd w:w="284" w:type="dxa"/>
        <w:tblLook w:val="04A0" w:firstRow="1" w:lastRow="0" w:firstColumn="1" w:lastColumn="0" w:noHBand="0" w:noVBand="1"/>
      </w:tblPr>
      <w:tblGrid>
        <w:gridCol w:w="6757"/>
        <w:gridCol w:w="1463"/>
      </w:tblGrid>
      <w:tr w:rsidR="002B759B" w:rsidRPr="00396E77" w14:paraId="5A826472" w14:textId="77777777" w:rsidTr="00EA4BBA">
        <w:trPr>
          <w:trHeight w:val="261"/>
        </w:trPr>
        <w:tc>
          <w:tcPr>
            <w:tcW w:w="7229" w:type="dxa"/>
            <w:shd w:val="clear" w:color="auto" w:fill="auto"/>
            <w:vAlign w:val="center"/>
          </w:tcPr>
          <w:p w14:paraId="290D3FDF" w14:textId="65FF48A4" w:rsidR="002B759B" w:rsidRPr="008C3622" w:rsidRDefault="00A47317" w:rsidP="00EA4BBA">
            <w:pPr>
              <w:spacing w:after="0"/>
              <w:ind w:firstLine="0"/>
              <w:rPr>
                <w:rFonts w:eastAsia="Times New Roman"/>
              </w:rPr>
            </w:pPr>
            <m:oMathPara>
              <m:oMath>
                <m:sSub>
                  <m:sSubPr>
                    <m:ctrlPr>
                      <w:rPr>
                        <w:rFonts w:ascii="Cambria Math" w:hAnsi="Cambria Math"/>
                      </w:rPr>
                    </m:ctrlPr>
                  </m:sSubPr>
                  <m:e>
                    <m:r>
                      <m:rPr>
                        <m:sty m:val="p"/>
                      </m:rPr>
                      <w:rPr>
                        <w:rFonts w:ascii="Cambria Math" w:hAnsi="Cambria Math"/>
                      </w:rPr>
                      <m:t>Q</m:t>
                    </m:r>
                  </m:e>
                  <m:sub>
                    <m:r>
                      <w:rPr>
                        <w:rFonts w:ascii="Cambria Math" w:hAnsi="Cambria Math"/>
                        <w:vertAlign w:val="subscript"/>
                      </w:rPr>
                      <m:t>conduction</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cond base</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cond sides</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cond roof</m:t>
                    </m:r>
                  </m:sub>
                </m:sSub>
                <m:r>
                  <w:rPr>
                    <w:rFonts w:ascii="Cambria Math" w:hAnsi="Cambria Math"/>
                  </w:rPr>
                  <m:t xml:space="preserve">=301 </m:t>
                </m:r>
                <m:r>
                  <m:rPr>
                    <m:sty m:val="p"/>
                  </m:rPr>
                  <w:rPr>
                    <w:rFonts w:ascii="Cambria Math" w:hAnsi="Cambria Math"/>
                  </w:rPr>
                  <m:t>W</m:t>
                </m:r>
                <m:r>
                  <w:rPr>
                    <w:rFonts w:ascii="Cambria Math" w:hAnsi="Cambria Math"/>
                  </w:rPr>
                  <m:t xml:space="preserve"> +1150 </m:t>
                </m:r>
                <m:r>
                  <m:rPr>
                    <m:sty m:val="p"/>
                  </m:rPr>
                  <w:rPr>
                    <w:rFonts w:ascii="Cambria Math" w:hAnsi="Cambria Math"/>
                  </w:rPr>
                  <m:t>W</m:t>
                </m:r>
                <m:r>
                  <w:rPr>
                    <w:rFonts w:ascii="Cambria Math" w:hAnsi="Cambria Math"/>
                  </w:rPr>
                  <m:t xml:space="preserve">+0 </m:t>
                </m:r>
                <m:r>
                  <m:rPr>
                    <m:sty m:val="p"/>
                  </m:rPr>
                  <w:rPr>
                    <w:rFonts w:ascii="Cambria Math" w:hAnsi="Cambria Math"/>
                  </w:rPr>
                  <m:t>W</m:t>
                </m:r>
                <m:r>
                  <w:rPr>
                    <w:rFonts w:ascii="Cambria Math" w:hAnsi="Cambria Math"/>
                  </w:rPr>
                  <m:t xml:space="preserve">= 1451 </m:t>
                </m:r>
                <m:r>
                  <m:rPr>
                    <m:sty m:val="p"/>
                  </m:rPr>
                  <w:rPr>
                    <w:rFonts w:ascii="Cambria Math" w:hAnsi="Cambria Math"/>
                  </w:rPr>
                  <m:t>W</m:t>
                </m:r>
              </m:oMath>
            </m:oMathPara>
          </w:p>
        </w:tc>
        <w:tc>
          <w:tcPr>
            <w:tcW w:w="1503" w:type="dxa"/>
            <w:shd w:val="clear" w:color="auto" w:fill="auto"/>
          </w:tcPr>
          <w:p w14:paraId="7C58174A" w14:textId="77777777" w:rsidR="002B759B" w:rsidRPr="00396E77" w:rsidRDefault="002B759B" w:rsidP="00EA4BBA">
            <w:pPr>
              <w:spacing w:after="0"/>
              <w:ind w:firstLine="0"/>
              <w:jc w:val="center"/>
            </w:pPr>
            <w:bookmarkStart w:id="196" w:name="_Ref444098357"/>
            <w:r w:rsidRPr="00396E77">
              <w:t xml:space="preserve">Equation </w:t>
            </w:r>
            <w:r w:rsidR="00A47317">
              <w:fldChar w:fldCharType="begin"/>
            </w:r>
            <w:r w:rsidR="00A47317">
              <w:instrText xml:space="preserve"> SEQ Equation \* ARABIC </w:instrText>
            </w:r>
            <w:r w:rsidR="00A47317">
              <w:fldChar w:fldCharType="separate"/>
            </w:r>
            <w:r w:rsidR="00820EB1">
              <w:rPr>
                <w:noProof/>
              </w:rPr>
              <w:t>10</w:t>
            </w:r>
            <w:r w:rsidR="00A47317">
              <w:rPr>
                <w:noProof/>
              </w:rPr>
              <w:fldChar w:fldCharType="end"/>
            </w:r>
            <w:bookmarkEnd w:id="196"/>
          </w:p>
        </w:tc>
      </w:tr>
    </w:tbl>
    <w:p w14:paraId="57545F46" w14:textId="77777777" w:rsidR="002B759B" w:rsidRDefault="00A47317" w:rsidP="00EA4BBA">
      <m:oMath>
        <m:sSub>
          <m:sSubPr>
            <m:ctrlPr>
              <w:rPr>
                <w:rFonts w:ascii="Cambria Math" w:hAnsi="Cambria Math"/>
                <w:i/>
              </w:rPr>
            </m:ctrlPr>
          </m:sSubPr>
          <m:e>
            <m:r>
              <w:rPr>
                <w:rFonts w:ascii="Cambria Math" w:hAnsi="Cambria Math"/>
              </w:rPr>
              <m:t>Q</m:t>
            </m:r>
          </m:e>
          <m:sub>
            <m:r>
              <w:rPr>
                <w:rFonts w:ascii="Cambria Math" w:hAnsi="Cambria Math"/>
              </w:rPr>
              <m:t>re-rad</m:t>
            </m:r>
          </m:sub>
        </m:sSub>
      </m:oMath>
      <w:r w:rsidR="002B759B">
        <w:rPr>
          <w:vertAlign w:val="subscript"/>
        </w:rPr>
        <w:t xml:space="preserve"> </w:t>
      </w:r>
      <w:r w:rsidR="002B759B">
        <w:t>is the radiation escaping back out through the beam inlet aperture and is subdivided as follows:</w:t>
      </w:r>
    </w:p>
    <w:tbl>
      <w:tblPr>
        <w:tblW w:w="0" w:type="auto"/>
        <w:tblInd w:w="284" w:type="dxa"/>
        <w:tblLook w:val="04A0" w:firstRow="1" w:lastRow="0" w:firstColumn="1" w:lastColumn="0" w:noHBand="0" w:noVBand="1"/>
      </w:tblPr>
      <w:tblGrid>
        <w:gridCol w:w="6759"/>
        <w:gridCol w:w="1461"/>
      </w:tblGrid>
      <w:tr w:rsidR="002B759B" w:rsidRPr="00396E77" w14:paraId="2B6D7FB5" w14:textId="77777777" w:rsidTr="00EA4BBA">
        <w:trPr>
          <w:trHeight w:val="261"/>
        </w:trPr>
        <w:tc>
          <w:tcPr>
            <w:tcW w:w="7229" w:type="dxa"/>
            <w:shd w:val="clear" w:color="auto" w:fill="auto"/>
            <w:vAlign w:val="center"/>
          </w:tcPr>
          <w:p w14:paraId="5AD7F5EA" w14:textId="77777777" w:rsidR="002B759B" w:rsidRPr="008C3622" w:rsidRDefault="00A47317" w:rsidP="00EA4BBA">
            <w:pPr>
              <w:spacing w:after="0"/>
              <w:ind w:firstLine="720"/>
              <w:rPr>
                <w:rFonts w:eastAsia="Times New Roman"/>
              </w:rPr>
            </w:pPr>
            <m:oMathPara>
              <m:oMath>
                <m:sSub>
                  <m:sSubPr>
                    <m:ctrlPr>
                      <w:rPr>
                        <w:rFonts w:ascii="Cambria Math" w:hAnsi="Cambria Math"/>
                        <w:i/>
                      </w:rPr>
                    </m:ctrlPr>
                  </m:sSubPr>
                  <m:e>
                    <m:r>
                      <w:rPr>
                        <w:rFonts w:ascii="Cambria Math" w:hAnsi="Cambria Math"/>
                      </w:rPr>
                      <m:t>Q</m:t>
                    </m:r>
                  </m:e>
                  <m:sub>
                    <m:r>
                      <w:rPr>
                        <w:rFonts w:ascii="Cambria Math" w:hAnsi="Cambria Math"/>
                      </w:rPr>
                      <m:t>re-rad</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re-rad em</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re-rad trans</m:t>
                    </m:r>
                  </m:sub>
                </m:sSub>
                <m:r>
                  <w:rPr>
                    <w:rFonts w:ascii="Cambria Math" w:hAnsi="Cambria Math"/>
                  </w:rPr>
                  <m:t xml:space="preserve"> </m:t>
                </m:r>
              </m:oMath>
            </m:oMathPara>
          </w:p>
        </w:tc>
        <w:tc>
          <w:tcPr>
            <w:tcW w:w="1503" w:type="dxa"/>
            <w:shd w:val="clear" w:color="auto" w:fill="auto"/>
            <w:vAlign w:val="center"/>
          </w:tcPr>
          <w:p w14:paraId="2A020B05" w14:textId="77777777" w:rsidR="002B759B" w:rsidRPr="00396E77" w:rsidRDefault="002B759B" w:rsidP="00EA4BBA">
            <w:pPr>
              <w:spacing w:after="0"/>
              <w:ind w:firstLine="0"/>
              <w:jc w:val="right"/>
            </w:pPr>
            <w:bookmarkStart w:id="197" w:name="_Ref444099376"/>
            <w:r w:rsidRPr="00396E77">
              <w:t xml:space="preserve">Equation </w:t>
            </w:r>
            <w:r w:rsidR="00A47317">
              <w:fldChar w:fldCharType="begin"/>
            </w:r>
            <w:r w:rsidR="00A47317">
              <w:instrText xml:space="preserve"> SEQ Equation \* ARABIC </w:instrText>
            </w:r>
            <w:r w:rsidR="00A47317">
              <w:fldChar w:fldCharType="separate"/>
            </w:r>
            <w:r w:rsidR="00820EB1">
              <w:rPr>
                <w:noProof/>
              </w:rPr>
              <w:t>11</w:t>
            </w:r>
            <w:r w:rsidR="00A47317">
              <w:rPr>
                <w:noProof/>
              </w:rPr>
              <w:fldChar w:fldCharType="end"/>
            </w:r>
            <w:bookmarkEnd w:id="197"/>
          </w:p>
        </w:tc>
      </w:tr>
    </w:tbl>
    <w:p w14:paraId="22C901C5" w14:textId="58D5AA4F" w:rsidR="002B759B" w:rsidRPr="00396E77" w:rsidRDefault="00A47317" w:rsidP="00EA4BBA">
      <m:oMath>
        <m:sSub>
          <m:sSubPr>
            <m:ctrlPr>
              <w:rPr>
                <w:rFonts w:ascii="Cambria Math" w:hAnsi="Cambria Math"/>
              </w:rPr>
            </m:ctrlPr>
          </m:sSubPr>
          <m:e>
            <m:r>
              <w:rPr>
                <w:rFonts w:ascii="Cambria Math" w:hAnsi="Cambria Math"/>
              </w:rPr>
              <m:t>Q</m:t>
            </m:r>
          </m:e>
          <m:sub>
            <m:r>
              <w:rPr>
                <w:rFonts w:ascii="Cambria Math" w:hAnsi="Cambria Math"/>
              </w:rPr>
              <m:t>re</m:t>
            </m:r>
            <m:r>
              <m:rPr>
                <m:sty m:val="p"/>
              </m:rPr>
              <w:rPr>
                <w:rFonts w:ascii="Cambria Math" w:hAnsi="Cambria Math"/>
              </w:rPr>
              <m:t>-</m:t>
            </m:r>
            <m:r>
              <w:rPr>
                <w:rFonts w:ascii="Cambria Math" w:hAnsi="Cambria Math"/>
              </w:rPr>
              <m:t>rad</m:t>
            </m:r>
            <m:r>
              <m:rPr>
                <m:sty m:val="p"/>
              </m:rPr>
              <w:rPr>
                <w:rFonts w:ascii="Cambria Math" w:hAnsi="Cambria Math"/>
              </w:rPr>
              <m:t xml:space="preserve"> </m:t>
            </m:r>
            <m:r>
              <w:rPr>
                <w:rFonts w:ascii="Cambria Math" w:hAnsi="Cambria Math"/>
              </w:rPr>
              <m:t>em</m:t>
            </m:r>
          </m:sub>
        </m:sSub>
      </m:oMath>
      <w:r w:rsidR="002B759B" w:rsidRPr="00396E77">
        <w:t xml:space="preserve"> is the heat loss through the beam inlet aperture due to the thermal radiation emitted by the heated surfaces inside the control volume. Fundamentally, emission of thermal radiation is due to the molecular and atomic agitation associated with the in</w:t>
      </w:r>
      <w:r w:rsidR="002B759B">
        <w:t xml:space="preserve">ternal energy of materials </w:t>
      </w:r>
      <w:r w:rsidR="002B759B" w:rsidRPr="00396E77">
        <w:fldChar w:fldCharType="begin" w:fldLock="1"/>
      </w:r>
      <w:r w:rsidR="00875DEE">
        <w:instrText>ADDIN CSL_CITATION { "citationItems" : [ { "id" : "ITEM-1", "itemData" : { "ISBN" : "0-07-057316-6", "author" : [ { "dropping-particle" : "", "family" : "Siegel", "given" : "Robert.", "non-dropping-particle" : "", "parse-names" : false, "suffix" : "" }, { "dropping-particle" : "", "family" : "Howell", "given" : "John.R.", "non-dropping-particle" : "", "parse-names" : false, "suffix" : "" } ], "edition" : "2", "id" : "ITEM-1", "issued" : { "date-parts" : [ [ "1981" ] ] }, "publisher" : "Hemisphere Publishing Corporation", "title" : "Thermal Radition Heat Transfer", "type" : "book" }, "uris" : [ "http://www.mendeley.com/documents/?uuid=d41ff210-4caf-4d1b-855e-fd764f154f03" ] } ], "mendeley" : { "formattedCitation" : "(Siegel &amp; Howell 1981)", "plainTextFormattedCitation" : "(Siegel &amp; Howell 1981)", "previouslyFormattedCitation" : "(Siegel &amp; Howell 1981)" }, "properties" : { "noteIndex" : 0 }, "schema" : "https://github.com/citation-style-language/schema/raw/master/csl-citation.json" }</w:instrText>
      </w:r>
      <w:r w:rsidR="002B759B" w:rsidRPr="00396E77">
        <w:fldChar w:fldCharType="separate"/>
      </w:r>
      <w:r w:rsidR="00875DEE" w:rsidRPr="00875DEE">
        <w:rPr>
          <w:noProof/>
        </w:rPr>
        <w:t>(Siegel &amp; Howell 1981)</w:t>
      </w:r>
      <w:r w:rsidR="002B759B" w:rsidRPr="00396E77">
        <w:fldChar w:fldCharType="end"/>
      </w:r>
      <w:r w:rsidR="00613E32">
        <w:t xml:space="preserve">. </w:t>
      </w:r>
      <w:r w:rsidR="009872B8">
        <w:t>T</w:t>
      </w:r>
      <w:r w:rsidR="002B759B" w:rsidRPr="00396E77">
        <w:t>he total energy emitted by a</w:t>
      </w:r>
      <w:r w:rsidR="00613E32">
        <w:t>n ideal</w:t>
      </w:r>
      <w:r w:rsidR="002B759B" w:rsidRPr="00396E77">
        <w:t xml:space="preserve"> black body is given by the Stephan-Bo</w:t>
      </w:r>
      <w:r w:rsidR="002B759B">
        <w:t>l</w:t>
      </w:r>
      <w:r w:rsidR="002B759B" w:rsidRPr="00396E77">
        <w:t>tzmann equation</w:t>
      </w:r>
      <w:r w:rsidR="002B759B">
        <w:t xml:space="preserve"> as follows</w:t>
      </w:r>
      <w:r w:rsidR="002B759B" w:rsidRPr="00396E77">
        <w:t xml:space="preserve">:   </w:t>
      </w:r>
    </w:p>
    <w:tbl>
      <w:tblPr>
        <w:tblW w:w="0" w:type="auto"/>
        <w:tblInd w:w="284" w:type="dxa"/>
        <w:tblLook w:val="04A0" w:firstRow="1" w:lastRow="0" w:firstColumn="1" w:lastColumn="0" w:noHBand="0" w:noVBand="1"/>
      </w:tblPr>
      <w:tblGrid>
        <w:gridCol w:w="6754"/>
        <w:gridCol w:w="1466"/>
      </w:tblGrid>
      <w:tr w:rsidR="002B759B" w:rsidRPr="00396E77" w14:paraId="370161FB" w14:textId="77777777" w:rsidTr="00EA4BBA">
        <w:trPr>
          <w:trHeight w:val="261"/>
        </w:trPr>
        <w:tc>
          <w:tcPr>
            <w:tcW w:w="7229" w:type="dxa"/>
            <w:shd w:val="clear" w:color="auto" w:fill="auto"/>
            <w:vAlign w:val="center"/>
          </w:tcPr>
          <w:p w14:paraId="1455B331" w14:textId="77777777" w:rsidR="002B759B" w:rsidRPr="008C3622" w:rsidRDefault="00A47317" w:rsidP="00EA4BBA">
            <w:pPr>
              <w:spacing w:after="0"/>
              <w:ind w:firstLine="0"/>
              <w:rPr>
                <w:rFonts w:eastAsia="Times New Roman"/>
              </w:rPr>
            </w:pPr>
            <m:oMathPara>
              <m:oMath>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b</m:t>
                    </m:r>
                  </m:sub>
                </m:sSub>
                <m:r>
                  <w:rPr>
                    <w:rFonts w:ascii="Cambria Math" w:eastAsia="Times New Roman" w:hAnsi="Cambria Math"/>
                  </w:rPr>
                  <m:t>=σ</m:t>
                </m:r>
                <m:sSup>
                  <m:sSupPr>
                    <m:ctrlPr>
                      <w:rPr>
                        <w:rFonts w:ascii="Cambria Math" w:eastAsia="Times New Roman" w:hAnsi="Cambria Math"/>
                        <w:i/>
                      </w:rPr>
                    </m:ctrlPr>
                  </m:sSupPr>
                  <m:e>
                    <m:r>
                      <w:rPr>
                        <w:rFonts w:ascii="Cambria Math" w:eastAsia="Times New Roman" w:hAnsi="Cambria Math"/>
                      </w:rPr>
                      <m:t>T</m:t>
                    </m:r>
                  </m:e>
                  <m:sup>
                    <m:r>
                      <w:rPr>
                        <w:rFonts w:ascii="Cambria Math" w:eastAsia="Times New Roman" w:hAnsi="Cambria Math"/>
                      </w:rPr>
                      <m:t>4</m:t>
                    </m:r>
                  </m:sup>
                </m:sSup>
              </m:oMath>
            </m:oMathPara>
          </w:p>
        </w:tc>
        <w:tc>
          <w:tcPr>
            <w:tcW w:w="1503" w:type="dxa"/>
            <w:shd w:val="clear" w:color="auto" w:fill="auto"/>
            <w:vAlign w:val="center"/>
          </w:tcPr>
          <w:p w14:paraId="36C8235C" w14:textId="77777777" w:rsidR="002B759B" w:rsidRPr="00396E77" w:rsidRDefault="002B759B" w:rsidP="00EA4BBA">
            <w:pPr>
              <w:spacing w:after="0"/>
              <w:ind w:firstLine="0"/>
              <w:jc w:val="right"/>
            </w:pPr>
            <w:r w:rsidRPr="00396E77">
              <w:t xml:space="preserve">Equation </w:t>
            </w:r>
            <w:r w:rsidR="00A47317">
              <w:fldChar w:fldCharType="begin"/>
            </w:r>
            <w:r w:rsidR="00A47317">
              <w:instrText xml:space="preserve"> SEQ Equation \* ARABIC </w:instrText>
            </w:r>
            <w:r w:rsidR="00A47317">
              <w:fldChar w:fldCharType="separate"/>
            </w:r>
            <w:r w:rsidR="00820EB1">
              <w:rPr>
                <w:noProof/>
              </w:rPr>
              <w:t>12</w:t>
            </w:r>
            <w:r w:rsidR="00A47317">
              <w:rPr>
                <w:noProof/>
              </w:rPr>
              <w:fldChar w:fldCharType="end"/>
            </w:r>
          </w:p>
        </w:tc>
      </w:tr>
    </w:tbl>
    <w:p w14:paraId="4B18A0B1" w14:textId="696F191B" w:rsidR="002B759B" w:rsidRPr="00396E77" w:rsidRDefault="002B759B" w:rsidP="00EA4BBA">
      <w:r w:rsidRPr="00396E77">
        <w:t xml:space="preserve">Where </w:t>
      </w:r>
      <m:oMath>
        <m:sSub>
          <m:sSubPr>
            <m:ctrlPr>
              <w:rPr>
                <w:rFonts w:ascii="Cambria Math" w:hAnsi="Cambria Math"/>
                <w:i/>
              </w:rPr>
            </m:ctrlPr>
          </m:sSubPr>
          <m:e>
            <m:r>
              <w:rPr>
                <w:rFonts w:ascii="Cambria Math" w:hAnsi="Cambria Math"/>
              </w:rPr>
              <m:t>E</m:t>
            </m:r>
          </m:e>
          <m:sub>
            <m:r>
              <w:rPr>
                <w:rFonts w:ascii="Cambria Math" w:hAnsi="Cambria Math"/>
              </w:rPr>
              <m:t>b</m:t>
            </m:r>
          </m:sub>
        </m:sSub>
      </m:oMath>
      <w:r w:rsidRPr="00396E77">
        <w:t xml:space="preserve"> is the total energy emitted by the ideal radiator per unit time and surface area, at temperature T and </w:t>
      </w:r>
      <m:oMath>
        <m:r>
          <w:rPr>
            <w:rFonts w:ascii="Cambria Math" w:hAnsi="Cambria Math"/>
          </w:rPr>
          <m:t>σ=5.669×</m:t>
        </m:r>
        <m:sSup>
          <m:sSupPr>
            <m:ctrlPr>
              <w:rPr>
                <w:rFonts w:ascii="Cambria Math" w:hAnsi="Cambria Math"/>
                <w:i/>
              </w:rPr>
            </m:ctrlPr>
          </m:sSupPr>
          <m:e>
            <m:r>
              <w:rPr>
                <w:rFonts w:ascii="Cambria Math" w:hAnsi="Cambria Math"/>
              </w:rPr>
              <m:t>10</m:t>
            </m:r>
          </m:e>
          <m:sup>
            <m:r>
              <w:rPr>
                <w:rFonts w:ascii="Cambria Math" w:hAnsi="Cambria Math"/>
              </w:rPr>
              <m:t>-8</m:t>
            </m:r>
          </m:sup>
        </m:sSup>
        <m:f>
          <m:fPr>
            <m:ctrlPr>
              <w:rPr>
                <w:rFonts w:ascii="Cambria Math" w:hAnsi="Cambria Math"/>
                <w:i/>
              </w:rPr>
            </m:ctrlPr>
          </m:fPr>
          <m:num>
            <m:r>
              <w:rPr>
                <w:rFonts w:ascii="Cambria Math" w:hAnsi="Cambria Math"/>
              </w:rPr>
              <m:t>W</m:t>
            </m:r>
          </m:num>
          <m:den>
            <m:sSup>
              <m:sSupPr>
                <m:ctrlPr>
                  <w:rPr>
                    <w:rFonts w:ascii="Cambria Math" w:hAnsi="Cambria Math"/>
                    <w:i/>
                  </w:rPr>
                </m:ctrlPr>
              </m:sSupPr>
              <m:e>
                <m:r>
                  <w:rPr>
                    <w:rFonts w:ascii="Cambria Math" w:hAnsi="Cambria Math"/>
                  </w:rPr>
                  <m:t>m</m:t>
                </m:r>
              </m:e>
              <m:sup>
                <m:r>
                  <w:rPr>
                    <w:rFonts w:ascii="Cambria Math" w:hAnsi="Cambria Math"/>
                  </w:rPr>
                  <m:t>2</m:t>
                </m:r>
              </m:sup>
            </m:sSup>
            <m:sSup>
              <m:sSupPr>
                <m:ctrlPr>
                  <w:rPr>
                    <w:rFonts w:ascii="Cambria Math" w:hAnsi="Cambria Math"/>
                    <w:i/>
                  </w:rPr>
                </m:ctrlPr>
              </m:sSupPr>
              <m:e>
                <m:r>
                  <w:rPr>
                    <w:rFonts w:ascii="Cambria Math" w:hAnsi="Cambria Math"/>
                  </w:rPr>
                  <m:t>K</m:t>
                </m:r>
              </m:e>
              <m:sup>
                <m:r>
                  <w:rPr>
                    <w:rFonts w:ascii="Cambria Math" w:hAnsi="Cambria Math"/>
                  </w:rPr>
                  <m:t>4</m:t>
                </m:r>
              </m:sup>
            </m:sSup>
          </m:den>
        </m:f>
      </m:oMath>
      <w:r w:rsidRPr="00396E77">
        <w:t xml:space="preserve"> is the Stephan-Bo</w:t>
      </w:r>
      <w:r w:rsidR="000C437B">
        <w:t>l</w:t>
      </w:r>
      <w:r w:rsidRPr="00396E77">
        <w:t xml:space="preserve">tzmann constant. In order to calculate </w:t>
      </w:r>
      <m:oMath>
        <m:sSub>
          <m:sSubPr>
            <m:ctrlPr>
              <w:rPr>
                <w:rFonts w:ascii="Cambria Math" w:hAnsi="Cambria Math"/>
              </w:rPr>
            </m:ctrlPr>
          </m:sSubPr>
          <m:e>
            <m:r>
              <w:rPr>
                <w:rFonts w:ascii="Cambria Math" w:hAnsi="Cambria Math"/>
              </w:rPr>
              <m:t>Q</m:t>
            </m:r>
          </m:e>
          <m:sub>
            <m:r>
              <w:rPr>
                <w:rFonts w:ascii="Cambria Math" w:hAnsi="Cambria Math"/>
              </w:rPr>
              <m:t>re</m:t>
            </m:r>
            <m:r>
              <m:rPr>
                <m:sty m:val="p"/>
              </m:rPr>
              <w:rPr>
                <w:rFonts w:ascii="Cambria Math" w:hAnsi="Cambria Math"/>
              </w:rPr>
              <m:t>-</m:t>
            </m:r>
            <m:r>
              <w:rPr>
                <w:rFonts w:ascii="Cambria Math" w:hAnsi="Cambria Math"/>
              </w:rPr>
              <m:t>rad</m:t>
            </m:r>
            <m:r>
              <m:rPr>
                <m:sty m:val="p"/>
              </m:rPr>
              <w:rPr>
                <w:rFonts w:ascii="Cambria Math" w:hAnsi="Cambria Math"/>
              </w:rPr>
              <m:t xml:space="preserve"> </m:t>
            </m:r>
            <m:r>
              <w:rPr>
                <w:rFonts w:ascii="Cambria Math" w:hAnsi="Cambria Math"/>
              </w:rPr>
              <m:t>em</m:t>
            </m:r>
          </m:sub>
        </m:sSub>
      </m:oMath>
      <w:r w:rsidRPr="00396E77">
        <w:t xml:space="preserve"> </w:t>
      </w:r>
      <w:r>
        <w:t xml:space="preserve">, </w:t>
      </w:r>
      <w:r w:rsidRPr="00396E77">
        <w:t xml:space="preserve">the internal surface of the control volume involved in the radiative heat transfers are subdivided, as shown in </w:t>
      </w:r>
      <w:r>
        <w:fldChar w:fldCharType="begin"/>
      </w:r>
      <w:r>
        <w:instrText xml:space="preserve"> REF _Ref444074823 \h </w:instrText>
      </w:r>
      <w:r>
        <w:fldChar w:fldCharType="separate"/>
      </w:r>
      <w:r w:rsidR="00820EB1">
        <w:t xml:space="preserve">Figure </w:t>
      </w:r>
      <w:r w:rsidR="00820EB1">
        <w:rPr>
          <w:noProof/>
        </w:rPr>
        <w:t>100</w:t>
      </w:r>
      <w:r>
        <w:fldChar w:fldCharType="end"/>
      </w:r>
      <w:r>
        <w:t>.</w:t>
      </w:r>
    </w:p>
    <w:p w14:paraId="0AD97D39" w14:textId="77777777" w:rsidR="002B759B" w:rsidRPr="00396E77" w:rsidRDefault="002B759B" w:rsidP="00EA4BBA">
      <w:pPr>
        <w:ind w:firstLine="0"/>
        <w:rPr>
          <w:rFonts w:eastAsia="Times New Roman"/>
        </w:rPr>
      </w:pPr>
    </w:p>
    <w:p w14:paraId="54A59BCB" w14:textId="77777777" w:rsidR="002B759B" w:rsidRDefault="002B759B" w:rsidP="00EA4BBA">
      <w:pPr>
        <w:keepNext/>
        <w:ind w:firstLine="0"/>
        <w:jc w:val="center"/>
      </w:pPr>
      <w:r w:rsidRPr="00D46C53">
        <w:rPr>
          <w:noProof/>
        </w:rPr>
        <w:drawing>
          <wp:inline distT="0" distB="0" distL="0" distR="0" wp14:anchorId="74B21808" wp14:editId="6F50D647">
            <wp:extent cx="2324100" cy="1628775"/>
            <wp:effectExtent l="0" t="0" r="0" b="9525"/>
            <wp:docPr id="14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17">
                      <a:extLst>
                        <a:ext uri="{28A0092B-C50C-407E-A947-70E740481C1C}">
                          <a14:useLocalDpi xmlns:a14="http://schemas.microsoft.com/office/drawing/2010/main" val="0"/>
                        </a:ext>
                      </a:extLst>
                    </a:blip>
                    <a:srcRect l="43700" t="2541" r="3296" b="54922"/>
                    <a:stretch>
                      <a:fillRect/>
                    </a:stretch>
                  </pic:blipFill>
                  <pic:spPr bwMode="auto">
                    <a:xfrm>
                      <a:off x="0" y="0"/>
                      <a:ext cx="2324100" cy="1628775"/>
                    </a:xfrm>
                    <a:prstGeom prst="rect">
                      <a:avLst/>
                    </a:prstGeom>
                    <a:noFill/>
                    <a:ln>
                      <a:noFill/>
                    </a:ln>
                  </pic:spPr>
                </pic:pic>
              </a:graphicData>
            </a:graphic>
          </wp:inline>
        </w:drawing>
      </w:r>
    </w:p>
    <w:p w14:paraId="70569B67" w14:textId="77777777" w:rsidR="002B759B" w:rsidRDefault="002B759B" w:rsidP="00EA4BBA">
      <w:pPr>
        <w:pStyle w:val="Caption"/>
        <w:rPr>
          <w:rFonts w:eastAsia="Times New Roman"/>
        </w:rPr>
      </w:pPr>
      <w:bookmarkStart w:id="198" w:name="_Ref444074823"/>
      <w:r>
        <w:t xml:space="preserve">Figure </w:t>
      </w:r>
      <w:r w:rsidR="00A47317">
        <w:fldChar w:fldCharType="begin"/>
      </w:r>
      <w:r w:rsidR="00A47317">
        <w:instrText xml:space="preserve"> SEQ Figure \* ARABIC </w:instrText>
      </w:r>
      <w:r w:rsidR="00A47317">
        <w:fldChar w:fldCharType="separate"/>
      </w:r>
      <w:r w:rsidR="00820EB1">
        <w:rPr>
          <w:noProof/>
        </w:rPr>
        <w:t>100</w:t>
      </w:r>
      <w:r w:rsidR="00A47317">
        <w:rPr>
          <w:noProof/>
        </w:rPr>
        <w:fldChar w:fldCharType="end"/>
      </w:r>
      <w:bookmarkEnd w:id="198"/>
      <w:r>
        <w:t xml:space="preserve">: Surfaces (i=1…4) inside the control volume involved in the radiative heat transfers analysed: 1) Glass melt surface; 2) </w:t>
      </w:r>
      <w:r w:rsidRPr="00396E77">
        <w:rPr>
          <w:rFonts w:eastAsia="Times New Roman"/>
        </w:rPr>
        <w:t xml:space="preserve">Inside furnace roof; 3) Crucible side walls and the ring of insulation between the crucible and furnace roof; 4) Beam inlet aperture. </w:t>
      </w:r>
    </w:p>
    <w:p w14:paraId="2A2E6154" w14:textId="77777777" w:rsidR="00820EB1" w:rsidRDefault="002B759B" w:rsidP="00EA4BBA">
      <w:pPr>
        <w:pStyle w:val="Caption"/>
      </w:pPr>
      <w:r w:rsidRPr="00396E77">
        <w:rPr>
          <w:rFonts w:eastAsia="Times New Roman"/>
        </w:rPr>
        <w:t xml:space="preserve">These surfaces </w:t>
      </w:r>
      <w:r>
        <w:rPr>
          <w:rFonts w:eastAsia="Times New Roman"/>
        </w:rPr>
        <w:t xml:space="preserve">shown in </w:t>
      </w:r>
      <w:r>
        <w:rPr>
          <w:rFonts w:eastAsia="Times New Roman"/>
        </w:rPr>
        <w:fldChar w:fldCharType="begin"/>
      </w:r>
      <w:r>
        <w:rPr>
          <w:rFonts w:eastAsia="Times New Roman"/>
        </w:rPr>
        <w:instrText xml:space="preserve"> REF _Ref444074823 \h </w:instrText>
      </w:r>
      <w:r>
        <w:rPr>
          <w:rFonts w:eastAsia="Times New Roman"/>
        </w:rPr>
      </w:r>
      <w:r>
        <w:rPr>
          <w:rFonts w:eastAsia="Times New Roman"/>
        </w:rPr>
        <w:fldChar w:fldCharType="separate"/>
      </w:r>
      <w:r w:rsidR="00820EB1">
        <w:t xml:space="preserve">Figure </w:t>
      </w:r>
      <w:r w:rsidR="00820EB1">
        <w:rPr>
          <w:noProof/>
        </w:rPr>
        <w:t>100</w:t>
      </w:r>
      <w:r>
        <w:rPr>
          <w:rFonts w:eastAsia="Times New Roman"/>
        </w:rPr>
        <w:fldChar w:fldCharType="end"/>
      </w:r>
      <w:r>
        <w:rPr>
          <w:rFonts w:eastAsia="Times New Roman"/>
        </w:rPr>
        <w:t xml:space="preserve"> </w:t>
      </w:r>
      <w:r w:rsidRPr="00396E77">
        <w:rPr>
          <w:rFonts w:eastAsia="Times New Roman"/>
        </w:rPr>
        <w:t xml:space="preserve">are almost the same as that of the control volume </w:t>
      </w:r>
      <w:r>
        <w:t xml:space="preserve">shown in </w:t>
      </w:r>
      <w:r>
        <w:fldChar w:fldCharType="begin"/>
      </w:r>
      <w:r>
        <w:instrText xml:space="preserve"> REF _Ref443754544 \h </w:instrText>
      </w:r>
      <w:r>
        <w:fldChar w:fldCharType="separate"/>
      </w:r>
    </w:p>
    <w:p w14:paraId="4594A465" w14:textId="619ED77F" w:rsidR="002B759B" w:rsidRPr="00671D93" w:rsidRDefault="00820EB1" w:rsidP="00EA4BBA">
      <w:pPr>
        <w:rPr>
          <w:rFonts w:eastAsia="Times New Roman"/>
        </w:rPr>
      </w:pPr>
      <w:r>
        <w:t xml:space="preserve">Figure </w:t>
      </w:r>
      <w:r>
        <w:rPr>
          <w:noProof/>
        </w:rPr>
        <w:t>99</w:t>
      </w:r>
      <w:r w:rsidR="002B759B">
        <w:fldChar w:fldCharType="end"/>
      </w:r>
      <w:r w:rsidR="002B759B">
        <w:t>, except surface 1 is the melt surface rather than the base of the crucible. The melt depth is assumed to be 31 mm which is the average melt depth over the period analysed. The surfaces (</w:t>
      </w:r>
      <w:r w:rsidR="002B759B" w:rsidRPr="00F52EC2">
        <w:rPr>
          <w:i/>
        </w:rPr>
        <w:t>i</w:t>
      </w:r>
      <w:r w:rsidR="002B759B">
        <w:t>=1-3)</w:t>
      </w:r>
      <w:r w:rsidR="002B759B" w:rsidRPr="005F390B">
        <w:t xml:space="preserve"> are assumed to emit thermal radiation equally in all directions with constant </w:t>
      </w:r>
      <w:r w:rsidR="009872B8" w:rsidRPr="005F390B">
        <w:t>emis</w:t>
      </w:r>
      <w:r w:rsidR="009872B8">
        <w:t>i</w:t>
      </w:r>
      <w:r w:rsidR="009872B8" w:rsidRPr="005F390B">
        <w:t>vities</w:t>
      </w:r>
      <w:r w:rsidR="002B759B">
        <w:t xml:space="preserve"> corresponding to</w:t>
      </w:r>
      <w:r w:rsidR="002B759B" w:rsidRPr="005F390B">
        <w:t xml:space="preserve"> e</w:t>
      </w:r>
      <w:r w:rsidR="002B759B">
        <w:rPr>
          <w:vertAlign w:val="subscript"/>
        </w:rPr>
        <w:t>1-3</w:t>
      </w:r>
      <w:r w:rsidR="002B759B">
        <w:t xml:space="preserve"> </w:t>
      </w:r>
      <w:r w:rsidR="002B759B" w:rsidRPr="005F390B">
        <w:t>given in Table 2.</w:t>
      </w:r>
      <w:r w:rsidR="002B759B">
        <w:t xml:space="preserve"> </w:t>
      </w:r>
      <w:r w:rsidR="002B759B" w:rsidRPr="00396E77">
        <w:rPr>
          <w:rFonts w:eastAsia="Times New Roman"/>
        </w:rPr>
        <w:t xml:space="preserve">The emissivity of a surface is a measure of </w:t>
      </w:r>
      <w:r w:rsidR="009872B8">
        <w:rPr>
          <w:rFonts w:eastAsia="Times New Roman"/>
        </w:rPr>
        <w:t xml:space="preserve">how </w:t>
      </w:r>
      <w:r w:rsidR="002B759B" w:rsidRPr="00396E77">
        <w:rPr>
          <w:rFonts w:eastAsia="Times New Roman"/>
        </w:rPr>
        <w:t xml:space="preserve">well it emits thermal radiation compared to that of a black body. </w:t>
      </w:r>
      <w:r w:rsidR="002B759B">
        <w:t xml:space="preserve">The radiation emitted from the surfaces inside the control volume which escape the beam inlet aperture is given by </w:t>
      </w:r>
      <w:r w:rsidR="002B759B">
        <w:fldChar w:fldCharType="begin"/>
      </w:r>
      <w:r w:rsidR="002B759B">
        <w:instrText xml:space="preserve"> REF _Ref444096256 \h </w:instrText>
      </w:r>
      <w:r w:rsidR="002B759B">
        <w:fldChar w:fldCharType="separate"/>
      </w:r>
      <w:r w:rsidRPr="00396E77">
        <w:t xml:space="preserve">Equation </w:t>
      </w:r>
      <w:r>
        <w:rPr>
          <w:noProof/>
        </w:rPr>
        <w:t>14</w:t>
      </w:r>
      <w:r w:rsidR="002B759B">
        <w:fldChar w:fldCharType="end"/>
      </w:r>
      <w:r w:rsidR="002B759B">
        <w:t xml:space="preserve">. </w:t>
      </w:r>
    </w:p>
    <w:tbl>
      <w:tblPr>
        <w:tblW w:w="0" w:type="auto"/>
        <w:tblInd w:w="284" w:type="dxa"/>
        <w:tblLook w:val="04A0" w:firstRow="1" w:lastRow="0" w:firstColumn="1" w:lastColumn="0" w:noHBand="0" w:noVBand="1"/>
      </w:tblPr>
      <w:tblGrid>
        <w:gridCol w:w="5656"/>
        <w:gridCol w:w="1204"/>
        <w:gridCol w:w="1360"/>
      </w:tblGrid>
      <w:tr w:rsidR="002B759B" w:rsidRPr="00396E77" w14:paraId="463BC490" w14:textId="77777777" w:rsidTr="00EA4BBA">
        <w:trPr>
          <w:trHeight w:val="261"/>
        </w:trPr>
        <w:tc>
          <w:tcPr>
            <w:tcW w:w="6094" w:type="dxa"/>
            <w:shd w:val="clear" w:color="auto" w:fill="auto"/>
            <w:vAlign w:val="center"/>
          </w:tcPr>
          <w:p w14:paraId="727398C5" w14:textId="77777777" w:rsidR="002B759B" w:rsidRPr="008C3622" w:rsidRDefault="00A47317" w:rsidP="00EA4BBA">
            <w:pPr>
              <w:spacing w:after="0"/>
              <w:ind w:firstLine="0"/>
              <w:rPr>
                <w:rFonts w:eastAsia="Times New Roman"/>
              </w:rPr>
            </w:pPr>
            <m:oMathPara>
              <m:oMath>
                <m:sSub>
                  <m:sSubPr>
                    <m:ctrlPr>
                      <w:rPr>
                        <w:rFonts w:ascii="Cambria Math" w:eastAsia="Times New Roman" w:hAnsi="Cambria Math"/>
                        <w:i/>
                      </w:rPr>
                    </m:ctrlPr>
                  </m:sSubPr>
                  <m:e>
                    <m:r>
                      <w:rPr>
                        <w:rFonts w:ascii="Cambria Math" w:eastAsia="Times New Roman" w:hAnsi="Cambria Math"/>
                      </w:rPr>
                      <m:t>Q</m:t>
                    </m:r>
                  </m:e>
                  <m:sub>
                    <m:r>
                      <w:rPr>
                        <w:rFonts w:ascii="Cambria Math" w:eastAsia="Times New Roman" w:hAnsi="Cambria Math"/>
                      </w:rPr>
                      <m:t xml:space="preserve">re-rad em </m:t>
                    </m:r>
                  </m:sub>
                </m:sSub>
                <m:r>
                  <w:rPr>
                    <w:rFonts w:ascii="Cambria Math" w:eastAsia="Times New Roman" w:hAnsi="Cambria Math"/>
                  </w:rPr>
                  <m:t>=σ</m:t>
                </m:r>
                <m:nary>
                  <m:naryPr>
                    <m:chr m:val="∑"/>
                    <m:limLoc m:val="undOvr"/>
                    <m:subHide m:val="1"/>
                    <m:supHide m:val="1"/>
                    <m:ctrlPr>
                      <w:rPr>
                        <w:rFonts w:ascii="Cambria Math" w:eastAsia="Times New Roman" w:hAnsi="Cambria Math"/>
                        <w:i/>
                      </w:rPr>
                    </m:ctrlPr>
                  </m:naryPr>
                  <m:sub/>
                  <m:sup/>
                  <m:e>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i→4</m:t>
                        </m:r>
                      </m:sub>
                    </m:sSub>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i</m:t>
                        </m:r>
                      </m:sub>
                    </m:sSub>
                    <m:sSub>
                      <m:sSubPr>
                        <m:ctrlPr>
                          <w:rPr>
                            <w:rFonts w:ascii="Cambria Math" w:eastAsia="Times New Roman" w:hAnsi="Cambria Math"/>
                            <w:i/>
                          </w:rPr>
                        </m:ctrlPr>
                      </m:sSubPr>
                      <m:e>
                        <m:r>
                          <w:rPr>
                            <w:rFonts w:ascii="Cambria Math" w:eastAsia="Times New Roman" w:hAnsi="Cambria Math"/>
                          </w:rPr>
                          <m:t>A</m:t>
                        </m:r>
                      </m:e>
                      <m:sub>
                        <m:r>
                          <w:rPr>
                            <w:rFonts w:ascii="Cambria Math" w:eastAsia="Times New Roman" w:hAnsi="Cambria Math"/>
                          </w:rPr>
                          <m:t>i</m:t>
                        </m:r>
                      </m:sub>
                    </m:sSub>
                    <m:sSub>
                      <m:sSubPr>
                        <m:ctrlPr>
                          <w:rPr>
                            <w:rFonts w:ascii="Cambria Math" w:eastAsia="Times New Roman" w:hAnsi="Cambria Math"/>
                            <w:i/>
                          </w:rPr>
                        </m:ctrlPr>
                      </m:sSubPr>
                      <m:e>
                        <m:r>
                          <w:rPr>
                            <w:rFonts w:ascii="Cambria Math" w:eastAsia="Times New Roman" w:hAnsi="Cambria Math"/>
                          </w:rPr>
                          <m:t>T</m:t>
                        </m:r>
                      </m:e>
                      <m:sub>
                        <m:r>
                          <w:rPr>
                            <w:rFonts w:ascii="Cambria Math" w:eastAsia="Times New Roman" w:hAnsi="Cambria Math"/>
                          </w:rPr>
                          <m:t>i</m:t>
                        </m:r>
                      </m:sub>
                    </m:sSub>
                  </m:e>
                </m:nary>
              </m:oMath>
            </m:oMathPara>
          </w:p>
        </w:tc>
        <w:tc>
          <w:tcPr>
            <w:tcW w:w="1237" w:type="dxa"/>
            <w:shd w:val="clear" w:color="auto" w:fill="auto"/>
            <w:vAlign w:val="center"/>
          </w:tcPr>
          <w:p w14:paraId="57B8B4DA" w14:textId="77777777" w:rsidR="002B759B" w:rsidRPr="008C3622" w:rsidRDefault="002B759B" w:rsidP="00EA4BBA">
            <w:pPr>
              <w:spacing w:after="0"/>
              <w:ind w:firstLine="0"/>
              <w:jc w:val="center"/>
            </w:pPr>
            <m:oMathPara>
              <m:oMath>
                <m:r>
                  <w:rPr>
                    <w:rFonts w:ascii="Cambria Math" w:eastAsia="Times New Roman" w:hAnsi="Cambria Math"/>
                  </w:rPr>
                  <m:t>i=1…3</m:t>
                </m:r>
              </m:oMath>
            </m:oMathPara>
          </w:p>
        </w:tc>
        <w:tc>
          <w:tcPr>
            <w:tcW w:w="1401" w:type="dxa"/>
            <w:shd w:val="clear" w:color="auto" w:fill="auto"/>
            <w:vAlign w:val="center"/>
          </w:tcPr>
          <w:p w14:paraId="63FEEFA0" w14:textId="77777777" w:rsidR="002B759B" w:rsidRPr="00396E77" w:rsidRDefault="002B759B" w:rsidP="00EA4BBA">
            <w:pPr>
              <w:spacing w:after="0"/>
              <w:ind w:firstLine="0"/>
              <w:jc w:val="center"/>
            </w:pPr>
            <w:bookmarkStart w:id="199" w:name="_Ref444098301"/>
            <w:r w:rsidRPr="00396E77">
              <w:t xml:space="preserve">Equation </w:t>
            </w:r>
            <w:r w:rsidR="00A47317">
              <w:fldChar w:fldCharType="begin"/>
            </w:r>
            <w:r w:rsidR="00A47317">
              <w:instrText xml:space="preserve"> SEQ Equation \* ARABIC </w:instrText>
            </w:r>
            <w:r w:rsidR="00A47317">
              <w:fldChar w:fldCharType="separate"/>
            </w:r>
            <w:r w:rsidR="00820EB1">
              <w:rPr>
                <w:noProof/>
              </w:rPr>
              <w:t>13</w:t>
            </w:r>
            <w:r w:rsidR="00A47317">
              <w:rPr>
                <w:noProof/>
              </w:rPr>
              <w:fldChar w:fldCharType="end"/>
            </w:r>
            <w:bookmarkEnd w:id="199"/>
          </w:p>
        </w:tc>
      </w:tr>
    </w:tbl>
    <w:p w14:paraId="7DF09051" w14:textId="023C972E" w:rsidR="002B759B" w:rsidRPr="00396E77" w:rsidRDefault="002B759B" w:rsidP="00EA4BBA">
      <w:pPr>
        <w:rPr>
          <w:rFonts w:eastAsia="Times New Roman"/>
        </w:rPr>
      </w:pPr>
      <w:r w:rsidRPr="00396E77">
        <w:t xml:space="preserve">Where </w:t>
      </w:r>
      <m:oMath>
        <m:sSub>
          <m:sSubPr>
            <m:ctrlPr>
              <w:rPr>
                <w:rFonts w:ascii="Cambria Math" w:hAnsi="Cambria Math"/>
                <w:i/>
              </w:rPr>
            </m:ctrlPr>
          </m:sSubPr>
          <m:e>
            <m:r>
              <w:rPr>
                <w:rFonts w:ascii="Cambria Math" w:hAnsi="Cambria Math"/>
              </w:rPr>
              <m:t>F</m:t>
            </m:r>
          </m:e>
          <m:sub>
            <m:r>
              <w:rPr>
                <w:rFonts w:ascii="Cambria Math" w:hAnsi="Cambria Math"/>
              </w:rPr>
              <m:t>x→y</m:t>
            </m:r>
          </m:sub>
        </m:sSub>
      </m:oMath>
      <w:r w:rsidRPr="00396E77">
        <w:t xml:space="preserve"> is the </w:t>
      </w:r>
      <w:r w:rsidRPr="00396E77">
        <w:rPr>
          <w:i/>
        </w:rPr>
        <w:t>radiation shape factor</w:t>
      </w:r>
      <w:r w:rsidRPr="00396E77">
        <w:t xml:space="preserve">, defined as the fraction of the emitted thermal radiation leaving surface </w:t>
      </w:r>
      <w:r w:rsidRPr="00396E77">
        <w:rPr>
          <w:i/>
        </w:rPr>
        <w:t xml:space="preserve">x </w:t>
      </w:r>
      <w:r w:rsidRPr="00396E77">
        <w:t xml:space="preserve">which arrives at surface </w:t>
      </w:r>
      <w:r w:rsidRPr="00396E77">
        <w:rPr>
          <w:i/>
        </w:rPr>
        <w:t xml:space="preserve">y </w:t>
      </w:r>
      <w:r w:rsidR="009872B8">
        <w:rPr>
          <w:i/>
        </w:rPr>
        <w:fldChar w:fldCharType="begin" w:fldLock="1"/>
      </w:r>
      <w:r w:rsidR="009872B8">
        <w:rPr>
          <w:i/>
        </w:rPr>
        <w:instrText>ADDIN CSL_CITATION { "citationItems" : [ { "id" : "ITEM-1", "itemData" : { "ISBN" : "0-07-057316-6", "author" : [ { "dropping-particle" : "", "family" : "Siegel", "given" : "Robert.", "non-dropping-particle" : "", "parse-names" : false, "suffix" : "" }, { "dropping-particle" : "", "family" : "Howell", "given" : "John.R.", "non-dropping-particle" : "", "parse-names" : false, "suffix" : "" } ], "edition" : "2", "id" : "ITEM-1", "issued" : { "date-parts" : [ [ "1981" ] ] }, "publisher" : "Hemisphere Publishing Corporation", "title" : "Thermal Radition Heat Transfer", "type" : "book" }, "locator" : "172", "uris" : [ "http://www.mendeley.com/documents/?uuid=d41ff210-4caf-4d1b-855e-fd764f154f03" ] } ], "mendeley" : { "formattedCitation" : "(Siegel &amp; Howell 1981, p.172)", "manualFormatting" : "(Siegel &amp; Howell 1981)", "plainTextFormattedCitation" : "(Siegel &amp; Howell 1981, p.172)", "previouslyFormattedCitation" : "(Siegel &amp; Howell 1981, p.172)" }, "properties" : { "noteIndex" : 0 }, "schema" : "https://github.com/citation-style-language/schema/raw/master/csl-citation.json" }</w:instrText>
      </w:r>
      <w:r w:rsidR="009872B8">
        <w:rPr>
          <w:i/>
        </w:rPr>
        <w:fldChar w:fldCharType="separate"/>
      </w:r>
      <w:r w:rsidR="009872B8" w:rsidRPr="009872B8">
        <w:rPr>
          <w:noProof/>
        </w:rPr>
        <w:t>(Siegel &amp; Howell 1981)</w:t>
      </w:r>
      <w:r w:rsidR="009872B8">
        <w:rPr>
          <w:i/>
        </w:rPr>
        <w:fldChar w:fldCharType="end"/>
      </w:r>
      <w:r w:rsidRPr="00396E77">
        <w:rPr>
          <w:i/>
        </w:rPr>
        <w:t xml:space="preserve">. </w:t>
      </w:r>
      <w:r w:rsidRPr="00396E77">
        <w:t xml:space="preserve">The shape factors are governed by the geometric orientation of the surfaces to one another. The radiation shape factors for each combination of surfaces involved in this analysis </w:t>
      </w:r>
      <w:r w:rsidR="009872B8">
        <w:t xml:space="preserve">are given </w:t>
      </w:r>
      <w:r w:rsidRPr="00396E77">
        <w:t xml:space="preserve">in appendix </w:t>
      </w:r>
      <w:r>
        <w:t>ID6</w:t>
      </w:r>
      <w:r w:rsidRPr="00396E77">
        <w:t xml:space="preserve"> and the results given</w:t>
      </w:r>
      <w:r>
        <w:t xml:space="preserve"> in </w:t>
      </w:r>
      <w:r>
        <w:fldChar w:fldCharType="begin"/>
      </w:r>
      <w:r>
        <w:instrText xml:space="preserve"> REF _Ref451076922 \h </w:instrText>
      </w:r>
      <w:r>
        <w:fldChar w:fldCharType="separate"/>
      </w:r>
      <w:r w:rsidR="00820EB1">
        <w:t xml:space="preserve">Table </w:t>
      </w:r>
      <w:r w:rsidR="00820EB1">
        <w:rPr>
          <w:noProof/>
        </w:rPr>
        <w:t>5</w:t>
      </w:r>
      <w:r>
        <w:fldChar w:fldCharType="end"/>
      </w:r>
      <w:r>
        <w:t>.</w:t>
      </w:r>
      <w:r>
        <w:rPr>
          <w:rFonts w:eastAsia="Times New Roman"/>
        </w:rPr>
        <w:t xml:space="preserve"> </w:t>
      </w:r>
      <w:r w:rsidRPr="00396E77">
        <w:rPr>
          <w:rFonts w:eastAsia="Times New Roman"/>
        </w:rPr>
        <w:t xml:space="preserve">It can be seen from </w:t>
      </w:r>
      <w:r w:rsidRPr="00396E77">
        <w:rPr>
          <w:rFonts w:eastAsia="Times New Roman"/>
        </w:rPr>
        <w:fldChar w:fldCharType="begin"/>
      </w:r>
      <w:r w:rsidRPr="00396E77">
        <w:rPr>
          <w:rFonts w:eastAsia="Times New Roman"/>
        </w:rPr>
        <w:instrText xml:space="preserve"> REF _Ref444074823 \h </w:instrText>
      </w:r>
      <w:r w:rsidRPr="00396E77">
        <w:rPr>
          <w:rFonts w:eastAsia="Times New Roman"/>
        </w:rPr>
      </w:r>
      <w:r w:rsidRPr="00396E77">
        <w:rPr>
          <w:rFonts w:eastAsia="Times New Roman"/>
        </w:rPr>
        <w:fldChar w:fldCharType="separate"/>
      </w:r>
      <w:r w:rsidR="00820EB1">
        <w:t xml:space="preserve">Figure </w:t>
      </w:r>
      <w:r w:rsidR="00820EB1">
        <w:rPr>
          <w:noProof/>
        </w:rPr>
        <w:t>100</w:t>
      </w:r>
      <w:r w:rsidRPr="00396E77">
        <w:rPr>
          <w:rFonts w:eastAsia="Times New Roman"/>
        </w:rPr>
        <w:fldChar w:fldCharType="end"/>
      </w:r>
      <w:r w:rsidRPr="00396E77">
        <w:rPr>
          <w:rFonts w:eastAsia="Times New Roman"/>
        </w:rPr>
        <w:t xml:space="preserve"> that there is no direct line of sight from surface 2 to the aperture (surface 4) so </w:t>
      </w:r>
      <m:oMath>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2→4</m:t>
            </m:r>
          </m:sub>
        </m:sSub>
        <m:r>
          <w:rPr>
            <w:rFonts w:ascii="Cambria Math" w:eastAsia="Times New Roman" w:hAnsi="Cambria Math"/>
          </w:rPr>
          <m:t>=0</m:t>
        </m:r>
      </m:oMath>
      <w:r w:rsidRPr="00396E77">
        <w:rPr>
          <w:rFonts w:eastAsia="Times New Roman"/>
        </w:rPr>
        <w:t xml:space="preserve">. Also, since it is assumed that </w:t>
      </w:r>
      <w:r w:rsidRPr="00F52EC2">
        <w:rPr>
          <w:rFonts w:eastAsia="Times New Roman"/>
          <w:i/>
        </w:rPr>
        <w:t>T</w:t>
      </w:r>
      <w:r w:rsidRPr="00F52EC2">
        <w:rPr>
          <w:rFonts w:eastAsia="Times New Roman"/>
          <w:i/>
        </w:rPr>
        <w:softHyphen/>
      </w:r>
      <w:r w:rsidRPr="00F52EC2">
        <w:rPr>
          <w:rFonts w:eastAsia="Times New Roman"/>
          <w:i/>
          <w:vertAlign w:val="subscript"/>
        </w:rPr>
        <w:t>1..3</w:t>
      </w:r>
      <w:r w:rsidRPr="00396E77">
        <w:rPr>
          <w:rFonts w:eastAsia="Times New Roman"/>
          <w:vertAlign w:val="subscript"/>
        </w:rPr>
        <w:t xml:space="preserve"> </w:t>
      </w:r>
      <w:r w:rsidRPr="00396E77">
        <w:rPr>
          <w:rFonts w:eastAsia="Times New Roman"/>
        </w:rPr>
        <w:t xml:space="preserve">= </w:t>
      </w:r>
      <w:r w:rsidRPr="00F52EC2">
        <w:rPr>
          <w:rFonts w:eastAsia="Times New Roman"/>
          <w:i/>
        </w:rPr>
        <w:t>T</w:t>
      </w:r>
      <w:r w:rsidRPr="00F52EC2">
        <w:rPr>
          <w:rFonts w:eastAsia="Times New Roman"/>
          <w:i/>
          <w:vertAlign w:val="subscript"/>
        </w:rPr>
        <w:t>glass</w:t>
      </w:r>
      <w:r>
        <w:rPr>
          <w:rFonts w:eastAsia="Times New Roman"/>
          <w:vertAlign w:val="subscript"/>
        </w:rPr>
        <w:t xml:space="preserve">  </w:t>
      </w:r>
      <w:r>
        <w:rPr>
          <w:rFonts w:eastAsia="Times New Roman"/>
        </w:rPr>
        <w:t xml:space="preserve">, </w:t>
      </w:r>
      <w:r w:rsidRPr="00396E77">
        <w:rPr>
          <w:rFonts w:eastAsia="Times New Roman"/>
        </w:rPr>
        <w:t xml:space="preserve">so </w:t>
      </w:r>
      <w:r w:rsidRPr="00396E77">
        <w:rPr>
          <w:rFonts w:eastAsia="Times New Roman"/>
        </w:rPr>
        <w:fldChar w:fldCharType="begin"/>
      </w:r>
      <w:r w:rsidRPr="00396E77">
        <w:rPr>
          <w:rFonts w:eastAsia="Times New Roman"/>
        </w:rPr>
        <w:instrText xml:space="preserve"> REF _Ref444098301 \h </w:instrText>
      </w:r>
      <w:r w:rsidRPr="00396E77">
        <w:rPr>
          <w:rFonts w:eastAsia="Times New Roman"/>
        </w:rPr>
      </w:r>
      <w:r w:rsidRPr="00396E77">
        <w:rPr>
          <w:rFonts w:eastAsia="Times New Roman"/>
        </w:rPr>
        <w:fldChar w:fldCharType="separate"/>
      </w:r>
      <w:r w:rsidR="00820EB1" w:rsidRPr="00396E77">
        <w:t xml:space="preserve">Equation </w:t>
      </w:r>
      <w:r w:rsidR="00820EB1">
        <w:rPr>
          <w:noProof/>
        </w:rPr>
        <w:t>13</w:t>
      </w:r>
      <w:r w:rsidRPr="00396E77">
        <w:rPr>
          <w:rFonts w:eastAsia="Times New Roman"/>
        </w:rPr>
        <w:fldChar w:fldCharType="end"/>
      </w:r>
      <w:r w:rsidRPr="00396E77">
        <w:rPr>
          <w:rFonts w:eastAsia="Times New Roman"/>
        </w:rPr>
        <w:t xml:space="preserve"> can be solved as follows</w:t>
      </w:r>
      <w:r>
        <w:rPr>
          <w:rFonts w:eastAsia="Times New Roman"/>
        </w:rPr>
        <w:t xml:space="preserve"> (</w:t>
      </w:r>
      <w:r>
        <w:rPr>
          <w:rFonts w:eastAsia="Times New Roman"/>
        </w:rPr>
        <w:fldChar w:fldCharType="begin"/>
      </w:r>
      <w:r>
        <w:rPr>
          <w:rFonts w:eastAsia="Times New Roman"/>
        </w:rPr>
        <w:instrText xml:space="preserve"> REF _Ref444096256 \h </w:instrText>
      </w:r>
      <w:r>
        <w:rPr>
          <w:rFonts w:eastAsia="Times New Roman"/>
        </w:rPr>
      </w:r>
      <w:r>
        <w:rPr>
          <w:rFonts w:eastAsia="Times New Roman"/>
        </w:rPr>
        <w:fldChar w:fldCharType="separate"/>
      </w:r>
      <w:r w:rsidR="00820EB1" w:rsidRPr="00396E77">
        <w:t xml:space="preserve">Equation </w:t>
      </w:r>
      <w:r w:rsidR="00820EB1">
        <w:rPr>
          <w:noProof/>
        </w:rPr>
        <w:t>14</w:t>
      </w:r>
      <w:r>
        <w:rPr>
          <w:rFonts w:eastAsia="Times New Roman"/>
        </w:rPr>
        <w:fldChar w:fldCharType="end"/>
      </w:r>
      <w:r>
        <w:rPr>
          <w:rFonts w:eastAsia="Times New Roman"/>
        </w:rPr>
        <w:t>)</w:t>
      </w:r>
      <w:r w:rsidRPr="00396E77">
        <w:rPr>
          <w:rFonts w:eastAsia="Times New Roman"/>
        </w:rPr>
        <w:t>:</w:t>
      </w:r>
    </w:p>
    <w:tbl>
      <w:tblPr>
        <w:tblW w:w="0" w:type="auto"/>
        <w:tblInd w:w="284" w:type="dxa"/>
        <w:tblLook w:val="04A0" w:firstRow="1" w:lastRow="0" w:firstColumn="1" w:lastColumn="0" w:noHBand="0" w:noVBand="1"/>
      </w:tblPr>
      <w:tblGrid>
        <w:gridCol w:w="6762"/>
        <w:gridCol w:w="1458"/>
      </w:tblGrid>
      <w:tr w:rsidR="002B759B" w:rsidRPr="00396E77" w14:paraId="33C14E1B" w14:textId="77777777" w:rsidTr="00EA4BBA">
        <w:trPr>
          <w:trHeight w:val="261"/>
        </w:trPr>
        <w:tc>
          <w:tcPr>
            <w:tcW w:w="7229" w:type="dxa"/>
            <w:shd w:val="clear" w:color="auto" w:fill="auto"/>
            <w:vAlign w:val="center"/>
          </w:tcPr>
          <w:p w14:paraId="10DD629F" w14:textId="67A3F540" w:rsidR="002B759B" w:rsidRPr="008C3622" w:rsidRDefault="00A47317" w:rsidP="00EA4BBA">
            <w:pPr>
              <w:spacing w:after="0"/>
              <w:ind w:firstLine="0"/>
              <w:rPr>
                <w:rFonts w:eastAsia="Times New Roman"/>
              </w:rPr>
            </w:pPr>
            <m:oMathPara>
              <m:oMath>
                <m:sSub>
                  <m:sSubPr>
                    <m:ctrlPr>
                      <w:rPr>
                        <w:rFonts w:ascii="Cambria Math" w:eastAsia="Times New Roman" w:hAnsi="Cambria Math"/>
                        <w:i/>
                      </w:rPr>
                    </m:ctrlPr>
                  </m:sSubPr>
                  <m:e>
                    <m:r>
                      <w:rPr>
                        <w:rFonts w:ascii="Cambria Math" w:eastAsia="Times New Roman" w:hAnsi="Cambria Math"/>
                      </w:rPr>
                      <m:t>Q</m:t>
                    </m:r>
                  </m:e>
                  <m:sub>
                    <m:r>
                      <w:rPr>
                        <w:rFonts w:ascii="Cambria Math" w:eastAsia="Times New Roman" w:hAnsi="Cambria Math"/>
                      </w:rPr>
                      <m:t xml:space="preserve">re-rad em </m:t>
                    </m:r>
                  </m:sub>
                </m:sSub>
                <m:r>
                  <w:rPr>
                    <w:rFonts w:ascii="Cambria Math" w:eastAsia="Times New Roman" w:hAnsi="Cambria Math"/>
                  </w:rPr>
                  <m:t>=σ</m:t>
                </m:r>
                <m:sSubSup>
                  <m:sSubSupPr>
                    <m:ctrlPr>
                      <w:rPr>
                        <w:rFonts w:ascii="Cambria Math" w:eastAsia="Times New Roman" w:hAnsi="Cambria Math"/>
                        <w:i/>
                      </w:rPr>
                    </m:ctrlPr>
                  </m:sSubSupPr>
                  <m:e>
                    <m:r>
                      <w:rPr>
                        <w:rFonts w:ascii="Cambria Math" w:eastAsia="Times New Roman" w:hAnsi="Cambria Math"/>
                      </w:rPr>
                      <m:t>T</m:t>
                    </m:r>
                  </m:e>
                  <m:sub>
                    <m:r>
                      <w:rPr>
                        <w:rFonts w:ascii="Cambria Math" w:eastAsia="Times New Roman" w:hAnsi="Cambria Math"/>
                      </w:rPr>
                      <m:t>glass</m:t>
                    </m:r>
                  </m:sub>
                  <m:sup>
                    <m:r>
                      <w:rPr>
                        <w:rFonts w:ascii="Cambria Math" w:eastAsia="Times New Roman" w:hAnsi="Cambria Math"/>
                      </w:rPr>
                      <m:t>4</m:t>
                    </m:r>
                  </m:sup>
                </m:sSubSup>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1→4</m:t>
                    </m:r>
                  </m:sub>
                </m:sSub>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1</m:t>
                    </m:r>
                  </m:sub>
                </m:sSub>
                <m:sSub>
                  <m:sSubPr>
                    <m:ctrlPr>
                      <w:rPr>
                        <w:rFonts w:ascii="Cambria Math" w:eastAsia="Times New Roman" w:hAnsi="Cambria Math"/>
                        <w:i/>
                      </w:rPr>
                    </m:ctrlPr>
                  </m:sSubPr>
                  <m:e>
                    <m:r>
                      <w:rPr>
                        <w:rFonts w:ascii="Cambria Math" w:eastAsia="Times New Roman" w:hAnsi="Cambria Math"/>
                      </w:rPr>
                      <m:t>A</m:t>
                    </m:r>
                  </m:e>
                  <m:sub>
                    <m:r>
                      <w:rPr>
                        <w:rFonts w:ascii="Cambria Math" w:eastAsia="Times New Roman" w:hAnsi="Cambria Math"/>
                      </w:rPr>
                      <m:t>1</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3→4</m:t>
                    </m:r>
                  </m:sub>
                </m:sSub>
                <m:sSub>
                  <m:sSubPr>
                    <m:ctrlPr>
                      <w:rPr>
                        <w:rFonts w:ascii="Cambria Math" w:eastAsia="Times New Roman" w:hAnsi="Cambria Math"/>
                        <w:i/>
                      </w:rPr>
                    </m:ctrlPr>
                  </m:sSubPr>
                  <m:e>
                    <m:r>
                      <w:rPr>
                        <w:rFonts w:ascii="Cambria Math" w:eastAsia="Times New Roman" w:hAnsi="Cambria Math"/>
                      </w:rPr>
                      <m:t>e</m:t>
                    </m:r>
                  </m:e>
                  <m:sub>
                    <m:r>
                      <w:rPr>
                        <w:rFonts w:ascii="Cambria Math" w:eastAsia="Times New Roman" w:hAnsi="Cambria Math"/>
                      </w:rPr>
                      <m:t>3</m:t>
                    </m:r>
                  </m:sub>
                </m:sSub>
                <m:sSub>
                  <m:sSubPr>
                    <m:ctrlPr>
                      <w:rPr>
                        <w:rFonts w:ascii="Cambria Math" w:eastAsia="Times New Roman" w:hAnsi="Cambria Math"/>
                        <w:i/>
                      </w:rPr>
                    </m:ctrlPr>
                  </m:sSubPr>
                  <m:e>
                    <m:r>
                      <w:rPr>
                        <w:rFonts w:ascii="Cambria Math" w:eastAsia="Times New Roman" w:hAnsi="Cambria Math"/>
                      </w:rPr>
                      <m:t>A</m:t>
                    </m:r>
                  </m:e>
                  <m:sub>
                    <m:r>
                      <w:rPr>
                        <w:rFonts w:ascii="Cambria Math" w:eastAsia="Times New Roman" w:hAnsi="Cambria Math"/>
                      </w:rPr>
                      <m:t>3</m:t>
                    </m:r>
                  </m:sub>
                </m:sSub>
                <m:r>
                  <w:rPr>
                    <w:rFonts w:ascii="Cambria Math" w:eastAsia="Times New Roman" w:hAnsi="Cambria Math"/>
                  </w:rPr>
                  <m:t>)=5.669×</m:t>
                </m:r>
                <m:sSup>
                  <m:sSupPr>
                    <m:ctrlPr>
                      <w:rPr>
                        <w:rFonts w:ascii="Cambria Math" w:eastAsia="Times New Roman" w:hAnsi="Cambria Math"/>
                        <w:i/>
                      </w:rPr>
                    </m:ctrlPr>
                  </m:sSupPr>
                  <m:e>
                    <m:r>
                      <w:rPr>
                        <w:rFonts w:ascii="Cambria Math" w:eastAsia="Times New Roman" w:hAnsi="Cambria Math"/>
                      </w:rPr>
                      <m:t>10</m:t>
                    </m:r>
                  </m:e>
                  <m:sup>
                    <m:r>
                      <w:rPr>
                        <w:rFonts w:ascii="Cambria Math" w:eastAsia="Times New Roman" w:hAnsi="Cambria Math"/>
                      </w:rPr>
                      <m:t>-8</m:t>
                    </m:r>
                  </m:sup>
                </m:sSup>
                <m:f>
                  <m:fPr>
                    <m:ctrlPr>
                      <w:rPr>
                        <w:rFonts w:ascii="Cambria Math" w:eastAsia="Times New Roman" w:hAnsi="Cambria Math"/>
                        <w:i/>
                      </w:rPr>
                    </m:ctrlPr>
                  </m:fPr>
                  <m:num>
                    <m:r>
                      <m:rPr>
                        <m:sty m:val="p"/>
                      </m:rPr>
                      <w:rPr>
                        <w:rFonts w:ascii="Cambria Math" w:eastAsia="Times New Roman" w:hAnsi="Cambria Math"/>
                      </w:rPr>
                      <m:t>W</m:t>
                    </m:r>
                  </m:num>
                  <m:den>
                    <m:sSup>
                      <m:sSupPr>
                        <m:ctrlPr>
                          <w:rPr>
                            <w:rFonts w:ascii="Cambria Math" w:eastAsia="Times New Roman" w:hAnsi="Cambria Math"/>
                            <w:i/>
                          </w:rPr>
                        </m:ctrlPr>
                      </m:sSupPr>
                      <m:e>
                        <m:r>
                          <m:rPr>
                            <m:sty m:val="p"/>
                          </m:rPr>
                          <w:rPr>
                            <w:rFonts w:ascii="Cambria Math" w:eastAsia="Times New Roman" w:hAnsi="Cambria Math"/>
                          </w:rPr>
                          <m:t>m</m:t>
                        </m:r>
                      </m:e>
                      <m:sup>
                        <m:r>
                          <w:rPr>
                            <w:rFonts w:ascii="Cambria Math" w:eastAsia="Times New Roman" w:hAnsi="Cambria Math"/>
                          </w:rPr>
                          <m:t>2</m:t>
                        </m:r>
                      </m:sup>
                    </m:sSup>
                    <m:sSup>
                      <m:sSupPr>
                        <m:ctrlPr>
                          <w:rPr>
                            <w:rFonts w:ascii="Cambria Math" w:eastAsia="Times New Roman" w:hAnsi="Cambria Math"/>
                            <w:i/>
                          </w:rPr>
                        </m:ctrlPr>
                      </m:sSupPr>
                      <m:e>
                        <m:r>
                          <m:rPr>
                            <m:sty m:val="p"/>
                          </m:rPr>
                          <w:rPr>
                            <w:rFonts w:ascii="Cambria Math" w:eastAsia="Times New Roman" w:hAnsi="Cambria Math"/>
                          </w:rPr>
                          <m:t>K</m:t>
                        </m:r>
                      </m:e>
                      <m:sup>
                        <m:r>
                          <w:rPr>
                            <w:rFonts w:ascii="Cambria Math" w:eastAsia="Times New Roman" w:hAnsi="Cambria Math"/>
                          </w:rPr>
                          <m:t>4</m:t>
                        </m:r>
                      </m:sup>
                    </m:sSup>
                  </m:den>
                </m:f>
                <m:r>
                  <w:rPr>
                    <w:rFonts w:ascii="Cambria Math" w:eastAsia="Times New Roman" w:hAnsi="Cambria Math"/>
                  </w:rPr>
                  <m:t>×</m:t>
                </m:r>
                <m:sSup>
                  <m:sSupPr>
                    <m:ctrlPr>
                      <w:rPr>
                        <w:rFonts w:ascii="Cambria Math" w:eastAsia="Times New Roman" w:hAnsi="Cambria Math"/>
                        <w:i/>
                      </w:rPr>
                    </m:ctrlPr>
                  </m:sSupPr>
                  <m:e>
                    <m:r>
                      <w:rPr>
                        <w:rFonts w:ascii="Cambria Math" w:eastAsia="Times New Roman" w:hAnsi="Cambria Math"/>
                      </w:rPr>
                      <m:t xml:space="preserve">1689 </m:t>
                    </m:r>
                    <m:r>
                      <m:rPr>
                        <m:sty m:val="p"/>
                      </m:rPr>
                      <w:rPr>
                        <w:rFonts w:ascii="Cambria Math" w:eastAsia="Times New Roman" w:hAnsi="Cambria Math"/>
                      </w:rPr>
                      <m:t>K</m:t>
                    </m:r>
                  </m:e>
                  <m:sup>
                    <m:r>
                      <w:rPr>
                        <w:rFonts w:ascii="Cambria Math" w:eastAsia="Times New Roman" w:hAnsi="Cambria Math"/>
                      </w:rPr>
                      <m:t>4</m:t>
                    </m:r>
                  </m:sup>
                </m:sSup>
                <m:r>
                  <w:rPr>
                    <w:rFonts w:ascii="Cambria Math" w:eastAsia="Times New Roman" w:hAnsi="Cambria Math"/>
                  </w:rPr>
                  <m:t>×</m:t>
                </m:r>
                <m:d>
                  <m:dPr>
                    <m:ctrlPr>
                      <w:rPr>
                        <w:rFonts w:ascii="Cambria Math" w:eastAsia="Times New Roman" w:hAnsi="Cambria Math"/>
                        <w:i/>
                      </w:rPr>
                    </m:ctrlPr>
                  </m:dPr>
                  <m:e>
                    <m:r>
                      <w:rPr>
                        <w:rFonts w:ascii="Cambria Math" w:eastAsia="Times New Roman" w:hAnsi="Cambria Math"/>
                      </w:rPr>
                      <m:t xml:space="preserve">0.0404×0.7×0.0275 </m:t>
                    </m:r>
                    <m:sSup>
                      <m:sSupPr>
                        <m:ctrlPr>
                          <w:rPr>
                            <w:rFonts w:ascii="Cambria Math" w:eastAsia="Times New Roman" w:hAnsi="Cambria Math"/>
                            <w:i/>
                          </w:rPr>
                        </m:ctrlPr>
                      </m:sSupPr>
                      <m:e>
                        <m:r>
                          <m:rPr>
                            <m:sty m:val="p"/>
                          </m:rPr>
                          <w:rPr>
                            <w:rFonts w:ascii="Cambria Math" w:eastAsia="Times New Roman" w:hAnsi="Cambria Math"/>
                          </w:rPr>
                          <m:t>m</m:t>
                        </m:r>
                      </m:e>
                      <m:sup>
                        <m:r>
                          <w:rPr>
                            <w:rFonts w:ascii="Cambria Math" w:eastAsia="Times New Roman" w:hAnsi="Cambria Math"/>
                          </w:rPr>
                          <m:t>2</m:t>
                        </m:r>
                      </m:sup>
                    </m:sSup>
                    <m:r>
                      <w:rPr>
                        <w:rFonts w:ascii="Cambria Math" w:eastAsia="Times New Roman" w:hAnsi="Cambria Math"/>
                      </w:rPr>
                      <m:t xml:space="preserve">+0.0257×0.8×0.0644 </m:t>
                    </m:r>
                    <m:sSup>
                      <m:sSupPr>
                        <m:ctrlPr>
                          <w:rPr>
                            <w:rFonts w:ascii="Cambria Math" w:eastAsia="Times New Roman" w:hAnsi="Cambria Math"/>
                            <w:i/>
                          </w:rPr>
                        </m:ctrlPr>
                      </m:sSupPr>
                      <m:e>
                        <m:r>
                          <m:rPr>
                            <m:sty m:val="p"/>
                          </m:rPr>
                          <w:rPr>
                            <w:rFonts w:ascii="Cambria Math" w:eastAsia="Times New Roman" w:hAnsi="Cambria Math"/>
                          </w:rPr>
                          <m:t>m</m:t>
                        </m:r>
                      </m:e>
                      <m:sup>
                        <m:r>
                          <w:rPr>
                            <w:rFonts w:ascii="Cambria Math" w:eastAsia="Times New Roman" w:hAnsi="Cambria Math"/>
                          </w:rPr>
                          <m:t>2</m:t>
                        </m:r>
                      </m:sup>
                    </m:sSup>
                  </m:e>
                </m:d>
                <m:r>
                  <w:rPr>
                    <w:rFonts w:ascii="Cambria Math" w:eastAsia="Times New Roman" w:hAnsi="Cambria Math"/>
                  </w:rPr>
                  <m:t xml:space="preserve">=971 </m:t>
                </m:r>
                <m:r>
                  <m:rPr>
                    <m:sty m:val="p"/>
                  </m:rPr>
                  <w:rPr>
                    <w:rFonts w:ascii="Cambria Math" w:eastAsia="Times New Roman" w:hAnsi="Cambria Math"/>
                  </w:rPr>
                  <m:t>W</m:t>
                </m:r>
              </m:oMath>
            </m:oMathPara>
          </w:p>
        </w:tc>
        <w:tc>
          <w:tcPr>
            <w:tcW w:w="1503" w:type="dxa"/>
            <w:shd w:val="clear" w:color="auto" w:fill="auto"/>
          </w:tcPr>
          <w:p w14:paraId="181D3685" w14:textId="77777777" w:rsidR="002B759B" w:rsidRPr="00396E77" w:rsidRDefault="002B759B" w:rsidP="00EA4BBA">
            <w:pPr>
              <w:spacing w:after="0"/>
              <w:ind w:firstLine="0"/>
              <w:jc w:val="center"/>
            </w:pPr>
            <w:bookmarkStart w:id="200" w:name="_Ref444096256"/>
            <w:r w:rsidRPr="00396E77">
              <w:t xml:space="preserve">Equation </w:t>
            </w:r>
            <w:r w:rsidR="00A47317">
              <w:fldChar w:fldCharType="begin"/>
            </w:r>
            <w:r w:rsidR="00A47317">
              <w:instrText xml:space="preserve"> SEQ Equation \* ARABIC </w:instrText>
            </w:r>
            <w:r w:rsidR="00A47317">
              <w:fldChar w:fldCharType="separate"/>
            </w:r>
            <w:r w:rsidR="00820EB1">
              <w:rPr>
                <w:noProof/>
              </w:rPr>
              <w:t>14</w:t>
            </w:r>
            <w:r w:rsidR="00A47317">
              <w:rPr>
                <w:noProof/>
              </w:rPr>
              <w:fldChar w:fldCharType="end"/>
            </w:r>
            <w:bookmarkEnd w:id="200"/>
          </w:p>
        </w:tc>
      </w:tr>
    </w:tbl>
    <w:p w14:paraId="19DE27B8" w14:textId="4605C8E9" w:rsidR="002B759B" w:rsidRPr="00396E77" w:rsidRDefault="00A47317" w:rsidP="00EA4BBA">
      <w:pPr>
        <w:rPr>
          <w:rFonts w:eastAsia="Times New Roman"/>
        </w:rPr>
      </w:pPr>
      <m:oMath>
        <m:sSub>
          <m:sSubPr>
            <m:ctrlPr>
              <w:rPr>
                <w:rFonts w:ascii="Cambria Math" w:hAnsi="Cambria Math"/>
              </w:rPr>
            </m:ctrlPr>
          </m:sSubPr>
          <m:e>
            <m:r>
              <w:rPr>
                <w:rFonts w:ascii="Cambria Math" w:hAnsi="Cambria Math"/>
              </w:rPr>
              <m:t>Q</m:t>
            </m:r>
          </m:e>
          <m:sub>
            <m:r>
              <w:rPr>
                <w:rFonts w:ascii="Cambria Math" w:hAnsi="Cambria Math"/>
              </w:rPr>
              <m:t>re</m:t>
            </m:r>
            <m:r>
              <m:rPr>
                <m:sty m:val="p"/>
              </m:rPr>
              <w:rPr>
                <w:rFonts w:ascii="Cambria Math" w:hAnsi="Cambria Math"/>
              </w:rPr>
              <m:t>-</m:t>
            </m:r>
            <m:r>
              <w:rPr>
                <w:rFonts w:ascii="Cambria Math" w:hAnsi="Cambria Math"/>
              </w:rPr>
              <m:t>rad</m:t>
            </m:r>
            <m:r>
              <m:rPr>
                <m:sty m:val="p"/>
              </m:rPr>
              <w:rPr>
                <w:rFonts w:ascii="Cambria Math" w:hAnsi="Cambria Math"/>
              </w:rPr>
              <m:t xml:space="preserve"> </m:t>
            </m:r>
            <m:r>
              <w:rPr>
                <w:rFonts w:ascii="Cambria Math" w:hAnsi="Cambria Math"/>
              </w:rPr>
              <m:t>trans</m:t>
            </m:r>
            <m:r>
              <m:rPr>
                <m:sty m:val="p"/>
              </m:rPr>
              <w:rPr>
                <w:rFonts w:ascii="Cambria Math" w:hAnsi="Cambria Math"/>
              </w:rPr>
              <m:t xml:space="preserve"> </m:t>
            </m:r>
          </m:sub>
        </m:sSub>
      </m:oMath>
      <w:r w:rsidR="002B759B" w:rsidRPr="00396E77">
        <w:rPr>
          <w:rFonts w:eastAsia="Times New Roman"/>
        </w:rPr>
        <w:t xml:space="preserve"> is the radiatio</w:t>
      </w:r>
      <w:r w:rsidR="000C437B">
        <w:rPr>
          <w:rFonts w:eastAsia="Times New Roman"/>
        </w:rPr>
        <w:t>n from the beam which is not ab</w:t>
      </w:r>
      <w:r w:rsidR="002B759B" w:rsidRPr="00396E77">
        <w:rPr>
          <w:rFonts w:eastAsia="Times New Roman"/>
        </w:rPr>
        <w:t>sorbed by the glass and containing surface but rather is transmitted and reflected before escaping back out through the beam inlet aperture.</w:t>
      </w:r>
      <m:oMath>
        <m:r>
          <m:rPr>
            <m:sty m:val="p"/>
          </m:rPr>
          <w:rPr>
            <w:rFonts w:ascii="Cambria Math" w:hAnsi="Cambria Math"/>
          </w:rPr>
          <m:t xml:space="preserve"> </m:t>
        </m:r>
        <m:sSub>
          <m:sSubPr>
            <m:ctrlPr>
              <w:rPr>
                <w:rFonts w:ascii="Cambria Math" w:hAnsi="Cambria Math"/>
              </w:rPr>
            </m:ctrlPr>
          </m:sSubPr>
          <m:e>
            <m:r>
              <w:rPr>
                <w:rFonts w:ascii="Cambria Math" w:hAnsi="Cambria Math"/>
              </w:rPr>
              <m:t>Q</m:t>
            </m:r>
          </m:e>
          <m:sub>
            <m:r>
              <w:rPr>
                <w:rFonts w:ascii="Cambria Math" w:hAnsi="Cambria Math"/>
              </w:rPr>
              <m:t>re</m:t>
            </m:r>
            <m:r>
              <m:rPr>
                <m:sty m:val="p"/>
              </m:rPr>
              <w:rPr>
                <w:rFonts w:ascii="Cambria Math" w:hAnsi="Cambria Math"/>
              </w:rPr>
              <m:t>-</m:t>
            </m:r>
            <m:r>
              <w:rPr>
                <w:rFonts w:ascii="Cambria Math" w:hAnsi="Cambria Math"/>
              </w:rPr>
              <m:t>rad</m:t>
            </m:r>
            <m:r>
              <m:rPr>
                <m:sty m:val="p"/>
              </m:rPr>
              <w:rPr>
                <w:rFonts w:ascii="Cambria Math" w:hAnsi="Cambria Math"/>
              </w:rPr>
              <m:t xml:space="preserve"> </m:t>
            </m:r>
            <m:r>
              <w:rPr>
                <w:rFonts w:ascii="Cambria Math" w:hAnsi="Cambria Math"/>
              </w:rPr>
              <m:t>trans</m:t>
            </m:r>
            <m:r>
              <m:rPr>
                <m:sty m:val="p"/>
              </m:rPr>
              <w:rPr>
                <w:rFonts w:ascii="Cambria Math" w:hAnsi="Cambria Math"/>
              </w:rPr>
              <m:t xml:space="preserve"> </m:t>
            </m:r>
          </m:sub>
        </m:sSub>
      </m:oMath>
      <w:r w:rsidR="002B759B" w:rsidRPr="00396E77">
        <w:rPr>
          <w:rFonts w:eastAsia="Times New Roman"/>
        </w:rPr>
        <w:t>is found by application of the law of the conservation of energy with respect to the the all the other main heat flows related to the control volume as follows:</w:t>
      </w:r>
    </w:p>
    <w:tbl>
      <w:tblPr>
        <w:tblW w:w="0" w:type="auto"/>
        <w:tblInd w:w="284" w:type="dxa"/>
        <w:tblLook w:val="04A0" w:firstRow="1" w:lastRow="0" w:firstColumn="1" w:lastColumn="0" w:noHBand="0" w:noVBand="1"/>
      </w:tblPr>
      <w:tblGrid>
        <w:gridCol w:w="6762"/>
        <w:gridCol w:w="1458"/>
      </w:tblGrid>
      <w:tr w:rsidR="002B759B" w:rsidRPr="00396E77" w14:paraId="7AA4BFFA" w14:textId="77777777" w:rsidTr="006D40DA">
        <w:trPr>
          <w:trHeight w:val="261"/>
        </w:trPr>
        <w:tc>
          <w:tcPr>
            <w:tcW w:w="6762" w:type="dxa"/>
            <w:shd w:val="clear" w:color="auto" w:fill="auto"/>
            <w:vAlign w:val="center"/>
          </w:tcPr>
          <w:p w14:paraId="7AA68360" w14:textId="5658EEA7" w:rsidR="002B759B" w:rsidRPr="008C3622" w:rsidRDefault="00A47317" w:rsidP="00207CB0">
            <w:pPr>
              <w:spacing w:after="0"/>
              <w:ind w:firstLine="0"/>
              <w:jc w:val="center"/>
              <w:rPr>
                <w:i/>
              </w:rPr>
            </w:pPr>
            <m:oMathPara>
              <m:oMath>
                <m:sSub>
                  <m:sSubPr>
                    <m:ctrlPr>
                      <w:rPr>
                        <w:rFonts w:ascii="Cambria Math" w:hAnsi="Cambria Math"/>
                        <w:i/>
                      </w:rPr>
                    </m:ctrlPr>
                  </m:sSubPr>
                  <m:e>
                    <m:r>
                      <w:rPr>
                        <w:rFonts w:ascii="Cambria Math" w:hAnsi="Cambria Math"/>
                      </w:rPr>
                      <m:t>Q</m:t>
                    </m:r>
                  </m:e>
                  <m:sub>
                    <m:r>
                      <w:rPr>
                        <w:rFonts w:ascii="Cambria Math" w:hAnsi="Cambria Math"/>
                        <w:vertAlign w:val="subscript"/>
                      </w:rPr>
                      <m:t>re-rad trans</m:t>
                    </m:r>
                  </m:sub>
                </m:sSub>
                <m:r>
                  <w:rPr>
                    <w:rFonts w:ascii="Cambria Math" w:hAnsi="Cambria Math"/>
                  </w:rPr>
                  <m:t>=</m:t>
                </m:r>
                <m:sSub>
                  <m:sSubPr>
                    <m:ctrlPr>
                      <w:rPr>
                        <w:rFonts w:ascii="Cambria Math" w:hAnsi="Cambria Math"/>
                        <w:i/>
                      </w:rPr>
                    </m:ctrlPr>
                  </m:sSubPr>
                  <m:e>
                    <m:r>
                      <w:rPr>
                        <w:rFonts w:ascii="Cambria Math" w:hAnsi="Cambria Math"/>
                      </w:rPr>
                      <m:t xml:space="preserve">Q </m:t>
                    </m:r>
                  </m:e>
                  <m:sub>
                    <m:r>
                      <w:rPr>
                        <w:rFonts w:ascii="Cambria Math" w:hAnsi="Cambria Math"/>
                        <w:vertAlign w:val="subscript"/>
                      </w:rPr>
                      <m:t>solar in</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vertAlign w:val="subscript"/>
                          </w:rPr>
                          <m:t>melting</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vertAlign w:val="subscript"/>
                          </w:rPr>
                          <m:t>conduction</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vertAlign w:val="subscript"/>
                          </w:rPr>
                          <m:t>re-rad em</m:t>
                        </m:r>
                      </m:sub>
                    </m:sSub>
                  </m:e>
                </m:d>
                <m:r>
                  <w:rPr>
                    <w:rFonts w:ascii="Cambria Math" w:hAnsi="Cambria Math"/>
                  </w:rPr>
                  <m:t xml:space="preserve">=5264 </m:t>
                </m:r>
                <m:r>
                  <m:rPr>
                    <m:sty m:val="p"/>
                  </m:rPr>
                  <w:rPr>
                    <w:rFonts w:ascii="Cambria Math" w:hAnsi="Cambria Math"/>
                  </w:rPr>
                  <m:t>W</m:t>
                </m:r>
                <m:r>
                  <w:rPr>
                    <w:rFonts w:ascii="Cambria Math" w:hAnsi="Cambria Math"/>
                  </w:rPr>
                  <m:t>-</m:t>
                </m:r>
                <m:d>
                  <m:dPr>
                    <m:ctrlPr>
                      <w:rPr>
                        <w:rFonts w:ascii="Cambria Math" w:hAnsi="Cambria Math"/>
                        <w:i/>
                      </w:rPr>
                    </m:ctrlPr>
                  </m:dPr>
                  <m:e>
                    <m:r>
                      <w:rPr>
                        <w:rFonts w:ascii="Cambria Math" w:hAnsi="Cambria Math"/>
                      </w:rPr>
                      <m:t xml:space="preserve">828 </m:t>
                    </m:r>
                    <m:r>
                      <m:rPr>
                        <m:sty m:val="p"/>
                      </m:rPr>
                      <w:rPr>
                        <w:rFonts w:ascii="Cambria Math" w:hAnsi="Cambria Math"/>
                      </w:rPr>
                      <m:t>W</m:t>
                    </m:r>
                    <m:r>
                      <w:rPr>
                        <w:rFonts w:ascii="Cambria Math" w:hAnsi="Cambria Math"/>
                      </w:rPr>
                      <m:t xml:space="preserve">+1451 </m:t>
                    </m:r>
                    <m:r>
                      <m:rPr>
                        <m:sty m:val="p"/>
                      </m:rPr>
                      <w:rPr>
                        <w:rFonts w:ascii="Cambria Math" w:hAnsi="Cambria Math"/>
                      </w:rPr>
                      <m:t>W</m:t>
                    </m:r>
                    <m:r>
                      <w:rPr>
                        <w:rFonts w:ascii="Cambria Math" w:hAnsi="Cambria Math"/>
                      </w:rPr>
                      <m:t xml:space="preserve">+971 </m:t>
                    </m:r>
                    <m:r>
                      <m:rPr>
                        <m:sty m:val="p"/>
                      </m:rPr>
                      <w:rPr>
                        <w:rFonts w:ascii="Cambria Math" w:hAnsi="Cambria Math"/>
                      </w:rPr>
                      <m:t>W</m:t>
                    </m:r>
                  </m:e>
                </m:d>
                <m:r>
                  <w:rPr>
                    <w:rFonts w:ascii="Cambria Math" w:hAnsi="Cambria Math"/>
                  </w:rPr>
                  <m:t xml:space="preserve">=2014 </m:t>
                </m:r>
                <m:r>
                  <m:rPr>
                    <m:sty m:val="p"/>
                  </m:rPr>
                  <w:rPr>
                    <w:rFonts w:ascii="Cambria Math" w:hAnsi="Cambria Math"/>
                  </w:rPr>
                  <m:t>W</m:t>
                </m:r>
              </m:oMath>
            </m:oMathPara>
          </w:p>
        </w:tc>
        <w:tc>
          <w:tcPr>
            <w:tcW w:w="1458" w:type="dxa"/>
            <w:shd w:val="clear" w:color="auto" w:fill="auto"/>
          </w:tcPr>
          <w:p w14:paraId="610AE94B" w14:textId="68D4E3F9" w:rsidR="002B759B" w:rsidRPr="00396E77" w:rsidRDefault="002B759B" w:rsidP="00EA4BBA">
            <w:pPr>
              <w:spacing w:after="0"/>
              <w:ind w:firstLine="0"/>
              <w:jc w:val="right"/>
            </w:pPr>
            <w:r w:rsidRPr="00396E77">
              <w:t xml:space="preserve">Equation </w:t>
            </w:r>
            <w:r w:rsidR="00A47317">
              <w:fldChar w:fldCharType="begin"/>
            </w:r>
            <w:r w:rsidR="00A47317">
              <w:instrText xml:space="preserve"> SEQ Equation \* ARABIC </w:instrText>
            </w:r>
            <w:r w:rsidR="00A47317">
              <w:fldChar w:fldCharType="separate"/>
            </w:r>
            <w:r w:rsidR="00820EB1">
              <w:rPr>
                <w:noProof/>
              </w:rPr>
              <w:t>15</w:t>
            </w:r>
            <w:r w:rsidR="00A47317">
              <w:rPr>
                <w:noProof/>
              </w:rPr>
              <w:fldChar w:fldCharType="end"/>
            </w:r>
          </w:p>
        </w:tc>
      </w:tr>
    </w:tbl>
    <w:p w14:paraId="7A7A699D" w14:textId="2CC84E6B" w:rsidR="006D40DA" w:rsidRDefault="00207CB0" w:rsidP="00F52EC2">
      <w:pPr>
        <w:pStyle w:val="Title"/>
        <w:rPr>
          <w:rFonts w:eastAsia="Times New Roman"/>
        </w:rPr>
      </w:pPr>
      <w:bookmarkStart w:id="201" w:name="_Ref444096117"/>
      <w:r>
        <w:drawing>
          <wp:inline distT="0" distB="0" distL="0" distR="0" wp14:anchorId="4A6F8D31" wp14:editId="384757E4">
            <wp:extent cx="3230688" cy="3252100"/>
            <wp:effectExtent l="0" t="0" r="825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8992" t="28729" r="28329" b="12759"/>
                    <a:stretch/>
                  </pic:blipFill>
                  <pic:spPr bwMode="auto">
                    <a:xfrm>
                      <a:off x="0" y="0"/>
                      <a:ext cx="3245088" cy="3266595"/>
                    </a:xfrm>
                    <a:prstGeom prst="rect">
                      <a:avLst/>
                    </a:prstGeom>
                    <a:ln>
                      <a:noFill/>
                    </a:ln>
                    <a:extLst>
                      <a:ext uri="{53640926-AAD7-44D8-BBD7-CCE9431645EC}">
                        <a14:shadowObscured xmlns:a14="http://schemas.microsoft.com/office/drawing/2010/main"/>
                      </a:ext>
                    </a:extLst>
                  </pic:spPr>
                </pic:pic>
              </a:graphicData>
            </a:graphic>
          </wp:inline>
        </w:drawing>
      </w:r>
    </w:p>
    <w:p w14:paraId="68BFFA9C" w14:textId="77777777" w:rsidR="002B759B" w:rsidRDefault="002B759B" w:rsidP="00EA4BBA">
      <w:pPr>
        <w:pStyle w:val="Caption"/>
      </w:pPr>
      <w:bookmarkStart w:id="202" w:name="_Ref444168492"/>
      <w:r>
        <w:t xml:space="preserve">Figure </w:t>
      </w:r>
      <w:r w:rsidR="00A47317">
        <w:fldChar w:fldCharType="begin"/>
      </w:r>
      <w:r w:rsidR="00A47317">
        <w:instrText xml:space="preserve"> SEQ Figure \* ARABIC </w:instrText>
      </w:r>
      <w:r w:rsidR="00A47317">
        <w:fldChar w:fldCharType="separate"/>
      </w:r>
      <w:r w:rsidR="00820EB1">
        <w:rPr>
          <w:noProof/>
        </w:rPr>
        <w:t>101</w:t>
      </w:r>
      <w:r w:rsidR="00A47317">
        <w:rPr>
          <w:noProof/>
        </w:rPr>
        <w:fldChar w:fldCharType="end"/>
      </w:r>
      <w:bookmarkEnd w:id="202"/>
      <w:r>
        <w:t>: Utilisation of total power input (Q</w:t>
      </w:r>
      <w:r>
        <w:rPr>
          <w:vertAlign w:val="subscript"/>
        </w:rPr>
        <w:t>solar in</w:t>
      </w:r>
      <w:r>
        <w:t xml:space="preserve"> = 5264 W) according to heat flows analysed.</w:t>
      </w:r>
      <w:bookmarkEnd w:id="2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1586"/>
        <w:gridCol w:w="1645"/>
        <w:gridCol w:w="2825"/>
      </w:tblGrid>
      <w:tr w:rsidR="002B759B" w:rsidRPr="00396E77" w14:paraId="207A0B07" w14:textId="77777777" w:rsidTr="00EA4BBA">
        <w:trPr>
          <w:jc w:val="center"/>
        </w:trPr>
        <w:tc>
          <w:tcPr>
            <w:tcW w:w="2634" w:type="dxa"/>
            <w:shd w:val="clear" w:color="auto" w:fill="auto"/>
          </w:tcPr>
          <w:p w14:paraId="27FE2251" w14:textId="77777777" w:rsidR="002B759B" w:rsidRPr="0010688F" w:rsidRDefault="002B759B">
            <w:pPr>
              <w:pStyle w:val="Subtitle"/>
            </w:pPr>
            <w:r>
              <w:t>Parameter</w:t>
            </w:r>
          </w:p>
        </w:tc>
        <w:tc>
          <w:tcPr>
            <w:tcW w:w="1586" w:type="dxa"/>
            <w:shd w:val="clear" w:color="auto" w:fill="auto"/>
          </w:tcPr>
          <w:p w14:paraId="5B7749A0" w14:textId="77777777" w:rsidR="002B759B" w:rsidRPr="0010688F" w:rsidRDefault="002B759B">
            <w:pPr>
              <w:pStyle w:val="Subtitle"/>
            </w:pPr>
            <w:r>
              <w:t>Symbol</w:t>
            </w:r>
          </w:p>
        </w:tc>
        <w:tc>
          <w:tcPr>
            <w:tcW w:w="1740" w:type="dxa"/>
            <w:shd w:val="clear" w:color="auto" w:fill="auto"/>
          </w:tcPr>
          <w:p w14:paraId="0A5074EA" w14:textId="77777777" w:rsidR="002B759B" w:rsidRDefault="002B759B">
            <w:pPr>
              <w:pStyle w:val="Subtitle"/>
            </w:pPr>
            <w:r>
              <w:t>Value</w:t>
            </w:r>
          </w:p>
        </w:tc>
        <w:tc>
          <w:tcPr>
            <w:tcW w:w="3056" w:type="dxa"/>
            <w:shd w:val="clear" w:color="auto" w:fill="auto"/>
          </w:tcPr>
          <w:p w14:paraId="4BA1FD2A" w14:textId="77777777" w:rsidR="002B759B" w:rsidRDefault="002B759B">
            <w:pPr>
              <w:pStyle w:val="Subtitle"/>
            </w:pPr>
            <w:r>
              <w:t>Source</w:t>
            </w:r>
          </w:p>
        </w:tc>
      </w:tr>
      <w:tr w:rsidR="002B759B" w:rsidRPr="00396E77" w14:paraId="6652A6FC" w14:textId="77777777" w:rsidTr="00EA4BBA">
        <w:trPr>
          <w:jc w:val="center"/>
        </w:trPr>
        <w:tc>
          <w:tcPr>
            <w:tcW w:w="2634" w:type="dxa"/>
            <w:shd w:val="clear" w:color="auto" w:fill="auto"/>
          </w:tcPr>
          <w:p w14:paraId="0505CC0F" w14:textId="77777777" w:rsidR="002B759B" w:rsidRDefault="002B759B">
            <w:pPr>
              <w:pStyle w:val="Subtitle"/>
            </w:pPr>
            <w:r>
              <w:t>Radiative beam power entering control volume</w:t>
            </w:r>
          </w:p>
        </w:tc>
        <w:tc>
          <w:tcPr>
            <w:tcW w:w="1586" w:type="dxa"/>
            <w:shd w:val="clear" w:color="auto" w:fill="auto"/>
          </w:tcPr>
          <w:p w14:paraId="4A721DFC" w14:textId="77777777" w:rsidR="002B759B" w:rsidRPr="008C3622" w:rsidRDefault="00A47317">
            <w:pPr>
              <w:pStyle w:val="Subtitle"/>
            </w:pPr>
            <m:oMathPara>
              <m:oMath>
                <m:sSub>
                  <m:sSubPr>
                    <m:ctrlPr>
                      <w:rPr>
                        <w:rFonts w:ascii="Cambria Math" w:hAnsi="Cambria Math"/>
                        <w:i/>
                      </w:rPr>
                    </m:ctrlPr>
                  </m:sSubPr>
                  <m:e>
                    <m:r>
                      <w:rPr>
                        <w:rFonts w:ascii="Cambria Math" w:hAnsi="Cambria Math"/>
                      </w:rPr>
                      <m:t xml:space="preserve">Q </m:t>
                    </m:r>
                  </m:e>
                  <m:sub>
                    <m:r>
                      <w:rPr>
                        <w:rFonts w:ascii="Cambria Math" w:hAnsi="Cambria Math"/>
                        <w:vertAlign w:val="subscript"/>
                      </w:rPr>
                      <m:t>solar in</m:t>
                    </m:r>
                  </m:sub>
                </m:sSub>
              </m:oMath>
            </m:oMathPara>
          </w:p>
        </w:tc>
        <w:tc>
          <w:tcPr>
            <w:tcW w:w="1740" w:type="dxa"/>
            <w:shd w:val="clear" w:color="auto" w:fill="auto"/>
          </w:tcPr>
          <w:p w14:paraId="16F531C7" w14:textId="77777777" w:rsidR="002B759B" w:rsidRDefault="002B759B">
            <w:pPr>
              <w:pStyle w:val="Subtitle"/>
            </w:pPr>
            <w:r w:rsidRPr="00676091">
              <w:t>5264</w:t>
            </w:r>
            <w:r>
              <w:t xml:space="preserve"> W</w:t>
            </w:r>
          </w:p>
        </w:tc>
        <w:tc>
          <w:tcPr>
            <w:tcW w:w="3056" w:type="dxa"/>
            <w:shd w:val="clear" w:color="auto" w:fill="auto"/>
          </w:tcPr>
          <w:p w14:paraId="578361FA" w14:textId="60423B4D" w:rsidR="002B759B" w:rsidRDefault="002B759B">
            <w:pPr>
              <w:pStyle w:val="Subtitle"/>
            </w:pPr>
            <w:r>
              <w:fldChar w:fldCharType="begin"/>
            </w:r>
            <w:r>
              <w:instrText xml:space="preserve"> REF _Ref443920664 \h </w:instrText>
            </w:r>
            <w:r w:rsidR="007F707B">
              <w:instrText xml:space="preserve"> \* MERGEFORMAT </w:instrText>
            </w:r>
            <w:r>
              <w:fldChar w:fldCharType="separate"/>
            </w:r>
            <w:r w:rsidR="00820EB1" w:rsidRPr="00676091">
              <w:t xml:space="preserve">Table </w:t>
            </w:r>
            <w:r w:rsidR="00820EB1">
              <w:rPr>
                <w:noProof/>
              </w:rPr>
              <w:t>4</w:t>
            </w:r>
            <w:r>
              <w:fldChar w:fldCharType="end"/>
            </w:r>
          </w:p>
        </w:tc>
      </w:tr>
      <w:tr w:rsidR="002B759B" w:rsidRPr="00396E77" w14:paraId="00B38CD8" w14:textId="77777777" w:rsidTr="00EA4BBA">
        <w:trPr>
          <w:jc w:val="center"/>
        </w:trPr>
        <w:tc>
          <w:tcPr>
            <w:tcW w:w="2634" w:type="dxa"/>
            <w:shd w:val="clear" w:color="auto" w:fill="auto"/>
          </w:tcPr>
          <w:p w14:paraId="0BDCF25C" w14:textId="77777777" w:rsidR="002B759B" w:rsidRPr="00826A08" w:rsidRDefault="002B759B">
            <w:pPr>
              <w:pStyle w:val="Subtitle"/>
            </w:pPr>
            <w:r w:rsidRPr="00826A08">
              <w:t>Total mass of batch fed over period analysed</w:t>
            </w:r>
          </w:p>
        </w:tc>
        <w:tc>
          <w:tcPr>
            <w:tcW w:w="1586" w:type="dxa"/>
            <w:shd w:val="clear" w:color="auto" w:fill="auto"/>
          </w:tcPr>
          <w:p w14:paraId="364A5A9C" w14:textId="77777777" w:rsidR="002B759B" w:rsidRPr="008C3622" w:rsidRDefault="00A47317">
            <w:pPr>
              <w:pStyle w:val="Subtitle"/>
            </w:pPr>
            <m:oMathPara>
              <m:oMath>
                <m:sSub>
                  <m:sSubPr>
                    <m:ctrlPr>
                      <w:rPr>
                        <w:rFonts w:ascii="Cambria Math" w:hAnsi="Cambria Math"/>
                        <w:i/>
                      </w:rPr>
                    </m:ctrlPr>
                  </m:sSubPr>
                  <m:e>
                    <m:r>
                      <w:rPr>
                        <w:rFonts w:ascii="Cambria Math" w:hAnsi="Cambria Math"/>
                      </w:rPr>
                      <m:t>m</m:t>
                    </m:r>
                  </m:e>
                  <m:sub>
                    <m:r>
                      <w:rPr>
                        <w:rFonts w:ascii="Cambria Math" w:hAnsi="Cambria Math"/>
                      </w:rPr>
                      <m:t>batch</m:t>
                    </m:r>
                  </m:sub>
                </m:sSub>
              </m:oMath>
            </m:oMathPara>
          </w:p>
        </w:tc>
        <w:tc>
          <w:tcPr>
            <w:tcW w:w="1740" w:type="dxa"/>
            <w:shd w:val="clear" w:color="auto" w:fill="auto"/>
          </w:tcPr>
          <w:p w14:paraId="5D82EC6F" w14:textId="448AFCAD" w:rsidR="002B759B" w:rsidRPr="008C3622" w:rsidRDefault="002B759B">
            <w:pPr>
              <w:pStyle w:val="Subtitle"/>
            </w:pPr>
            <m:oMathPara>
              <m:oMath>
                <m:r>
                  <w:rPr>
                    <w:rFonts w:ascii="Cambria Math" w:eastAsia="Times New Roman" w:hAnsi="Cambria Math"/>
                  </w:rPr>
                  <m:t xml:space="preserve">2415 </m:t>
                </m:r>
                <m:r>
                  <m:rPr>
                    <m:sty m:val="p"/>
                  </m:rPr>
                  <w:rPr>
                    <w:rFonts w:ascii="Cambria Math" w:eastAsia="Times New Roman" w:hAnsi="Cambria Math"/>
                  </w:rPr>
                  <m:t>g</m:t>
                </m:r>
              </m:oMath>
            </m:oMathPara>
          </w:p>
        </w:tc>
        <w:tc>
          <w:tcPr>
            <w:tcW w:w="3056" w:type="dxa"/>
            <w:shd w:val="clear" w:color="auto" w:fill="auto"/>
          </w:tcPr>
          <w:p w14:paraId="02B54F65" w14:textId="13DB5E1D" w:rsidR="002B759B" w:rsidRDefault="002B759B">
            <w:pPr>
              <w:pStyle w:val="Subtitle"/>
            </w:pPr>
            <w:r>
              <w:fldChar w:fldCharType="begin"/>
            </w:r>
            <w:r>
              <w:instrText xml:space="preserve"> REF _Ref443920664 \h </w:instrText>
            </w:r>
            <w:r w:rsidR="007F707B">
              <w:instrText xml:space="preserve"> \* MERGEFORMAT </w:instrText>
            </w:r>
            <w:r>
              <w:fldChar w:fldCharType="separate"/>
            </w:r>
            <w:r w:rsidR="00820EB1" w:rsidRPr="00676091">
              <w:t xml:space="preserve">Table </w:t>
            </w:r>
            <w:r w:rsidR="00820EB1">
              <w:rPr>
                <w:noProof/>
              </w:rPr>
              <w:t>4</w:t>
            </w:r>
            <w:r>
              <w:fldChar w:fldCharType="end"/>
            </w:r>
          </w:p>
        </w:tc>
      </w:tr>
      <w:tr w:rsidR="002B759B" w:rsidRPr="00396E77" w14:paraId="5588D621" w14:textId="77777777" w:rsidTr="00EA4BBA">
        <w:trPr>
          <w:jc w:val="center"/>
        </w:trPr>
        <w:tc>
          <w:tcPr>
            <w:tcW w:w="2634" w:type="dxa"/>
            <w:shd w:val="clear" w:color="auto" w:fill="auto"/>
          </w:tcPr>
          <w:p w14:paraId="032EE1F6" w14:textId="77777777" w:rsidR="002B759B" w:rsidRDefault="002B759B" w:rsidP="00F52EC2">
            <w:pPr>
              <w:pStyle w:val="Subtitle"/>
            </w:pPr>
            <w:r>
              <w:t>Total time period analysed</w:t>
            </w:r>
          </w:p>
        </w:tc>
        <w:tc>
          <w:tcPr>
            <w:tcW w:w="1586" w:type="dxa"/>
            <w:shd w:val="clear" w:color="auto" w:fill="auto"/>
          </w:tcPr>
          <w:p w14:paraId="389F5A47" w14:textId="77777777" w:rsidR="002B759B" w:rsidRPr="008C3622" w:rsidRDefault="00A47317">
            <w:pPr>
              <w:pStyle w:val="Subtitle"/>
            </w:pPr>
            <m:oMathPara>
              <m:oMath>
                <m:sSub>
                  <m:sSubPr>
                    <m:ctrlPr>
                      <w:rPr>
                        <w:rFonts w:ascii="Cambria Math" w:hAnsi="Cambria Math"/>
                        <w:i/>
                      </w:rPr>
                    </m:ctrlPr>
                  </m:sSubPr>
                  <m:e>
                    <m:r>
                      <w:rPr>
                        <w:rFonts w:ascii="Cambria Math" w:hAnsi="Cambria Math"/>
                      </w:rPr>
                      <m:t>t</m:t>
                    </m:r>
                  </m:e>
                  <m:sub>
                    <m:r>
                      <w:rPr>
                        <w:rFonts w:ascii="Cambria Math" w:hAnsi="Cambria Math"/>
                      </w:rPr>
                      <m:t>melting</m:t>
                    </m:r>
                  </m:sub>
                </m:sSub>
              </m:oMath>
            </m:oMathPara>
          </w:p>
        </w:tc>
        <w:tc>
          <w:tcPr>
            <w:tcW w:w="1740" w:type="dxa"/>
            <w:shd w:val="clear" w:color="auto" w:fill="auto"/>
          </w:tcPr>
          <w:p w14:paraId="54571A2F" w14:textId="77777777" w:rsidR="002B759B" w:rsidRPr="008C3622" w:rsidRDefault="002B759B">
            <w:pPr>
              <w:pStyle w:val="Subtitle"/>
            </w:pPr>
            <m:oMathPara>
              <m:oMath>
                <m:r>
                  <m:rPr>
                    <m:sty m:val="p"/>
                  </m:rPr>
                  <w:rPr>
                    <w:rFonts w:ascii="Cambria Math" w:hAnsi="Cambria Math"/>
                  </w:rPr>
                  <m:t>7685</m:t>
                </m:r>
                <m:r>
                  <m:rPr>
                    <m:sty m:val="p"/>
                  </m:rPr>
                  <w:rPr>
                    <w:rFonts w:ascii="Cambria Math"/>
                  </w:rPr>
                  <m:t xml:space="preserve"> s</m:t>
                </m:r>
              </m:oMath>
            </m:oMathPara>
          </w:p>
        </w:tc>
        <w:tc>
          <w:tcPr>
            <w:tcW w:w="3056" w:type="dxa"/>
            <w:shd w:val="clear" w:color="auto" w:fill="auto"/>
          </w:tcPr>
          <w:p w14:paraId="2C946F91" w14:textId="24AC7A25" w:rsidR="002B759B" w:rsidRDefault="002B759B">
            <w:pPr>
              <w:pStyle w:val="Subtitle"/>
            </w:pPr>
            <w:r>
              <w:fldChar w:fldCharType="begin"/>
            </w:r>
            <w:r>
              <w:instrText xml:space="preserve"> REF _Ref443920664 \h </w:instrText>
            </w:r>
            <w:r w:rsidR="007F707B">
              <w:instrText xml:space="preserve"> \* MERGEFORMAT </w:instrText>
            </w:r>
            <w:r>
              <w:fldChar w:fldCharType="separate"/>
            </w:r>
            <w:r w:rsidR="00820EB1" w:rsidRPr="00676091">
              <w:t xml:space="preserve">Table </w:t>
            </w:r>
            <w:r w:rsidR="00820EB1">
              <w:rPr>
                <w:noProof/>
              </w:rPr>
              <w:t>4</w:t>
            </w:r>
            <w:r>
              <w:fldChar w:fldCharType="end"/>
            </w:r>
          </w:p>
        </w:tc>
      </w:tr>
      <w:tr w:rsidR="002B759B" w:rsidRPr="00396E77" w14:paraId="4873E1C0" w14:textId="77777777" w:rsidTr="00EA4BBA">
        <w:trPr>
          <w:jc w:val="center"/>
        </w:trPr>
        <w:tc>
          <w:tcPr>
            <w:tcW w:w="2634" w:type="dxa"/>
            <w:shd w:val="clear" w:color="auto" w:fill="auto"/>
          </w:tcPr>
          <w:p w14:paraId="7D8BA2A0" w14:textId="77777777" w:rsidR="002B759B" w:rsidRDefault="002B759B">
            <w:pPr>
              <w:pStyle w:val="Subtitle"/>
            </w:pPr>
            <w:r>
              <w:t>Average temperature on inside surface crucible</w:t>
            </w:r>
          </w:p>
        </w:tc>
        <w:tc>
          <w:tcPr>
            <w:tcW w:w="1586" w:type="dxa"/>
            <w:shd w:val="clear" w:color="auto" w:fill="auto"/>
          </w:tcPr>
          <w:p w14:paraId="70EAD0E1" w14:textId="77777777" w:rsidR="002B759B" w:rsidRPr="00F52EC2" w:rsidRDefault="002B759B">
            <w:pPr>
              <w:pStyle w:val="Subtitle"/>
              <w:rPr>
                <w:i/>
                <w:vertAlign w:val="subscript"/>
              </w:rPr>
            </w:pPr>
            <w:r w:rsidRPr="00F52EC2">
              <w:rPr>
                <w:i/>
              </w:rPr>
              <w:t>T</w:t>
            </w:r>
            <w:r w:rsidRPr="00F52EC2">
              <w:rPr>
                <w:i/>
                <w:vertAlign w:val="subscript"/>
              </w:rPr>
              <w:t>inside crucible</w:t>
            </w:r>
          </w:p>
        </w:tc>
        <w:tc>
          <w:tcPr>
            <w:tcW w:w="1740" w:type="dxa"/>
            <w:shd w:val="clear" w:color="auto" w:fill="auto"/>
          </w:tcPr>
          <w:p w14:paraId="7B5C3235" w14:textId="77777777" w:rsidR="002B759B" w:rsidRPr="009A4551" w:rsidRDefault="002B759B">
            <w:pPr>
              <w:pStyle w:val="Subtitle"/>
            </w:pPr>
            <w:r>
              <w:t xml:space="preserve">1416 </w:t>
            </w:r>
            <w:r w:rsidRPr="00396E77">
              <w:rPr>
                <w:vertAlign w:val="superscript"/>
              </w:rPr>
              <w:t>o</w:t>
            </w:r>
            <w:r>
              <w:t>C=1689 K</w:t>
            </w:r>
          </w:p>
        </w:tc>
        <w:tc>
          <w:tcPr>
            <w:tcW w:w="3056" w:type="dxa"/>
            <w:shd w:val="clear" w:color="auto" w:fill="auto"/>
          </w:tcPr>
          <w:p w14:paraId="744A35E0" w14:textId="07D6A1DB" w:rsidR="00820EB1" w:rsidRDefault="002B759B" w:rsidP="00F52EC2">
            <w:pPr>
              <w:pStyle w:val="Subtitle"/>
            </w:pPr>
            <w:r>
              <w:t>Thermocouple measurement</w:t>
            </w:r>
            <w:r w:rsidR="007F707B">
              <w:t xml:space="preserve"> </w:t>
            </w:r>
            <w:r>
              <w:t>(</w:t>
            </w:r>
            <w:r w:rsidRPr="00F52EC2">
              <w:rPr>
                <w:i/>
              </w:rPr>
              <w:t>T</w:t>
            </w:r>
            <w:r w:rsidRPr="00F52EC2">
              <w:rPr>
                <w:i/>
                <w:vertAlign w:val="subscript"/>
              </w:rPr>
              <w:t>glass</w:t>
            </w:r>
            <w:r w:rsidRPr="00F52EC2">
              <w:t xml:space="preserve"> </w:t>
            </w:r>
            <w:r>
              <w:t xml:space="preserve">, </w:t>
            </w:r>
            <w:r>
              <w:fldChar w:fldCharType="begin"/>
            </w:r>
            <w:r>
              <w:instrText xml:space="preserve"> REF _Ref443754544 \h </w:instrText>
            </w:r>
            <w:r w:rsidR="007F707B">
              <w:instrText xml:space="preserve"> \* MERGEFORMAT </w:instrText>
            </w:r>
            <w:r>
              <w:fldChar w:fldCharType="separate"/>
            </w:r>
          </w:p>
          <w:p w14:paraId="1AFF1FCE" w14:textId="76C84FAC" w:rsidR="002B759B" w:rsidRPr="009A4551" w:rsidRDefault="00820EB1">
            <w:pPr>
              <w:pStyle w:val="Subtitle"/>
            </w:pPr>
            <w:r>
              <w:t>Figure</w:t>
            </w:r>
            <w:r>
              <w:rPr>
                <w:noProof/>
              </w:rPr>
              <w:t xml:space="preserve"> </w:t>
            </w:r>
            <w:r>
              <w:t>99</w:t>
            </w:r>
            <w:r w:rsidR="002B759B">
              <w:fldChar w:fldCharType="end"/>
            </w:r>
            <w:r w:rsidR="002B759B">
              <w:t>a)</w:t>
            </w:r>
          </w:p>
        </w:tc>
      </w:tr>
      <w:tr w:rsidR="002B759B" w:rsidRPr="00396E77" w14:paraId="3FF4525A" w14:textId="77777777" w:rsidTr="00EA4BBA">
        <w:trPr>
          <w:jc w:val="center"/>
        </w:trPr>
        <w:tc>
          <w:tcPr>
            <w:tcW w:w="2634" w:type="dxa"/>
            <w:shd w:val="clear" w:color="auto" w:fill="auto"/>
          </w:tcPr>
          <w:p w14:paraId="20A85A45" w14:textId="77777777" w:rsidR="002B759B" w:rsidRDefault="002B759B">
            <w:pPr>
              <w:pStyle w:val="Subtitle"/>
            </w:pPr>
            <w:r>
              <w:t>Average temperature on outside surface of crucible</w:t>
            </w:r>
          </w:p>
        </w:tc>
        <w:tc>
          <w:tcPr>
            <w:tcW w:w="1586" w:type="dxa"/>
            <w:shd w:val="clear" w:color="auto" w:fill="auto"/>
          </w:tcPr>
          <w:p w14:paraId="759BC289" w14:textId="77777777" w:rsidR="002B759B" w:rsidRPr="00F52EC2" w:rsidRDefault="002B759B">
            <w:pPr>
              <w:pStyle w:val="Subtitle"/>
              <w:rPr>
                <w:i/>
              </w:rPr>
            </w:pPr>
            <w:r w:rsidRPr="00F52EC2">
              <w:rPr>
                <w:i/>
              </w:rPr>
              <w:t>T</w:t>
            </w:r>
            <w:r w:rsidRPr="00F52EC2">
              <w:rPr>
                <w:i/>
                <w:vertAlign w:val="subscript"/>
              </w:rPr>
              <w:t>outside crucible</w:t>
            </w:r>
          </w:p>
        </w:tc>
        <w:tc>
          <w:tcPr>
            <w:tcW w:w="1740" w:type="dxa"/>
            <w:shd w:val="clear" w:color="auto" w:fill="auto"/>
          </w:tcPr>
          <w:p w14:paraId="7382E7D2" w14:textId="77777777" w:rsidR="002B759B" w:rsidRPr="009A4551" w:rsidRDefault="002B759B">
            <w:pPr>
              <w:pStyle w:val="Subtitle"/>
            </w:pPr>
            <w:r>
              <w:t xml:space="preserve">1252 </w:t>
            </w:r>
            <w:r w:rsidRPr="00396E77">
              <w:rPr>
                <w:vertAlign w:val="superscript"/>
              </w:rPr>
              <w:t>o</w:t>
            </w:r>
            <w:r>
              <w:t>C</w:t>
            </w:r>
          </w:p>
        </w:tc>
        <w:tc>
          <w:tcPr>
            <w:tcW w:w="3056" w:type="dxa"/>
            <w:shd w:val="clear" w:color="auto" w:fill="auto"/>
          </w:tcPr>
          <w:p w14:paraId="0590F9C2" w14:textId="77777777" w:rsidR="00820EB1" w:rsidRDefault="002B759B" w:rsidP="00F52EC2">
            <w:pPr>
              <w:pStyle w:val="Subtitle"/>
            </w:pPr>
            <w:r>
              <w:t>Thermocouple measurements (</w:t>
            </w:r>
            <w:r w:rsidRPr="00F52EC2">
              <w:rPr>
                <w:i/>
              </w:rPr>
              <w:t>T</w:t>
            </w:r>
            <w:r w:rsidRPr="00F52EC2">
              <w:rPr>
                <w:i/>
                <w:vertAlign w:val="subscript"/>
              </w:rPr>
              <w:t>crucibe</w:t>
            </w:r>
            <w:r w:rsidRPr="00F52EC2">
              <w:t xml:space="preserve"> </w:t>
            </w:r>
            <w:r>
              <w:t xml:space="preserve">and </w:t>
            </w:r>
            <w:r w:rsidRPr="00F52EC2">
              <w:rPr>
                <w:i/>
              </w:rPr>
              <w:t>T</w:t>
            </w:r>
            <w:r w:rsidRPr="00F52EC2">
              <w:rPr>
                <w:i/>
                <w:vertAlign w:val="subscript"/>
              </w:rPr>
              <w:t>neck</w:t>
            </w:r>
            <w:r>
              <w:t xml:space="preserve"> , </w:t>
            </w:r>
            <w:r>
              <w:fldChar w:fldCharType="begin"/>
            </w:r>
            <w:r>
              <w:instrText xml:space="preserve"> REF _Ref443754544 \h </w:instrText>
            </w:r>
            <w:r w:rsidR="00357815">
              <w:instrText xml:space="preserve"> \* MERGEFORMAT </w:instrText>
            </w:r>
            <w:r>
              <w:fldChar w:fldCharType="separate"/>
            </w:r>
          </w:p>
          <w:p w14:paraId="00044C6B" w14:textId="7DA57603" w:rsidR="002B759B" w:rsidRDefault="00820EB1">
            <w:pPr>
              <w:pStyle w:val="Subtitle"/>
            </w:pPr>
            <w:r>
              <w:t>Figure 99</w:t>
            </w:r>
            <w:r w:rsidR="002B759B">
              <w:fldChar w:fldCharType="end"/>
            </w:r>
            <w:r w:rsidR="002B759B">
              <w:t>a)</w:t>
            </w:r>
          </w:p>
        </w:tc>
      </w:tr>
      <w:tr w:rsidR="002B759B" w:rsidRPr="00396E77" w14:paraId="6B222865" w14:textId="77777777" w:rsidTr="00EA4BBA">
        <w:trPr>
          <w:jc w:val="center"/>
        </w:trPr>
        <w:tc>
          <w:tcPr>
            <w:tcW w:w="2634" w:type="dxa"/>
            <w:shd w:val="clear" w:color="auto" w:fill="auto"/>
          </w:tcPr>
          <w:p w14:paraId="1B082A5B" w14:textId="77777777" w:rsidR="002B759B" w:rsidRPr="00A739EF" w:rsidRDefault="002B759B">
            <w:pPr>
              <w:pStyle w:val="Subtitle"/>
            </w:pPr>
            <w:r>
              <w:t>Crucible thermal conductivity</w:t>
            </w:r>
          </w:p>
        </w:tc>
        <w:tc>
          <w:tcPr>
            <w:tcW w:w="1586" w:type="dxa"/>
            <w:shd w:val="clear" w:color="auto" w:fill="auto"/>
          </w:tcPr>
          <w:p w14:paraId="234D965D" w14:textId="77777777" w:rsidR="002B759B" w:rsidRPr="008C3622" w:rsidRDefault="00A47317">
            <w:pPr>
              <w:pStyle w:val="Subtitle"/>
            </w:pPr>
            <m:oMathPara>
              <m:oMath>
                <m:sSub>
                  <m:sSubPr>
                    <m:ctrlPr>
                      <w:rPr>
                        <w:rFonts w:ascii="Cambria Math" w:hAnsi="Cambria Math"/>
                      </w:rPr>
                    </m:ctrlPr>
                  </m:sSubPr>
                  <m:e>
                    <m:r>
                      <w:rPr>
                        <w:rFonts w:ascii="Cambria Math" w:hAnsi="Cambria Math"/>
                      </w:rPr>
                      <m:t>k</m:t>
                    </m:r>
                  </m:e>
                  <m:sub>
                    <m:r>
                      <w:rPr>
                        <w:rFonts w:ascii="Cambria Math" w:hAnsi="Cambria Math"/>
                      </w:rPr>
                      <m:t>crucible</m:t>
                    </m:r>
                  </m:sub>
                </m:sSub>
              </m:oMath>
            </m:oMathPara>
          </w:p>
        </w:tc>
        <w:tc>
          <w:tcPr>
            <w:tcW w:w="1740" w:type="dxa"/>
            <w:shd w:val="clear" w:color="auto" w:fill="auto"/>
          </w:tcPr>
          <w:p w14:paraId="728E3530" w14:textId="77777777" w:rsidR="002B759B" w:rsidRPr="00396E77" w:rsidRDefault="002B759B">
            <w:pPr>
              <w:pStyle w:val="Subtitle"/>
              <w:rPr>
                <w:vertAlign w:val="superscript"/>
              </w:rPr>
            </w:pPr>
            <w:r>
              <w:t>1.0 W m</w:t>
            </w:r>
            <w:r w:rsidRPr="00396E77">
              <w:rPr>
                <w:vertAlign w:val="superscript"/>
              </w:rPr>
              <w:t>-1</w:t>
            </w:r>
            <w:r>
              <w:t xml:space="preserve"> </w:t>
            </w:r>
            <w:r w:rsidRPr="00B1191E">
              <w:t>K</w:t>
            </w:r>
            <w:r w:rsidRPr="00396E77">
              <w:rPr>
                <w:vertAlign w:val="superscript"/>
              </w:rPr>
              <w:t>-1</w:t>
            </w:r>
          </w:p>
        </w:tc>
        <w:tc>
          <w:tcPr>
            <w:tcW w:w="3056" w:type="dxa"/>
            <w:shd w:val="clear" w:color="auto" w:fill="auto"/>
          </w:tcPr>
          <w:p w14:paraId="549B769C" w14:textId="77777777" w:rsidR="002B759B" w:rsidRDefault="002B759B">
            <w:pPr>
              <w:pStyle w:val="Subtitle"/>
            </w:pPr>
            <w:r>
              <w:t>DFC Thermal Ceramics Ltd, Isopresed Fused silica data sheet.</w:t>
            </w:r>
          </w:p>
        </w:tc>
      </w:tr>
      <w:tr w:rsidR="002B759B" w:rsidRPr="00396E77" w14:paraId="7091AC85" w14:textId="77777777" w:rsidTr="00EA4BBA">
        <w:trPr>
          <w:jc w:val="center"/>
        </w:trPr>
        <w:tc>
          <w:tcPr>
            <w:tcW w:w="2634" w:type="dxa"/>
            <w:shd w:val="clear" w:color="auto" w:fill="auto"/>
          </w:tcPr>
          <w:p w14:paraId="18748FD9" w14:textId="77777777" w:rsidR="002B759B" w:rsidRPr="008908DB" w:rsidRDefault="002B759B">
            <w:pPr>
              <w:pStyle w:val="Subtitle"/>
            </w:pPr>
            <w:r>
              <w:t>Crucible base thickness</w:t>
            </w:r>
          </w:p>
        </w:tc>
        <w:tc>
          <w:tcPr>
            <w:tcW w:w="1586" w:type="dxa"/>
            <w:shd w:val="clear" w:color="auto" w:fill="auto"/>
          </w:tcPr>
          <w:p w14:paraId="4ABF33B3" w14:textId="77777777" w:rsidR="002B759B" w:rsidRPr="008C3622" w:rsidRDefault="00A47317">
            <w:pPr>
              <w:pStyle w:val="Subtitle"/>
            </w:pPr>
            <m:oMathPara>
              <m:oMath>
                <m:sSub>
                  <m:sSubPr>
                    <m:ctrlPr>
                      <w:rPr>
                        <w:rFonts w:ascii="Cambria Math" w:hAnsi="Cambria Math"/>
                      </w:rPr>
                    </m:ctrlPr>
                  </m:sSubPr>
                  <m:e>
                    <m:r>
                      <w:rPr>
                        <w:rFonts w:ascii="Cambria Math" w:hAnsi="Cambria Math"/>
                      </w:rPr>
                      <m:t>x</m:t>
                    </m:r>
                  </m:e>
                  <m:sub>
                    <m:r>
                      <w:rPr>
                        <w:rFonts w:ascii="Cambria Math" w:hAnsi="Cambria Math"/>
                      </w:rPr>
                      <m:t>base</m:t>
                    </m:r>
                  </m:sub>
                </m:sSub>
              </m:oMath>
            </m:oMathPara>
          </w:p>
        </w:tc>
        <w:tc>
          <w:tcPr>
            <w:tcW w:w="1740" w:type="dxa"/>
            <w:shd w:val="clear" w:color="auto" w:fill="auto"/>
          </w:tcPr>
          <w:p w14:paraId="242F38E3" w14:textId="77777777" w:rsidR="002B759B" w:rsidRDefault="002B759B">
            <w:pPr>
              <w:pStyle w:val="Subtitle"/>
            </w:pPr>
            <w:r>
              <w:t>15 mm</w:t>
            </w:r>
          </w:p>
        </w:tc>
        <w:tc>
          <w:tcPr>
            <w:tcW w:w="3056" w:type="dxa"/>
            <w:vMerge w:val="restart"/>
            <w:shd w:val="clear" w:color="auto" w:fill="auto"/>
          </w:tcPr>
          <w:p w14:paraId="42A634A8" w14:textId="346FD88F" w:rsidR="002B759B" w:rsidRDefault="002B759B" w:rsidP="00820EB1">
            <w:pPr>
              <w:pStyle w:val="Subtitle"/>
            </w:pPr>
            <w:r>
              <w:t xml:space="preserve">Crucible supplier (Almath), see </w:t>
            </w:r>
            <w:r>
              <w:fldChar w:fldCharType="begin"/>
            </w:r>
            <w:r>
              <w:instrText xml:space="preserve"> REF _Ref426626018 \h </w:instrText>
            </w:r>
            <w:r w:rsidR="007F707B">
              <w:instrText xml:space="preserve"> \* MERGEFORMAT </w:instrText>
            </w:r>
            <w:r>
              <w:fldChar w:fldCharType="separate"/>
            </w:r>
            <w:r w:rsidR="00820EB1">
              <w:t xml:space="preserve">Figure </w:t>
            </w:r>
            <w:r w:rsidR="00820EB1">
              <w:rPr>
                <w:noProof/>
              </w:rPr>
              <w:t>52</w:t>
            </w:r>
            <w:r>
              <w:fldChar w:fldCharType="end"/>
            </w:r>
            <w:r>
              <w:t>.</w:t>
            </w:r>
          </w:p>
          <w:p w14:paraId="7D3EE2D9" w14:textId="77777777" w:rsidR="002B759B" w:rsidRDefault="002B759B">
            <w:pPr>
              <w:pStyle w:val="Subtitle"/>
            </w:pPr>
          </w:p>
        </w:tc>
      </w:tr>
      <w:tr w:rsidR="002B759B" w:rsidRPr="00396E77" w14:paraId="57E8FF11" w14:textId="77777777" w:rsidTr="00EA4BBA">
        <w:trPr>
          <w:jc w:val="center"/>
        </w:trPr>
        <w:tc>
          <w:tcPr>
            <w:tcW w:w="2634" w:type="dxa"/>
            <w:shd w:val="clear" w:color="auto" w:fill="auto"/>
          </w:tcPr>
          <w:p w14:paraId="1F9456BD" w14:textId="77777777" w:rsidR="002B759B" w:rsidRPr="008908DB" w:rsidRDefault="002B759B">
            <w:pPr>
              <w:pStyle w:val="Subtitle"/>
            </w:pPr>
            <w:r>
              <w:t>Crucible inner radius</w:t>
            </w:r>
          </w:p>
        </w:tc>
        <w:tc>
          <w:tcPr>
            <w:tcW w:w="1586" w:type="dxa"/>
            <w:shd w:val="clear" w:color="auto" w:fill="auto"/>
          </w:tcPr>
          <w:p w14:paraId="18D06435" w14:textId="77777777" w:rsidR="002B759B" w:rsidRPr="008C3622" w:rsidRDefault="00A47317">
            <w:pPr>
              <w:pStyle w:val="Subtitle"/>
            </w:pPr>
            <m:oMathPara>
              <m:oMath>
                <m:sSub>
                  <m:sSubPr>
                    <m:ctrlPr>
                      <w:rPr>
                        <w:rFonts w:ascii="Cambria Math" w:hAnsi="Cambria Math"/>
                      </w:rPr>
                    </m:ctrlPr>
                  </m:sSubPr>
                  <m:e>
                    <m:r>
                      <w:rPr>
                        <w:rFonts w:ascii="Cambria Math" w:hAnsi="Cambria Math"/>
                      </w:rPr>
                      <m:t>r</m:t>
                    </m:r>
                  </m:e>
                  <m:sub>
                    <m:r>
                      <w:rPr>
                        <w:rFonts w:ascii="Cambria Math" w:hAnsi="Cambria Math"/>
                      </w:rPr>
                      <m:t>i</m:t>
                    </m:r>
                  </m:sub>
                </m:sSub>
              </m:oMath>
            </m:oMathPara>
          </w:p>
        </w:tc>
        <w:tc>
          <w:tcPr>
            <w:tcW w:w="1740" w:type="dxa"/>
            <w:shd w:val="clear" w:color="auto" w:fill="auto"/>
          </w:tcPr>
          <w:p w14:paraId="0DA10D0A" w14:textId="77777777" w:rsidR="002B759B" w:rsidRDefault="002B759B">
            <w:pPr>
              <w:pStyle w:val="Subtitle"/>
            </w:pPr>
            <w:r w:rsidRPr="00027F5A">
              <w:t>93</w:t>
            </w:r>
            <w:r>
              <w:t>.</w:t>
            </w:r>
            <w:r w:rsidRPr="00027F5A">
              <w:t>5</w:t>
            </w:r>
            <w:r>
              <w:t xml:space="preserve"> mm</w:t>
            </w:r>
          </w:p>
        </w:tc>
        <w:tc>
          <w:tcPr>
            <w:tcW w:w="3056" w:type="dxa"/>
            <w:vMerge/>
            <w:shd w:val="clear" w:color="auto" w:fill="auto"/>
          </w:tcPr>
          <w:p w14:paraId="767DEC8E" w14:textId="77777777" w:rsidR="002B759B" w:rsidRDefault="002B759B">
            <w:pPr>
              <w:pStyle w:val="Subtitle"/>
            </w:pPr>
          </w:p>
        </w:tc>
      </w:tr>
      <w:tr w:rsidR="002B759B" w:rsidRPr="00396E77" w14:paraId="6AFE57E8" w14:textId="77777777" w:rsidTr="00EA4BBA">
        <w:trPr>
          <w:jc w:val="center"/>
        </w:trPr>
        <w:tc>
          <w:tcPr>
            <w:tcW w:w="2634" w:type="dxa"/>
            <w:shd w:val="clear" w:color="auto" w:fill="auto"/>
          </w:tcPr>
          <w:p w14:paraId="208E1634" w14:textId="77777777" w:rsidR="002B759B" w:rsidRPr="00D62F65" w:rsidRDefault="002B759B">
            <w:pPr>
              <w:pStyle w:val="Subtitle"/>
            </w:pPr>
            <w:r>
              <w:lastRenderedPageBreak/>
              <w:t>Crucible outer radius</w:t>
            </w:r>
          </w:p>
        </w:tc>
        <w:tc>
          <w:tcPr>
            <w:tcW w:w="1586" w:type="dxa"/>
            <w:shd w:val="clear" w:color="auto" w:fill="auto"/>
          </w:tcPr>
          <w:p w14:paraId="05F6995E" w14:textId="77777777" w:rsidR="002B759B" w:rsidRPr="008C3622" w:rsidRDefault="00A47317">
            <w:pPr>
              <w:pStyle w:val="Subtitle"/>
            </w:pPr>
            <m:oMathPara>
              <m:oMath>
                <m:sSub>
                  <m:sSubPr>
                    <m:ctrlPr>
                      <w:rPr>
                        <w:rFonts w:ascii="Cambria Math" w:hAnsi="Cambria Math"/>
                      </w:rPr>
                    </m:ctrlPr>
                  </m:sSubPr>
                  <m:e>
                    <m:r>
                      <w:rPr>
                        <w:rFonts w:ascii="Cambria Math" w:hAnsi="Cambria Math"/>
                      </w:rPr>
                      <m:t>r</m:t>
                    </m:r>
                  </m:e>
                  <m:sub>
                    <m:r>
                      <w:rPr>
                        <w:rFonts w:ascii="Cambria Math" w:hAnsi="Cambria Math"/>
                      </w:rPr>
                      <m:t>o</m:t>
                    </m:r>
                  </m:sub>
                </m:sSub>
              </m:oMath>
            </m:oMathPara>
          </w:p>
        </w:tc>
        <w:tc>
          <w:tcPr>
            <w:tcW w:w="1740" w:type="dxa"/>
            <w:shd w:val="clear" w:color="auto" w:fill="auto"/>
          </w:tcPr>
          <w:p w14:paraId="606661C5" w14:textId="77777777" w:rsidR="002B759B" w:rsidRDefault="002B759B">
            <w:pPr>
              <w:pStyle w:val="Subtitle"/>
            </w:pPr>
            <w:r w:rsidRPr="00027F5A">
              <w:t>106</w:t>
            </w:r>
            <w:r>
              <w:t>.</w:t>
            </w:r>
            <w:r w:rsidRPr="00027F5A">
              <w:t>5</w:t>
            </w:r>
            <w:r>
              <w:t xml:space="preserve"> mm</w:t>
            </w:r>
          </w:p>
        </w:tc>
        <w:tc>
          <w:tcPr>
            <w:tcW w:w="3056" w:type="dxa"/>
            <w:vMerge/>
            <w:shd w:val="clear" w:color="auto" w:fill="auto"/>
          </w:tcPr>
          <w:p w14:paraId="52C1AC5D" w14:textId="77777777" w:rsidR="002B759B" w:rsidRDefault="002B759B">
            <w:pPr>
              <w:pStyle w:val="Subtitle"/>
            </w:pPr>
          </w:p>
        </w:tc>
      </w:tr>
      <w:tr w:rsidR="002B759B" w:rsidRPr="00396E77" w14:paraId="20B44FB5" w14:textId="77777777" w:rsidTr="00EA4BBA">
        <w:trPr>
          <w:jc w:val="center"/>
        </w:trPr>
        <w:tc>
          <w:tcPr>
            <w:tcW w:w="2634" w:type="dxa"/>
            <w:shd w:val="clear" w:color="auto" w:fill="auto"/>
          </w:tcPr>
          <w:p w14:paraId="3A7F3D3E" w14:textId="77777777" w:rsidR="002B759B" w:rsidRDefault="002B759B">
            <w:pPr>
              <w:pStyle w:val="Subtitle"/>
            </w:pPr>
            <w:r>
              <w:t>Depth of crucible</w:t>
            </w:r>
          </w:p>
        </w:tc>
        <w:tc>
          <w:tcPr>
            <w:tcW w:w="1586" w:type="dxa"/>
            <w:shd w:val="clear" w:color="auto" w:fill="auto"/>
          </w:tcPr>
          <w:p w14:paraId="3E5D44F9" w14:textId="77777777" w:rsidR="002B759B" w:rsidRPr="008C3622" w:rsidRDefault="00A47317">
            <w:pPr>
              <w:pStyle w:val="Subtitle"/>
            </w:pPr>
            <m:oMathPara>
              <m:oMath>
                <m:sSub>
                  <m:sSubPr>
                    <m:ctrlPr>
                      <w:rPr>
                        <w:rFonts w:ascii="Cambria Math" w:hAnsi="Cambria Math"/>
                      </w:rPr>
                    </m:ctrlPr>
                  </m:sSubPr>
                  <m:e>
                    <m:r>
                      <w:rPr>
                        <w:rFonts w:ascii="Cambria Math" w:hAnsi="Cambria Math"/>
                      </w:rPr>
                      <m:t>H</m:t>
                    </m:r>
                  </m:e>
                  <m:sub>
                    <m:r>
                      <w:rPr>
                        <w:rFonts w:ascii="Cambria Math" w:hAnsi="Cambria Math"/>
                      </w:rPr>
                      <m:t>crucible depth</m:t>
                    </m:r>
                  </m:sub>
                </m:sSub>
              </m:oMath>
            </m:oMathPara>
          </w:p>
        </w:tc>
        <w:tc>
          <w:tcPr>
            <w:tcW w:w="1740" w:type="dxa"/>
            <w:shd w:val="clear" w:color="auto" w:fill="auto"/>
          </w:tcPr>
          <w:p w14:paraId="1B2BC8F2" w14:textId="77777777" w:rsidR="002B759B" w:rsidRDefault="002B759B">
            <w:pPr>
              <w:pStyle w:val="Subtitle"/>
            </w:pPr>
            <w:r>
              <w:t>120 mm</w:t>
            </w:r>
          </w:p>
        </w:tc>
        <w:tc>
          <w:tcPr>
            <w:tcW w:w="3056" w:type="dxa"/>
            <w:vMerge/>
            <w:shd w:val="clear" w:color="auto" w:fill="auto"/>
          </w:tcPr>
          <w:p w14:paraId="79C8A023" w14:textId="77777777" w:rsidR="002B759B" w:rsidRDefault="002B759B">
            <w:pPr>
              <w:pStyle w:val="Subtitle"/>
            </w:pPr>
          </w:p>
        </w:tc>
      </w:tr>
      <w:tr w:rsidR="002B759B" w:rsidRPr="00396E77" w14:paraId="5FAF5A8E" w14:textId="77777777" w:rsidTr="00EA4BBA">
        <w:trPr>
          <w:jc w:val="center"/>
        </w:trPr>
        <w:tc>
          <w:tcPr>
            <w:tcW w:w="2634" w:type="dxa"/>
            <w:shd w:val="clear" w:color="auto" w:fill="auto"/>
          </w:tcPr>
          <w:p w14:paraId="4062A94C" w14:textId="77777777" w:rsidR="002B759B" w:rsidRDefault="002B759B">
            <w:pPr>
              <w:pStyle w:val="Subtitle"/>
            </w:pPr>
            <w:r>
              <w:t>Height of ring of insulation between crucible and roof</w:t>
            </w:r>
          </w:p>
        </w:tc>
        <w:tc>
          <w:tcPr>
            <w:tcW w:w="1586" w:type="dxa"/>
            <w:shd w:val="clear" w:color="auto" w:fill="auto"/>
          </w:tcPr>
          <w:p w14:paraId="24059A95" w14:textId="77777777" w:rsidR="002B759B" w:rsidRDefault="00A47317">
            <w:pPr>
              <w:pStyle w:val="Subtitle"/>
            </w:pPr>
            <m:oMathPara>
              <m:oMath>
                <m:sSub>
                  <m:sSubPr>
                    <m:ctrlPr>
                      <w:rPr>
                        <w:rFonts w:ascii="Cambria Math" w:hAnsi="Cambria Math"/>
                      </w:rPr>
                    </m:ctrlPr>
                  </m:sSubPr>
                  <m:e>
                    <m:r>
                      <w:rPr>
                        <w:rFonts w:ascii="Cambria Math" w:hAnsi="Cambria Math"/>
                      </w:rPr>
                      <m:t>H</m:t>
                    </m:r>
                  </m:e>
                  <m:sub>
                    <m:r>
                      <w:rPr>
                        <w:rFonts w:ascii="Cambria Math" w:hAnsi="Cambria Math"/>
                      </w:rPr>
                      <m:t>insulation ring</m:t>
                    </m:r>
                  </m:sub>
                </m:sSub>
              </m:oMath>
            </m:oMathPara>
          </w:p>
        </w:tc>
        <w:tc>
          <w:tcPr>
            <w:tcW w:w="1740" w:type="dxa"/>
            <w:shd w:val="clear" w:color="auto" w:fill="auto"/>
          </w:tcPr>
          <w:p w14:paraId="06081508" w14:textId="77777777" w:rsidR="002B759B" w:rsidRDefault="002B759B">
            <w:pPr>
              <w:pStyle w:val="Subtitle"/>
            </w:pPr>
            <w:r>
              <w:t>25 mm (+/- 5mm variance)</w:t>
            </w:r>
          </w:p>
        </w:tc>
        <w:tc>
          <w:tcPr>
            <w:tcW w:w="3056" w:type="dxa"/>
            <w:shd w:val="clear" w:color="auto" w:fill="auto"/>
          </w:tcPr>
          <w:p w14:paraId="7F1B91A5" w14:textId="77777777" w:rsidR="002B759B" w:rsidRDefault="002B759B">
            <w:pPr>
              <w:pStyle w:val="Subtitle"/>
            </w:pPr>
            <w:r>
              <w:t>Measured using callipers in between experiments (D1-4)</w:t>
            </w:r>
          </w:p>
        </w:tc>
      </w:tr>
      <w:tr w:rsidR="002B759B" w:rsidRPr="00396E77" w14:paraId="46288D58" w14:textId="77777777" w:rsidTr="00EA4BBA">
        <w:trPr>
          <w:jc w:val="center"/>
        </w:trPr>
        <w:tc>
          <w:tcPr>
            <w:tcW w:w="2634" w:type="dxa"/>
            <w:shd w:val="clear" w:color="auto" w:fill="auto"/>
          </w:tcPr>
          <w:p w14:paraId="6531DDEA" w14:textId="77777777" w:rsidR="002B759B" w:rsidRDefault="002B759B">
            <w:pPr>
              <w:pStyle w:val="Subtitle"/>
            </w:pPr>
            <w:r>
              <w:t>Average depth of glass melt</w:t>
            </w:r>
          </w:p>
        </w:tc>
        <w:tc>
          <w:tcPr>
            <w:tcW w:w="1586" w:type="dxa"/>
            <w:shd w:val="clear" w:color="auto" w:fill="auto"/>
          </w:tcPr>
          <w:p w14:paraId="451B3C2A" w14:textId="77777777" w:rsidR="002B759B" w:rsidRDefault="00A47317" w:rsidP="00F52EC2">
            <w:pPr>
              <w:pStyle w:val="Subtitle"/>
            </w:pPr>
            <m:oMathPara>
              <m:oMath>
                <m:sSub>
                  <m:sSubPr>
                    <m:ctrlPr>
                      <w:rPr>
                        <w:rFonts w:ascii="Cambria Math" w:hAnsi="Cambria Math"/>
                      </w:rPr>
                    </m:ctrlPr>
                  </m:sSubPr>
                  <m:e>
                    <m:r>
                      <w:rPr>
                        <w:rFonts w:ascii="Cambria Math" w:hAnsi="Cambria Math"/>
                      </w:rPr>
                      <m:t>H</m:t>
                    </m:r>
                  </m:e>
                  <m:sub>
                    <m:r>
                      <w:rPr>
                        <w:rFonts w:ascii="Cambria Math" w:hAnsi="Cambria Math"/>
                      </w:rPr>
                      <m:t>glass</m:t>
                    </m:r>
                  </m:sub>
                </m:sSub>
              </m:oMath>
            </m:oMathPara>
          </w:p>
        </w:tc>
        <w:tc>
          <w:tcPr>
            <w:tcW w:w="1740" w:type="dxa"/>
            <w:shd w:val="clear" w:color="auto" w:fill="auto"/>
          </w:tcPr>
          <w:p w14:paraId="40DFEF26" w14:textId="77777777" w:rsidR="002B759B" w:rsidRDefault="002B759B">
            <w:pPr>
              <w:pStyle w:val="Subtitle"/>
            </w:pPr>
            <w:r>
              <w:t>31 mm</w:t>
            </w:r>
          </w:p>
        </w:tc>
        <w:tc>
          <w:tcPr>
            <w:tcW w:w="3056" w:type="dxa"/>
            <w:shd w:val="clear" w:color="auto" w:fill="auto"/>
          </w:tcPr>
          <w:p w14:paraId="69E6611D" w14:textId="77777777" w:rsidR="002B759B" w:rsidRDefault="002B759B">
            <w:pPr>
              <w:pStyle w:val="Subtitle"/>
            </w:pPr>
            <w:r>
              <w:t>Batch feed data log experiment D4. See appendix ID5</w:t>
            </w:r>
          </w:p>
        </w:tc>
      </w:tr>
      <w:tr w:rsidR="002B759B" w:rsidRPr="00396E77" w14:paraId="359E1B75" w14:textId="77777777" w:rsidTr="00EA4BBA">
        <w:trPr>
          <w:jc w:val="center"/>
        </w:trPr>
        <w:tc>
          <w:tcPr>
            <w:tcW w:w="2634" w:type="dxa"/>
            <w:shd w:val="clear" w:color="auto" w:fill="auto"/>
          </w:tcPr>
          <w:p w14:paraId="1CC353D2" w14:textId="77777777" w:rsidR="002B759B" w:rsidRPr="00C7661D" w:rsidRDefault="002B759B">
            <w:pPr>
              <w:pStyle w:val="Subtitle"/>
            </w:pPr>
            <w:r>
              <w:t xml:space="preserve"> Theoretical energy required for conversion of batch to glass melt</w:t>
            </w:r>
          </w:p>
        </w:tc>
        <w:tc>
          <w:tcPr>
            <w:tcW w:w="1586" w:type="dxa"/>
            <w:shd w:val="clear" w:color="auto" w:fill="auto"/>
          </w:tcPr>
          <w:p w14:paraId="0C735384" w14:textId="77777777" w:rsidR="002B759B" w:rsidRPr="008C3622" w:rsidRDefault="002B759B">
            <w:pPr>
              <w:pStyle w:val="Subtitle"/>
            </w:pPr>
            <m:oMathPara>
              <m:oMath>
                <m:r>
                  <w:rPr>
                    <w:rFonts w:ascii="Cambria Math" w:hAnsi="Cambria Math"/>
                  </w:rPr>
                  <m:t>γ</m:t>
                </m:r>
              </m:oMath>
            </m:oMathPara>
          </w:p>
        </w:tc>
        <w:tc>
          <w:tcPr>
            <w:tcW w:w="1740" w:type="dxa"/>
            <w:shd w:val="clear" w:color="auto" w:fill="auto"/>
          </w:tcPr>
          <w:p w14:paraId="3F57B995" w14:textId="1B7518DE" w:rsidR="002B759B" w:rsidRDefault="002B759B" w:rsidP="00207CB0">
            <w:pPr>
              <w:pStyle w:val="Subtitle"/>
            </w:pPr>
            <m:oMath>
              <m:r>
                <w:rPr>
                  <w:rFonts w:ascii="Cambria Math" w:hAnsi="Cambria Math"/>
                </w:rPr>
                <m:t xml:space="preserve">2635 </m:t>
              </m:r>
              <m:r>
                <m:rPr>
                  <m:sty m:val="p"/>
                </m:rPr>
                <w:rPr>
                  <w:rFonts w:ascii="Cambria Math" w:hAnsi="Cambria Math"/>
                </w:rPr>
                <m:t>J/g</m:t>
              </m:r>
            </m:oMath>
            <w:r w:rsidRPr="005C2333">
              <w:t xml:space="preserve"> </w:t>
            </w:r>
            <w:r>
              <w:t>(</w:t>
            </w:r>
            <w:r w:rsidR="005C2333">
              <w:t>batch</w:t>
            </w:r>
            <w:r>
              <w:t>)</w:t>
            </w:r>
          </w:p>
        </w:tc>
        <w:tc>
          <w:tcPr>
            <w:tcW w:w="3056" w:type="dxa"/>
            <w:shd w:val="clear" w:color="auto" w:fill="auto"/>
          </w:tcPr>
          <w:p w14:paraId="23775FAC" w14:textId="1D506B1E" w:rsidR="002B759B" w:rsidRDefault="00207CB0">
            <w:pPr>
              <w:pStyle w:val="Subtitle"/>
            </w:pPr>
            <w:r>
              <w:rPr>
                <w:rFonts w:eastAsia="Times New Roman"/>
              </w:rPr>
              <w:fldChar w:fldCharType="begin" w:fldLock="1"/>
            </w:r>
            <w:r w:rsidR="00A47317">
              <w:rPr>
                <w:rFonts w:eastAsia="Times New Roman"/>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"http://www.mendeley.com/documents/?uuid=3c627cd1-0676-4100-989e-1ec103df905b" ] } ], "mendeley" : { "formattedCitation" : "(Carvalho 1998)", "plainTextFormattedCitation" : "(Carvalho 1998)", "previouslyFormattedCitation" : "(Carvalho 1998)" }, "properties" : { "noteIndex" : 0 }, "schema" : "https://github.com/citation-style-language/schema/raw/master/csl-citation.json" }</w:instrText>
            </w:r>
            <w:r>
              <w:rPr>
                <w:rFonts w:eastAsia="Times New Roman"/>
              </w:rPr>
              <w:fldChar w:fldCharType="separate"/>
            </w:r>
            <w:r w:rsidRPr="00207CB0">
              <w:rPr>
                <w:rFonts w:eastAsia="Times New Roman"/>
                <w:noProof/>
              </w:rPr>
              <w:t>(Carvalho 1998)</w:t>
            </w:r>
            <w:r>
              <w:rPr>
                <w:rFonts w:eastAsia="Times New Roman"/>
              </w:rPr>
              <w:fldChar w:fldCharType="end"/>
            </w:r>
          </w:p>
        </w:tc>
      </w:tr>
      <w:tr w:rsidR="002B759B" w:rsidRPr="00396E77" w14:paraId="062F0B8B" w14:textId="77777777" w:rsidTr="00EA4BBA">
        <w:trPr>
          <w:jc w:val="center"/>
        </w:trPr>
        <w:tc>
          <w:tcPr>
            <w:tcW w:w="2634" w:type="dxa"/>
            <w:shd w:val="clear" w:color="auto" w:fill="auto"/>
          </w:tcPr>
          <w:p w14:paraId="0D902668" w14:textId="77777777" w:rsidR="002B759B" w:rsidRDefault="002B759B">
            <w:pPr>
              <w:pStyle w:val="Subtitle"/>
            </w:pPr>
            <w:r>
              <w:t>Batch factor</w:t>
            </w:r>
          </w:p>
        </w:tc>
        <w:tc>
          <w:tcPr>
            <w:tcW w:w="1586" w:type="dxa"/>
            <w:shd w:val="clear" w:color="auto" w:fill="auto"/>
          </w:tcPr>
          <w:p w14:paraId="6E1E2185" w14:textId="77777777" w:rsidR="002B759B" w:rsidRPr="008C3622" w:rsidRDefault="002B759B">
            <w:pPr>
              <w:pStyle w:val="Subtitle"/>
            </w:pPr>
            <m:oMathPara>
              <m:oMath>
                <m:r>
                  <w:rPr>
                    <w:rFonts w:ascii="Cambria Math" w:hAnsi="Cambria Math"/>
                  </w:rPr>
                  <m:t>β</m:t>
                </m:r>
              </m:oMath>
            </m:oMathPara>
          </w:p>
        </w:tc>
        <w:tc>
          <w:tcPr>
            <w:tcW w:w="1740" w:type="dxa"/>
            <w:shd w:val="clear" w:color="auto" w:fill="auto"/>
          </w:tcPr>
          <w:p w14:paraId="14F8DEEF" w14:textId="77777777" w:rsidR="002B759B" w:rsidRDefault="002B759B">
            <w:pPr>
              <w:pStyle w:val="Subtitle"/>
            </w:pPr>
            <w:r>
              <w:t>0.8</w:t>
            </w:r>
          </w:p>
        </w:tc>
        <w:tc>
          <w:tcPr>
            <w:tcW w:w="3056" w:type="dxa"/>
            <w:shd w:val="clear" w:color="auto" w:fill="auto"/>
          </w:tcPr>
          <w:p w14:paraId="2A8D34CB" w14:textId="66906893" w:rsidR="002B759B" w:rsidRDefault="002B759B">
            <w:pPr>
              <w:pStyle w:val="Subtitle"/>
            </w:pPr>
            <w:r>
              <w:fldChar w:fldCharType="begin" w:fldLock="1"/>
            </w:r>
            <w:r w:rsidR="00875DEE">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"plainTextFormattedCitation" : "(D\u00edaz-Ibarra et al. 2013)", "previouslyFormattedCitation" : "(D\u00edaz-Ibarra et al. 2013)" }, "properties" : { "noteIndex" : 0 }, "schema" : "https://github.com/citation-style-language/schema/raw/master/csl-citation.json" }</w:instrText>
            </w:r>
            <w:r>
              <w:fldChar w:fldCharType="separate"/>
            </w:r>
            <w:r w:rsidR="00875DEE" w:rsidRPr="00875DEE">
              <w:rPr>
                <w:noProof/>
              </w:rPr>
              <w:t>(Díaz-Ibarra et al. 2013)</w:t>
            </w:r>
            <w:r>
              <w:fldChar w:fldCharType="end"/>
            </w:r>
          </w:p>
        </w:tc>
      </w:tr>
      <w:tr w:rsidR="002B759B" w:rsidRPr="00396E77" w14:paraId="2B54CF8A" w14:textId="77777777" w:rsidTr="00EA4BBA">
        <w:trPr>
          <w:trHeight w:val="409"/>
          <w:jc w:val="center"/>
        </w:trPr>
        <w:tc>
          <w:tcPr>
            <w:tcW w:w="2634" w:type="dxa"/>
            <w:shd w:val="clear" w:color="auto" w:fill="auto"/>
          </w:tcPr>
          <w:p w14:paraId="55DA8506" w14:textId="77777777" w:rsidR="002B759B" w:rsidRDefault="002B759B">
            <w:pPr>
              <w:pStyle w:val="Subtitle"/>
            </w:pPr>
            <w:r>
              <w:t>Emissivity surface 1 (glass melt)</w:t>
            </w:r>
          </w:p>
        </w:tc>
        <w:tc>
          <w:tcPr>
            <w:tcW w:w="1586" w:type="dxa"/>
            <w:shd w:val="clear" w:color="auto" w:fill="auto"/>
          </w:tcPr>
          <w:p w14:paraId="3B2E137E" w14:textId="77777777" w:rsidR="002B759B" w:rsidRPr="00F52EC2" w:rsidRDefault="002B759B">
            <w:pPr>
              <w:pStyle w:val="Subtitle"/>
              <w:rPr>
                <w:i/>
                <w:vertAlign w:val="subscript"/>
              </w:rPr>
            </w:pPr>
            <w:r w:rsidRPr="00F52EC2">
              <w:rPr>
                <w:i/>
              </w:rPr>
              <w:t>e</w:t>
            </w:r>
            <w:r w:rsidRPr="00F52EC2">
              <w:rPr>
                <w:i/>
                <w:vertAlign w:val="subscript"/>
              </w:rPr>
              <w:t>1</w:t>
            </w:r>
          </w:p>
        </w:tc>
        <w:tc>
          <w:tcPr>
            <w:tcW w:w="1740" w:type="dxa"/>
            <w:shd w:val="clear" w:color="auto" w:fill="auto"/>
          </w:tcPr>
          <w:p w14:paraId="71AE9A38" w14:textId="77777777" w:rsidR="002B759B" w:rsidRDefault="002B759B">
            <w:pPr>
              <w:pStyle w:val="Subtitle"/>
            </w:pPr>
            <w:r>
              <w:t>0.7</w:t>
            </w:r>
          </w:p>
        </w:tc>
        <w:tc>
          <w:tcPr>
            <w:tcW w:w="3056" w:type="dxa"/>
            <w:vMerge w:val="restart"/>
            <w:shd w:val="clear" w:color="auto" w:fill="auto"/>
          </w:tcPr>
          <w:p w14:paraId="525F4131" w14:textId="34015A65" w:rsidR="002B759B" w:rsidRDefault="002B759B">
            <w:pPr>
              <w:pStyle w:val="Subtitle"/>
            </w:pPr>
            <w:r>
              <w:fldChar w:fldCharType="begin" w:fldLock="1"/>
            </w:r>
            <w:r w:rsidR="00875DEE">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"plainTextFormattedCitation" : "(D\u00edaz-Ibarra et al. 2013)", "previouslyFormattedCitation" : "(D\u00edaz-Ibarra et al. 2013)" }, "properties" : { "noteIndex" : 0 }, "schema" : "https://github.com/citation-style-language/schema/raw/master/csl-citation.json" }</w:instrText>
            </w:r>
            <w:r>
              <w:fldChar w:fldCharType="separate"/>
            </w:r>
            <w:r w:rsidR="00875DEE" w:rsidRPr="00875DEE">
              <w:rPr>
                <w:noProof/>
              </w:rPr>
              <w:t>(Díaz-Ibarra et al. 2013)</w:t>
            </w:r>
            <w:r>
              <w:fldChar w:fldCharType="end"/>
            </w:r>
            <w:r w:rsidRPr="000A7627">
              <w:t xml:space="preserve"> </w:t>
            </w:r>
          </w:p>
        </w:tc>
      </w:tr>
      <w:tr w:rsidR="002B759B" w:rsidRPr="00396E77" w14:paraId="2D293F9A" w14:textId="77777777" w:rsidTr="00EA4BBA">
        <w:trPr>
          <w:jc w:val="center"/>
        </w:trPr>
        <w:tc>
          <w:tcPr>
            <w:tcW w:w="2634" w:type="dxa"/>
            <w:shd w:val="clear" w:color="auto" w:fill="auto"/>
          </w:tcPr>
          <w:p w14:paraId="6FAAB9B2" w14:textId="77777777" w:rsidR="002B759B" w:rsidRDefault="002B759B">
            <w:pPr>
              <w:pStyle w:val="Subtitle"/>
            </w:pPr>
            <w:r>
              <w:t>Emissivity surface 2 (inside furnace roof)</w:t>
            </w:r>
          </w:p>
        </w:tc>
        <w:tc>
          <w:tcPr>
            <w:tcW w:w="1586" w:type="dxa"/>
            <w:shd w:val="clear" w:color="auto" w:fill="auto"/>
          </w:tcPr>
          <w:p w14:paraId="03A2D655" w14:textId="77777777" w:rsidR="002B759B" w:rsidRPr="00F52EC2" w:rsidRDefault="002B759B">
            <w:pPr>
              <w:pStyle w:val="Subtitle"/>
              <w:rPr>
                <w:i/>
                <w:vertAlign w:val="subscript"/>
              </w:rPr>
            </w:pPr>
            <w:r w:rsidRPr="00F52EC2">
              <w:rPr>
                <w:i/>
              </w:rPr>
              <w:t>e</w:t>
            </w:r>
            <w:r w:rsidRPr="00F52EC2">
              <w:rPr>
                <w:i/>
                <w:vertAlign w:val="subscript"/>
              </w:rPr>
              <w:t>2</w:t>
            </w:r>
          </w:p>
        </w:tc>
        <w:tc>
          <w:tcPr>
            <w:tcW w:w="1740" w:type="dxa"/>
            <w:shd w:val="clear" w:color="auto" w:fill="auto"/>
          </w:tcPr>
          <w:p w14:paraId="19052750" w14:textId="77777777" w:rsidR="002B759B" w:rsidRDefault="002B759B">
            <w:pPr>
              <w:pStyle w:val="Subtitle"/>
            </w:pPr>
            <w:r>
              <w:t>0.8</w:t>
            </w:r>
          </w:p>
        </w:tc>
        <w:tc>
          <w:tcPr>
            <w:tcW w:w="3056" w:type="dxa"/>
            <w:vMerge/>
            <w:shd w:val="clear" w:color="auto" w:fill="auto"/>
          </w:tcPr>
          <w:p w14:paraId="75C1F6E2" w14:textId="77777777" w:rsidR="002B759B" w:rsidRDefault="002B759B">
            <w:pPr>
              <w:pStyle w:val="Subtitle"/>
            </w:pPr>
          </w:p>
        </w:tc>
      </w:tr>
      <w:tr w:rsidR="002B759B" w:rsidRPr="00396E77" w14:paraId="380A6878" w14:textId="77777777" w:rsidTr="00EA4BBA">
        <w:trPr>
          <w:jc w:val="center"/>
        </w:trPr>
        <w:tc>
          <w:tcPr>
            <w:tcW w:w="2634" w:type="dxa"/>
            <w:shd w:val="clear" w:color="auto" w:fill="auto"/>
          </w:tcPr>
          <w:p w14:paraId="2279C865" w14:textId="77777777" w:rsidR="002B759B" w:rsidRDefault="002B759B">
            <w:pPr>
              <w:pStyle w:val="Subtitle"/>
            </w:pPr>
            <w:r>
              <w:t>Emissivity surface 3 (crucible sides)</w:t>
            </w:r>
          </w:p>
        </w:tc>
        <w:tc>
          <w:tcPr>
            <w:tcW w:w="1586" w:type="dxa"/>
            <w:shd w:val="clear" w:color="auto" w:fill="auto"/>
          </w:tcPr>
          <w:p w14:paraId="35098F2D" w14:textId="77777777" w:rsidR="002B759B" w:rsidRPr="00F52EC2" w:rsidRDefault="002B759B">
            <w:pPr>
              <w:pStyle w:val="Subtitle"/>
              <w:rPr>
                <w:i/>
                <w:vertAlign w:val="subscript"/>
              </w:rPr>
            </w:pPr>
            <w:r w:rsidRPr="00F52EC2">
              <w:rPr>
                <w:i/>
              </w:rPr>
              <w:t>e</w:t>
            </w:r>
            <w:r w:rsidRPr="00F52EC2">
              <w:rPr>
                <w:i/>
                <w:vertAlign w:val="subscript"/>
              </w:rPr>
              <w:t>3</w:t>
            </w:r>
          </w:p>
        </w:tc>
        <w:tc>
          <w:tcPr>
            <w:tcW w:w="1740" w:type="dxa"/>
            <w:shd w:val="clear" w:color="auto" w:fill="auto"/>
          </w:tcPr>
          <w:p w14:paraId="4AC68BF0" w14:textId="77777777" w:rsidR="002B759B" w:rsidRDefault="002B759B">
            <w:pPr>
              <w:pStyle w:val="Subtitle"/>
            </w:pPr>
            <w:r>
              <w:t>0.8</w:t>
            </w:r>
          </w:p>
        </w:tc>
        <w:tc>
          <w:tcPr>
            <w:tcW w:w="3056" w:type="dxa"/>
            <w:vMerge/>
            <w:shd w:val="clear" w:color="auto" w:fill="auto"/>
          </w:tcPr>
          <w:p w14:paraId="3DF340D1" w14:textId="77777777" w:rsidR="002B759B" w:rsidRDefault="002B759B">
            <w:pPr>
              <w:pStyle w:val="Subtitle"/>
            </w:pPr>
          </w:p>
        </w:tc>
      </w:tr>
      <w:tr w:rsidR="002B759B" w:rsidRPr="00396E77" w14:paraId="7B3CA1DE" w14:textId="77777777" w:rsidTr="00EA4BBA">
        <w:trPr>
          <w:jc w:val="center"/>
        </w:trPr>
        <w:tc>
          <w:tcPr>
            <w:tcW w:w="2634" w:type="dxa"/>
            <w:shd w:val="clear" w:color="auto" w:fill="auto"/>
          </w:tcPr>
          <w:p w14:paraId="02569592" w14:textId="77777777" w:rsidR="002B759B" w:rsidRDefault="002B759B">
            <w:pPr>
              <w:pStyle w:val="Subtitle"/>
            </w:pPr>
            <w:r>
              <w:t>Stephan-Boltzmann constant</w:t>
            </w:r>
          </w:p>
        </w:tc>
        <w:tc>
          <w:tcPr>
            <w:tcW w:w="1586" w:type="dxa"/>
            <w:shd w:val="clear" w:color="auto" w:fill="auto"/>
          </w:tcPr>
          <w:p w14:paraId="4EB4AA93" w14:textId="77777777" w:rsidR="002B759B" w:rsidRPr="00F52EC2" w:rsidRDefault="002B759B">
            <w:pPr>
              <w:pStyle w:val="Subtitle"/>
              <w:rPr>
                <w:i/>
              </w:rPr>
            </w:pPr>
            <w:r w:rsidRPr="00F52EC2">
              <w:rPr>
                <w:i/>
              </w:rPr>
              <w:t>σ</w:t>
            </w:r>
          </w:p>
        </w:tc>
        <w:tc>
          <w:tcPr>
            <w:tcW w:w="1740" w:type="dxa"/>
            <w:shd w:val="clear" w:color="auto" w:fill="auto"/>
          </w:tcPr>
          <w:p w14:paraId="0400AD83" w14:textId="4673833C" w:rsidR="002B759B" w:rsidRDefault="002B759B">
            <w:pPr>
              <w:pStyle w:val="Subtitle"/>
            </w:pPr>
            <w:r w:rsidRPr="00D84A9E">
              <w:t>5.669×10</w:t>
            </w:r>
            <w:r w:rsidRPr="000C15A5">
              <w:rPr>
                <w:vertAlign w:val="superscript"/>
              </w:rPr>
              <w:t>-8</w:t>
            </w:r>
            <w:r w:rsidRPr="00396E77">
              <w:rPr>
                <w:vertAlign w:val="superscript"/>
              </w:rPr>
              <w:t xml:space="preserve"> </w:t>
            </w:r>
            <w:r w:rsidR="00357815">
              <w:t xml:space="preserve">W </w:t>
            </w:r>
            <w:r>
              <w:t>m</w:t>
            </w:r>
            <w:r w:rsidRPr="00396E77">
              <w:rPr>
                <w:vertAlign w:val="superscript"/>
              </w:rPr>
              <w:t>2</w:t>
            </w:r>
            <w:r>
              <w:rPr>
                <w:vertAlign w:val="superscript"/>
              </w:rPr>
              <w:t xml:space="preserve"> </w:t>
            </w:r>
            <w:r w:rsidRPr="00D84A9E">
              <w:t>K</w:t>
            </w:r>
            <w:r w:rsidRPr="00396E77">
              <w:rPr>
                <w:vertAlign w:val="superscript"/>
              </w:rPr>
              <w:t>-1</w:t>
            </w:r>
          </w:p>
        </w:tc>
        <w:tc>
          <w:tcPr>
            <w:tcW w:w="3056" w:type="dxa"/>
            <w:shd w:val="clear" w:color="auto" w:fill="auto"/>
          </w:tcPr>
          <w:p w14:paraId="290D387B" w14:textId="524C62D4" w:rsidR="002B759B" w:rsidRDefault="002B759B">
            <w:pPr>
              <w:pStyle w:val="Subtitle"/>
            </w:pPr>
            <w:r>
              <w:fldChar w:fldCharType="begin" w:fldLock="1"/>
            </w:r>
            <w:r w:rsidR="00875DEE">
              <w:instrText>ADDIN CSL_CITATION { "citationItems" : [ { "id" : "ITEM-1", "itemData" : { "ISBN" : "0-07-112230-3 (ISE)", "author" : [ { "dropping-particle" : "", "family" : "Holman", "given" : "J.P.", "non-dropping-particle" : "", "parse-names" : false, "suffix" : "" } ], "edition" : "9", "id" : "ITEM-1", "issued" : { "date-parts" : [ [ "2002" ] ] }, "publisher" : "McGraw-Hill", "title" : "Heat Transfer", "type" : "book" }, "locator" : "368", "uris" : [ "http://www.mendeley.com/documents/?uuid=27215682-485f-412f-972d-1118c7a2516c" ] } ], "mendeley" : { "formattedCitation" : "(Holman 2002, p.368)", "plainTextFormattedCitation" : "(Holman 2002, p.368)", "previouslyFormattedCitation" : "(Holman 2002, p.368)" }, "properties" : { "noteIndex" : 0 }, "schema" : "https://github.com/citation-style-language/schema/raw/master/csl-citation.json" }</w:instrText>
            </w:r>
            <w:r>
              <w:fldChar w:fldCharType="separate"/>
            </w:r>
            <w:r w:rsidR="00875DEE" w:rsidRPr="00875DEE">
              <w:rPr>
                <w:noProof/>
              </w:rPr>
              <w:t>(Holman 2002, p.368)</w:t>
            </w:r>
            <w:r>
              <w:fldChar w:fldCharType="end"/>
            </w:r>
          </w:p>
        </w:tc>
      </w:tr>
      <w:tr w:rsidR="002B759B" w:rsidRPr="00396E77" w14:paraId="32A96D31" w14:textId="77777777" w:rsidTr="00EA4BBA">
        <w:trPr>
          <w:jc w:val="center"/>
        </w:trPr>
        <w:tc>
          <w:tcPr>
            <w:tcW w:w="2634" w:type="dxa"/>
            <w:shd w:val="clear" w:color="auto" w:fill="auto"/>
          </w:tcPr>
          <w:p w14:paraId="601AC406" w14:textId="77777777" w:rsidR="002B759B" w:rsidRDefault="002B759B">
            <w:pPr>
              <w:pStyle w:val="Subtitle"/>
            </w:pPr>
            <w:r>
              <w:t>Radiation shape factor surface 1 to 4 (aperture).</w:t>
            </w:r>
          </w:p>
        </w:tc>
        <w:tc>
          <w:tcPr>
            <w:tcW w:w="1586" w:type="dxa"/>
            <w:shd w:val="clear" w:color="auto" w:fill="auto"/>
          </w:tcPr>
          <w:p w14:paraId="7DDEF61D" w14:textId="77777777" w:rsidR="002B759B" w:rsidRPr="008C3622" w:rsidRDefault="00A47317">
            <w:pPr>
              <w:pStyle w:val="Subtitle"/>
            </w:pPr>
            <m:oMathPara>
              <m:oMath>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1→4</m:t>
                    </m:r>
                  </m:sub>
                </m:sSub>
              </m:oMath>
            </m:oMathPara>
          </w:p>
        </w:tc>
        <w:tc>
          <w:tcPr>
            <w:tcW w:w="1740" w:type="dxa"/>
            <w:shd w:val="clear" w:color="auto" w:fill="auto"/>
          </w:tcPr>
          <w:p w14:paraId="6D94B1DD" w14:textId="77777777" w:rsidR="002B759B" w:rsidRPr="008C3622" w:rsidRDefault="002B759B">
            <w:pPr>
              <w:pStyle w:val="Subtitle"/>
            </w:pPr>
            <m:oMathPara>
              <m:oMath>
                <m:r>
                  <w:rPr>
                    <w:rFonts w:ascii="Cambria Math" w:eastAsia="Times New Roman" w:hAnsi="Cambria Math"/>
                  </w:rPr>
                  <m:t>0.0404</m:t>
                </m:r>
              </m:oMath>
            </m:oMathPara>
          </w:p>
        </w:tc>
        <w:tc>
          <w:tcPr>
            <w:tcW w:w="3056" w:type="dxa"/>
            <w:vMerge w:val="restart"/>
            <w:shd w:val="clear" w:color="auto" w:fill="auto"/>
          </w:tcPr>
          <w:p w14:paraId="7C786AE2" w14:textId="77777777" w:rsidR="002B759B" w:rsidRDefault="002B759B">
            <w:pPr>
              <w:pStyle w:val="Subtitle"/>
            </w:pPr>
            <w:r>
              <w:t>Appendix ID6</w:t>
            </w:r>
          </w:p>
        </w:tc>
      </w:tr>
      <w:tr w:rsidR="002B759B" w:rsidRPr="00396E77" w14:paraId="153D307F" w14:textId="77777777" w:rsidTr="00EA4BBA">
        <w:trPr>
          <w:jc w:val="center"/>
        </w:trPr>
        <w:tc>
          <w:tcPr>
            <w:tcW w:w="2634" w:type="dxa"/>
            <w:shd w:val="clear" w:color="auto" w:fill="auto"/>
          </w:tcPr>
          <w:p w14:paraId="28CECBD7" w14:textId="77777777" w:rsidR="002B759B" w:rsidRDefault="002B759B">
            <w:pPr>
              <w:pStyle w:val="Subtitle"/>
            </w:pPr>
            <w:r>
              <w:t xml:space="preserve">Radiation shape factor from surface 3 to 4. </w:t>
            </w:r>
          </w:p>
        </w:tc>
        <w:tc>
          <w:tcPr>
            <w:tcW w:w="1586" w:type="dxa"/>
            <w:shd w:val="clear" w:color="auto" w:fill="auto"/>
          </w:tcPr>
          <w:p w14:paraId="206EC52F" w14:textId="77777777" w:rsidR="002B759B" w:rsidRPr="008C3622" w:rsidRDefault="00A47317">
            <w:pPr>
              <w:pStyle w:val="Subtitle"/>
            </w:pPr>
            <m:oMathPara>
              <m:oMath>
                <m:sSub>
                  <m:sSubPr>
                    <m:ctrlPr>
                      <w:rPr>
                        <w:rFonts w:ascii="Cambria Math" w:eastAsia="Times New Roman" w:hAnsi="Cambria Math"/>
                        <w:i/>
                      </w:rPr>
                    </m:ctrlPr>
                  </m:sSubPr>
                  <m:e>
                    <m:r>
                      <w:rPr>
                        <w:rFonts w:ascii="Cambria Math" w:eastAsia="Times New Roman" w:hAnsi="Cambria Math"/>
                      </w:rPr>
                      <m:t>F</m:t>
                    </m:r>
                  </m:e>
                  <m:sub>
                    <m:r>
                      <w:rPr>
                        <w:rFonts w:ascii="Cambria Math" w:eastAsia="Times New Roman" w:hAnsi="Cambria Math"/>
                      </w:rPr>
                      <m:t>3→4</m:t>
                    </m:r>
                  </m:sub>
                </m:sSub>
              </m:oMath>
            </m:oMathPara>
          </w:p>
        </w:tc>
        <w:tc>
          <w:tcPr>
            <w:tcW w:w="1740" w:type="dxa"/>
            <w:shd w:val="clear" w:color="auto" w:fill="auto"/>
          </w:tcPr>
          <w:p w14:paraId="548F59E4" w14:textId="77777777" w:rsidR="002B759B" w:rsidRPr="008C3622" w:rsidRDefault="002B759B">
            <w:pPr>
              <w:pStyle w:val="Subtitle"/>
            </w:pPr>
            <m:oMathPara>
              <m:oMath>
                <m:r>
                  <w:rPr>
                    <w:rFonts w:ascii="Cambria Math" w:eastAsia="Times New Roman" w:hAnsi="Cambria Math"/>
                  </w:rPr>
                  <m:t xml:space="preserve"> 0.0257</m:t>
                </m:r>
              </m:oMath>
            </m:oMathPara>
          </w:p>
        </w:tc>
        <w:tc>
          <w:tcPr>
            <w:tcW w:w="3056" w:type="dxa"/>
            <w:vMerge/>
            <w:shd w:val="clear" w:color="auto" w:fill="auto"/>
          </w:tcPr>
          <w:p w14:paraId="1A78540D" w14:textId="77777777" w:rsidR="002B759B" w:rsidRDefault="002B759B">
            <w:pPr>
              <w:pStyle w:val="Subtitle"/>
            </w:pPr>
          </w:p>
        </w:tc>
      </w:tr>
      <w:tr w:rsidR="002B759B" w:rsidRPr="00396E77" w14:paraId="55316E5C" w14:textId="77777777" w:rsidTr="00EA4BBA">
        <w:trPr>
          <w:jc w:val="center"/>
        </w:trPr>
        <w:tc>
          <w:tcPr>
            <w:tcW w:w="2634" w:type="dxa"/>
            <w:shd w:val="clear" w:color="auto" w:fill="auto"/>
          </w:tcPr>
          <w:p w14:paraId="677A2D55" w14:textId="77777777" w:rsidR="002B759B" w:rsidRDefault="002B759B">
            <w:pPr>
              <w:pStyle w:val="Subtitle"/>
            </w:pPr>
            <w:r>
              <w:t>Surface area 1</w:t>
            </w:r>
          </w:p>
        </w:tc>
        <w:tc>
          <w:tcPr>
            <w:tcW w:w="1586" w:type="dxa"/>
            <w:shd w:val="clear" w:color="auto" w:fill="auto"/>
          </w:tcPr>
          <w:p w14:paraId="552A14BB" w14:textId="77777777" w:rsidR="002B759B" w:rsidRPr="008C3622" w:rsidRDefault="00A47317">
            <w:pPr>
              <w:pStyle w:val="Subtitle"/>
            </w:pPr>
            <m:oMathPara>
              <m:oMath>
                <m:sSub>
                  <m:sSubPr>
                    <m:ctrlPr>
                      <w:rPr>
                        <w:rFonts w:ascii="Cambria Math" w:eastAsia="Times New Roman" w:hAnsi="Cambria Math"/>
                        <w:i/>
                      </w:rPr>
                    </m:ctrlPr>
                  </m:sSubPr>
                  <m:e>
                    <m:r>
                      <w:rPr>
                        <w:rFonts w:ascii="Cambria Math" w:eastAsia="Times New Roman" w:hAnsi="Cambria Math"/>
                      </w:rPr>
                      <m:t>A</m:t>
                    </m:r>
                  </m:e>
                  <m:sub>
                    <m:r>
                      <w:rPr>
                        <w:rFonts w:ascii="Cambria Math" w:eastAsia="Times New Roman" w:hAnsi="Cambria Math"/>
                      </w:rPr>
                      <m:t>1</m:t>
                    </m:r>
                  </m:sub>
                </m:sSub>
              </m:oMath>
            </m:oMathPara>
          </w:p>
        </w:tc>
        <w:tc>
          <w:tcPr>
            <w:tcW w:w="1740" w:type="dxa"/>
            <w:shd w:val="clear" w:color="auto" w:fill="auto"/>
          </w:tcPr>
          <w:p w14:paraId="4A6A37A1" w14:textId="50038C18" w:rsidR="002B759B" w:rsidRPr="008C3622" w:rsidRDefault="002B759B">
            <w:pPr>
              <w:pStyle w:val="Subtitle"/>
            </w:pPr>
            <m:oMathPara>
              <m:oMath>
                <m:r>
                  <w:rPr>
                    <w:rFonts w:ascii="Cambria Math" w:eastAsia="Times New Roman" w:hAnsi="Cambria Math"/>
                  </w:rPr>
                  <m:t xml:space="preserve">275 </m:t>
                </m:r>
                <m:r>
                  <m:rPr>
                    <m:sty m:val="p"/>
                  </m:rPr>
                  <w:rPr>
                    <w:rFonts w:ascii="Cambria Math" w:eastAsia="Times New Roman" w:hAnsi="Cambria Math"/>
                  </w:rPr>
                  <m:t>c</m:t>
                </m:r>
                <m:sSup>
                  <m:sSupPr>
                    <m:ctrlPr>
                      <w:rPr>
                        <w:rFonts w:ascii="Cambria Math" w:eastAsia="Times New Roman" w:hAnsi="Cambria Math"/>
                      </w:rPr>
                    </m:ctrlPr>
                  </m:sSupPr>
                  <m:e>
                    <m:r>
                      <m:rPr>
                        <m:sty m:val="p"/>
                      </m:rPr>
                      <w:rPr>
                        <w:rFonts w:ascii="Cambria Math" w:eastAsia="Times New Roman" w:hAnsi="Cambria Math"/>
                      </w:rPr>
                      <m:t>m</m:t>
                    </m:r>
                  </m:e>
                  <m:sup>
                    <m:r>
                      <m:rPr>
                        <m:sty m:val="p"/>
                      </m:rPr>
                      <w:rPr>
                        <w:rFonts w:ascii="Cambria Math" w:eastAsia="Times New Roman" w:hAnsi="Cambria Math"/>
                      </w:rPr>
                      <m:t>2</m:t>
                    </m:r>
                  </m:sup>
                </m:sSup>
              </m:oMath>
            </m:oMathPara>
          </w:p>
        </w:tc>
        <w:tc>
          <w:tcPr>
            <w:tcW w:w="3056" w:type="dxa"/>
            <w:vMerge/>
            <w:shd w:val="clear" w:color="auto" w:fill="auto"/>
          </w:tcPr>
          <w:p w14:paraId="67E4F254" w14:textId="77777777" w:rsidR="002B759B" w:rsidRDefault="002B759B">
            <w:pPr>
              <w:pStyle w:val="Subtitle"/>
            </w:pPr>
          </w:p>
        </w:tc>
      </w:tr>
      <w:tr w:rsidR="002B759B" w:rsidRPr="00396E77" w14:paraId="01E93746" w14:textId="77777777" w:rsidTr="00EA4BBA">
        <w:trPr>
          <w:jc w:val="center"/>
        </w:trPr>
        <w:tc>
          <w:tcPr>
            <w:tcW w:w="2634" w:type="dxa"/>
            <w:shd w:val="clear" w:color="auto" w:fill="auto"/>
          </w:tcPr>
          <w:p w14:paraId="6463A433" w14:textId="77777777" w:rsidR="002B759B" w:rsidRDefault="002B759B">
            <w:pPr>
              <w:pStyle w:val="Subtitle"/>
            </w:pPr>
            <w:r>
              <w:t>Surface area 3</w:t>
            </w:r>
          </w:p>
        </w:tc>
        <w:tc>
          <w:tcPr>
            <w:tcW w:w="1586" w:type="dxa"/>
            <w:shd w:val="clear" w:color="auto" w:fill="auto"/>
          </w:tcPr>
          <w:p w14:paraId="5D9F1E21" w14:textId="77777777" w:rsidR="002B759B" w:rsidRPr="008C3622" w:rsidRDefault="00A47317">
            <w:pPr>
              <w:pStyle w:val="Subtitle"/>
            </w:pPr>
            <m:oMathPara>
              <m:oMath>
                <m:sSub>
                  <m:sSubPr>
                    <m:ctrlPr>
                      <w:rPr>
                        <w:rFonts w:ascii="Cambria Math" w:eastAsia="Times New Roman" w:hAnsi="Cambria Math"/>
                        <w:i/>
                      </w:rPr>
                    </m:ctrlPr>
                  </m:sSubPr>
                  <m:e>
                    <m:r>
                      <w:rPr>
                        <w:rFonts w:ascii="Cambria Math" w:eastAsia="Times New Roman" w:hAnsi="Cambria Math"/>
                      </w:rPr>
                      <m:t>A</m:t>
                    </m:r>
                  </m:e>
                  <m:sub>
                    <m:r>
                      <w:rPr>
                        <w:rFonts w:ascii="Cambria Math" w:eastAsia="Times New Roman" w:hAnsi="Cambria Math"/>
                      </w:rPr>
                      <m:t>3</m:t>
                    </m:r>
                  </m:sub>
                </m:sSub>
              </m:oMath>
            </m:oMathPara>
          </w:p>
        </w:tc>
        <w:tc>
          <w:tcPr>
            <w:tcW w:w="1740" w:type="dxa"/>
            <w:shd w:val="clear" w:color="auto" w:fill="auto"/>
          </w:tcPr>
          <w:p w14:paraId="3C53BD84" w14:textId="78700155" w:rsidR="002B759B" w:rsidRPr="008C3622" w:rsidRDefault="002B759B">
            <w:pPr>
              <w:pStyle w:val="Subtitle"/>
            </w:pPr>
            <m:oMathPara>
              <m:oMath>
                <m:r>
                  <w:rPr>
                    <w:rFonts w:ascii="Cambria Math" w:eastAsia="Times New Roman" w:hAnsi="Cambria Math"/>
                  </w:rPr>
                  <m:t xml:space="preserve">670 </m:t>
                </m:r>
                <m:sSup>
                  <m:sSupPr>
                    <m:ctrlPr>
                      <w:rPr>
                        <w:rFonts w:ascii="Cambria Math" w:eastAsia="Times New Roman" w:hAnsi="Cambria Math"/>
                      </w:rPr>
                    </m:ctrlPr>
                  </m:sSupPr>
                  <m:e>
                    <m:r>
                      <m:rPr>
                        <m:sty m:val="p"/>
                      </m:rPr>
                      <w:rPr>
                        <w:rFonts w:ascii="Cambria Math" w:eastAsia="Times New Roman" w:hAnsi="Cambria Math"/>
                      </w:rPr>
                      <m:t>cm</m:t>
                    </m:r>
                  </m:e>
                  <m:sup>
                    <m:r>
                      <m:rPr>
                        <m:sty m:val="p"/>
                      </m:rPr>
                      <w:rPr>
                        <w:rFonts w:ascii="Cambria Math" w:eastAsia="Times New Roman" w:hAnsi="Cambria Math"/>
                      </w:rPr>
                      <m:t>2</m:t>
                    </m:r>
                  </m:sup>
                </m:sSup>
              </m:oMath>
            </m:oMathPara>
          </w:p>
        </w:tc>
        <w:tc>
          <w:tcPr>
            <w:tcW w:w="3056" w:type="dxa"/>
            <w:vMerge/>
            <w:shd w:val="clear" w:color="auto" w:fill="auto"/>
          </w:tcPr>
          <w:p w14:paraId="739A4F83" w14:textId="77777777" w:rsidR="002B759B" w:rsidRDefault="002B759B">
            <w:pPr>
              <w:pStyle w:val="Subtitle"/>
            </w:pPr>
          </w:p>
        </w:tc>
      </w:tr>
    </w:tbl>
    <w:p w14:paraId="6AFA3472" w14:textId="77777777" w:rsidR="002B759B" w:rsidRDefault="002B759B" w:rsidP="00EA4BBA">
      <w:pPr>
        <w:pStyle w:val="Caption"/>
        <w:keepNext/>
      </w:pPr>
      <w:bookmarkStart w:id="203" w:name="_Ref451076922"/>
      <w:r>
        <w:t xml:space="preserve">Table </w:t>
      </w:r>
      <w:r w:rsidR="00A47317">
        <w:fldChar w:fldCharType="begin"/>
      </w:r>
      <w:r w:rsidR="00A47317">
        <w:instrText xml:space="preserve"> SEQ Table \* ARABIC </w:instrText>
      </w:r>
      <w:r w:rsidR="00A47317">
        <w:fldChar w:fldCharType="separate"/>
      </w:r>
      <w:r w:rsidR="00486837">
        <w:rPr>
          <w:noProof/>
        </w:rPr>
        <w:t>5</w:t>
      </w:r>
      <w:r w:rsidR="00A47317">
        <w:rPr>
          <w:noProof/>
        </w:rPr>
        <w:fldChar w:fldCharType="end"/>
      </w:r>
      <w:bookmarkEnd w:id="203"/>
      <w:r>
        <w:t>: Parameters involved in heat transfer calculations for the solar-heated glass melting process.</w:t>
      </w:r>
    </w:p>
    <w:p w14:paraId="1BBAE637" w14:textId="47758389" w:rsidR="002B759B" w:rsidRDefault="002B759B" w:rsidP="002B759B">
      <w:pPr>
        <w:pStyle w:val="Heading2"/>
        <w:numPr>
          <w:ilvl w:val="1"/>
          <w:numId w:val="21"/>
        </w:numPr>
        <w:spacing w:before="100" w:after="100"/>
        <w:contextualSpacing w:val="0"/>
      </w:pPr>
      <w:bookmarkStart w:id="204" w:name="_Toc473995174"/>
      <w:r>
        <w:t>Discussion</w:t>
      </w:r>
      <w:bookmarkEnd w:id="189"/>
      <w:bookmarkEnd w:id="204"/>
    </w:p>
    <w:p w14:paraId="08BC4AC3" w14:textId="77777777" w:rsidR="001A7CFD" w:rsidRDefault="001A7CFD" w:rsidP="001A7CFD">
      <w:pPr>
        <w:pStyle w:val="Heading3"/>
        <w:keepLines w:val="0"/>
        <w:numPr>
          <w:ilvl w:val="2"/>
          <w:numId w:val="21"/>
        </w:numPr>
        <w:spacing w:before="100" w:after="100"/>
        <w:contextualSpacing w:val="0"/>
      </w:pPr>
      <w:bookmarkStart w:id="205" w:name="_Ref451036522"/>
      <w:r>
        <w:t>Theoretical energy requirement for batch to glass conversion</w:t>
      </w:r>
    </w:p>
    <w:p w14:paraId="3A8CD8E2" w14:textId="77777777" w:rsidR="001A7CFD" w:rsidRDefault="001A7CFD" w:rsidP="001A7CFD">
      <w:r>
        <w:t>Carvalho (1998) presented the results of the Theoretical Energy Requirement (TER) for production of clear container (soda-lime-silica) glass from batch as a function of temperature obtained by calorimetry measurements. The value of 2635 J g</w:t>
      </w:r>
      <w:r>
        <w:rPr>
          <w:vertAlign w:val="superscript"/>
        </w:rPr>
        <w:t>-1</w:t>
      </w:r>
      <w:r>
        <w:t xml:space="preserve"> used in the current work is obtained by interpolating Carvalho’s (1998) results for the TER of clear container glass at a temperature of 1461</w:t>
      </w:r>
      <w:r>
        <w:rPr>
          <w:vertAlign w:val="superscript"/>
        </w:rPr>
        <w:t>o</w:t>
      </w:r>
      <w:r>
        <w:t xml:space="preserve">C as per the results of the experiments described in the current work (Table </w:t>
      </w:r>
      <w:r>
        <w:lastRenderedPageBreak/>
        <w:t xml:space="preserve">4). This value of the TER was selected for the calculations described in section 5.7 as it represented the best approximation possible based on the data available. </w:t>
      </w:r>
    </w:p>
    <w:p w14:paraId="02EBAA0F" w14:textId="41B2CF17" w:rsidR="001A7CFD" w:rsidRDefault="001A7CFD" w:rsidP="001A7CFD">
      <w:r>
        <w:t xml:space="preserve">Carvalho (1998) explained methods for calculating the TER for soda-lime-silica glass formation based on the composition of the glass. </w:t>
      </w:r>
      <w:r w:rsidR="0058732E">
        <w:t>T</w:t>
      </w:r>
      <w:r>
        <w:t xml:space="preserve">he accuracy of these calculations are measured by comparison to the calorimetry measurements and the difference between them is assumed to the error in the calculations. </w:t>
      </w:r>
      <w:r w:rsidR="00486837">
        <w:t>F</w:t>
      </w:r>
      <w:r>
        <w:t xml:space="preserve">or the purpose of the calculations described in section 5.7 the experimental value rather than calculated value for TER is used. </w:t>
      </w:r>
    </w:p>
    <w:p w14:paraId="23000BAB" w14:textId="77777777" w:rsidR="002D4BB7" w:rsidRDefault="001A7CFD" w:rsidP="00A47317">
      <w:r>
        <w:t xml:space="preserve">For completeness, the calculated value for the TER (according to the method described by Carvalho (1998)) for </w:t>
      </w:r>
      <w:r w:rsidR="00EA7B23">
        <w:t>all the</w:t>
      </w:r>
      <w:r>
        <w:t xml:space="preserve"> </w:t>
      </w:r>
      <w:r w:rsidR="00EA7B23">
        <w:t>glasses melted</w:t>
      </w:r>
      <w:r>
        <w:t xml:space="preserve"> </w:t>
      </w:r>
      <w:r w:rsidR="00EA7B23">
        <w:t xml:space="preserve">in </w:t>
      </w:r>
      <w:r>
        <w:t xml:space="preserve">the experiments described in </w:t>
      </w:r>
      <w:r w:rsidR="00EA7B23">
        <w:t>this thesis</w:t>
      </w:r>
      <w:r>
        <w:t xml:space="preserve"> are set out in Appendix ID 11 </w:t>
      </w:r>
      <w:r w:rsidR="00486837">
        <w:t>and summarised in Tables 6 and 7</w:t>
      </w:r>
      <w:r>
        <w:t>.</w:t>
      </w:r>
      <w:r w:rsidR="00EA7B23">
        <w:t xml:space="preserve"> These calculations only take into acc</w:t>
      </w:r>
      <w:r w:rsidR="002D4BB7">
        <w:t xml:space="preserve">ount the major oxides involved: </w:t>
      </w:r>
      <w:r w:rsidR="00EA7B23">
        <w:t>SiO</w:t>
      </w:r>
      <w:r w:rsidR="00EA7B23">
        <w:rPr>
          <w:vertAlign w:val="subscript"/>
        </w:rPr>
        <w:t>2</w:t>
      </w:r>
      <w:r w:rsidR="00EA7B23">
        <w:t xml:space="preserve"> , CaO, Na</w:t>
      </w:r>
      <w:r w:rsidR="00EA7B23">
        <w:rPr>
          <w:vertAlign w:val="subscript"/>
        </w:rPr>
        <w:t>2</w:t>
      </w:r>
      <w:r w:rsidR="00EA7B23">
        <w:t>O</w:t>
      </w:r>
      <w:r w:rsidR="002D4BB7">
        <w:t>. It is</w:t>
      </w:r>
      <w:r w:rsidR="00EA7B23">
        <w:t xml:space="preserve"> assume</w:t>
      </w:r>
      <w:r w:rsidR="002D4BB7">
        <w:t>d</w:t>
      </w:r>
      <w:r w:rsidR="00EA7B23">
        <w:t xml:space="preserve"> that after these </w:t>
      </w:r>
      <w:r w:rsidR="002D4BB7">
        <w:t xml:space="preserve">crystalline </w:t>
      </w:r>
      <w:r w:rsidR="00EA7B23">
        <w:t>oxides are formed from the</w:t>
      </w:r>
      <w:r w:rsidR="002D4BB7">
        <w:t>ir</w:t>
      </w:r>
      <w:r w:rsidR="00EA7B23">
        <w:t xml:space="preserve"> raw materials</w:t>
      </w:r>
      <w:r w:rsidR="002D4BB7">
        <w:t>,</w:t>
      </w:r>
      <w:r w:rsidR="00EA7B23">
        <w:t xml:space="preserve"> they undergo a series of reaction to form </w:t>
      </w:r>
      <w:r w:rsidR="002D4BB7">
        <w:t xml:space="preserve">vitreous </w:t>
      </w:r>
      <w:r w:rsidR="002D4BB7" w:rsidRPr="00A47317">
        <w:rPr>
          <w:rFonts w:ascii="Calibri" w:eastAsia="Times New Roman" w:hAnsi="Calibri" w:cs="Times New Roman"/>
          <w:color w:val="000000"/>
        </w:rPr>
        <w:t>Na</w:t>
      </w:r>
      <w:r w:rsidR="002D4BB7" w:rsidRPr="003D40B5">
        <w:rPr>
          <w:rFonts w:ascii="Calibri" w:eastAsia="Times New Roman" w:hAnsi="Calibri" w:cs="Times New Roman"/>
          <w:color w:val="000000"/>
          <w:vertAlign w:val="subscript"/>
        </w:rPr>
        <w:t>2</w:t>
      </w:r>
      <w:r w:rsidR="002D4BB7" w:rsidRPr="00A47317">
        <w:rPr>
          <w:rFonts w:ascii="Calibri" w:eastAsia="Times New Roman" w:hAnsi="Calibri" w:cs="Times New Roman"/>
          <w:color w:val="000000"/>
        </w:rPr>
        <w:t>O.3CaO.6SiO</w:t>
      </w:r>
      <w:r w:rsidR="002D4BB7" w:rsidRPr="003D40B5">
        <w:rPr>
          <w:rFonts w:ascii="Calibri" w:eastAsia="Times New Roman" w:hAnsi="Calibri" w:cs="Times New Roman"/>
          <w:color w:val="000000"/>
          <w:vertAlign w:val="subscript"/>
        </w:rPr>
        <w:t>2</w:t>
      </w:r>
      <w:r w:rsidR="002D4BB7">
        <w:rPr>
          <w:rFonts w:ascii="Calibri" w:eastAsia="Times New Roman" w:hAnsi="Calibri" w:cs="Times New Roman"/>
          <w:color w:val="000000"/>
        </w:rPr>
        <w:t xml:space="preserve"> , </w:t>
      </w:r>
      <w:r w:rsidR="002D4BB7" w:rsidRPr="00A47317">
        <w:rPr>
          <w:rFonts w:ascii="Calibri" w:eastAsia="Times New Roman" w:hAnsi="Calibri" w:cs="Times New Roman"/>
          <w:color w:val="000000"/>
        </w:rPr>
        <w:t>Na</w:t>
      </w:r>
      <w:r w:rsidR="002D4BB7" w:rsidRPr="003D40B5">
        <w:rPr>
          <w:rFonts w:ascii="Calibri" w:eastAsia="Times New Roman" w:hAnsi="Calibri" w:cs="Times New Roman"/>
          <w:color w:val="000000"/>
          <w:vertAlign w:val="subscript"/>
        </w:rPr>
        <w:t>2</w:t>
      </w:r>
      <w:r w:rsidR="002D4BB7" w:rsidRPr="00A47317">
        <w:rPr>
          <w:rFonts w:ascii="Calibri" w:eastAsia="Times New Roman" w:hAnsi="Calibri" w:cs="Times New Roman"/>
          <w:color w:val="000000"/>
        </w:rPr>
        <w:t>O.2SiO</w:t>
      </w:r>
      <w:r w:rsidR="002D4BB7" w:rsidRPr="003D40B5">
        <w:rPr>
          <w:rFonts w:ascii="Calibri" w:eastAsia="Times New Roman" w:hAnsi="Calibri" w:cs="Times New Roman"/>
          <w:color w:val="000000"/>
          <w:vertAlign w:val="subscript"/>
        </w:rPr>
        <w:t>2</w:t>
      </w:r>
      <w:r w:rsidR="002D4BB7">
        <w:rPr>
          <w:rFonts w:ascii="Calibri" w:eastAsia="Times New Roman" w:hAnsi="Calibri" w:cs="Times New Roman"/>
          <w:color w:val="000000"/>
        </w:rPr>
        <w:t xml:space="preserve"> and SiO</w:t>
      </w:r>
      <w:r w:rsidR="002D4BB7">
        <w:rPr>
          <w:rFonts w:ascii="Calibri" w:eastAsia="Times New Roman" w:hAnsi="Calibri" w:cs="Times New Roman"/>
          <w:color w:val="000000"/>
          <w:vertAlign w:val="subscript"/>
        </w:rPr>
        <w:t>2</w:t>
      </w:r>
      <w:r w:rsidR="00EA7B23">
        <w:t>.</w:t>
      </w:r>
      <w:r>
        <w:t xml:space="preserve"> </w:t>
      </w:r>
    </w:p>
    <w:p w14:paraId="33E23948" w14:textId="53CC73DD" w:rsidR="001A7CFD" w:rsidRDefault="001A7CFD" w:rsidP="00A47317">
      <w:r>
        <w:t xml:space="preserve">The exact composition of the pelletised batch used in experiment D4 was not specified by the supplier of the batch (Apollo Furnace Ltd, UK) for proprietary reasons but it was known to be a soda-lime-silica composition as typically used for the manufacture of clear container glass. So for these calculations assume a typical composition for clear container soda-lime-silica glass according to </w:t>
      </w:r>
      <w:r w:rsidRPr="001A7CFD">
        <w:t>Smrcek</w:t>
      </w:r>
      <w:r>
        <w:t xml:space="preserve"> (2010) of (wt%) 72.3% SiO</w:t>
      </w:r>
      <w:r>
        <w:rPr>
          <w:vertAlign w:val="subscript"/>
        </w:rPr>
        <w:t>2</w:t>
      </w:r>
      <w:r>
        <w:t>, 13.5% Na</w:t>
      </w:r>
      <w:r>
        <w:rPr>
          <w:vertAlign w:val="subscript"/>
        </w:rPr>
        <w:t>2</w:t>
      </w:r>
      <w:r>
        <w:t>O, 9.7% CaO and 4.5% other minor components.</w:t>
      </w:r>
      <w:r w:rsidR="00EA7B23">
        <w:t xml:space="preserve"> </w:t>
      </w:r>
    </w:p>
    <w:p w14:paraId="6B36710D" w14:textId="77D27343" w:rsidR="000D45E8" w:rsidRDefault="000D45E8" w:rsidP="000D45E8">
      <w:pPr>
        <w:pStyle w:val="Caption"/>
        <w:keepNext/>
      </w:pPr>
      <w:r>
        <w:t xml:space="preserve">Table </w:t>
      </w:r>
      <w:r>
        <w:fldChar w:fldCharType="begin"/>
      </w:r>
      <w:r>
        <w:instrText xml:space="preserve"> SEQ Table \* ARABIC </w:instrText>
      </w:r>
      <w:r>
        <w:fldChar w:fldCharType="separate"/>
      </w:r>
      <w:r w:rsidR="00486837">
        <w:rPr>
          <w:noProof/>
        </w:rPr>
        <w:t>6</w:t>
      </w:r>
      <w:r>
        <w:fldChar w:fldCharType="end"/>
      </w:r>
      <w:r>
        <w:t xml:space="preserve">: Input constants (thermodynamic properties) assumed  for calculations of Theoretical Energy Requirements (TER) </w:t>
      </w:r>
      <w:r w:rsidR="00486837">
        <w:t xml:space="preserve">for the production </w:t>
      </w:r>
      <w:r>
        <w:t xml:space="preserve">of glasses discussed in </w:t>
      </w:r>
      <w:r w:rsidR="00486837">
        <w:t>S</w:t>
      </w:r>
      <w:r>
        <w:t>ection 5.8.1.</w:t>
      </w:r>
    </w:p>
    <w:tbl>
      <w:tblPr>
        <w:tblW w:w="8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851"/>
        <w:gridCol w:w="1984"/>
        <w:gridCol w:w="2430"/>
      </w:tblGrid>
      <w:tr w:rsidR="00A47317" w:rsidRPr="00A47317" w14:paraId="7949FEDD" w14:textId="77777777" w:rsidTr="00486837">
        <w:trPr>
          <w:trHeight w:val="262"/>
        </w:trPr>
        <w:tc>
          <w:tcPr>
            <w:tcW w:w="3397" w:type="dxa"/>
            <w:shd w:val="clear" w:color="auto" w:fill="auto"/>
            <w:noWrap/>
            <w:vAlign w:val="bottom"/>
            <w:hideMark/>
          </w:tcPr>
          <w:p w14:paraId="7F779027" w14:textId="690A04C7" w:rsidR="00A47317" w:rsidRPr="00A47317" w:rsidRDefault="00486837" w:rsidP="00A47317">
            <w:pPr>
              <w:spacing w:after="0" w:line="240" w:lineRule="auto"/>
              <w:ind w:firstLine="0"/>
              <w:contextualSpacing w:val="0"/>
              <w:jc w:val="left"/>
              <w:rPr>
                <w:rFonts w:eastAsia="Times New Roman" w:cs="Times New Roman"/>
                <w:sz w:val="24"/>
                <w:szCs w:val="24"/>
              </w:rPr>
            </w:pPr>
            <w:r>
              <w:rPr>
                <w:rFonts w:eastAsia="Times New Roman" w:cs="Times New Roman"/>
                <w:sz w:val="24"/>
                <w:szCs w:val="24"/>
              </w:rPr>
              <w:t>Parameter</w:t>
            </w:r>
          </w:p>
        </w:tc>
        <w:tc>
          <w:tcPr>
            <w:tcW w:w="851" w:type="dxa"/>
            <w:shd w:val="clear" w:color="auto" w:fill="auto"/>
            <w:noWrap/>
            <w:vAlign w:val="bottom"/>
            <w:hideMark/>
          </w:tcPr>
          <w:p w14:paraId="28E23110"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Value</w:t>
            </w:r>
          </w:p>
        </w:tc>
        <w:tc>
          <w:tcPr>
            <w:tcW w:w="1984" w:type="dxa"/>
            <w:shd w:val="clear" w:color="auto" w:fill="auto"/>
            <w:noWrap/>
            <w:vAlign w:val="bottom"/>
            <w:hideMark/>
          </w:tcPr>
          <w:p w14:paraId="08810743"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Units</w:t>
            </w:r>
          </w:p>
        </w:tc>
        <w:tc>
          <w:tcPr>
            <w:tcW w:w="2430" w:type="dxa"/>
            <w:shd w:val="clear" w:color="auto" w:fill="auto"/>
            <w:noWrap/>
            <w:vAlign w:val="bottom"/>
            <w:hideMark/>
          </w:tcPr>
          <w:p w14:paraId="59003DA6"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Source</w:t>
            </w:r>
          </w:p>
        </w:tc>
      </w:tr>
      <w:tr w:rsidR="00EA7B23" w:rsidRPr="00A47317" w14:paraId="4788EB57" w14:textId="77777777" w:rsidTr="00EA7B23">
        <w:trPr>
          <w:trHeight w:val="555"/>
        </w:trPr>
        <w:tc>
          <w:tcPr>
            <w:tcW w:w="8662" w:type="dxa"/>
            <w:gridSpan w:val="4"/>
            <w:shd w:val="clear" w:color="auto" w:fill="auto"/>
            <w:noWrap/>
            <w:vAlign w:val="bottom"/>
          </w:tcPr>
          <w:p w14:paraId="120E3EB9" w14:textId="19B5758A" w:rsidR="00EA7B23" w:rsidRPr="00EA7B23" w:rsidRDefault="00EA7B23" w:rsidP="00EA7B23">
            <w:pPr>
              <w:spacing w:after="0" w:line="240" w:lineRule="auto"/>
              <w:ind w:firstLine="0"/>
              <w:jc w:val="left"/>
              <w:rPr>
                <w:rFonts w:ascii="Calibri" w:eastAsia="Times New Roman" w:hAnsi="Calibri" w:cs="Times New Roman"/>
                <w:color w:val="000000"/>
              </w:rPr>
            </w:pPr>
            <w:r w:rsidRPr="00EA7B23">
              <w:rPr>
                <w:rFonts w:ascii="Calibri" w:eastAsia="Times New Roman" w:hAnsi="Calibri" w:cs="Times New Roman"/>
                <w:color w:val="000000"/>
              </w:rPr>
              <w:t>Enthalpies of dissociation of raw materials to oxides</w:t>
            </w:r>
            <w:r>
              <w:rPr>
                <w:rFonts w:ascii="Calibri" w:eastAsia="Times New Roman" w:hAnsi="Calibri" w:cs="Times New Roman"/>
                <w:color w:val="000000"/>
              </w:rPr>
              <w:t>:</w:t>
            </w:r>
          </w:p>
        </w:tc>
      </w:tr>
      <w:tr w:rsidR="00A47317" w:rsidRPr="00A47317" w14:paraId="751A7D62" w14:textId="77777777" w:rsidTr="00486837">
        <w:trPr>
          <w:trHeight w:val="262"/>
        </w:trPr>
        <w:tc>
          <w:tcPr>
            <w:tcW w:w="3397" w:type="dxa"/>
            <w:shd w:val="clear" w:color="auto" w:fill="auto"/>
            <w:noWrap/>
            <w:vAlign w:val="bottom"/>
            <w:hideMark/>
          </w:tcPr>
          <w:p w14:paraId="55851DA4" w14:textId="767A00C0" w:rsidR="00A47317" w:rsidRPr="00A47317" w:rsidRDefault="00A47317" w:rsidP="003D40B5">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CO</w:t>
            </w:r>
            <w:r w:rsidRPr="003D40B5">
              <w:rPr>
                <w:rFonts w:ascii="Calibri" w:eastAsia="Times New Roman" w:hAnsi="Calibri" w:cs="Times New Roman"/>
                <w:color w:val="000000"/>
                <w:vertAlign w:val="subscript"/>
              </w:rPr>
              <w:t>3</w:t>
            </w:r>
            <w:r w:rsidRPr="00A47317">
              <w:rPr>
                <w:rFonts w:ascii="Calibri" w:eastAsia="Times New Roman" w:hAnsi="Calibri" w:cs="Times New Roman"/>
                <w:color w:val="000000"/>
              </w:rPr>
              <w:t xml:space="preserve"> </w:t>
            </w:r>
            <w:r w:rsidR="003D40B5">
              <w:rPr>
                <w:rFonts w:ascii="Calibri" w:eastAsia="Times New Roman" w:hAnsi="Calibri" w:cs="Times New Roman"/>
                <w:color w:val="000000"/>
              </w:rPr>
              <w:t>→</w:t>
            </w:r>
            <w:r w:rsidRPr="00A47317">
              <w:rPr>
                <w:rFonts w:ascii="Calibri" w:eastAsia="Times New Roman" w:hAnsi="Calibri" w:cs="Times New Roman"/>
                <w:color w:val="000000"/>
              </w:rPr>
              <w:t xml:space="preserve"> 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w:t>
            </w:r>
          </w:p>
        </w:tc>
        <w:tc>
          <w:tcPr>
            <w:tcW w:w="851" w:type="dxa"/>
            <w:shd w:val="clear" w:color="auto" w:fill="auto"/>
            <w:noWrap/>
            <w:vAlign w:val="bottom"/>
            <w:hideMark/>
          </w:tcPr>
          <w:p w14:paraId="6ECF0001"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3040</w:t>
            </w:r>
          </w:p>
        </w:tc>
        <w:tc>
          <w:tcPr>
            <w:tcW w:w="1984" w:type="dxa"/>
            <w:shd w:val="clear" w:color="auto" w:fill="auto"/>
            <w:noWrap/>
            <w:vAlign w:val="bottom"/>
            <w:hideMark/>
          </w:tcPr>
          <w:p w14:paraId="164027FE" w14:textId="65D6311A" w:rsidR="00A47317" w:rsidRPr="00A47317" w:rsidRDefault="00A47317" w:rsidP="00FA7071">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 xml:space="preserve">kJ/(kg </w:t>
            </w:r>
            <w:r w:rsidR="00FA7071">
              <w:rPr>
                <w:rFonts w:ascii="Calibri" w:eastAsia="Times New Roman" w:hAnsi="Calibri" w:cs="Times New Roman"/>
                <w:color w:val="000000"/>
              </w:rPr>
              <w:t>carbonate</w:t>
            </w:r>
            <w:r w:rsidRPr="00A47317">
              <w:rPr>
                <w:rFonts w:ascii="Calibri" w:eastAsia="Times New Roman" w:hAnsi="Calibri" w:cs="Times New Roman"/>
                <w:color w:val="000000"/>
              </w:rPr>
              <w:t>)</w:t>
            </w:r>
          </w:p>
        </w:tc>
        <w:tc>
          <w:tcPr>
            <w:tcW w:w="2430" w:type="dxa"/>
            <w:shd w:val="clear" w:color="auto" w:fill="auto"/>
            <w:noWrap/>
            <w:vAlign w:val="bottom"/>
            <w:hideMark/>
          </w:tcPr>
          <w:p w14:paraId="364AF80B" w14:textId="45EAAF13"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sidR="003D40B5">
              <w:rPr>
                <w:rFonts w:ascii="Calibri" w:eastAsia="Times New Roman" w:hAnsi="Calibri" w:cs="Times New Roman"/>
                <w:color w:val="000000"/>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"plainTextFormattedCitation" : "(Carvalho 1998)", "previouslyFormattedCitation" : "(Carvalho 1998)" }, "properties" : { "noteIndex" : 0 }, "schema" : "https://github.com/citation-style-language/schema/raw/master/csl-citation.json" }</w:instrText>
            </w:r>
            <w:r>
              <w:rPr>
                <w:rFonts w:ascii="Calibri" w:eastAsia="Times New Roman" w:hAnsi="Calibri" w:cs="Times New Roman"/>
                <w:color w:val="000000"/>
              </w:rPr>
              <w:fldChar w:fldCharType="separate"/>
            </w:r>
            <w:r w:rsidRPr="00A47317">
              <w:rPr>
                <w:rFonts w:ascii="Calibri" w:eastAsia="Times New Roman" w:hAnsi="Calibri" w:cs="Times New Roman"/>
                <w:noProof/>
                <w:color w:val="000000"/>
              </w:rPr>
              <w:t>(Carvalho 1998)</w:t>
            </w:r>
            <w:r>
              <w:rPr>
                <w:rFonts w:ascii="Calibri" w:eastAsia="Times New Roman" w:hAnsi="Calibri" w:cs="Times New Roman"/>
                <w:color w:val="000000"/>
              </w:rPr>
              <w:fldChar w:fldCharType="end"/>
            </w:r>
          </w:p>
        </w:tc>
      </w:tr>
      <w:tr w:rsidR="00A47317" w:rsidRPr="00A47317" w14:paraId="0639BC5B" w14:textId="77777777" w:rsidTr="00486837">
        <w:trPr>
          <w:trHeight w:val="262"/>
        </w:trPr>
        <w:tc>
          <w:tcPr>
            <w:tcW w:w="3397" w:type="dxa"/>
            <w:shd w:val="clear" w:color="auto" w:fill="auto"/>
            <w:noWrap/>
            <w:vAlign w:val="bottom"/>
            <w:hideMark/>
          </w:tcPr>
          <w:p w14:paraId="14490C12" w14:textId="33F57D5A"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CaCO</w:t>
            </w:r>
            <w:r w:rsidRPr="003D40B5">
              <w:rPr>
                <w:rFonts w:ascii="Calibri" w:eastAsia="Times New Roman" w:hAnsi="Calibri" w:cs="Times New Roman"/>
                <w:color w:val="000000"/>
                <w:vertAlign w:val="subscript"/>
              </w:rPr>
              <w:t>3</w:t>
            </w:r>
            <w:r w:rsidRPr="00A47317">
              <w:rPr>
                <w:rFonts w:ascii="Calibri" w:eastAsia="Times New Roman" w:hAnsi="Calibri" w:cs="Times New Roman"/>
                <w:color w:val="000000"/>
              </w:rPr>
              <w:t xml:space="preserve"> </w:t>
            </w:r>
            <w:r w:rsidR="003D40B5">
              <w:rPr>
                <w:rFonts w:ascii="Calibri" w:eastAsia="Times New Roman" w:hAnsi="Calibri" w:cs="Times New Roman"/>
                <w:color w:val="000000"/>
              </w:rPr>
              <w:t>→</w:t>
            </w:r>
            <w:r w:rsidRPr="00A47317">
              <w:rPr>
                <w:rFonts w:ascii="Calibri" w:eastAsia="Times New Roman" w:hAnsi="Calibri" w:cs="Times New Roman"/>
                <w:color w:val="000000"/>
              </w:rPr>
              <w:t xml:space="preserve"> CaO</w:t>
            </w:r>
          </w:p>
        </w:tc>
        <w:tc>
          <w:tcPr>
            <w:tcW w:w="851" w:type="dxa"/>
            <w:shd w:val="clear" w:color="auto" w:fill="auto"/>
            <w:noWrap/>
            <w:vAlign w:val="bottom"/>
            <w:hideMark/>
          </w:tcPr>
          <w:p w14:paraId="5160BE91"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1796</w:t>
            </w:r>
          </w:p>
        </w:tc>
        <w:tc>
          <w:tcPr>
            <w:tcW w:w="1984" w:type="dxa"/>
            <w:shd w:val="clear" w:color="auto" w:fill="auto"/>
            <w:noWrap/>
            <w:vAlign w:val="bottom"/>
            <w:hideMark/>
          </w:tcPr>
          <w:p w14:paraId="077BAB14" w14:textId="73E67802" w:rsidR="00A47317" w:rsidRPr="00A47317" w:rsidRDefault="00A47317" w:rsidP="00FA7071">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 xml:space="preserve">kJ/(kg </w:t>
            </w:r>
            <w:r w:rsidR="00FA7071">
              <w:rPr>
                <w:rFonts w:ascii="Calibri" w:eastAsia="Times New Roman" w:hAnsi="Calibri" w:cs="Times New Roman"/>
                <w:color w:val="000000"/>
              </w:rPr>
              <w:t>carbonate</w:t>
            </w:r>
            <w:r w:rsidRPr="00A47317">
              <w:rPr>
                <w:rFonts w:ascii="Calibri" w:eastAsia="Times New Roman" w:hAnsi="Calibri" w:cs="Times New Roman"/>
                <w:color w:val="000000"/>
              </w:rPr>
              <w:t>)</w:t>
            </w:r>
          </w:p>
        </w:tc>
        <w:tc>
          <w:tcPr>
            <w:tcW w:w="2430" w:type="dxa"/>
            <w:shd w:val="clear" w:color="auto" w:fill="auto"/>
            <w:noWrap/>
            <w:vAlign w:val="bottom"/>
            <w:hideMark/>
          </w:tcPr>
          <w:p w14:paraId="2E5ECF0C" w14:textId="66378CF9"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sidR="003D40B5">
              <w:rPr>
                <w:rFonts w:ascii="Calibri" w:eastAsia="Times New Roman" w:hAnsi="Calibri" w:cs="Times New Roman"/>
                <w:color w:val="000000"/>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"plainTextFormattedCitation" : "(Carvalho 1998)", "previouslyFormattedCitation" : "(Carvalho 1998)" }, "properties" : { "noteIndex" : 0 }, "schema" : "https://github.com/citation-style-language/schema/raw/master/csl-citation.json" }</w:instrText>
            </w:r>
            <w:r>
              <w:rPr>
                <w:rFonts w:ascii="Calibri" w:eastAsia="Times New Roman" w:hAnsi="Calibri" w:cs="Times New Roman"/>
                <w:color w:val="000000"/>
              </w:rPr>
              <w:fldChar w:fldCharType="separate"/>
            </w:r>
            <w:r w:rsidRPr="00A47317">
              <w:rPr>
                <w:rFonts w:ascii="Calibri" w:eastAsia="Times New Roman" w:hAnsi="Calibri" w:cs="Times New Roman"/>
                <w:noProof/>
                <w:color w:val="000000"/>
              </w:rPr>
              <w:t>(Carvalho 1998)</w:t>
            </w:r>
            <w:r>
              <w:rPr>
                <w:rFonts w:ascii="Calibri" w:eastAsia="Times New Roman" w:hAnsi="Calibri" w:cs="Times New Roman"/>
                <w:color w:val="000000"/>
              </w:rPr>
              <w:fldChar w:fldCharType="end"/>
            </w:r>
          </w:p>
        </w:tc>
      </w:tr>
      <w:tr w:rsidR="00EA7B23" w:rsidRPr="00A47317" w14:paraId="4E4ADE3D" w14:textId="77777777" w:rsidTr="00EA7B23">
        <w:trPr>
          <w:trHeight w:val="547"/>
        </w:trPr>
        <w:tc>
          <w:tcPr>
            <w:tcW w:w="8662" w:type="dxa"/>
            <w:gridSpan w:val="4"/>
            <w:shd w:val="clear" w:color="auto" w:fill="auto"/>
            <w:noWrap/>
            <w:vAlign w:val="bottom"/>
            <w:hideMark/>
          </w:tcPr>
          <w:p w14:paraId="0BEE4146" w14:textId="616ADF03" w:rsidR="00EA7B23" w:rsidRPr="00EA7B23" w:rsidRDefault="00EA7B23" w:rsidP="00EA7B23">
            <w:pPr>
              <w:spacing w:after="0" w:line="240" w:lineRule="auto"/>
              <w:ind w:firstLine="0"/>
              <w:jc w:val="left"/>
              <w:rPr>
                <w:rFonts w:eastAsia="Times New Roman" w:cs="Times New Roman"/>
                <w:sz w:val="20"/>
                <w:szCs w:val="20"/>
              </w:rPr>
            </w:pPr>
            <w:r w:rsidRPr="00EA7B23">
              <w:rPr>
                <w:rFonts w:ascii="Calibri" w:eastAsia="Times New Roman" w:hAnsi="Calibri" w:cs="Times New Roman"/>
                <w:color w:val="000000"/>
              </w:rPr>
              <w:t>Enthalpies of reactions from oxides to assumed phases in glass melt</w:t>
            </w:r>
            <w:r>
              <w:rPr>
                <w:rFonts w:ascii="Calibri" w:eastAsia="Times New Roman" w:hAnsi="Calibri" w:cs="Times New Roman"/>
                <w:color w:val="000000"/>
              </w:rPr>
              <w:t>:</w:t>
            </w:r>
          </w:p>
        </w:tc>
      </w:tr>
      <w:tr w:rsidR="00A47317" w:rsidRPr="00A47317" w14:paraId="3595B342" w14:textId="77777777" w:rsidTr="00486837">
        <w:trPr>
          <w:trHeight w:val="262"/>
        </w:trPr>
        <w:tc>
          <w:tcPr>
            <w:tcW w:w="3397" w:type="dxa"/>
            <w:shd w:val="clear" w:color="auto" w:fill="auto"/>
            <w:noWrap/>
            <w:vAlign w:val="bottom"/>
            <w:hideMark/>
          </w:tcPr>
          <w:p w14:paraId="3A36278C" w14:textId="25B5DC84"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 + 3CaO + 6SiO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w:t>
            </w:r>
            <w:r w:rsidR="003D40B5">
              <w:rPr>
                <w:rFonts w:ascii="Calibri" w:eastAsia="Times New Roman" w:hAnsi="Calibri" w:cs="Times New Roman"/>
                <w:color w:val="000000"/>
              </w:rPr>
              <w:t>→</w:t>
            </w:r>
            <w:r w:rsidRPr="00A47317">
              <w:rPr>
                <w:rFonts w:ascii="Calibri" w:eastAsia="Times New Roman" w:hAnsi="Calibri" w:cs="Times New Roman"/>
                <w:color w:val="000000"/>
              </w:rPr>
              <w:t xml:space="preserve"> 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O.3CaO.6SiO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(vitr)</w:t>
            </w:r>
          </w:p>
        </w:tc>
        <w:tc>
          <w:tcPr>
            <w:tcW w:w="851" w:type="dxa"/>
            <w:shd w:val="clear" w:color="auto" w:fill="auto"/>
            <w:noWrap/>
            <w:vAlign w:val="bottom"/>
            <w:hideMark/>
          </w:tcPr>
          <w:p w14:paraId="4A97EE64"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-3303</w:t>
            </w:r>
          </w:p>
        </w:tc>
        <w:tc>
          <w:tcPr>
            <w:tcW w:w="1984" w:type="dxa"/>
            <w:shd w:val="clear" w:color="auto" w:fill="auto"/>
            <w:noWrap/>
            <w:vAlign w:val="bottom"/>
            <w:hideMark/>
          </w:tcPr>
          <w:p w14:paraId="41A14593"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kJ/(kg CaO)</w:t>
            </w:r>
          </w:p>
        </w:tc>
        <w:tc>
          <w:tcPr>
            <w:tcW w:w="2430" w:type="dxa"/>
            <w:shd w:val="clear" w:color="auto" w:fill="auto"/>
            <w:noWrap/>
            <w:vAlign w:val="bottom"/>
            <w:hideMark/>
          </w:tcPr>
          <w:p w14:paraId="62F6EAAC" w14:textId="16191B6F"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sidR="003D40B5">
              <w:rPr>
                <w:rFonts w:ascii="Calibri" w:eastAsia="Times New Roman" w:hAnsi="Calibri" w:cs="Times New Roman"/>
                <w:color w:val="000000"/>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"plainTextFormattedCitation" : "(Carvalho 1998)", "previouslyFormattedCitation" : "(Carvalho 1998)" }, "properties" : { "noteIndex" : 0 }, "schema" : "https://github.com/citation-style-language/schema/raw/master/csl-citation.json" }</w:instrText>
            </w:r>
            <w:r>
              <w:rPr>
                <w:rFonts w:ascii="Calibri" w:eastAsia="Times New Roman" w:hAnsi="Calibri" w:cs="Times New Roman"/>
                <w:color w:val="000000"/>
              </w:rPr>
              <w:fldChar w:fldCharType="separate"/>
            </w:r>
            <w:r w:rsidRPr="00A47317">
              <w:rPr>
                <w:rFonts w:ascii="Calibri" w:eastAsia="Times New Roman" w:hAnsi="Calibri" w:cs="Times New Roman"/>
                <w:noProof/>
                <w:color w:val="000000"/>
              </w:rPr>
              <w:t>(Carvalho 1998)</w:t>
            </w:r>
            <w:r>
              <w:rPr>
                <w:rFonts w:ascii="Calibri" w:eastAsia="Times New Roman" w:hAnsi="Calibri" w:cs="Times New Roman"/>
                <w:color w:val="000000"/>
              </w:rPr>
              <w:fldChar w:fldCharType="end"/>
            </w:r>
          </w:p>
        </w:tc>
      </w:tr>
      <w:tr w:rsidR="00A47317" w:rsidRPr="00A47317" w14:paraId="2DCF0071" w14:textId="77777777" w:rsidTr="00486837">
        <w:trPr>
          <w:trHeight w:val="262"/>
        </w:trPr>
        <w:tc>
          <w:tcPr>
            <w:tcW w:w="3397" w:type="dxa"/>
            <w:shd w:val="clear" w:color="auto" w:fill="auto"/>
            <w:noWrap/>
            <w:vAlign w:val="bottom"/>
            <w:hideMark/>
          </w:tcPr>
          <w:p w14:paraId="4B0ABE99" w14:textId="4F050EBB"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 + 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w:t>
            </w:r>
            <w:r w:rsidR="003D40B5">
              <w:rPr>
                <w:rFonts w:ascii="Calibri" w:eastAsia="Times New Roman" w:hAnsi="Calibri" w:cs="Times New Roman"/>
                <w:color w:val="000000"/>
              </w:rPr>
              <w:t>→</w:t>
            </w:r>
            <w:r w:rsidRPr="00A47317">
              <w:rPr>
                <w:rFonts w:ascii="Calibri" w:eastAsia="Times New Roman" w:hAnsi="Calibri" w:cs="Times New Roman"/>
                <w:color w:val="000000"/>
              </w:rPr>
              <w:t xml:space="preserve"> 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O.2SiO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(vitr)</w:t>
            </w:r>
          </w:p>
        </w:tc>
        <w:tc>
          <w:tcPr>
            <w:tcW w:w="851" w:type="dxa"/>
            <w:shd w:val="clear" w:color="auto" w:fill="auto"/>
            <w:noWrap/>
            <w:vAlign w:val="bottom"/>
            <w:hideMark/>
          </w:tcPr>
          <w:p w14:paraId="763EC254"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-3576</w:t>
            </w:r>
          </w:p>
        </w:tc>
        <w:tc>
          <w:tcPr>
            <w:tcW w:w="1984" w:type="dxa"/>
            <w:shd w:val="clear" w:color="auto" w:fill="auto"/>
            <w:noWrap/>
            <w:vAlign w:val="bottom"/>
            <w:hideMark/>
          </w:tcPr>
          <w:p w14:paraId="60B20D0B"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kJ/(kg Na</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O)</w:t>
            </w:r>
          </w:p>
        </w:tc>
        <w:tc>
          <w:tcPr>
            <w:tcW w:w="2430" w:type="dxa"/>
            <w:shd w:val="clear" w:color="auto" w:fill="auto"/>
            <w:noWrap/>
            <w:vAlign w:val="bottom"/>
            <w:hideMark/>
          </w:tcPr>
          <w:p w14:paraId="29AB5B01" w14:textId="2D0073D8"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sidR="003D40B5">
              <w:rPr>
                <w:rFonts w:ascii="Calibri" w:eastAsia="Times New Roman" w:hAnsi="Calibri" w:cs="Times New Roman"/>
                <w:color w:val="000000"/>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"plainTextFormattedCitation" : "(Carvalho 1998)", "previouslyFormattedCitation" : "(Carvalho 1998)" }, "properties" : { "noteIndex" : 0 }, "schema" : "https://github.com/citation-style-language/schema/raw/master/csl-citation.json" }</w:instrText>
            </w:r>
            <w:r>
              <w:rPr>
                <w:rFonts w:ascii="Calibri" w:eastAsia="Times New Roman" w:hAnsi="Calibri" w:cs="Times New Roman"/>
                <w:color w:val="000000"/>
              </w:rPr>
              <w:fldChar w:fldCharType="separate"/>
            </w:r>
            <w:r w:rsidRPr="00A47317">
              <w:rPr>
                <w:rFonts w:ascii="Calibri" w:eastAsia="Times New Roman" w:hAnsi="Calibri" w:cs="Times New Roman"/>
                <w:noProof/>
                <w:color w:val="000000"/>
              </w:rPr>
              <w:t>(Carvalho 1998)</w:t>
            </w:r>
            <w:r>
              <w:rPr>
                <w:rFonts w:ascii="Calibri" w:eastAsia="Times New Roman" w:hAnsi="Calibri" w:cs="Times New Roman"/>
                <w:color w:val="000000"/>
              </w:rPr>
              <w:fldChar w:fldCharType="end"/>
            </w:r>
          </w:p>
        </w:tc>
      </w:tr>
      <w:tr w:rsidR="00A47317" w:rsidRPr="00A47317" w14:paraId="27DDBBBA" w14:textId="77777777" w:rsidTr="00486837">
        <w:trPr>
          <w:trHeight w:val="262"/>
        </w:trPr>
        <w:tc>
          <w:tcPr>
            <w:tcW w:w="3397" w:type="dxa"/>
            <w:shd w:val="clear" w:color="auto" w:fill="auto"/>
            <w:noWrap/>
            <w:vAlign w:val="bottom"/>
            <w:hideMark/>
          </w:tcPr>
          <w:p w14:paraId="7950C909" w14:textId="4379B272"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w:t>
            </w:r>
            <w:r w:rsidR="003D40B5">
              <w:rPr>
                <w:rFonts w:ascii="Calibri" w:eastAsia="Times New Roman" w:hAnsi="Calibri" w:cs="Times New Roman"/>
                <w:color w:val="000000"/>
              </w:rPr>
              <w:t>→</w:t>
            </w:r>
            <w:r w:rsidRPr="00A47317">
              <w:rPr>
                <w:rFonts w:ascii="Calibri" w:eastAsia="Times New Roman" w:hAnsi="Calibri" w:cs="Times New Roman"/>
                <w:color w:val="000000"/>
              </w:rPr>
              <w:t xml:space="preserve"> SiO</w:t>
            </w:r>
            <w:r w:rsidRPr="003D40B5">
              <w:rPr>
                <w:rFonts w:ascii="Calibri" w:eastAsia="Times New Roman" w:hAnsi="Calibri" w:cs="Times New Roman"/>
                <w:color w:val="000000"/>
                <w:vertAlign w:val="subscript"/>
              </w:rPr>
              <w:t>2</w:t>
            </w:r>
            <w:r w:rsidRPr="00A47317">
              <w:rPr>
                <w:rFonts w:ascii="Calibri" w:eastAsia="Times New Roman" w:hAnsi="Calibri" w:cs="Times New Roman"/>
                <w:color w:val="000000"/>
              </w:rPr>
              <w:t xml:space="preserve"> (vitr)</w:t>
            </w:r>
          </w:p>
        </w:tc>
        <w:tc>
          <w:tcPr>
            <w:tcW w:w="851" w:type="dxa"/>
            <w:shd w:val="clear" w:color="auto" w:fill="auto"/>
            <w:noWrap/>
            <w:vAlign w:val="bottom"/>
            <w:hideMark/>
          </w:tcPr>
          <w:p w14:paraId="2B3D643E"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152</w:t>
            </w:r>
          </w:p>
        </w:tc>
        <w:tc>
          <w:tcPr>
            <w:tcW w:w="1984" w:type="dxa"/>
            <w:shd w:val="clear" w:color="auto" w:fill="auto"/>
            <w:noWrap/>
            <w:vAlign w:val="bottom"/>
            <w:hideMark/>
          </w:tcPr>
          <w:p w14:paraId="6D3B6FAB" w14:textId="718BF8B7" w:rsidR="00A47317" w:rsidRPr="00A47317" w:rsidRDefault="003D40B5"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t xml:space="preserve">kJ/kg </w:t>
            </w:r>
          </w:p>
        </w:tc>
        <w:tc>
          <w:tcPr>
            <w:tcW w:w="2430" w:type="dxa"/>
            <w:shd w:val="clear" w:color="auto" w:fill="auto"/>
            <w:noWrap/>
            <w:vAlign w:val="bottom"/>
            <w:hideMark/>
          </w:tcPr>
          <w:p w14:paraId="1C37E876" w14:textId="5ED751DB"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sidR="003D40B5">
              <w:rPr>
                <w:rFonts w:ascii="Calibri" w:eastAsia="Times New Roman" w:hAnsi="Calibri" w:cs="Times New Roman"/>
                <w:color w:val="000000"/>
              </w:rP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"plainTextFormattedCitation" : "(Carvalho 1998)", "previouslyFormattedCitation" : "(Carvalho 1998)" }, "properties" : { "noteIndex" : 0 }, "schema" : "https://github.com/citation-style-language/schema/raw/master/csl-citation.json" }</w:instrText>
            </w:r>
            <w:r>
              <w:rPr>
                <w:rFonts w:ascii="Calibri" w:eastAsia="Times New Roman" w:hAnsi="Calibri" w:cs="Times New Roman"/>
                <w:color w:val="000000"/>
              </w:rPr>
              <w:fldChar w:fldCharType="separate"/>
            </w:r>
            <w:r w:rsidRPr="00A47317">
              <w:rPr>
                <w:rFonts w:ascii="Calibri" w:eastAsia="Times New Roman" w:hAnsi="Calibri" w:cs="Times New Roman"/>
                <w:noProof/>
                <w:color w:val="000000"/>
              </w:rPr>
              <w:t>(Carvalho 1998)</w:t>
            </w:r>
            <w:r>
              <w:rPr>
                <w:rFonts w:ascii="Calibri" w:eastAsia="Times New Roman" w:hAnsi="Calibri" w:cs="Times New Roman"/>
                <w:color w:val="000000"/>
              </w:rPr>
              <w:fldChar w:fldCharType="end"/>
            </w:r>
          </w:p>
        </w:tc>
      </w:tr>
      <w:tr w:rsidR="00EA7B23" w:rsidRPr="00A47317" w14:paraId="4CE126F4" w14:textId="77777777" w:rsidTr="00EA7B23">
        <w:trPr>
          <w:trHeight w:val="541"/>
        </w:trPr>
        <w:tc>
          <w:tcPr>
            <w:tcW w:w="8662" w:type="dxa"/>
            <w:gridSpan w:val="4"/>
            <w:shd w:val="clear" w:color="auto" w:fill="auto"/>
            <w:noWrap/>
            <w:vAlign w:val="bottom"/>
            <w:hideMark/>
          </w:tcPr>
          <w:p w14:paraId="149901A7" w14:textId="5BFA528D" w:rsidR="00EA7B23" w:rsidRPr="00EA7B23" w:rsidRDefault="00EA7B23" w:rsidP="00EA7B23">
            <w:pPr>
              <w:spacing w:after="0" w:line="240" w:lineRule="auto"/>
              <w:ind w:firstLine="0"/>
              <w:jc w:val="left"/>
              <w:rPr>
                <w:rFonts w:eastAsia="Times New Roman" w:cs="Times New Roman"/>
                <w:sz w:val="20"/>
                <w:szCs w:val="20"/>
              </w:rPr>
            </w:pPr>
            <w:r w:rsidRPr="00EA7B23">
              <w:rPr>
                <w:rFonts w:ascii="Calibri" w:eastAsia="Times New Roman" w:hAnsi="Calibri" w:cs="Times New Roman"/>
                <w:color w:val="000000"/>
              </w:rPr>
              <w:t xml:space="preserve">Specific heat capacities </w:t>
            </w:r>
            <w:r>
              <w:rPr>
                <w:rFonts w:ascii="Calibri" w:eastAsia="Times New Roman" w:hAnsi="Calibri" w:cs="Times New Roman"/>
                <w:color w:val="000000"/>
              </w:rPr>
              <w:t>:</w:t>
            </w:r>
          </w:p>
        </w:tc>
      </w:tr>
      <w:tr w:rsidR="00A47317" w:rsidRPr="00A47317" w14:paraId="0E3E040E" w14:textId="77777777" w:rsidTr="00486837">
        <w:trPr>
          <w:trHeight w:val="262"/>
        </w:trPr>
        <w:tc>
          <w:tcPr>
            <w:tcW w:w="3397" w:type="dxa"/>
            <w:shd w:val="clear" w:color="auto" w:fill="auto"/>
            <w:noWrap/>
            <w:vAlign w:val="bottom"/>
            <w:hideMark/>
          </w:tcPr>
          <w:p w14:paraId="04EFBB74" w14:textId="025E046D" w:rsidR="00A47317" w:rsidRPr="00A47317" w:rsidRDefault="00A47317" w:rsidP="003D40B5">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 xml:space="preserve">Soda-lime-silica </w:t>
            </w:r>
            <w:r w:rsidR="00486837">
              <w:rPr>
                <w:rFonts w:ascii="Calibri" w:eastAsia="Times New Roman" w:hAnsi="Calibri" w:cs="Times New Roman"/>
                <w:color w:val="000000"/>
              </w:rPr>
              <w:t>(SLS)</w:t>
            </w:r>
          </w:p>
        </w:tc>
        <w:tc>
          <w:tcPr>
            <w:tcW w:w="851" w:type="dxa"/>
            <w:shd w:val="clear" w:color="auto" w:fill="auto"/>
            <w:noWrap/>
            <w:vAlign w:val="bottom"/>
            <w:hideMark/>
          </w:tcPr>
          <w:p w14:paraId="7BF70536" w14:textId="77777777"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1256</w:t>
            </w:r>
          </w:p>
        </w:tc>
        <w:tc>
          <w:tcPr>
            <w:tcW w:w="1984" w:type="dxa"/>
            <w:shd w:val="clear" w:color="auto" w:fill="auto"/>
            <w:noWrap/>
            <w:vAlign w:val="bottom"/>
            <w:hideMark/>
          </w:tcPr>
          <w:p w14:paraId="4E8FF209"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J/kg K</w:t>
            </w:r>
          </w:p>
        </w:tc>
        <w:tc>
          <w:tcPr>
            <w:tcW w:w="2430" w:type="dxa"/>
            <w:shd w:val="clear" w:color="auto" w:fill="auto"/>
            <w:noWrap/>
            <w:vAlign w:val="bottom"/>
            <w:hideMark/>
          </w:tcPr>
          <w:p w14:paraId="03452235" w14:textId="764C3518" w:rsidR="00A47317" w:rsidRPr="00A47317" w:rsidRDefault="003D40B5"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Pr>
                <w:rFonts w:ascii="Calibri" w:eastAsia="Times New Roman" w:hAnsi="Calibri" w:cs="Times New Roman"/>
                <w:color w:val="000000"/>
              </w:rPr>
              <w:instrText>ADDIN CSL_CITATION { "citationItems" : [ { "id" : "ITEM-1", "itemData" : { "DOI" : "10.1016/j.applthermaleng.2012.11.018", "ISSN" : "13594311", "author" : [ { "dropping-particle" : "", "family" : "D\u00edaz-Ibarra", "given" : "Oscar", "non-dropping-particle" : "", "parse-names" : false, "suffix" : "" }, { "dropping-particle" : "", "family" : "Abad", "given" : "Pablo", "non-dropping-particle" : "", "parse-names" : false, "suffix" : "" }, { "dropping-particle" : "", "family" : "Molina", "given" : "Alejandro", "non-dropping-particle" : "", "parse-names" : false, "suffix" : "" } ], "container-title" : "Applied Thermal Engineering", "id" : "ITEM-1", "issue" : "2", "issued" : { "date-parts" : [ [ "2013", "4" ] ] }, "page" : "555-565", "publisher" : "Elsevier Ltd", "title" : "Design of a day tank glass furnace using a transient model and steady-state computation fluid dynamics", "type" : "article-journal", "volume" : "52" }, "uris" : [ "http://www.mendeley.com/documents/?uuid=2a36889b-505b-4bc3-bf53-b9708f0ffb99" ] } ], "mendeley" : { "formattedCitation" : "(D\u00edaz-Ibarra et al. 2013)", "plainTextFormattedCitation" : "(D\u00edaz-Ibarra et al. 2013)" }, "properties" : { "noteIndex" : 0 }, "schema" : "https://github.com/citation-style-language/schema/raw/master/csl-citation.json" }</w:instrText>
            </w:r>
            <w:r>
              <w:rPr>
                <w:rFonts w:ascii="Calibri" w:eastAsia="Times New Roman" w:hAnsi="Calibri" w:cs="Times New Roman"/>
                <w:color w:val="000000"/>
              </w:rPr>
              <w:fldChar w:fldCharType="separate"/>
            </w:r>
            <w:r w:rsidRPr="003D40B5">
              <w:rPr>
                <w:rFonts w:ascii="Calibri" w:eastAsia="Times New Roman" w:hAnsi="Calibri" w:cs="Times New Roman"/>
                <w:noProof/>
                <w:color w:val="000000"/>
              </w:rPr>
              <w:t>(Díaz-Ibarra et al. 2013)</w:t>
            </w:r>
            <w:r>
              <w:rPr>
                <w:rFonts w:ascii="Calibri" w:eastAsia="Times New Roman" w:hAnsi="Calibri" w:cs="Times New Roman"/>
                <w:color w:val="000000"/>
              </w:rPr>
              <w:fldChar w:fldCharType="end"/>
            </w:r>
          </w:p>
        </w:tc>
      </w:tr>
      <w:tr w:rsidR="00A47317" w:rsidRPr="00A47317" w14:paraId="4B1F4B59" w14:textId="77777777" w:rsidTr="00486837">
        <w:trPr>
          <w:trHeight w:val="262"/>
        </w:trPr>
        <w:tc>
          <w:tcPr>
            <w:tcW w:w="3397" w:type="dxa"/>
            <w:shd w:val="clear" w:color="auto" w:fill="auto"/>
            <w:noWrap/>
            <w:vAlign w:val="bottom"/>
            <w:hideMark/>
          </w:tcPr>
          <w:p w14:paraId="42D93EA7" w14:textId="240CC745" w:rsidR="00A47317" w:rsidRPr="00A47317" w:rsidRDefault="00A47317" w:rsidP="003D40B5">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Pure silic</w:t>
            </w:r>
            <w:r w:rsidR="003D40B5">
              <w:rPr>
                <w:rFonts w:ascii="Calibri" w:eastAsia="Times New Roman" w:hAnsi="Calibri" w:cs="Times New Roman"/>
                <w:color w:val="000000"/>
              </w:rPr>
              <w:t xml:space="preserve">a </w:t>
            </w:r>
          </w:p>
        </w:tc>
        <w:tc>
          <w:tcPr>
            <w:tcW w:w="851" w:type="dxa"/>
            <w:shd w:val="clear" w:color="auto" w:fill="auto"/>
            <w:noWrap/>
            <w:vAlign w:val="bottom"/>
            <w:hideMark/>
          </w:tcPr>
          <w:p w14:paraId="23456C21" w14:textId="5646E0BB" w:rsidR="00A47317" w:rsidRPr="00A47317" w:rsidRDefault="00A47317" w:rsidP="00A47317">
            <w:pPr>
              <w:spacing w:after="0" w:line="240" w:lineRule="auto"/>
              <w:ind w:firstLine="0"/>
              <w:contextualSpacing w:val="0"/>
              <w:jc w:val="right"/>
              <w:rPr>
                <w:rFonts w:ascii="Calibri" w:eastAsia="Times New Roman" w:hAnsi="Calibri" w:cs="Times New Roman"/>
                <w:color w:val="000000"/>
              </w:rPr>
            </w:pPr>
            <w:r w:rsidRPr="00A47317">
              <w:rPr>
                <w:rFonts w:ascii="Calibri" w:eastAsia="Times New Roman" w:hAnsi="Calibri" w:cs="Times New Roman"/>
                <w:color w:val="000000"/>
              </w:rPr>
              <w:t>6</w:t>
            </w:r>
            <w:r w:rsidR="003D40B5">
              <w:rPr>
                <w:rFonts w:ascii="Calibri" w:eastAsia="Times New Roman" w:hAnsi="Calibri" w:cs="Times New Roman"/>
                <w:color w:val="000000"/>
              </w:rPr>
              <w:t>97</w:t>
            </w:r>
          </w:p>
        </w:tc>
        <w:tc>
          <w:tcPr>
            <w:tcW w:w="1984" w:type="dxa"/>
            <w:shd w:val="clear" w:color="auto" w:fill="auto"/>
            <w:noWrap/>
            <w:vAlign w:val="bottom"/>
            <w:hideMark/>
          </w:tcPr>
          <w:p w14:paraId="3951F133" w14:textId="77777777" w:rsidR="00A47317" w:rsidRPr="00A47317" w:rsidRDefault="00A47317" w:rsidP="00A47317">
            <w:pPr>
              <w:spacing w:after="0" w:line="240" w:lineRule="auto"/>
              <w:ind w:firstLine="0"/>
              <w:contextualSpacing w:val="0"/>
              <w:jc w:val="left"/>
              <w:rPr>
                <w:rFonts w:ascii="Calibri" w:eastAsia="Times New Roman" w:hAnsi="Calibri" w:cs="Times New Roman"/>
                <w:color w:val="000000"/>
              </w:rPr>
            </w:pPr>
            <w:r w:rsidRPr="00A47317">
              <w:rPr>
                <w:rFonts w:ascii="Calibri" w:eastAsia="Times New Roman" w:hAnsi="Calibri" w:cs="Times New Roman"/>
                <w:color w:val="000000"/>
              </w:rPr>
              <w:t>J/kg K</w:t>
            </w:r>
          </w:p>
        </w:tc>
        <w:tc>
          <w:tcPr>
            <w:tcW w:w="2430" w:type="dxa"/>
            <w:shd w:val="clear" w:color="auto" w:fill="auto"/>
            <w:noWrap/>
            <w:vAlign w:val="bottom"/>
            <w:hideMark/>
          </w:tcPr>
          <w:p w14:paraId="179F08BF" w14:textId="333FEBB1" w:rsidR="00A47317" w:rsidRPr="00A47317" w:rsidRDefault="003D40B5" w:rsidP="00A47317">
            <w:pPr>
              <w:spacing w:after="0" w:line="240" w:lineRule="auto"/>
              <w:ind w:firstLine="0"/>
              <w:contextualSpacing w:val="0"/>
              <w:jc w:val="left"/>
              <w:rPr>
                <w:rFonts w:ascii="Calibri" w:eastAsia="Times New Roman" w:hAnsi="Calibri" w:cs="Times New Roman"/>
                <w:color w:val="000000"/>
              </w:rPr>
            </w:pPr>
            <w:r>
              <w:rPr>
                <w:rFonts w:ascii="Calibri" w:eastAsia="Times New Roman" w:hAnsi="Calibri" w:cs="Times New Roman"/>
                <w:color w:val="000000"/>
              </w:rPr>
              <w:fldChar w:fldCharType="begin" w:fldLock="1"/>
            </w:r>
            <w:r>
              <w:rPr>
                <w:rFonts w:ascii="Calibri" w:eastAsia="Times New Roman" w:hAnsi="Calibri" w:cs="Times New Roman"/>
                <w:color w:val="000000"/>
              </w:rPr>
              <w:instrText>ADDIN CSL_CITATION { "citationItems" : [ { "id" : "ITEM-1", "itemData" : { "author" : [ { "dropping-particle" : "", "family" : "Conradt", "given" : "Reinhard", "non-dropping-particle" : "", "parse-names" : false, "suffix" : "" } ], "chapter-number" : "9", "container-title" : "Fiberglass and glass technology", "editor" : [ { "dropping-particle" : "", "family" : "Wallenberger", "given" : "FT", "non-dropping-particle" : "", "parse-names" : false, "suffix" : "" }, { "dropping-particle" : "", "family" : "Bingham", "given" : "PA", "non-dropping-particle" : "", "parse-names" : false, "suffix" : "" } ], "id" : "ITEM-1", "issued" : { "date-parts" : [ [ "2010" ] ] }, "publisher" : "Springer", "title" : "Thermodynamics of Glass Melting", "type" : "chapter" }, "uris" : [ "http://www.mendeley.com/documents/?uuid=57e6fe37-c034-41c7-937f-50d261af7f98" ] } ], "mendeley" : { "formattedCitation" : "(Conradt 2010)", "plainTextFormattedCitation" : "(Conradt 2010)", "previouslyFormattedCitation" : "(Conradt 2010)" }, "properties" : { "noteIndex" : 0 }, "schema" : "https://github.com/citation-style-language/schema/raw/master/csl-citation.json" }</w:instrText>
            </w:r>
            <w:r>
              <w:rPr>
                <w:rFonts w:ascii="Calibri" w:eastAsia="Times New Roman" w:hAnsi="Calibri" w:cs="Times New Roman"/>
                <w:color w:val="000000"/>
              </w:rPr>
              <w:fldChar w:fldCharType="separate"/>
            </w:r>
            <w:r w:rsidRPr="003D40B5">
              <w:rPr>
                <w:rFonts w:ascii="Calibri" w:eastAsia="Times New Roman" w:hAnsi="Calibri" w:cs="Times New Roman"/>
                <w:noProof/>
                <w:color w:val="000000"/>
              </w:rPr>
              <w:t>(Conradt 2010)</w:t>
            </w:r>
            <w:r>
              <w:rPr>
                <w:rFonts w:ascii="Calibri" w:eastAsia="Times New Roman" w:hAnsi="Calibri" w:cs="Times New Roman"/>
                <w:color w:val="000000"/>
              </w:rPr>
              <w:fldChar w:fldCharType="end"/>
            </w:r>
          </w:p>
        </w:tc>
      </w:tr>
    </w:tbl>
    <w:p w14:paraId="642ABBB9" w14:textId="77777777" w:rsidR="00A47317" w:rsidRDefault="00A47317" w:rsidP="00A47317"/>
    <w:p w14:paraId="57C1A6F1" w14:textId="76D580FD" w:rsidR="00486837" w:rsidRDefault="00486837" w:rsidP="00486837">
      <w:pPr>
        <w:pStyle w:val="Caption"/>
        <w:keepNext/>
      </w:pPr>
      <w:r>
        <w:lastRenderedPageBreak/>
        <w:t xml:space="preserve">Table </w:t>
      </w:r>
      <w:r>
        <w:fldChar w:fldCharType="begin"/>
      </w:r>
      <w:r>
        <w:instrText xml:space="preserve"> SEQ Table \* ARABIC </w:instrText>
      </w:r>
      <w:r>
        <w:fldChar w:fldCharType="separate"/>
      </w:r>
      <w:r>
        <w:rPr>
          <w:noProof/>
        </w:rPr>
        <w:t>7</w:t>
      </w:r>
      <w:r>
        <w:fldChar w:fldCharType="end"/>
      </w:r>
      <w:r>
        <w:t>: Output results of calculations of the Theoretical Energy Requirements for the production of glasses discussed in Section 5.8.1.</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6"/>
        <w:gridCol w:w="804"/>
        <w:gridCol w:w="1475"/>
        <w:gridCol w:w="1961"/>
        <w:gridCol w:w="609"/>
        <w:gridCol w:w="1277"/>
      </w:tblGrid>
      <w:tr w:rsidR="000D45E8" w:rsidRPr="000D45E8" w14:paraId="29B8D679" w14:textId="77777777" w:rsidTr="00486837">
        <w:trPr>
          <w:trHeight w:val="300"/>
        </w:trPr>
        <w:tc>
          <w:tcPr>
            <w:tcW w:w="2516" w:type="dxa"/>
            <w:vMerge w:val="restart"/>
            <w:shd w:val="clear" w:color="auto" w:fill="auto"/>
            <w:noWrap/>
            <w:vAlign w:val="bottom"/>
            <w:hideMark/>
          </w:tcPr>
          <w:p w14:paraId="5769692E" w14:textId="77777777" w:rsidR="000D45E8" w:rsidRPr="000D45E8" w:rsidRDefault="000D45E8" w:rsidP="000D45E8">
            <w:pPr>
              <w:spacing w:after="0" w:line="240" w:lineRule="auto"/>
              <w:ind w:firstLine="0"/>
              <w:contextualSpacing w:val="0"/>
              <w:jc w:val="right"/>
              <w:rPr>
                <w:rFonts w:ascii="Calibri" w:eastAsia="Times New Roman" w:hAnsi="Calibri" w:cs="Times New Roman"/>
                <w:color w:val="000000"/>
              </w:rPr>
            </w:pPr>
            <w:r w:rsidRPr="000D45E8">
              <w:rPr>
                <w:rFonts w:ascii="Calibri" w:eastAsia="Times New Roman" w:hAnsi="Calibri" w:cs="Times New Roman"/>
                <w:color w:val="000000"/>
              </w:rPr>
              <w:t>Glass</w:t>
            </w:r>
          </w:p>
        </w:tc>
        <w:tc>
          <w:tcPr>
            <w:tcW w:w="4849" w:type="dxa"/>
            <w:gridSpan w:val="4"/>
            <w:shd w:val="clear" w:color="auto" w:fill="auto"/>
            <w:noWrap/>
            <w:vAlign w:val="bottom"/>
            <w:hideMark/>
          </w:tcPr>
          <w:p w14:paraId="01F4FFBA" w14:textId="718137CD" w:rsidR="000D45E8" w:rsidRPr="000D45E8" w:rsidRDefault="000D45E8" w:rsidP="00486837">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Mole fractions of phases in glass melt</w:t>
            </w:r>
          </w:p>
        </w:tc>
        <w:tc>
          <w:tcPr>
            <w:tcW w:w="1277" w:type="dxa"/>
            <w:vMerge w:val="restart"/>
            <w:shd w:val="clear" w:color="auto" w:fill="auto"/>
            <w:noWrap/>
            <w:vAlign w:val="center"/>
            <w:hideMark/>
          </w:tcPr>
          <w:p w14:paraId="2F033945" w14:textId="77777777" w:rsidR="000D45E8" w:rsidRPr="000D45E8" w:rsidRDefault="000D45E8" w:rsidP="000D45E8">
            <w:pPr>
              <w:spacing w:after="0" w:line="240" w:lineRule="auto"/>
              <w:ind w:firstLine="0"/>
              <w:contextualSpacing w:val="0"/>
              <w:jc w:val="left"/>
              <w:rPr>
                <w:rFonts w:ascii="Calibri" w:eastAsia="Times New Roman" w:hAnsi="Calibri" w:cs="Times New Roman"/>
                <w:color w:val="000000"/>
              </w:rPr>
            </w:pPr>
            <w:r w:rsidRPr="000D45E8">
              <w:rPr>
                <w:rFonts w:ascii="Calibri" w:eastAsia="Times New Roman" w:hAnsi="Calibri" w:cs="Times New Roman"/>
                <w:color w:val="000000"/>
              </w:rPr>
              <w:t>TER (kJ/kg of glass)</w:t>
            </w:r>
          </w:p>
        </w:tc>
      </w:tr>
      <w:tr w:rsidR="000D45E8" w:rsidRPr="000D45E8" w14:paraId="279F3AE7" w14:textId="77777777" w:rsidTr="00486837">
        <w:trPr>
          <w:trHeight w:val="300"/>
        </w:trPr>
        <w:tc>
          <w:tcPr>
            <w:tcW w:w="2516" w:type="dxa"/>
            <w:vMerge/>
            <w:vAlign w:val="center"/>
            <w:hideMark/>
          </w:tcPr>
          <w:p w14:paraId="3308B899" w14:textId="77777777" w:rsidR="000D45E8" w:rsidRPr="000D45E8" w:rsidRDefault="000D45E8" w:rsidP="000D45E8">
            <w:pPr>
              <w:spacing w:after="0" w:line="240" w:lineRule="auto"/>
              <w:ind w:firstLine="0"/>
              <w:contextualSpacing w:val="0"/>
              <w:jc w:val="left"/>
              <w:rPr>
                <w:rFonts w:ascii="Calibri" w:eastAsia="Times New Roman" w:hAnsi="Calibri" w:cs="Times New Roman"/>
                <w:color w:val="000000"/>
              </w:rPr>
            </w:pPr>
          </w:p>
        </w:tc>
        <w:tc>
          <w:tcPr>
            <w:tcW w:w="804" w:type="dxa"/>
            <w:shd w:val="clear" w:color="auto" w:fill="auto"/>
            <w:noWrap/>
            <w:vAlign w:val="center"/>
            <w:hideMark/>
          </w:tcPr>
          <w:p w14:paraId="28799454" w14:textId="77777777" w:rsid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 xml:space="preserve">SiO2 </w:t>
            </w:r>
          </w:p>
          <w:p w14:paraId="709E9AD9" w14:textId="5B3C17CE"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(vitr)</w:t>
            </w:r>
          </w:p>
        </w:tc>
        <w:tc>
          <w:tcPr>
            <w:tcW w:w="1475" w:type="dxa"/>
            <w:shd w:val="clear" w:color="auto" w:fill="auto"/>
            <w:noWrap/>
            <w:vAlign w:val="center"/>
            <w:hideMark/>
          </w:tcPr>
          <w:p w14:paraId="2B6A2A01" w14:textId="77777777" w:rsid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 xml:space="preserve">Na2O.2SiO2 </w:t>
            </w:r>
          </w:p>
          <w:p w14:paraId="0FA76BCC" w14:textId="22DA3EFC"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(vitr)</w:t>
            </w:r>
          </w:p>
        </w:tc>
        <w:tc>
          <w:tcPr>
            <w:tcW w:w="1961" w:type="dxa"/>
            <w:shd w:val="clear" w:color="auto" w:fill="auto"/>
            <w:noWrap/>
            <w:vAlign w:val="center"/>
            <w:hideMark/>
          </w:tcPr>
          <w:p w14:paraId="29AEFC20" w14:textId="77777777" w:rsid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Na2O.3CaO.6SiO2</w:t>
            </w:r>
          </w:p>
          <w:p w14:paraId="24DF396B" w14:textId="390B226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(vitr)</w:t>
            </w:r>
          </w:p>
        </w:tc>
        <w:tc>
          <w:tcPr>
            <w:tcW w:w="609" w:type="dxa"/>
            <w:shd w:val="clear" w:color="auto" w:fill="auto"/>
            <w:noWrap/>
            <w:vAlign w:val="center"/>
            <w:hideMark/>
          </w:tcPr>
          <w:p w14:paraId="22AA7C37"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Sum</w:t>
            </w:r>
          </w:p>
        </w:tc>
        <w:tc>
          <w:tcPr>
            <w:tcW w:w="1277" w:type="dxa"/>
            <w:vMerge/>
            <w:vAlign w:val="center"/>
            <w:hideMark/>
          </w:tcPr>
          <w:p w14:paraId="016C0241" w14:textId="77777777" w:rsidR="000D45E8" w:rsidRPr="000D45E8" w:rsidRDefault="000D45E8" w:rsidP="000D45E8">
            <w:pPr>
              <w:spacing w:after="0" w:line="240" w:lineRule="auto"/>
              <w:ind w:firstLine="0"/>
              <w:contextualSpacing w:val="0"/>
              <w:jc w:val="left"/>
              <w:rPr>
                <w:rFonts w:ascii="Calibri" w:eastAsia="Times New Roman" w:hAnsi="Calibri" w:cs="Times New Roman"/>
                <w:color w:val="000000"/>
              </w:rPr>
            </w:pPr>
          </w:p>
        </w:tc>
      </w:tr>
      <w:tr w:rsidR="000D45E8" w:rsidRPr="000D45E8" w14:paraId="7EF9EC95" w14:textId="77777777" w:rsidTr="00486837">
        <w:trPr>
          <w:trHeight w:val="300"/>
        </w:trPr>
        <w:tc>
          <w:tcPr>
            <w:tcW w:w="2516" w:type="dxa"/>
            <w:shd w:val="clear" w:color="auto" w:fill="auto"/>
            <w:noWrap/>
            <w:vAlign w:val="bottom"/>
            <w:hideMark/>
          </w:tcPr>
          <w:p w14:paraId="22A367BE" w14:textId="77777777" w:rsidR="000D45E8" w:rsidRPr="000D45E8" w:rsidRDefault="000D45E8" w:rsidP="000D45E8">
            <w:pPr>
              <w:spacing w:after="0" w:line="240" w:lineRule="auto"/>
              <w:ind w:firstLine="0"/>
              <w:contextualSpacing w:val="0"/>
              <w:jc w:val="right"/>
              <w:rPr>
                <w:rFonts w:ascii="Calibri" w:eastAsia="Times New Roman" w:hAnsi="Calibri" w:cs="Times New Roman"/>
                <w:color w:val="000000"/>
              </w:rPr>
            </w:pPr>
            <w:r w:rsidRPr="000D45E8">
              <w:rPr>
                <w:rFonts w:ascii="Calibri" w:eastAsia="Times New Roman" w:hAnsi="Calibri" w:cs="Times New Roman"/>
                <w:color w:val="000000"/>
              </w:rPr>
              <w:t>Pure silica</w:t>
            </w:r>
          </w:p>
        </w:tc>
        <w:tc>
          <w:tcPr>
            <w:tcW w:w="804" w:type="dxa"/>
            <w:shd w:val="clear" w:color="auto" w:fill="auto"/>
            <w:noWrap/>
            <w:vAlign w:val="center"/>
            <w:hideMark/>
          </w:tcPr>
          <w:p w14:paraId="71CFAF5C"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1.00</w:t>
            </w:r>
          </w:p>
        </w:tc>
        <w:tc>
          <w:tcPr>
            <w:tcW w:w="1475" w:type="dxa"/>
            <w:shd w:val="clear" w:color="auto" w:fill="auto"/>
            <w:noWrap/>
            <w:vAlign w:val="center"/>
            <w:hideMark/>
          </w:tcPr>
          <w:p w14:paraId="478761FB"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0.00</w:t>
            </w:r>
          </w:p>
        </w:tc>
        <w:tc>
          <w:tcPr>
            <w:tcW w:w="1961" w:type="dxa"/>
            <w:shd w:val="clear" w:color="auto" w:fill="auto"/>
            <w:noWrap/>
            <w:vAlign w:val="center"/>
            <w:hideMark/>
          </w:tcPr>
          <w:p w14:paraId="2FC6BEAA"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0.00</w:t>
            </w:r>
          </w:p>
        </w:tc>
        <w:tc>
          <w:tcPr>
            <w:tcW w:w="609" w:type="dxa"/>
            <w:shd w:val="clear" w:color="auto" w:fill="auto"/>
            <w:noWrap/>
            <w:vAlign w:val="center"/>
            <w:hideMark/>
          </w:tcPr>
          <w:p w14:paraId="768D497C"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1.00</w:t>
            </w:r>
          </w:p>
        </w:tc>
        <w:tc>
          <w:tcPr>
            <w:tcW w:w="1277" w:type="dxa"/>
            <w:shd w:val="clear" w:color="auto" w:fill="auto"/>
            <w:noWrap/>
            <w:vAlign w:val="center"/>
            <w:hideMark/>
          </w:tcPr>
          <w:p w14:paraId="25491010"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1153</w:t>
            </w:r>
          </w:p>
        </w:tc>
      </w:tr>
      <w:tr w:rsidR="000D45E8" w:rsidRPr="000D45E8" w14:paraId="6085054F" w14:textId="77777777" w:rsidTr="00486837">
        <w:trPr>
          <w:trHeight w:val="300"/>
        </w:trPr>
        <w:tc>
          <w:tcPr>
            <w:tcW w:w="2516" w:type="dxa"/>
            <w:shd w:val="clear" w:color="auto" w:fill="auto"/>
            <w:noWrap/>
            <w:vAlign w:val="bottom"/>
            <w:hideMark/>
          </w:tcPr>
          <w:p w14:paraId="54F607DD" w14:textId="77777777" w:rsidR="000D45E8" w:rsidRPr="000D45E8" w:rsidRDefault="000D45E8" w:rsidP="000D45E8">
            <w:pPr>
              <w:spacing w:after="0" w:line="240" w:lineRule="auto"/>
              <w:ind w:firstLine="0"/>
              <w:contextualSpacing w:val="0"/>
              <w:jc w:val="right"/>
              <w:rPr>
                <w:rFonts w:ascii="Calibri" w:eastAsia="Times New Roman" w:hAnsi="Calibri" w:cs="Times New Roman"/>
                <w:color w:val="000000"/>
              </w:rPr>
            </w:pPr>
            <w:r w:rsidRPr="000D45E8">
              <w:rPr>
                <w:rFonts w:ascii="Calibri" w:eastAsia="Times New Roman" w:hAnsi="Calibri" w:cs="Times New Roman"/>
                <w:color w:val="000000"/>
              </w:rPr>
              <w:t>Powder SLS</w:t>
            </w:r>
          </w:p>
        </w:tc>
        <w:tc>
          <w:tcPr>
            <w:tcW w:w="804" w:type="dxa"/>
            <w:shd w:val="clear" w:color="auto" w:fill="auto"/>
            <w:noWrap/>
            <w:vAlign w:val="center"/>
            <w:hideMark/>
          </w:tcPr>
          <w:p w14:paraId="7D988D50"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0.20</w:t>
            </w:r>
          </w:p>
        </w:tc>
        <w:tc>
          <w:tcPr>
            <w:tcW w:w="1475" w:type="dxa"/>
            <w:shd w:val="clear" w:color="auto" w:fill="auto"/>
            <w:noWrap/>
            <w:vAlign w:val="center"/>
            <w:hideMark/>
          </w:tcPr>
          <w:p w14:paraId="607222B5"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0.33</w:t>
            </w:r>
          </w:p>
        </w:tc>
        <w:tc>
          <w:tcPr>
            <w:tcW w:w="1961" w:type="dxa"/>
            <w:shd w:val="clear" w:color="auto" w:fill="auto"/>
            <w:noWrap/>
            <w:vAlign w:val="center"/>
            <w:hideMark/>
          </w:tcPr>
          <w:p w14:paraId="15AA6248"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0.47</w:t>
            </w:r>
          </w:p>
        </w:tc>
        <w:tc>
          <w:tcPr>
            <w:tcW w:w="609" w:type="dxa"/>
            <w:shd w:val="clear" w:color="auto" w:fill="auto"/>
            <w:noWrap/>
            <w:vAlign w:val="center"/>
            <w:hideMark/>
          </w:tcPr>
          <w:p w14:paraId="4489268B"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1.00</w:t>
            </w:r>
          </w:p>
        </w:tc>
        <w:tc>
          <w:tcPr>
            <w:tcW w:w="1277" w:type="dxa"/>
            <w:shd w:val="clear" w:color="auto" w:fill="auto"/>
            <w:noWrap/>
            <w:vAlign w:val="center"/>
            <w:hideMark/>
          </w:tcPr>
          <w:p w14:paraId="5C9879C9"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2622</w:t>
            </w:r>
          </w:p>
        </w:tc>
      </w:tr>
      <w:tr w:rsidR="000D45E8" w:rsidRPr="000D45E8" w14:paraId="3A690162" w14:textId="77777777" w:rsidTr="00486837">
        <w:trPr>
          <w:trHeight w:val="300"/>
        </w:trPr>
        <w:tc>
          <w:tcPr>
            <w:tcW w:w="2516" w:type="dxa"/>
            <w:shd w:val="clear" w:color="auto" w:fill="auto"/>
            <w:noWrap/>
            <w:vAlign w:val="bottom"/>
            <w:hideMark/>
          </w:tcPr>
          <w:p w14:paraId="6A299A1D" w14:textId="77777777" w:rsidR="000D45E8" w:rsidRPr="000D45E8" w:rsidRDefault="000D45E8" w:rsidP="000D45E8">
            <w:pPr>
              <w:spacing w:after="0" w:line="240" w:lineRule="auto"/>
              <w:ind w:firstLine="0"/>
              <w:contextualSpacing w:val="0"/>
              <w:jc w:val="right"/>
              <w:rPr>
                <w:rFonts w:ascii="Calibri" w:eastAsia="Times New Roman" w:hAnsi="Calibri" w:cs="Times New Roman"/>
                <w:color w:val="000000"/>
              </w:rPr>
            </w:pPr>
            <w:r w:rsidRPr="000D45E8">
              <w:rPr>
                <w:rFonts w:ascii="Calibri" w:eastAsia="Times New Roman" w:hAnsi="Calibri" w:cs="Times New Roman"/>
                <w:color w:val="000000"/>
              </w:rPr>
              <w:t>Container (Industrial) SLS</w:t>
            </w:r>
          </w:p>
        </w:tc>
        <w:tc>
          <w:tcPr>
            <w:tcW w:w="804" w:type="dxa"/>
            <w:shd w:val="clear" w:color="auto" w:fill="auto"/>
            <w:noWrap/>
            <w:vAlign w:val="center"/>
            <w:hideMark/>
          </w:tcPr>
          <w:p w14:paraId="590A3262"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0.34</w:t>
            </w:r>
          </w:p>
        </w:tc>
        <w:tc>
          <w:tcPr>
            <w:tcW w:w="1475" w:type="dxa"/>
            <w:shd w:val="clear" w:color="auto" w:fill="auto"/>
            <w:noWrap/>
            <w:vAlign w:val="center"/>
            <w:hideMark/>
          </w:tcPr>
          <w:p w14:paraId="773BD05C"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0.32</w:t>
            </w:r>
          </w:p>
        </w:tc>
        <w:tc>
          <w:tcPr>
            <w:tcW w:w="1961" w:type="dxa"/>
            <w:shd w:val="clear" w:color="auto" w:fill="auto"/>
            <w:noWrap/>
            <w:vAlign w:val="center"/>
            <w:hideMark/>
          </w:tcPr>
          <w:p w14:paraId="4CB555CD"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0.34</w:t>
            </w:r>
          </w:p>
        </w:tc>
        <w:tc>
          <w:tcPr>
            <w:tcW w:w="609" w:type="dxa"/>
            <w:shd w:val="clear" w:color="auto" w:fill="auto"/>
            <w:noWrap/>
            <w:vAlign w:val="center"/>
            <w:hideMark/>
          </w:tcPr>
          <w:p w14:paraId="63A98764"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1.00</w:t>
            </w:r>
          </w:p>
        </w:tc>
        <w:tc>
          <w:tcPr>
            <w:tcW w:w="1277" w:type="dxa"/>
            <w:shd w:val="clear" w:color="auto" w:fill="auto"/>
            <w:noWrap/>
            <w:vAlign w:val="center"/>
            <w:hideMark/>
          </w:tcPr>
          <w:p w14:paraId="79BBF312"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2528</w:t>
            </w:r>
          </w:p>
        </w:tc>
      </w:tr>
      <w:tr w:rsidR="000D45E8" w:rsidRPr="000D45E8" w14:paraId="167EC616" w14:textId="77777777" w:rsidTr="00486837">
        <w:trPr>
          <w:trHeight w:val="300"/>
        </w:trPr>
        <w:tc>
          <w:tcPr>
            <w:tcW w:w="2516" w:type="dxa"/>
            <w:shd w:val="clear" w:color="auto" w:fill="auto"/>
            <w:noWrap/>
            <w:vAlign w:val="bottom"/>
            <w:hideMark/>
          </w:tcPr>
          <w:p w14:paraId="6966F294" w14:textId="0463B755" w:rsidR="000D45E8" w:rsidRPr="000D45E8" w:rsidRDefault="000D45E8" w:rsidP="000D45E8">
            <w:pPr>
              <w:spacing w:after="0" w:line="240" w:lineRule="auto"/>
              <w:ind w:firstLine="0"/>
              <w:contextualSpacing w:val="0"/>
              <w:jc w:val="right"/>
              <w:rPr>
                <w:rFonts w:ascii="Calibri" w:eastAsia="Times New Roman" w:hAnsi="Calibri" w:cs="Times New Roman"/>
                <w:color w:val="000000"/>
              </w:rPr>
            </w:pPr>
            <w:r w:rsidRPr="000D45E8">
              <w:rPr>
                <w:rFonts w:ascii="Calibri" w:eastAsia="Times New Roman" w:hAnsi="Calibri" w:cs="Times New Roman"/>
                <w:color w:val="000000"/>
              </w:rPr>
              <w:t>Phillips 3300</w:t>
            </w:r>
            <w:r w:rsidR="00486837">
              <w:rPr>
                <w:rFonts w:ascii="Calibri" w:eastAsia="Times New Roman" w:hAnsi="Calibri" w:cs="Times New Roman"/>
                <w:color w:val="000000"/>
              </w:rPr>
              <w:t xml:space="preserve"> (SLS)</w:t>
            </w:r>
          </w:p>
        </w:tc>
        <w:tc>
          <w:tcPr>
            <w:tcW w:w="804" w:type="dxa"/>
            <w:shd w:val="clear" w:color="auto" w:fill="auto"/>
            <w:noWrap/>
            <w:vAlign w:val="center"/>
            <w:hideMark/>
          </w:tcPr>
          <w:p w14:paraId="2D74F9C6"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0.34</w:t>
            </w:r>
          </w:p>
        </w:tc>
        <w:tc>
          <w:tcPr>
            <w:tcW w:w="1475" w:type="dxa"/>
            <w:shd w:val="clear" w:color="auto" w:fill="auto"/>
            <w:noWrap/>
            <w:vAlign w:val="center"/>
            <w:hideMark/>
          </w:tcPr>
          <w:p w14:paraId="7B9EEAE1"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0.32</w:t>
            </w:r>
          </w:p>
        </w:tc>
        <w:tc>
          <w:tcPr>
            <w:tcW w:w="1961" w:type="dxa"/>
            <w:shd w:val="clear" w:color="auto" w:fill="auto"/>
            <w:noWrap/>
            <w:vAlign w:val="center"/>
            <w:hideMark/>
          </w:tcPr>
          <w:p w14:paraId="1AA5C4A8"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0.34</w:t>
            </w:r>
          </w:p>
        </w:tc>
        <w:tc>
          <w:tcPr>
            <w:tcW w:w="609" w:type="dxa"/>
            <w:shd w:val="clear" w:color="auto" w:fill="auto"/>
            <w:noWrap/>
            <w:vAlign w:val="center"/>
            <w:hideMark/>
          </w:tcPr>
          <w:p w14:paraId="647631E1"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1.00</w:t>
            </w:r>
          </w:p>
        </w:tc>
        <w:tc>
          <w:tcPr>
            <w:tcW w:w="1277" w:type="dxa"/>
            <w:shd w:val="clear" w:color="auto" w:fill="auto"/>
            <w:noWrap/>
            <w:vAlign w:val="center"/>
            <w:hideMark/>
          </w:tcPr>
          <w:p w14:paraId="25645E34" w14:textId="77777777" w:rsidR="000D45E8" w:rsidRPr="000D45E8" w:rsidRDefault="000D45E8" w:rsidP="000D45E8">
            <w:pPr>
              <w:spacing w:after="0" w:line="240" w:lineRule="auto"/>
              <w:ind w:firstLine="0"/>
              <w:contextualSpacing w:val="0"/>
              <w:jc w:val="center"/>
              <w:rPr>
                <w:rFonts w:ascii="Calibri" w:eastAsia="Times New Roman" w:hAnsi="Calibri" w:cs="Times New Roman"/>
                <w:color w:val="000000"/>
              </w:rPr>
            </w:pPr>
            <w:r w:rsidRPr="000D45E8">
              <w:rPr>
                <w:rFonts w:ascii="Calibri" w:eastAsia="Times New Roman" w:hAnsi="Calibri" w:cs="Times New Roman"/>
                <w:color w:val="000000"/>
              </w:rPr>
              <w:t>2541</w:t>
            </w:r>
          </w:p>
        </w:tc>
      </w:tr>
    </w:tbl>
    <w:p w14:paraId="168EC949" w14:textId="77777777" w:rsidR="000D45E8" w:rsidRDefault="000D45E8" w:rsidP="002D4BB7">
      <w:pPr>
        <w:ind w:firstLine="0"/>
      </w:pPr>
    </w:p>
    <w:p w14:paraId="6C1E8CA4" w14:textId="38BD7B80" w:rsidR="002B759B" w:rsidRPr="00665552" w:rsidRDefault="002B759B" w:rsidP="002B759B">
      <w:pPr>
        <w:pStyle w:val="Heading3"/>
        <w:keepLines w:val="0"/>
        <w:numPr>
          <w:ilvl w:val="2"/>
          <w:numId w:val="21"/>
        </w:numPr>
        <w:spacing w:before="100" w:after="100"/>
        <w:contextualSpacing w:val="0"/>
      </w:pPr>
      <w:r w:rsidRPr="00665552">
        <w:t>Temperature measurements</w:t>
      </w:r>
      <w:bookmarkStart w:id="206" w:name="_GoBack"/>
      <w:bookmarkEnd w:id="205"/>
      <w:bookmarkEnd w:id="206"/>
    </w:p>
    <w:p w14:paraId="6B066669" w14:textId="1B3D8E92" w:rsidR="002B759B" w:rsidRDefault="002B759B" w:rsidP="00EA4BBA">
      <w:r w:rsidRPr="000A1FD7">
        <w:t>The electrical power supply to the main furnace heating elements cause</w:t>
      </w:r>
      <w:r w:rsidR="00631C89">
        <w:t>d</w:t>
      </w:r>
      <w:r>
        <w:t xml:space="preserve"> interference with the thermocouple temperature measurement signals going to the data acquisition system. Efforts were made to shield the thermocouples from the element terminals but this issue persisted. The thermocouples connected directly to the furnace power supply controller rather than to the data acquisition system </w:t>
      </w:r>
      <w:r w:rsidR="00631C89">
        <w:t>were</w:t>
      </w:r>
      <w:r>
        <w:t xml:space="preserve"> unaffected so readings could be taken </w:t>
      </w:r>
      <w:r w:rsidR="00631C89">
        <w:t>therefrom</w:t>
      </w:r>
      <w:r>
        <w:t>. However the controller did not have any data logging capability, therefore readings were manually noted from the controller displays in experiments</w:t>
      </w:r>
      <w:r w:rsidR="00631C89">
        <w:t xml:space="preserve"> C1-3</w:t>
      </w:r>
      <w:r>
        <w:t>. Then experiments</w:t>
      </w:r>
      <w:r w:rsidR="00631C89">
        <w:t xml:space="preserve"> D1-4,</w:t>
      </w:r>
      <w:r>
        <w:t xml:space="preserve"> a camera was set up to record the display so more regular reading could be recorded after the experiments. In experiments</w:t>
      </w:r>
      <w:r w:rsidR="00631C89">
        <w:t xml:space="preserve"> C1-3,</w:t>
      </w:r>
      <w:r>
        <w:t xml:space="preserve"> this was a major problem because electrical power supply to the heating elements was required throughout the experiments</w:t>
      </w:r>
      <w:r w:rsidR="00631C89">
        <w:t>,</w:t>
      </w:r>
      <w:r>
        <w:t xml:space="preserve"> even after the furnace was at maximum temperature </w:t>
      </w:r>
      <w:r w:rsidR="00631C89">
        <w:t xml:space="preserve">with </w:t>
      </w:r>
      <w:r>
        <w:t>the beam on</w:t>
      </w:r>
      <w:r w:rsidR="00631C89">
        <w:t xml:space="preserve">. This was </w:t>
      </w:r>
      <w:r>
        <w:t>because the cooling flow of air resulted in the need for extra electrical heating to maintain the glass melting temperatures. Therefore, there was a lack of temperature reading</w:t>
      </w:r>
      <w:r w:rsidR="00631C89">
        <w:t>s</w:t>
      </w:r>
      <w:r>
        <w:t xml:space="preserve"> throughout experiments</w:t>
      </w:r>
      <w:r w:rsidR="00631C89">
        <w:t xml:space="preserve"> C1-3</w:t>
      </w:r>
      <w:r>
        <w:t>. However, after blocking the path of the cooling air flow, in experiments</w:t>
      </w:r>
      <w:r w:rsidR="00631C89">
        <w:t xml:space="preserve"> D1-4</w:t>
      </w:r>
      <w:r>
        <w:t>, soon after the beam was switched on</w:t>
      </w:r>
      <w:r w:rsidR="00631C89">
        <w:t>,</w:t>
      </w:r>
      <w:r>
        <w:t xml:space="preserve"> the furnace temperature exceeded the set point of the furnace temperature controller so the electrical power supply to them was switched off</w:t>
      </w:r>
      <w:r w:rsidR="00631C89">
        <w:t>.</w:t>
      </w:r>
      <w:r>
        <w:t xml:space="preserve"> </w:t>
      </w:r>
      <w:r w:rsidR="00631C89">
        <w:t>T</w:t>
      </w:r>
      <w:r>
        <w:t>herefore</w:t>
      </w:r>
      <w:r w:rsidR="00631C89">
        <w:t>,</w:t>
      </w:r>
      <w:r>
        <w:t xml:space="preserve"> for</w:t>
      </w:r>
      <w:r w:rsidR="00631C89">
        <w:t xml:space="preserve"> experiments D1-4,</w:t>
      </w:r>
      <w:r>
        <w:t xml:space="preserve"> temperature measurements logged by the data acquisition system were available for all times while the beam was switched on including</w:t>
      </w:r>
      <w:r w:rsidR="00631C89">
        <w:t>,</w:t>
      </w:r>
      <w:r>
        <w:t xml:space="preserve"> most critically</w:t>
      </w:r>
      <w:r w:rsidR="00631C89">
        <w:t>,</w:t>
      </w:r>
      <w:r>
        <w:t xml:space="preserve"> the melting cycles and subsequent fining period</w:t>
      </w:r>
      <w:r w:rsidR="00631C89">
        <w:t>s</w:t>
      </w:r>
      <w:r>
        <w:t>. However, there were periods before the final series of melting cycles shown where some batch was fed but then then the batch feeder malfunctioned so the beam was switched off to fix it and during these intervals the furnace temperature approached the 1200</w:t>
      </w:r>
      <w:r>
        <w:rPr>
          <w:vertAlign w:val="superscript"/>
        </w:rPr>
        <w:t>o</w:t>
      </w:r>
      <w:r>
        <w:t>C furnace set point so the electrical heating elements switched on and therefore the electrical interference recurred so temperature data logs during this period were lost until the beam was switched on again.</w:t>
      </w:r>
      <w:r w:rsidRPr="00635F23">
        <w:t xml:space="preserve"> This demonstrated the capability of the solar glass melting furnace to operate intermittently which would be essential for real operation where solar radiation availability could be unexpectedly be cut off due to temporary cloud cover.</w:t>
      </w:r>
    </w:p>
    <w:p w14:paraId="6F93CDA4" w14:textId="6EE06BA1" w:rsidR="002B759B" w:rsidRDefault="002B759B" w:rsidP="00EA4BBA">
      <w:r>
        <w:lastRenderedPageBreak/>
        <w:t>Use of optical pyrometers was considered for measuring temperatures inside the solar glass melting furnace. This would have had an advantage over thermocouples as it could have avoided the problem of interference between the electrical power supply to the heating elements and the thermocouples’ temperature measurement signals. Also, it could have enabled measurement of the surface temperature of the glass melt which was difficult with a thermocouple as it would have required contacting the surface of the melt which was moving during the experiment. However, the high intensity radiation from the HFSS beam would have interfered with the optical temperature measurements inside the crucible and maybe also in the surrounding spaces inside the furnace so thermocouples were used there instead. However, on further consideration, a pyrometer may have been better used to measure the temperature of the flow of glass produced at the bottom outlet</w:t>
      </w:r>
      <w:r w:rsidR="00631C89">
        <w:t>.</w:t>
      </w:r>
      <w:r>
        <w:t xml:space="preserve"> </w:t>
      </w:r>
      <w:r w:rsidR="00631C89">
        <w:t>T</w:t>
      </w:r>
      <w:r>
        <w:t xml:space="preserve">here may have been some radiation from the outlet heater, </w:t>
      </w:r>
      <w:r w:rsidR="00631C89">
        <w:t xml:space="preserve">but </w:t>
      </w:r>
      <w:r>
        <w:t xml:space="preserve">this would have been less intense than that of the HFSS beam. </w:t>
      </w:r>
      <w:r w:rsidR="00631C89">
        <w:t>Thus</w:t>
      </w:r>
      <w:r>
        <w:t xml:space="preserve">, use of a pyrometer to measure the temperature of the outlet glass flow </w:t>
      </w:r>
      <w:r w:rsidR="00631C89">
        <w:t>is</w:t>
      </w:r>
      <w:r>
        <w:t xml:space="preserve"> recommended for future </w:t>
      </w:r>
      <w:r w:rsidR="00D411DC">
        <w:t>work.</w:t>
      </w:r>
      <w:r>
        <w:t xml:space="preserve"> Otherwise, use of a thermocouple to measure the outlet glass flow, would have required contacting and therefore disrupting the glass stream. Thermocouple measurements elsewhere appeared to be unrepresentative of the actual temperature of the glass produced from the outlet. This is demonstrated by the fact that, glass flows through the bottom outlet were observed when </w:t>
      </w:r>
      <w:r w:rsidRPr="00F52EC2">
        <w:rPr>
          <w:i/>
        </w:rPr>
        <w:t>T</w:t>
      </w:r>
      <w:r>
        <w:rPr>
          <w:vertAlign w:val="subscript"/>
        </w:rPr>
        <w:t>outlet</w:t>
      </w:r>
      <w:r>
        <w:t xml:space="preserve"> and </w:t>
      </w:r>
      <w:r w:rsidRPr="00F52EC2">
        <w:rPr>
          <w:i/>
        </w:rPr>
        <w:t>T</w:t>
      </w:r>
      <w:r>
        <w:rPr>
          <w:vertAlign w:val="subscript"/>
        </w:rPr>
        <w:t xml:space="preserve">main </w:t>
      </w:r>
      <w:r>
        <w:t xml:space="preserve">measured as low as around 740 </w:t>
      </w:r>
      <w:r>
        <w:rPr>
          <w:vertAlign w:val="superscript"/>
        </w:rPr>
        <w:t>o</w:t>
      </w:r>
      <w:r>
        <w:t xml:space="preserve">C and 1030 </w:t>
      </w:r>
      <w:r>
        <w:rPr>
          <w:vertAlign w:val="superscript"/>
        </w:rPr>
        <w:t>o</w:t>
      </w:r>
      <w:r>
        <w:t>C</w:t>
      </w:r>
      <w:r w:rsidDel="00F77911">
        <w:t xml:space="preserve"> </w:t>
      </w:r>
      <w:r>
        <w:t xml:space="preserve">respectively, whereas the minimum glass temperatures required to exhibit such fluidity would have to be at least 1100-1200 </w:t>
      </w:r>
      <w:r>
        <w:rPr>
          <w:vertAlign w:val="superscript"/>
        </w:rPr>
        <w:t>o</w:t>
      </w:r>
      <w:r>
        <w:t xml:space="preserve">C. </w:t>
      </w:r>
    </w:p>
    <w:p w14:paraId="36C634E3" w14:textId="744F7C43" w:rsidR="002B759B" w:rsidRDefault="002B759B" w:rsidP="00EA6242">
      <w:r>
        <w:t>In order to withstand the glass melting temperatures of over 1500</w:t>
      </w:r>
      <w:r>
        <w:rPr>
          <w:vertAlign w:val="superscript"/>
        </w:rPr>
        <w:t>o</w:t>
      </w:r>
      <w:r>
        <w:t>C the thermocouples had to be made of platinum/rhodium wires and to avoid interference with the path of the vertical solar beam, they had to enter the furnace laterally so needed to be sufficiently long to pass through the thick insulating walls of the furnace into the centre of the furnace where the glass melt was situated. Furthermore, although the length of thermocouple wire immersed in the melt was initially protected from the direct contact with the melt by a fused silica tube sheathing, sometimes this protective tube would break rendering the exposed length of platinum/rhodium wire difficult to recover for use as a thermocouple because the electrical conductivity of the glass melt frozen between the thermocouple wire would affect the temperature measurements. However</w:t>
      </w:r>
      <w:r w:rsidR="00D411DC">
        <w:t>,</w:t>
      </w:r>
      <w:r>
        <w:t xml:space="preserve"> the crucibles which were also made of fused silica never failed during the course of the same experiments because they were constructed from thicker walls and were fixed in their positions whereas the thermocouple sheathing tubes had much thinner walls and were freely floating in the melt so the exact location of the temperature measurements in the melt was unknown</w:t>
      </w:r>
      <w:r w:rsidR="00D411DC">
        <w:t>.</w:t>
      </w:r>
      <w:r>
        <w:t xml:space="preserve"> </w:t>
      </w:r>
      <w:r w:rsidR="00D411DC">
        <w:t>T</w:t>
      </w:r>
      <w:r>
        <w:t>he tubes probably failed by impact either with the walls of the crucible, or the incoming batch pellets. This suggests fused silica or similar glass contact refractories might still be suitable for the thermocouple sheathing but an improved design is required for greater structural integrity.</w:t>
      </w:r>
    </w:p>
    <w:p w14:paraId="6CE7CA05" w14:textId="77777777" w:rsidR="002B759B" w:rsidRPr="00665552" w:rsidRDefault="002B759B" w:rsidP="002B759B">
      <w:pPr>
        <w:pStyle w:val="Heading3"/>
        <w:keepLines w:val="0"/>
        <w:numPr>
          <w:ilvl w:val="2"/>
          <w:numId w:val="21"/>
        </w:numPr>
        <w:spacing w:before="100" w:after="100"/>
        <w:contextualSpacing w:val="0"/>
      </w:pPr>
      <w:r w:rsidRPr="00665552">
        <w:lastRenderedPageBreak/>
        <w:t xml:space="preserve">Outlet glass flow </w:t>
      </w:r>
    </w:p>
    <w:p w14:paraId="133E0EB1" w14:textId="01A506EF" w:rsidR="002B759B" w:rsidRPr="00D72B7D" w:rsidRDefault="002B759B" w:rsidP="00EA4BBA">
      <w:r>
        <w:t>The control of the glass flow was significantly improved from experiments</w:t>
      </w:r>
      <w:r w:rsidR="00D411DC">
        <w:t xml:space="preserve"> C1-3</w:t>
      </w:r>
      <w:r>
        <w:t xml:space="preserve"> </w:t>
      </w:r>
      <w:r w:rsidR="00044D52">
        <w:t xml:space="preserve">to D-4. In experiments C1-3 </w:t>
      </w:r>
      <w:r>
        <w:t>the glass produced alternated from blockages (</w:t>
      </w:r>
      <w:r>
        <w:fldChar w:fldCharType="begin"/>
      </w:r>
      <w:r>
        <w:instrText xml:space="preserve"> REF _Ref427679789 \h </w:instrText>
      </w:r>
      <w:r>
        <w:fldChar w:fldCharType="separate"/>
      </w:r>
      <w:r w:rsidR="00820EB1">
        <w:t xml:space="preserve">Figure </w:t>
      </w:r>
      <w:r w:rsidR="00820EB1">
        <w:rPr>
          <w:noProof/>
        </w:rPr>
        <w:t>67</w:t>
      </w:r>
      <w:r>
        <w:fldChar w:fldCharType="end"/>
      </w:r>
      <w:r>
        <w:t xml:space="preserve">) followed by an uncontrollable stream </w:t>
      </w:r>
      <w:r w:rsidR="00044D52">
        <w:t>whereas in experiments D1-4</w:t>
      </w:r>
      <w:r>
        <w:t xml:space="preserve">  a clean</w:t>
      </w:r>
      <w:r w:rsidR="00044D52">
        <w:t>,</w:t>
      </w:r>
      <w:r>
        <w:t xml:space="preserve"> fluid</w:t>
      </w:r>
      <w:r w:rsidR="00044D52">
        <w:t>,</w:t>
      </w:r>
      <w:r>
        <w:t xml:space="preserve"> glass stream was repeatedly produced on demand and sufficiently controlled to successfully collect (</w:t>
      </w:r>
      <w:r>
        <w:fldChar w:fldCharType="begin"/>
      </w:r>
      <w:r>
        <w:instrText xml:space="preserve"> REF _Ref425332939 \h </w:instrText>
      </w:r>
      <w:r>
        <w:fldChar w:fldCharType="separate"/>
      </w:r>
      <w:r w:rsidR="00820EB1">
        <w:t xml:space="preserve">Figure </w:t>
      </w:r>
      <w:r w:rsidR="00820EB1">
        <w:rPr>
          <w:noProof/>
        </w:rPr>
        <w:t>82</w:t>
      </w:r>
      <w:r>
        <w:fldChar w:fldCharType="end"/>
      </w:r>
      <w:r>
        <w:t>) and utilise for subsequent forming processes (</w:t>
      </w:r>
      <w:r>
        <w:fldChar w:fldCharType="begin"/>
      </w:r>
      <w:r>
        <w:instrText xml:space="preserve"> REF _Ref428373050 \h </w:instrText>
      </w:r>
      <w:r>
        <w:fldChar w:fldCharType="separate"/>
      </w:r>
      <w:r w:rsidR="00820EB1">
        <w:t xml:space="preserve">Figure </w:t>
      </w:r>
      <w:r w:rsidR="00820EB1">
        <w:rPr>
          <w:noProof/>
        </w:rPr>
        <w:t>90</w:t>
      </w:r>
      <w:r>
        <w:fldChar w:fldCharType="end"/>
      </w:r>
      <w:r>
        <w:t>). This was achieved by using an improved outlet tube heater, using a plug to block the outlet (</w:t>
      </w:r>
      <w:r>
        <w:fldChar w:fldCharType="begin"/>
      </w:r>
      <w:r>
        <w:instrText xml:space="preserve"> REF _Ref424805680 \h </w:instrText>
      </w:r>
      <w:r>
        <w:fldChar w:fldCharType="separate"/>
      </w:r>
      <w:r w:rsidR="00820EB1">
        <w:t xml:space="preserve">Figure </w:t>
      </w:r>
      <w:r w:rsidR="00820EB1">
        <w:rPr>
          <w:noProof/>
        </w:rPr>
        <w:t>79</w:t>
      </w:r>
      <w:r>
        <w:fldChar w:fldCharType="end"/>
      </w:r>
      <w:r>
        <w:t xml:space="preserve">) until the glass </w:t>
      </w:r>
      <w:r w:rsidR="00044D52">
        <w:t xml:space="preserve">was </w:t>
      </w:r>
      <w:r>
        <w:t>fully melted, fined and sufficiently hot to produce an acceptable flow. However, it was still difficult to reliably stop the fluid stream on demand (</w:t>
      </w:r>
      <w:r>
        <w:fldChar w:fldCharType="begin"/>
      </w:r>
      <w:r>
        <w:instrText xml:space="preserve"> REF _Ref428198606 \h </w:instrText>
      </w:r>
      <w:r>
        <w:fldChar w:fldCharType="separate"/>
      </w:r>
      <w:r w:rsidR="00820EB1">
        <w:t xml:space="preserve">Figure </w:t>
      </w:r>
      <w:r w:rsidR="00820EB1">
        <w:rPr>
          <w:noProof/>
        </w:rPr>
        <w:t>84</w:t>
      </w:r>
      <w:r>
        <w:fldChar w:fldCharType="end"/>
      </w:r>
      <w:r>
        <w:t>). In order to solve this problem use of an outlet tube heater preferably using MoSi</w:t>
      </w:r>
      <w:r>
        <w:softHyphen/>
      </w:r>
      <w:r>
        <w:rPr>
          <w:vertAlign w:val="subscript"/>
        </w:rPr>
        <w:t>2</w:t>
      </w:r>
      <w:r>
        <w:t xml:space="preserve"> with active cooling control </w:t>
      </w:r>
      <w:r w:rsidR="00044D52">
        <w:t>is</w:t>
      </w:r>
      <w:r w:rsidRPr="006B22D3">
        <w:t xml:space="preserve"> recommended</w:t>
      </w:r>
      <w:r>
        <w:t xml:space="preserve"> </w:t>
      </w:r>
      <w:r w:rsidR="00044D52">
        <w:t xml:space="preserve">for future work, </w:t>
      </w:r>
      <w:r>
        <w:t xml:space="preserve">to enable more rapid cooling than </w:t>
      </w:r>
      <w:r w:rsidR="00044D52">
        <w:t>was</w:t>
      </w:r>
      <w:r>
        <w:t xml:space="preserve"> achieved with the cheaper FeCrAl tube heater used.</w:t>
      </w:r>
    </w:p>
    <w:p w14:paraId="4EC64CEE" w14:textId="1DF2F5F9" w:rsidR="002B759B" w:rsidRDefault="002B759B" w:rsidP="00EA4BBA">
      <w:r>
        <w:t>Also, there were difficulties in the outlet flow of glass due to a slight difference in the length of outlet tubes used in between subsequent experiments. This was due to uncertainty regarding the ideal outlet tube length relative to the tube heater as there were concerns that if the tube was too long its open end would become too cold as it would be further out of the tube heater and therefore there might be difficulty in re-melting the glass at this point. Also, since the outlet tube was made of fused silica, there were concerns that it could become sufficiently cold to undergo a phase change to cristobalite and therefore fail. On the other hand</w:t>
      </w:r>
      <w:r w:rsidR="007A0B28">
        <w:t>,</w:t>
      </w:r>
      <w:r>
        <w:t xml:space="preserve"> if the outlet tube was too short, the outflow of glass could get stuck inside the outlet tube heater. In reality</w:t>
      </w:r>
      <w:r w:rsidR="007A0B28">
        <w:t>,</w:t>
      </w:r>
      <w:r>
        <w:t xml:space="preserve"> the latter appeared to be a more significant problem</w:t>
      </w:r>
      <w:r w:rsidR="007A0B28">
        <w:t>.</w:t>
      </w:r>
      <w:r>
        <w:t xml:space="preserve"> </w:t>
      </w:r>
      <w:r w:rsidR="007A0B28">
        <w:t>T</w:t>
      </w:r>
      <w:r>
        <w:t>he experiments suggest</w:t>
      </w:r>
      <w:r w:rsidR="007A0B28">
        <w:t xml:space="preserve"> that</w:t>
      </w:r>
      <w:r>
        <w:t xml:space="preserve"> the ideal length of outlet tube would be such that the bottom open end of the tube </w:t>
      </w:r>
      <w:r w:rsidR="007A0B28">
        <w:t xml:space="preserve">should </w:t>
      </w:r>
      <w:r>
        <w:t xml:space="preserve">be flush with the outlet tube heater opening. It is also recommended for future </w:t>
      </w:r>
      <w:r w:rsidR="007A0B28">
        <w:t xml:space="preserve">work </w:t>
      </w:r>
      <w:r>
        <w:t>that the outlet tube should always remain concentric to the outlet tube heater to prevent the glass stream sticking to the inside of the outlet tube heater. In the current setup it was seated on ceramic fibre insulation blanket which deteriorated during the course of the experiments resulting in off-centre movement of the crucible’s outlet tube. Therefore, this problem may be solved by providing a more stable base for the crucible to be seated on</w:t>
      </w:r>
      <w:r w:rsidR="0039705F">
        <w:t>.</w:t>
      </w:r>
      <w:r>
        <w:t xml:space="preserve"> </w:t>
      </w:r>
    </w:p>
    <w:p w14:paraId="28821BE2" w14:textId="77777777" w:rsidR="002B759B" w:rsidRPr="00665552" w:rsidRDefault="002B759B" w:rsidP="002B759B">
      <w:pPr>
        <w:pStyle w:val="Heading3"/>
        <w:keepLines w:val="0"/>
        <w:numPr>
          <w:ilvl w:val="2"/>
          <w:numId w:val="21"/>
        </w:numPr>
        <w:spacing w:before="100" w:after="100"/>
        <w:contextualSpacing w:val="0"/>
      </w:pPr>
      <w:r w:rsidRPr="00665552">
        <w:t>Batch feed</w:t>
      </w:r>
    </w:p>
    <w:p w14:paraId="22746347" w14:textId="19BB509B" w:rsidR="002B759B" w:rsidRDefault="002B759B" w:rsidP="00EA4BBA">
      <w:r>
        <w:t xml:space="preserve">Various feeding regimes were tested during the course of the scale-up solar glass melting experiments. Continuous feeding was found to be inappropriate because this would </w:t>
      </w:r>
      <w:r w:rsidR="007A0B28">
        <w:t xml:space="preserve">have </w:t>
      </w:r>
      <w:r>
        <w:t>require</w:t>
      </w:r>
      <w:r w:rsidR="007A0B28">
        <w:t>d</w:t>
      </w:r>
      <w:r>
        <w:t xml:space="preserve"> the glass produced to also be removed continuously to prevent overfilling of the crucible and during the course of experiments</w:t>
      </w:r>
      <w:r w:rsidR="007A0B28">
        <w:t xml:space="preserve"> C1-3</w:t>
      </w:r>
      <w:r>
        <w:t xml:space="preserve"> this was found to result in leaving insufficient time for the glass forming batch to fully melt down and reach a sufficient level of homogenous fluidity to produce a workable outlet flow of glass. This was partly a consequence of the small size of the melting area relative to conventional glass tank furnaces. Also, it was found that dealing with this issue by continuously feeding at a very slow rate with only a few pellets on the surface of the melt </w:t>
      </w:r>
      <w:r>
        <w:lastRenderedPageBreak/>
        <w:t xml:space="preserve">at any moment was inefficient compared to melting a batch blanket covering the entire surface of the melt. But, it was found that melting a thick layer of batch required a disproportionately long time to melt and fine. Therefore, the ideal batch feeding regime was found to be charging sufficient bath to just cover the surface of the melt with a single pellet thick blanket, then waiting until the previous charge had fully melted down and the temperature of the glass melt recovered before feeding the next layer and then eventually holding the glass accumulated under the full power of the beam without further feeding to allow time for fining. A camera capable of viewing the surface of the melt was required to observe the progression of the melting and fining phases in order to time the batch feeding accordingly. The use of such a camera systems </w:t>
      </w:r>
      <w:r w:rsidR="007A0B28">
        <w:t>is</w:t>
      </w:r>
      <w:r>
        <w:t xml:space="preserve"> recommended for future solar-heated glass furnaces. Conventional glass tanks also use camera systems to view inside the furnace. </w:t>
      </w:r>
    </w:p>
    <w:p w14:paraId="66115AC8" w14:textId="4210117E" w:rsidR="002B759B" w:rsidRDefault="002B759B" w:rsidP="00EA4BBA">
      <w:r>
        <w:t>Initially it was planned to feed batch through a separate port. However, it was found during the course of experiments</w:t>
      </w:r>
      <w:r w:rsidR="007A0B28">
        <w:t xml:space="preserve"> D1-4</w:t>
      </w:r>
      <w:r>
        <w:t xml:space="preserve"> that it was better to feed through the same port as the beam inlet because this was much larger than the feed port so allowed feeding </w:t>
      </w:r>
      <w:r w:rsidR="007A0B28">
        <w:t xml:space="preserve">of </w:t>
      </w:r>
      <w:r>
        <w:t>an unlimited quantity of batch without any risk of blockage. Also, the anticipated issue of the batch feed interfering with beam inlet was became insignificant since the ideal feeding regime was found to be short intermittent feeds of batch once every 15 minutes which meant the time for which the beam port was shaded by the batch was insignificant.</w:t>
      </w:r>
    </w:p>
    <w:p w14:paraId="42D48924" w14:textId="77777777" w:rsidR="002B759B" w:rsidRPr="00665552" w:rsidRDefault="002B759B" w:rsidP="002B759B">
      <w:pPr>
        <w:pStyle w:val="Heading3"/>
        <w:keepLines w:val="0"/>
        <w:numPr>
          <w:ilvl w:val="2"/>
          <w:numId w:val="21"/>
        </w:numPr>
        <w:spacing w:before="100" w:after="100"/>
        <w:contextualSpacing w:val="0"/>
      </w:pPr>
      <w:r w:rsidRPr="00665552">
        <w:t>Forming processes</w:t>
      </w:r>
    </w:p>
    <w:p w14:paraId="6E9E05CA" w14:textId="1AB881D8" w:rsidR="002B759B" w:rsidRPr="00DD40DA" w:rsidRDefault="002B759B" w:rsidP="00EA4BBA">
      <w:r>
        <w:t xml:space="preserve">Working the glass produced by hand rather than via remotely controlled machines was beneficial as it helped to develop a more intimate appreciation of the consistency and workability of the glass produced as it flowed out of the bottom outlet, which would otherwise </w:t>
      </w:r>
      <w:r w:rsidR="007A0B28">
        <w:t xml:space="preserve">have been </w:t>
      </w:r>
      <w:r>
        <w:t xml:space="preserve">difficult by remote observations alone. It appeared that the glass remaining in the bottom of the crucibles </w:t>
      </w:r>
      <w:r>
        <w:fldChar w:fldCharType="begin"/>
      </w:r>
      <w:r>
        <w:instrText xml:space="preserve"> REF _Ref451074977 \h </w:instrText>
      </w:r>
      <w:r>
        <w:fldChar w:fldCharType="separate"/>
      </w:r>
      <w:r w:rsidR="00820EB1" w:rsidRPr="006D4764">
        <w:t xml:space="preserve">Figure </w:t>
      </w:r>
      <w:r w:rsidR="00820EB1">
        <w:rPr>
          <w:noProof/>
        </w:rPr>
        <w:t>95</w:t>
      </w:r>
      <w:r>
        <w:fldChar w:fldCharType="end"/>
      </w:r>
      <w:r>
        <w:t xml:space="preserve"> and the filaments produced (</w:t>
      </w:r>
      <w:r>
        <w:fldChar w:fldCharType="begin"/>
      </w:r>
      <w:r>
        <w:instrText xml:space="preserve"> REF _Ref428202636 \h </w:instrText>
      </w:r>
      <w:r>
        <w:fldChar w:fldCharType="separate"/>
      </w:r>
      <w:r w:rsidR="00820EB1">
        <w:t xml:space="preserve">Figure </w:t>
      </w:r>
      <w:r w:rsidR="00820EB1">
        <w:rPr>
          <w:noProof/>
        </w:rPr>
        <w:t>87</w:t>
      </w:r>
      <w:r>
        <w:fldChar w:fldCharType="end"/>
      </w:r>
      <w:r>
        <w:t>) by simply allowing the glass stream to solidify naturally were much more homogeneous and contained fewer bubbles compared to the cast pieces (</w:t>
      </w:r>
      <w:r>
        <w:fldChar w:fldCharType="begin"/>
      </w:r>
      <w:r>
        <w:instrText xml:space="preserve"> REF _Ref428436465 \h </w:instrText>
      </w:r>
      <w:r>
        <w:fldChar w:fldCharType="separate"/>
      </w:r>
      <w:r w:rsidR="00820EB1">
        <w:t xml:space="preserve">Figure </w:t>
      </w:r>
      <w:r w:rsidR="00820EB1">
        <w:rPr>
          <w:noProof/>
        </w:rPr>
        <w:t>93</w:t>
      </w:r>
      <w:r>
        <w:fldChar w:fldCharType="end"/>
      </w:r>
      <w:r>
        <w:t xml:space="preserve"> and </w:t>
      </w:r>
      <w:r>
        <w:fldChar w:fldCharType="begin"/>
      </w:r>
      <w:r>
        <w:instrText xml:space="preserve"> REF _Ref428438152 \h </w:instrText>
      </w:r>
      <w:r>
        <w:fldChar w:fldCharType="separate"/>
      </w:r>
      <w:r w:rsidR="00820EB1">
        <w:t xml:space="preserve">Figure </w:t>
      </w:r>
      <w:r w:rsidR="00820EB1">
        <w:rPr>
          <w:noProof/>
        </w:rPr>
        <w:t>94</w:t>
      </w:r>
      <w:r>
        <w:fldChar w:fldCharType="end"/>
      </w:r>
      <w:r>
        <w:t xml:space="preserve">). Therefore it appeared that </w:t>
      </w:r>
      <w:r w:rsidR="007A0B28">
        <w:t xml:space="preserve">many </w:t>
      </w:r>
      <w:r>
        <w:t xml:space="preserve">of the bubbles and inhomogeneities in the cast pieces were incorporated after the glass stream was produced. Since the glass stream was much cooler and thinner than usual for conventional casting, the solidifying stream could have trapped air bubbles as it filled the mould. Therefore, in order to enable casting from the solar glass melting furnace, an alternative outlet flow control system </w:t>
      </w:r>
      <w:r w:rsidR="007A0B28">
        <w:t>is</w:t>
      </w:r>
      <w:r>
        <w:t xml:space="preserve"> recommended to produce much hotter and therefore more fluid globs rather than the thin, cool stream </w:t>
      </w:r>
      <w:r w:rsidR="007A0B28">
        <w:t xml:space="preserve">produced </w:t>
      </w:r>
      <w:r>
        <w:t xml:space="preserve">in these experiments. Alternatively, the existing outlet flow control system may be better suited for demonstrating continuous fibre drawing but this would require an extended fining time to ensure </w:t>
      </w:r>
      <w:r w:rsidR="007A0B28">
        <w:t xml:space="preserve">that </w:t>
      </w:r>
      <w:r>
        <w:t>all the bubbles were removed before releasing the stream. The most</w:t>
      </w:r>
      <w:r w:rsidRPr="00A26B5A">
        <w:t xml:space="preserve"> conducive</w:t>
      </w:r>
      <w:r>
        <w:t xml:space="preserve"> forming process for the glass stream produced</w:t>
      </w:r>
      <w:r w:rsidR="007A0B28">
        <w:t xml:space="preserve"> in this work</w:t>
      </w:r>
      <w:r>
        <w:t xml:space="preserve"> might be glass</w:t>
      </w:r>
      <w:r w:rsidRPr="00A26B5A">
        <w:t xml:space="preserve"> fibre</w:t>
      </w:r>
      <w:r>
        <w:t xml:space="preserve"> insulation wool spinning as this </w:t>
      </w:r>
      <w:r w:rsidRPr="00A26B5A">
        <w:t>process</w:t>
      </w:r>
      <w:r>
        <w:t xml:space="preserve"> could tolerate the few remaining bubbles observed in the glass produced with the </w:t>
      </w:r>
      <w:r>
        <w:lastRenderedPageBreak/>
        <w:t xml:space="preserve">short fining period as already demonstrated. Glass fibre insulation materials </w:t>
      </w:r>
      <w:r w:rsidR="007A0B28">
        <w:t xml:space="preserve">are </w:t>
      </w:r>
      <w:r>
        <w:t>useful for building insulation in locations where ambient temperatures are very high due to high solar radiation, as the use of insulation reduces the cooling loads on air conditioning systems required to sustain comfortable air temperatures inside buildings.</w:t>
      </w:r>
    </w:p>
    <w:p w14:paraId="3F50FCCF" w14:textId="77777777" w:rsidR="002B759B" w:rsidRPr="00665552" w:rsidRDefault="002B759B" w:rsidP="002B759B">
      <w:pPr>
        <w:pStyle w:val="Heading3"/>
        <w:keepLines w:val="0"/>
        <w:numPr>
          <w:ilvl w:val="2"/>
          <w:numId w:val="21"/>
        </w:numPr>
        <w:spacing w:before="100" w:after="100"/>
        <w:contextualSpacing w:val="0"/>
      </w:pPr>
      <w:r w:rsidRPr="00665552">
        <w:t>Chimney effect</w:t>
      </w:r>
    </w:p>
    <w:p w14:paraId="20FF76BB" w14:textId="6B24F0B1" w:rsidR="002B759B" w:rsidRDefault="002B759B" w:rsidP="00EA4BBA">
      <w:r>
        <w:t>Blocking the cooling flow of air through the furnace (</w:t>
      </w:r>
      <w:r w:rsidR="00BA155C">
        <w:t xml:space="preserve">section </w:t>
      </w:r>
      <w:r>
        <w:fldChar w:fldCharType="begin"/>
      </w:r>
      <w:r>
        <w:instrText xml:space="preserve"> REF _Ref428974522 \n \h </w:instrText>
      </w:r>
      <w:r>
        <w:fldChar w:fldCharType="separate"/>
      </w:r>
      <w:r w:rsidR="00820EB1">
        <w:t>5.4.5</w:t>
      </w:r>
      <w:r>
        <w:fldChar w:fldCharType="end"/>
      </w:r>
      <w:r>
        <w:t>) after experiments</w:t>
      </w:r>
      <w:r w:rsidR="00BA155C">
        <w:t xml:space="preserve"> C1-3</w:t>
      </w:r>
      <w:r>
        <w:t xml:space="preserve"> significantly improved the rate at which the beam could heat up the furnace</w:t>
      </w:r>
      <w:r w:rsidR="00BA155C">
        <w:t>. T</w:t>
      </w:r>
      <w:r>
        <w:t>h</w:t>
      </w:r>
      <w:r w:rsidR="00BA155C">
        <w:t>is</w:t>
      </w:r>
      <w:r>
        <w:t xml:space="preserve"> eliminated the reliance on the secondary electrical heating during the glass melting phases by experiments</w:t>
      </w:r>
      <w:r w:rsidR="00BA155C">
        <w:t xml:space="preserve"> D1-4</w:t>
      </w:r>
      <w:r>
        <w:t>. This could be seen by comparing the temperature and power profiles of the preliminary experiments to the final experimental series. For example, during the preliminary experiment C2 (</w:t>
      </w:r>
      <w:r>
        <w:fldChar w:fldCharType="begin"/>
      </w:r>
      <w:r>
        <w:instrText xml:space="preserve"> REF _Ref428970497 \h </w:instrText>
      </w:r>
      <w:r>
        <w:fldChar w:fldCharType="separate"/>
      </w:r>
      <w:r w:rsidR="00820EB1">
        <w:t xml:space="preserve">Figure </w:t>
      </w:r>
      <w:r w:rsidR="00820EB1">
        <w:rPr>
          <w:noProof/>
        </w:rPr>
        <w:t>64</w:t>
      </w:r>
      <w:r>
        <w:fldChar w:fldCharType="end"/>
      </w:r>
      <w:r>
        <w:t>) after preheating the furnace overnight and melting with full power of the beam during the morning followed by a break, the beam was restarted up to full power. Then, even with the support of full power from the heating elements and the beam staying at full power for several hours T</w:t>
      </w:r>
      <w:r>
        <w:rPr>
          <w:vertAlign w:val="subscript"/>
        </w:rPr>
        <w:t>main</w:t>
      </w:r>
      <w:r>
        <w:t xml:space="preserve"> only increased up to a maximum of only 1162</w:t>
      </w:r>
      <w:r>
        <w:rPr>
          <w:vertAlign w:val="superscript"/>
        </w:rPr>
        <w:t>o</w:t>
      </w:r>
      <w:r>
        <w:t>C. By comparison, during Experiment D3 of the final experimental series (</w:t>
      </w:r>
      <w:r>
        <w:fldChar w:fldCharType="begin"/>
      </w:r>
      <w:r>
        <w:instrText xml:space="preserve"> REF _Ref428288959 \h </w:instrText>
      </w:r>
      <w:r>
        <w:fldChar w:fldCharType="separate"/>
      </w:r>
      <w:r w:rsidR="00820EB1">
        <w:t xml:space="preserve">Figure </w:t>
      </w:r>
      <w:r w:rsidR="00820EB1">
        <w:rPr>
          <w:noProof/>
        </w:rPr>
        <w:t>89</w:t>
      </w:r>
      <w:r>
        <w:fldChar w:fldCharType="end"/>
      </w:r>
      <w:r>
        <w:t>), after a similar history of preheating overnight, melting in the morning followed by a short break, the beam was restarted at full power. This time, with the cooling stream of air blocked off, as soon as the beam was switched on, T</w:t>
      </w:r>
      <w:r>
        <w:rPr>
          <w:vertAlign w:val="subscript"/>
        </w:rPr>
        <w:t>main</w:t>
      </w:r>
      <w:r>
        <w:t xml:space="preserve"> increased so rapidly that the heating elements automatically completely switched off and T</w:t>
      </w:r>
      <w:r>
        <w:rPr>
          <w:vertAlign w:val="subscript"/>
        </w:rPr>
        <w:t>main</w:t>
      </w:r>
      <w:r>
        <w:t xml:space="preserve"> increased beyond 1200</w:t>
      </w:r>
      <w:r>
        <w:rPr>
          <w:vertAlign w:val="superscript"/>
        </w:rPr>
        <w:t>o</w:t>
      </w:r>
      <w:r>
        <w:t>C within an hour of start up without any support from the electrical heating elements (</w:t>
      </w:r>
      <w:r>
        <w:fldChar w:fldCharType="begin"/>
      </w:r>
      <w:r>
        <w:instrText xml:space="preserve"> REF _Ref428288959 \h </w:instrText>
      </w:r>
      <w:r>
        <w:fldChar w:fldCharType="separate"/>
      </w:r>
      <w:r w:rsidR="00820EB1">
        <w:t xml:space="preserve">Figure </w:t>
      </w:r>
      <w:r w:rsidR="00820EB1">
        <w:rPr>
          <w:noProof/>
        </w:rPr>
        <w:t>89</w:t>
      </w:r>
      <w:r>
        <w:fldChar w:fldCharType="end"/>
      </w:r>
      <w:r>
        <w:t xml:space="preserve">). Therefore, it was realised that avoiding any channels through which a cooling air stream could develop </w:t>
      </w:r>
      <w:r w:rsidR="00BA155C">
        <w:t>is</w:t>
      </w:r>
      <w:r>
        <w:t xml:space="preserve"> an important design consideration for the development of future solar glass melting reactors. </w:t>
      </w:r>
    </w:p>
    <w:p w14:paraId="037A9C22" w14:textId="77777777" w:rsidR="002B759B" w:rsidRPr="00665552" w:rsidRDefault="002B759B" w:rsidP="002B759B">
      <w:pPr>
        <w:pStyle w:val="Heading3"/>
        <w:keepLines w:val="0"/>
        <w:numPr>
          <w:ilvl w:val="2"/>
          <w:numId w:val="21"/>
        </w:numPr>
        <w:spacing w:before="100" w:after="100"/>
        <w:contextualSpacing w:val="0"/>
      </w:pPr>
      <w:r w:rsidRPr="00665552">
        <w:t>Restart delay</w:t>
      </w:r>
    </w:p>
    <w:p w14:paraId="11C480AC" w14:textId="6909BC35" w:rsidR="002B759B" w:rsidRDefault="002B759B" w:rsidP="00EA4BBA">
      <w:r>
        <w:t xml:space="preserve">There was a delay of around 2 days in between experiments because of the following procedure required to restart experiments. After a glass melting experiment, the furnace required at least one day with the beam inlet port left open to cool down sufficiently to be safe to access. Once cooled, the roof section had to be disassembled in order to provide </w:t>
      </w:r>
      <w:r w:rsidRPr="00BE4E61">
        <w:t>access</w:t>
      </w:r>
      <w:r>
        <w:t xml:space="preserve"> inside the furnace to replace the crucible or make any other changes. First, the top plate had to be removed which required undoing a large number of mechanical fixings. Then, the top layers of ceramic</w:t>
      </w:r>
      <w:r w:rsidRPr="005C327A">
        <w:t xml:space="preserve"> fibre</w:t>
      </w:r>
      <w:r>
        <w:t xml:space="preserve"> </w:t>
      </w:r>
      <w:r w:rsidRPr="005C327A">
        <w:t>blanket</w:t>
      </w:r>
      <w:r>
        <w:t xml:space="preserve"> insulation</w:t>
      </w:r>
      <w:r>
        <w:rPr>
          <w:rStyle w:val="CommentReference"/>
        </w:rPr>
        <w:t xml:space="preserve"> </w:t>
      </w:r>
      <w:r>
        <w:t>had to be removed,</w:t>
      </w:r>
      <w:r>
        <w:rPr>
          <w:rStyle w:val="CommentReference"/>
        </w:rPr>
        <w:t xml:space="preserve"> </w:t>
      </w:r>
      <w:r>
        <w:t>which required care as they otherwise easily fell apart with rough handling and required wearing face masks, gloves and coats otherwise the loose fibres would cause irritation. Then, the inlet block followed by the four roof tiles (see appendix ID3) had to be removed which were awkward to lift out as they were heavy and fragile and were situated 1.9m above the ground (</w:t>
      </w:r>
      <w:r>
        <w:fldChar w:fldCharType="begin"/>
      </w:r>
      <w:r>
        <w:instrText xml:space="preserve"> REF _Ref426925335 \h </w:instrText>
      </w:r>
      <w:r>
        <w:fldChar w:fldCharType="separate"/>
      </w:r>
      <w:r w:rsidR="00820EB1" w:rsidRPr="007B28A7">
        <w:t xml:space="preserve">Figure </w:t>
      </w:r>
      <w:r w:rsidR="00820EB1">
        <w:rPr>
          <w:noProof/>
        </w:rPr>
        <w:t>54</w:t>
      </w:r>
      <w:r>
        <w:fldChar w:fldCharType="end"/>
      </w:r>
      <w:r>
        <w:t xml:space="preserve">). Great care was required to avoid the fragile the silicon carbide heating elements inside the furnace while replacing the crucible and re-setting </w:t>
      </w:r>
      <w:r>
        <w:lastRenderedPageBreak/>
        <w:t xml:space="preserve">thermocouples. Once the required changes were made then the furnace then had to be re-assembled and preheated overnight before melting experiments could be resumed. Therefore, during the course of the experimental series, decisions were sometimes made to continue with experiments despite non-ideal situations due to </w:t>
      </w:r>
      <w:r w:rsidR="00BA155C">
        <w:t>the limited</w:t>
      </w:r>
      <w:r>
        <w:t xml:space="preserve"> access time available to use the HFSS and the long down time required to make changes. For example, during the setup of Experiment 4 of the final experimental series, it was realised that the crucible’s outlet tube was not concentric with respect to the outlet tube heater so some efforts were made to correct this by handling it while still assembled though the narrow beam inlet port opening but there was insufficient time required to open up the furnace completely to more accurately re-set the crucible. Unfortunately, as a result the glass produced from this experiment became stuck inside the outlet tube heater. </w:t>
      </w:r>
    </w:p>
    <w:p w14:paraId="3A89026D" w14:textId="56A06901" w:rsidR="002B759B" w:rsidRPr="00785C3B" w:rsidRDefault="002B759B" w:rsidP="00EA4BBA">
      <w:r>
        <w:t xml:space="preserve">Therefore, it </w:t>
      </w:r>
      <w:r w:rsidR="00BA155C">
        <w:t>is</w:t>
      </w:r>
      <w:r>
        <w:t xml:space="preserve"> recommended that future solar glass melting furnaces be designed better for quick access to make changes. This may be achieved by using lightweight vacuum formed fibreboards rather than cast refractories, bricks and blankets used which would improve the ease of handling for quick access as well as being capable of surviving more rapid cooling and reheating. This would also make the entire construction of the furnace much lighter weight. Therefore, use of lighter weight refractories could enable significant reductions in the down-time in between future experiments. Use of fibreboards were considered in the initial design stage (</w:t>
      </w:r>
      <w:r w:rsidR="00BA155C">
        <w:t xml:space="preserve">section </w:t>
      </w:r>
      <w:r>
        <w:fldChar w:fldCharType="begin"/>
      </w:r>
      <w:r>
        <w:instrText xml:space="preserve"> REF _Ref429043147 \w \h </w:instrText>
      </w:r>
      <w:r>
        <w:fldChar w:fldCharType="separate"/>
      </w:r>
      <w:r w:rsidR="00820EB1">
        <w:t>5.2.5</w:t>
      </w:r>
      <w:r>
        <w:fldChar w:fldCharType="end"/>
      </w:r>
      <w:r>
        <w:t>) but at this stage, before any experiments were conducted there was significantly greater uncertainty regarding the temperatures to which the refractories would be subjected to when the beam was on. Therefore, refractory bricks and cast refractories were initially selected for the hottest sections of the furnace, designed to withstand over 1500</w:t>
      </w:r>
      <w:r>
        <w:rPr>
          <w:vertAlign w:val="superscript"/>
        </w:rPr>
        <w:t>o</w:t>
      </w:r>
      <w:r>
        <w:t>C because the equivalent fibreboards were too expensive. However, now with the benefit of temperature measurements during the solar glass melting experiments, it would be possible to safely specify a temperature duty of 1400</w:t>
      </w:r>
      <w:r>
        <w:rPr>
          <w:vertAlign w:val="superscript"/>
        </w:rPr>
        <w:t>o</w:t>
      </w:r>
      <w:r>
        <w:t>C for the hottest furnace wall thus enabling use of fibreboards to replace the bricks at an acceptable cost. However, the roof surface directly above the glass melt should still be specified to at least 1600</w:t>
      </w:r>
      <w:r>
        <w:rPr>
          <w:vertAlign w:val="superscript"/>
        </w:rPr>
        <w:t>o</w:t>
      </w:r>
      <w:r>
        <w:t xml:space="preserve">C as the cast refractory rated to this temperature survived but still showed signs of deterioration over the course of the experiments suggesting the temperature at this surface approached its rated temperature. Also, this surface would also be required to withstand chemical attack from the gases evolved from the melt. The other reason for initially specifying the heavy cast refractories in the roof was to accommodate the feed port. However, since it was </w:t>
      </w:r>
      <w:r w:rsidR="00BA155C">
        <w:t>found that it is easier</w:t>
      </w:r>
      <w:r w:rsidR="00BA155C" w:rsidDel="00BA155C">
        <w:t xml:space="preserve"> </w:t>
      </w:r>
      <w:r>
        <w:t xml:space="preserve">to feed through the beam inlet port this criteria becomes redundant therefore making replacement of the cast sections in the roof with lighter weight alternatives recommended. The use of lighter weight refractories would be recommended to reduce the down-time in between melting experiments which is mostly useful for enabling more rapid iterative improvements during experimental series. However, after this intermediate stage of development, for later solar glass furnace designs it may be necessary to return to heavier </w:t>
      </w:r>
      <w:r>
        <w:lastRenderedPageBreak/>
        <w:t>refractories because they would offer advantages for larger scale, long term, economic operation due to their lower cost, better durability and greater heat storage capacity.</w:t>
      </w:r>
    </w:p>
    <w:p w14:paraId="352EF56D" w14:textId="77777777" w:rsidR="002B759B" w:rsidRDefault="002B759B" w:rsidP="002B759B">
      <w:pPr>
        <w:pStyle w:val="Heading3"/>
        <w:keepLines w:val="0"/>
        <w:numPr>
          <w:ilvl w:val="2"/>
          <w:numId w:val="21"/>
        </w:numPr>
        <w:spacing w:before="100" w:after="100"/>
        <w:contextualSpacing w:val="0"/>
      </w:pPr>
      <w:r>
        <w:t>Batch compositions</w:t>
      </w:r>
    </w:p>
    <w:p w14:paraId="658A2AAA" w14:textId="105C8B9A" w:rsidR="002B759B" w:rsidRDefault="002B759B" w:rsidP="007E4577">
      <w:r>
        <w:t xml:space="preserve">During the course of experiments D1-4, two types of pelletised soda-lime-silica glass forming batch were melted. First, </w:t>
      </w:r>
      <w:r w:rsidR="007E4577">
        <w:t xml:space="preserve">the </w:t>
      </w:r>
      <w:r w:rsidR="00BA155C">
        <w:t>Phillips 3300</w:t>
      </w:r>
      <w:r w:rsidR="007E4577">
        <w:t xml:space="preserve"> batch was</w:t>
      </w:r>
      <w:r>
        <w:t xml:space="preserve"> used</w:t>
      </w:r>
      <w:r w:rsidR="007E4577">
        <w:t xml:space="preserve"> </w:t>
      </w:r>
      <w:r>
        <w:t xml:space="preserve">to demonstrate applicability for small scale, art glass production. Second, </w:t>
      </w:r>
      <w:r w:rsidR="007E4577">
        <w:t>an</w:t>
      </w:r>
      <w:r>
        <w:t xml:space="preserve"> industrial soda-lime-silica batch</w:t>
      </w:r>
      <w:r w:rsidR="007E4577">
        <w:t xml:space="preserve"> was used</w:t>
      </w:r>
      <w:r>
        <w:t xml:space="preserve">, in order to demonstrate wider applicability. The art glass contained more fluxing agent which allowed it to flow at a lower temperature and remain more malleable for longer after being removed from the furnace so that it could be more easily formed manually whereas the industrial batch contained less fluxing agent so required higher temperature to flow and solidified rapidly on cooling as it was designed to be used in high temperature, continuous melting furnaces and formed rapidly in-line, by automatic machines. This choice of batch was considered important with respect to the scale-up solar glass furnace experiments as the aim was not only to melt and refine the glass forming batches but also to demonstrate forming the glass produced and intermittent operation as solar energy is naturally only intermittently available. This was related to the viscosity of the melts because the glass outflow would pass through a narrow, heated tube and then be formed manually. If the viscosity was too high, the glass could become stuck inside this tube and could not be formed. If the viscosity was too low, it would be too difficult to stop the flow as would be nectary to demonstrate intermittent operation. Over the course, both glass forming batches were successfully, melted and refined, but only the industrial batch was successfully formed. This was </w:t>
      </w:r>
      <w:r w:rsidR="00BA155C">
        <w:t xml:space="preserve">partially </w:t>
      </w:r>
      <w:r>
        <w:t xml:space="preserve">because </w:t>
      </w:r>
      <w:r w:rsidR="007E4577">
        <w:t xml:space="preserve">industrial batch melting experiments (D3-4) were conducted melted after the Phillips 3300 batch melting experiment (D1-2) so benefited from experience gained in the process. Although the Phillips 3300 was supposed to be easier to form manually due to its extended range of fluidity, this was actually problematic as it made it more difficult to control the flow. </w:t>
      </w:r>
    </w:p>
    <w:p w14:paraId="0093B452" w14:textId="77777777" w:rsidR="002B759B" w:rsidRDefault="002B759B" w:rsidP="002B759B">
      <w:pPr>
        <w:pStyle w:val="Heading2"/>
        <w:numPr>
          <w:ilvl w:val="1"/>
          <w:numId w:val="21"/>
        </w:numPr>
        <w:spacing w:before="100" w:after="100"/>
        <w:contextualSpacing w:val="0"/>
      </w:pPr>
      <w:bookmarkStart w:id="207" w:name="_Toc473995175"/>
      <w:r>
        <w:t>Summary and conclusion</w:t>
      </w:r>
      <w:bookmarkEnd w:id="207"/>
    </w:p>
    <w:p w14:paraId="3D796B3B" w14:textId="77777777" w:rsidR="002B759B" w:rsidRDefault="002B759B" w:rsidP="00EA4BBA">
      <w:r>
        <w:t>A scaled-up solar glass melting furnace was designed, developed and tested. The furnace was essentially an insulated box with an aperture in its roof through which the focussed beam and glass forming batch entered into a crucible where the glass was melted and then output through a bottom outlet tube. The furnace also contained heating elements to enable operation with intermittently available solar radiation by maintaining sufficient refractory temperatures to prevent thermal shock when the beam was switched off at high temperatures. In addition there was a tube heater acting as a freeze-thaw valve to control the flow of glass through a port at the bottom of the furnace to provide access to the glass produced to demonstrated subsequent forming processes.</w:t>
      </w:r>
    </w:p>
    <w:p w14:paraId="76138E2C" w14:textId="4517213F" w:rsidR="002B759B" w:rsidRDefault="002B759B" w:rsidP="00EA4BBA">
      <w:pPr>
        <w:rPr>
          <w:lang w:val="en-CA"/>
        </w:rPr>
      </w:pPr>
      <w:r>
        <w:lastRenderedPageBreak/>
        <w:t>A series of experiments</w:t>
      </w:r>
      <w:r w:rsidR="00B151D7">
        <w:t xml:space="preserve"> (D1-4)</w:t>
      </w:r>
      <w:r>
        <w:t xml:space="preserve"> were successfully conducted, melting two types of commercially available soda-lime-silica pelletised glass forming batches (see section </w:t>
      </w:r>
      <w:r>
        <w:fldChar w:fldCharType="begin"/>
      </w:r>
      <w:r>
        <w:instrText xml:space="preserve"> REF _Ref451091781 \n \h </w:instrText>
      </w:r>
      <w:r>
        <w:fldChar w:fldCharType="separate"/>
      </w:r>
      <w:r w:rsidR="00820EB1">
        <w:t>5.5.1</w:t>
      </w:r>
      <w:r>
        <w:fldChar w:fldCharType="end"/>
      </w:r>
      <w:r>
        <w:t xml:space="preserve">). </w:t>
      </w:r>
      <w:r w:rsidR="00B151D7">
        <w:t>E</w:t>
      </w:r>
      <w:r>
        <w:t>xperiments D1-2</w:t>
      </w:r>
      <w:r w:rsidR="00B151D7">
        <w:t xml:space="preserve"> used a batch (Phillips 3300) which was</w:t>
      </w:r>
      <w:r>
        <w:t xml:space="preserve"> designed for small-scale art glass production due to additional fluxing agents</w:t>
      </w:r>
      <w:r w:rsidR="00B151D7">
        <w:t xml:space="preserve">, designed </w:t>
      </w:r>
      <w:r>
        <w:t xml:space="preserve">to enable ease of manual forming processes by making the glass more malleable at lower temperatures. </w:t>
      </w:r>
      <w:r w:rsidR="00B151D7">
        <w:t>E</w:t>
      </w:r>
      <w:r>
        <w:t>xperiments D3-4</w:t>
      </w:r>
      <w:r w:rsidR="00B151D7">
        <w:t xml:space="preserve">, used </w:t>
      </w:r>
      <w:r>
        <w:t xml:space="preserve"> </w:t>
      </w:r>
      <w:r w:rsidR="00B151D7">
        <w:t>batch (soda-lime-silica)</w:t>
      </w:r>
      <w:r>
        <w:t xml:space="preserve"> </w:t>
      </w:r>
      <w:r w:rsidR="00B151D7">
        <w:t xml:space="preserve">with </w:t>
      </w:r>
      <w:r>
        <w:t xml:space="preserve">a more typical composition for large scale industrial container glass production. </w:t>
      </w:r>
      <w:r>
        <w:rPr>
          <w:lang w:val="en-CA"/>
        </w:rPr>
        <w:t>The beam was focussed to pass through a 6 cm diameter aperture through the furnace roof and then diverged to heat the top surface of the melt, onto which batch was intermittently fed. The crucible was initially charged with a commercial pelleted SLS batch and preheated inside the furnace overnight using the electrical heating elements. In the morning the beam was switched on and once a melt had been obtained and the rapid batch reactions had ceased the melt was periodically fed with more pellets. With 5.25 kW of radiative power delivered by the beam into the furnace, a stable and rapid melting cycle was achieved, melting 300 g of batch and recovering temperature before subsequent feeds every 16 minutes (figure 1b) giving a thermal efficiency of around 16%. Once several kilograms of molten glass had accumulated in the main chamber, the melt was held at around 1500</w:t>
      </w:r>
      <w:r>
        <w:rPr>
          <w:vertAlign w:val="superscript"/>
          <w:lang w:val="en-CA"/>
        </w:rPr>
        <w:t>o</w:t>
      </w:r>
      <w:r>
        <w:rPr>
          <w:lang w:val="en-CA"/>
        </w:rPr>
        <w:t>C for an hour to demonstrate a fining process where bubbles and inhomogeneities were reduced before increasing the temperature of the outlet tube heater to generate an outlet flow of glass. The glass produced was cast into a preheated mould and pressed to demonstrate a forming process and then annealed in a separate oven.</w:t>
      </w:r>
      <w:r w:rsidRPr="00D41156">
        <w:rPr>
          <w:lang w:val="en-CA"/>
        </w:rPr>
        <w:t xml:space="preserve"> </w:t>
      </w:r>
    </w:p>
    <w:p w14:paraId="67422E2F" w14:textId="77777777" w:rsidR="002B759B" w:rsidRDefault="002B759B" w:rsidP="00EA4BBA">
      <w:r>
        <w:rPr>
          <w:lang w:val="en-CA"/>
        </w:rPr>
        <w:t xml:space="preserve">Intermittent operation was successfully demonstrated with the beam was switched off temporarily to simulate a diurnal cycle and intermittent cloud cover. Successful re-establishment of the melt cycle was achieved after an overnight hold and the process was successfully restarted. </w:t>
      </w:r>
      <w:r>
        <w:t xml:space="preserve">Finally, a pressed glass casting process was successfully demonstrated and the glassware produced was annealed in a separate oven. </w:t>
      </w:r>
    </w:p>
    <w:p w14:paraId="70F2B92E" w14:textId="77777777" w:rsidR="002B759B" w:rsidRPr="00A46CB9" w:rsidRDefault="002B759B" w:rsidP="00EA4BBA"/>
    <w:p w14:paraId="2AB7206F" w14:textId="77777777" w:rsidR="002B759B" w:rsidRDefault="002B759B" w:rsidP="00EA4BBA"/>
    <w:p w14:paraId="2CA37DFE" w14:textId="77777777" w:rsidR="00452FE4" w:rsidRPr="00195D88" w:rsidRDefault="00452FE4" w:rsidP="00195D88">
      <w:pPr>
        <w:pStyle w:val="Heading1"/>
      </w:pPr>
      <w:bookmarkStart w:id="208" w:name="_Toc473995176"/>
      <w:r w:rsidRPr="00195D88">
        <w:t>Discussion</w:t>
      </w:r>
      <w:bookmarkEnd w:id="208"/>
    </w:p>
    <w:p w14:paraId="17253CA3" w14:textId="77777777" w:rsidR="00452FE4" w:rsidRDefault="00452FE4" w:rsidP="00F3524F">
      <w:pPr>
        <w:pStyle w:val="Heading2"/>
        <w:numPr>
          <w:ilvl w:val="1"/>
          <w:numId w:val="23"/>
        </w:numPr>
      </w:pPr>
      <w:bookmarkStart w:id="209" w:name="_Toc473995177"/>
      <w:r>
        <w:t>Introduction</w:t>
      </w:r>
      <w:bookmarkEnd w:id="209"/>
    </w:p>
    <w:p w14:paraId="0A93F802" w14:textId="43A8F112" w:rsidR="00452FE4" w:rsidRDefault="00452FE4">
      <w:r>
        <w:t xml:space="preserve">In this chapter, the significance of the results obtained from the experiments conducted during the course of this project will be discussed. The aim here is to explain the novelty of our work with respect to the existing knowledge and literature about concentrated solar thermal technology and the importance thereof with respect to the glass manufacturing process. Also, a </w:t>
      </w:r>
      <w:r w:rsidR="00673F69">
        <w:t xml:space="preserve">further </w:t>
      </w:r>
      <w:r>
        <w:t>section of analysis is also included in this chapter, in which the results of our experiments are extrapolated to assess economic feasibility of envisaged scale-up scenarios using real solar radiation to make glass (</w:t>
      </w:r>
      <w:r w:rsidR="00673F69">
        <w:t xml:space="preserve">see section </w:t>
      </w:r>
      <w:r>
        <w:fldChar w:fldCharType="begin"/>
      </w:r>
      <w:r>
        <w:instrText xml:space="preserve"> REF _Ref446857760 \n \h </w:instrText>
      </w:r>
      <w:r>
        <w:fldChar w:fldCharType="separate"/>
      </w:r>
      <w:r w:rsidR="00820EB1">
        <w:t>6.5</w:t>
      </w:r>
      <w:r>
        <w:fldChar w:fldCharType="end"/>
      </w:r>
      <w:r>
        <w:t xml:space="preserve">). </w:t>
      </w:r>
    </w:p>
    <w:p w14:paraId="699E2071" w14:textId="77777777" w:rsidR="00452FE4" w:rsidRDefault="00452FE4" w:rsidP="00F3524F">
      <w:pPr>
        <w:pStyle w:val="Heading2"/>
        <w:numPr>
          <w:ilvl w:val="1"/>
          <w:numId w:val="23"/>
        </w:numPr>
      </w:pPr>
      <w:bookmarkStart w:id="210" w:name="_Ref432953580"/>
      <w:bookmarkStart w:id="211" w:name="_Toc473995178"/>
      <w:r>
        <w:lastRenderedPageBreak/>
        <w:t>Proof of concept</w:t>
      </w:r>
      <w:bookmarkEnd w:id="210"/>
      <w:bookmarkEnd w:id="211"/>
      <w:r>
        <w:t xml:space="preserve"> </w:t>
      </w:r>
    </w:p>
    <w:p w14:paraId="724F8655" w14:textId="63192725" w:rsidR="00452FE4" w:rsidRDefault="00673F69">
      <w:r>
        <w:t>E</w:t>
      </w:r>
      <w:r w:rsidR="00452FE4">
        <w:t xml:space="preserve">xperiments A1-10 </w:t>
      </w:r>
      <w:r>
        <w:t>(</w:t>
      </w:r>
      <w:r w:rsidR="00452FE4">
        <w:t xml:space="preserve">see chapter 3) were the first attempt to investigate the practicality of using concentrated solar radiation as a heat source for glass making. Previous researchers had already shown that a concentrated solar beam could be used to generated sufficiently high temperatures to melt refractory oxides including silica </w:t>
      </w:r>
      <w:r w:rsidR="00452FE4">
        <w:fldChar w:fldCharType="begin" w:fldLock="1"/>
      </w:r>
      <w:r w:rsidR="00875DEE">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"plainTextFormattedCitation" : "(Trombe 1954)", "previouslyFormattedCitation" : "(Trombe 1954)" }, "properties" : { "noteIndex" : 0 }, "schema" : "https://github.com/citation-style-language/schema/raw/master/csl-citation.json" }</w:instrText>
      </w:r>
      <w:r w:rsidR="00452FE4">
        <w:fldChar w:fldCharType="separate"/>
      </w:r>
      <w:r w:rsidR="00875DEE" w:rsidRPr="00875DEE">
        <w:rPr>
          <w:noProof/>
        </w:rPr>
        <w:t>(Trombe 1954)</w:t>
      </w:r>
      <w:r w:rsidR="00452FE4">
        <w:fldChar w:fldCharType="end"/>
      </w:r>
      <w:r w:rsidR="00452FE4">
        <w:t xml:space="preserve">, </w:t>
      </w:r>
      <w:r w:rsidR="00452FE4">
        <w:fldChar w:fldCharType="begin" w:fldLock="1"/>
      </w:r>
      <w:r w:rsidR="00875DEE">
        <w:instrText>ADDIN CSL_CITATION { "citationItems" : [ { "id" : "ITEM-1", "itemData" : { "DOI" : "10.1016/j.jeurceramsoc.2004.12.027", "ISSN" : "09552219", "author" : [ { "dropping-particle" : "", "family" : "Hernandez", "given" : "D.", "non-dropping-particle" : "", "parse-names" : false, "suffix" : "" }, { "dropping-particle" : "", "family" : "Olalde", "given" : "G.", "non-dropping-particle" : "", "parse-names" : false, "suffix" : "" } ], "container-title" : "Journal of the European Ceramic Society", "id" : "ITEM-1", "issue" : "6", "issued" : { "date-parts" : [ [ "2006", "1" ] ] }, "page" : "1043-1049", "title" : "Solar experimental methods for observing melting plateaux and associated temperature measurements for refractory oxides from 2000 to 3000\u00b0C", "type" : "article-journal", "volume" : "26" }, "uris" : [ "http://www.mendeley.com/documents/?uuid=10d738df-3795-46eb-9f63-b052a4afe92e" ] } ], "mendeley" : { "formattedCitation" : "(Hernandez &amp; Olalde 2006)", "plainTextFormattedCitation" : "(Hernandez &amp; Olalde 2006)", "previouslyFormattedCitation" : "(Hernandez &amp; Olalde 2006)" }, "properties" : { "noteIndex" : 0 }, "schema" : "https://github.com/citation-style-language/schema/raw/master/csl-citation.json" }</w:instrText>
      </w:r>
      <w:r w:rsidR="00452FE4">
        <w:fldChar w:fldCharType="separate"/>
      </w:r>
      <w:r w:rsidR="00875DEE" w:rsidRPr="00875DEE">
        <w:rPr>
          <w:noProof/>
        </w:rPr>
        <w:t>(Hernandez &amp; Olalde 2006)</w:t>
      </w:r>
      <w:r w:rsidR="00452FE4">
        <w:fldChar w:fldCharType="end"/>
      </w:r>
      <w:r w:rsidR="00452FE4">
        <w:t xml:space="preserve">. However, this was achieved by the self-crucible (also known as ‘cold crucible’ or ‘skull melting’) method whereby a hollowed section of the refractory oxide powder inside a water cooled rotary kiln is irradiated by the beam causing the irradiated surface of powder to sinter, surrounded by cooled powders which act to contain the melting particles and thus avoid the issue of thermal shock otherwise associated with containing the melt inside a conventional refractory crucible. However, this method is not suitable for most glass production (except for nuclear waste immobilisation </w:t>
      </w:r>
      <w:r>
        <w:t>(</w:t>
      </w:r>
      <w:r w:rsidR="00452FE4">
        <w:t xml:space="preserve">e.g. </w:t>
      </w:r>
      <w:r w:rsidR="00452FE4">
        <w:fldChar w:fldCharType="begin" w:fldLock="1"/>
      </w:r>
      <w:r w:rsidR="00875DEE">
        <w:instrText>ADDIN CSL_CITATION { "citationItems" : [ { "id" : "ITEM-1", "itemData" : { "author" : [ { "dropping-particle" : "", "family" : "Sobolev, I.A., Dmitriev, S.A., Lifanov, F.A., Kobelev, A.P., Stefanovsky, S.V., Ojovan", "given" : "M.I.", "non-dropping-particle" : "", "parse-names" : false, "suffix" : "" } ], "container-title" : "Glass Technology", "id" : "ITEM-1", "issued" : { "date-parts" : [ [ "2005" ] ] }, "page" : "28-35", "title" : "Vitrification Processes for Low, Intermediate Radioactive and Mixed Wastes", "type" : "article-journal", "volume" : "46" }, "uris" : [ "http://www.mendeley.com/documents/?uuid=c4426247-169b-4072-bd3b-6faf72ae9614" ] } ], "mendeley" : { "formattedCitation" : "(Sobolev, I.A., Dmitriev, S.A., Lifanov, F.A., Kobelev, A.P., Stefanovsky, S.V., Ojovan 2005)", "manualFormatting" : "Sobolev et al,. (2005)", "plainTextFormattedCitation" : "(Sobolev, I.A., Dmitriev, S.A., Lifanov, F.A., Kobelev, A.P., Stefanovsky, S.V., Ojovan 2005)", "previouslyFormattedCitation" : "(Sobolev, I.A., Dmitriev, S.A., Lifanov, F.A., Kobelev, A.P., Stefanovsky, S.V., Ojovan 2005)" }, "properties" : { "noteIndex" : 0 }, "schema" : "https://github.com/citation-style-language/schema/raw/master/csl-citation.json" }</w:instrText>
      </w:r>
      <w:r w:rsidR="00452FE4">
        <w:fldChar w:fldCharType="separate"/>
      </w:r>
      <w:r w:rsidR="00452FE4" w:rsidRPr="000F4BA4">
        <w:rPr>
          <w:noProof/>
        </w:rPr>
        <w:t xml:space="preserve">Sobolev </w:t>
      </w:r>
      <w:r w:rsidR="00452FE4">
        <w:rPr>
          <w:noProof/>
        </w:rPr>
        <w:t>et al,.</w:t>
      </w:r>
      <w:r w:rsidR="00452FE4" w:rsidRPr="000F4BA4">
        <w:rPr>
          <w:noProof/>
        </w:rPr>
        <w:t xml:space="preserve"> </w:t>
      </w:r>
      <w:r w:rsidR="00452FE4">
        <w:rPr>
          <w:noProof/>
        </w:rPr>
        <w:t>(</w:t>
      </w:r>
      <w:r w:rsidR="00452FE4" w:rsidRPr="000F4BA4">
        <w:rPr>
          <w:noProof/>
        </w:rPr>
        <w:t>2005)</w:t>
      </w:r>
      <w:r w:rsidR="00452FE4">
        <w:fldChar w:fldCharType="end"/>
      </w:r>
      <w:r w:rsidR="00452FE4">
        <w:t xml:space="preserve">) because: </w:t>
      </w:r>
    </w:p>
    <w:p w14:paraId="6FE171AC" w14:textId="77777777" w:rsidR="00452FE4" w:rsidRDefault="00452FE4" w:rsidP="00F3524F">
      <w:pPr>
        <w:pStyle w:val="ListParagraph"/>
        <w:numPr>
          <w:ilvl w:val="0"/>
          <w:numId w:val="24"/>
        </w:numPr>
        <w:spacing w:after="160"/>
      </w:pPr>
      <w:r>
        <w:t>It results in a layer of partially melted particles at the interface between the melt and the containing cooled powders;</w:t>
      </w:r>
    </w:p>
    <w:p w14:paraId="36D2CAFF" w14:textId="77777777" w:rsidR="00452FE4" w:rsidRDefault="00452FE4" w:rsidP="00F3524F">
      <w:pPr>
        <w:pStyle w:val="ListParagraph"/>
        <w:numPr>
          <w:ilvl w:val="0"/>
          <w:numId w:val="24"/>
        </w:numPr>
        <w:spacing w:after="160"/>
      </w:pPr>
      <w:r>
        <w:t>The water cooling extracts heat from the beam resulting in significant exergy destruction as the high quality energy from the high intensity beam is transferred to low quality energy carried away by the cooling water;</w:t>
      </w:r>
    </w:p>
    <w:p w14:paraId="4FC267AF" w14:textId="3E915927" w:rsidR="00452FE4" w:rsidRDefault="00452FE4" w:rsidP="00EA4BBA">
      <w:r>
        <w:t xml:space="preserve">Verlotski (1997) </w:t>
      </w:r>
      <w:r w:rsidR="00673F69">
        <w:t xml:space="preserve">has </w:t>
      </w:r>
      <w:r>
        <w:t xml:space="preserve">also shown that a high intensity radiation source </w:t>
      </w:r>
      <w:r w:rsidR="00673F69">
        <w:t>can</w:t>
      </w:r>
      <w:r>
        <w:t xml:space="preserve"> be used in a static chamber to heat a refractory oxide to over </w:t>
      </w:r>
      <w:r w:rsidRPr="00D4238D">
        <w:t>1500</w:t>
      </w:r>
      <w:r>
        <w:rPr>
          <w:vertAlign w:val="superscript"/>
        </w:rPr>
        <w:t>o</w:t>
      </w:r>
      <w:r w:rsidRPr="00D4238D">
        <w:t>C</w:t>
      </w:r>
      <w:r>
        <w:t xml:space="preserve">. However, these results were not directly transferrable to glass melting using concentrated solar radiation because: </w:t>
      </w:r>
    </w:p>
    <w:p w14:paraId="7010969D" w14:textId="69161577" w:rsidR="00452FE4" w:rsidRDefault="00452FE4" w:rsidP="00F3524F">
      <w:pPr>
        <w:pStyle w:val="ListParagraph"/>
        <w:numPr>
          <w:ilvl w:val="0"/>
          <w:numId w:val="25"/>
        </w:numPr>
        <w:spacing w:after="160"/>
      </w:pPr>
      <w:r>
        <w:t>Verlotski (1997) used a laser beam as the heat source which is not similar to concentrated solar radiation either in terms of the radiation spectrum or flux intensities. A laser beam is monochromatic and collimated whereas a concentrated solar radiation beam has an emission spectrum approximated by a black body at 5780 K. Also, the flux density of the laser beam used was 4 MW/m</w:t>
      </w:r>
      <w:r>
        <w:rPr>
          <w:vertAlign w:val="superscript"/>
        </w:rPr>
        <w:t>2</w:t>
      </w:r>
      <w:r>
        <w:t xml:space="preserve"> which is equivalent to a solar concentration ratio of C=4000 suns which is well beyond the maximum deliverable by large scale commercially viable solar concentrator systems which are limited to around C=2000 suns;</w:t>
      </w:r>
    </w:p>
    <w:p w14:paraId="476EF068" w14:textId="13F0D7A7" w:rsidR="00452FE4" w:rsidRDefault="00452FE4" w:rsidP="00F3524F">
      <w:pPr>
        <w:pStyle w:val="ListParagraph"/>
        <w:numPr>
          <w:ilvl w:val="0"/>
          <w:numId w:val="25"/>
        </w:numPr>
        <w:spacing w:after="160"/>
      </w:pPr>
      <w:r>
        <w:t xml:space="preserve">Verlotski's (1997) only demonstrated sintering of MgO particles whereas a realistic solar glass making process would require capability to produce a fluid </w:t>
      </w:r>
      <w:r w:rsidR="002A7F9B">
        <w:t>melt from a glass forming batch.</w:t>
      </w:r>
    </w:p>
    <w:p w14:paraId="0609AADD" w14:textId="77777777" w:rsidR="00452FE4" w:rsidRDefault="00452FE4" w:rsidP="00EA4BBA">
      <w:r>
        <w:t xml:space="preserve">So, existing methods of utilising concentrated radiation for effecting high temperature processes were not sufficiently transferrable to evaluate the feasibility of solar powered glass melting. Therefore, we developed a novel series of experiments, using a High Flux Solar Simulator (HFSS) beam to test melting glass forming batches by two prospective methods (see </w:t>
      </w:r>
      <w:r>
        <w:lastRenderedPageBreak/>
        <w:t xml:space="preserve">sections </w:t>
      </w:r>
      <w:r w:rsidRPr="00FF6720">
        <w:rPr>
          <w:i/>
        </w:rPr>
        <w:fldChar w:fldCharType="begin"/>
      </w:r>
      <w:r w:rsidRPr="00FF6720">
        <w:rPr>
          <w:i/>
        </w:rPr>
        <w:instrText xml:space="preserve"> REF _Ref433032267 \w \h </w:instrText>
      </w:r>
      <w:r>
        <w:rPr>
          <w:i/>
        </w:rPr>
        <w:instrText xml:space="preserve"> \* MERGEFORMAT </w:instrText>
      </w:r>
      <w:r w:rsidRPr="00FF6720">
        <w:rPr>
          <w:i/>
        </w:rPr>
      </w:r>
      <w:r w:rsidRPr="00FF6720">
        <w:rPr>
          <w:i/>
        </w:rPr>
        <w:fldChar w:fldCharType="separate"/>
      </w:r>
      <w:r w:rsidR="00820EB1">
        <w:rPr>
          <w:i/>
        </w:rPr>
        <w:t>6.2.1</w:t>
      </w:r>
      <w:r w:rsidRPr="00FF6720">
        <w:rPr>
          <w:i/>
        </w:rPr>
        <w:fldChar w:fldCharType="end"/>
      </w:r>
      <w:r w:rsidRPr="00FF6720">
        <w:rPr>
          <w:i/>
        </w:rPr>
        <w:t xml:space="preserve"> Static melting</w:t>
      </w:r>
      <w:r>
        <w:t xml:space="preserve"> and section </w:t>
      </w:r>
      <w:r w:rsidRPr="00FF6720">
        <w:rPr>
          <w:i/>
        </w:rPr>
        <w:fldChar w:fldCharType="begin"/>
      </w:r>
      <w:r w:rsidRPr="00FF6720">
        <w:rPr>
          <w:i/>
        </w:rPr>
        <w:instrText xml:space="preserve"> REF _Ref433032318 \w \h </w:instrText>
      </w:r>
      <w:r>
        <w:rPr>
          <w:i/>
        </w:rPr>
        <w:instrText xml:space="preserve"> \* MERGEFORMAT </w:instrText>
      </w:r>
      <w:r w:rsidRPr="00FF6720">
        <w:rPr>
          <w:i/>
        </w:rPr>
      </w:r>
      <w:r w:rsidRPr="00FF6720">
        <w:rPr>
          <w:i/>
        </w:rPr>
        <w:fldChar w:fldCharType="separate"/>
      </w:r>
      <w:r w:rsidR="00820EB1">
        <w:rPr>
          <w:i/>
        </w:rPr>
        <w:t>6.2.2</w:t>
      </w:r>
      <w:r w:rsidRPr="00FF6720">
        <w:rPr>
          <w:i/>
        </w:rPr>
        <w:fldChar w:fldCharType="end"/>
      </w:r>
      <w:r w:rsidRPr="00FF6720">
        <w:rPr>
          <w:i/>
        </w:rPr>
        <w:t xml:space="preserve"> In-flight melting</w:t>
      </w:r>
      <w:r>
        <w:rPr>
          <w:i/>
        </w:rPr>
        <w:t xml:space="preserve">) </w:t>
      </w:r>
      <w:r>
        <w:t xml:space="preserve">more relevant to glass making than the prior art. </w:t>
      </w:r>
    </w:p>
    <w:p w14:paraId="3BEC9509" w14:textId="77777777" w:rsidR="00452FE4" w:rsidRPr="00820F64" w:rsidRDefault="00452FE4" w:rsidP="00F3524F">
      <w:pPr>
        <w:pStyle w:val="Heading3"/>
        <w:keepNext w:val="0"/>
        <w:keepLines w:val="0"/>
        <w:numPr>
          <w:ilvl w:val="2"/>
          <w:numId w:val="23"/>
        </w:numPr>
        <w:spacing w:before="0" w:after="160"/>
      </w:pPr>
      <w:bookmarkStart w:id="212" w:name="_Ref433032267"/>
      <w:r>
        <w:t>Static melting</w:t>
      </w:r>
      <w:bookmarkEnd w:id="212"/>
    </w:p>
    <w:p w14:paraId="7E1E4F4F" w14:textId="14D7360F" w:rsidR="00452FE4" w:rsidRDefault="00452FE4" w:rsidP="00EA4BBA">
      <w:r>
        <w:t xml:space="preserve">In these experiments, the solar beam irradiated silicate glass forming batches contained inside refractory crucibles, surrounded by insulation. This was similar to a conventional glass melting setup usually heated by a flame or by electrical heating elements but until this work, it had never before been tested using a (simulated) concentrated solar radiation heat source. In these experiments it was </w:t>
      </w:r>
      <w:r w:rsidR="00673F69" w:rsidRPr="00A27D4E">
        <w:t>show</w:t>
      </w:r>
      <w:r w:rsidR="00673F69">
        <w:t>n</w:t>
      </w:r>
      <w:r w:rsidR="00673F69" w:rsidRPr="00A27D4E">
        <w:t xml:space="preserve"> </w:t>
      </w:r>
      <w:r w:rsidRPr="00A27D4E">
        <w:t xml:space="preserve">for the first time that concentrated solar radiation could be used to not only melt glass forming batches but could also generate pools of </w:t>
      </w:r>
      <w:r>
        <w:t>fluid</w:t>
      </w:r>
      <w:r w:rsidRPr="00A27D4E">
        <w:t xml:space="preserve"> glass. </w:t>
      </w:r>
      <w:r>
        <w:t xml:space="preserve">By comparison, previous researchers </w:t>
      </w:r>
      <w:r>
        <w:fldChar w:fldCharType="begin" w:fldLock="1"/>
      </w:r>
      <w:r w:rsidR="00875DEE">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"id" : "ITEM-2", "itemData" : { "DOI" : "10.1016/j.jeurceramsoc.2004.12.027", "ISSN" : "09552219", "author" : [ { "dropping-particle" : "", "family" : "Hernandez", "given" : "D.", "non-dropping-particle" : "", "parse-names" : false, "suffix" : "" }, { "dropping-particle" : "", "family" : "Olalde", "given" : "G.", "non-dropping-particle" : "", "parse-names" : false, "suffix" : "" } ], "container-title" : "Journal of the European Ceramic Society", "id" : "ITEM-2", "issue" : "6", "issued" : { "date-parts" : [ [ "2006", "1" ] ] }, "page" : "1043-1049", "title" : "Solar experimental methods for observing melting plateaux and associated temperature measurements for refractory oxides from 2000 to 3000\u00b0C", "type" : "article-journal", "volume" : "26" }, "uris" : [ "http://www.mendeley.com/documents/?uuid=10d738df-3795-46eb-9f63-b052a4afe92e" ] } ], "mendeley" : { "formattedCitation" : "(Trombe 1954; Hernandez &amp; Olalde 2006)", "plainTextFormattedCitation" : "(Trombe 1954; Hernandez &amp; Olalde 2006)", "previouslyFormattedCitation" : "(Trombe 1954; Hernandez &amp; Olalde 2006)" }, "properties" : { "noteIndex" : 0 }, "schema" : "https://github.com/citation-style-language/schema/raw/master/csl-citation.json" }</w:instrText>
      </w:r>
      <w:r>
        <w:fldChar w:fldCharType="separate"/>
      </w:r>
      <w:r w:rsidR="00875DEE" w:rsidRPr="00875DEE">
        <w:rPr>
          <w:noProof/>
        </w:rPr>
        <w:t>(Trombe 1954; Hernandez &amp; Olalde 2006)</w:t>
      </w:r>
      <w:r>
        <w:fldChar w:fldCharType="end"/>
      </w:r>
      <w:r>
        <w:t xml:space="preserve"> only demonstrated partial</w:t>
      </w:r>
      <w:r w:rsidR="00673F69">
        <w:t xml:space="preserve"> </w:t>
      </w:r>
      <w:r>
        <w:t xml:space="preserve">melting </w:t>
      </w:r>
      <w:r w:rsidR="00673F69">
        <w:t xml:space="preserve">of </w:t>
      </w:r>
      <w:r>
        <w:t xml:space="preserve">refractory oxides including silica by employing the self-crucible method whereby it was impossible to generate a complete melt due to active cooling of the surrounding unmelted refractory powders required  to contain the melt. This is an important distinction because most glass making process require a body of fully molten glass which is sufficiently fluid to be produced for fining and subsequent forming processes. </w:t>
      </w:r>
    </w:p>
    <w:p w14:paraId="3B0BEC44" w14:textId="7EC4CFCC" w:rsidR="00673F69" w:rsidRDefault="00452FE4">
      <w:pPr>
        <w:rPr>
          <w:i/>
        </w:rPr>
      </w:pPr>
      <w:r>
        <w:t>Furthermore</w:t>
      </w:r>
      <w:r w:rsidR="00673F69">
        <w:t>,</w:t>
      </w:r>
      <w:r>
        <w:t xml:space="preserve"> experiments</w:t>
      </w:r>
      <w:r w:rsidR="00673F69">
        <w:t xml:space="preserve"> A1-10</w:t>
      </w:r>
      <w:r>
        <w:t xml:space="preserve"> were the first demonstration of melting glass forming batches using a solar beam directly inside </w:t>
      </w:r>
      <w:r w:rsidRPr="00A27D4E">
        <w:t>conventiona</w:t>
      </w:r>
      <w:r>
        <w:t xml:space="preserve">l aluminosilicate crucibles. It was previously assumed infeasible to melt refractories using a solar beam in conventional refractory crucibles due to the risk of immediate fracture due to thermal shock which necessitated the use of </w:t>
      </w:r>
      <w:r w:rsidR="00673F69">
        <w:t>a cold crucible</w:t>
      </w:r>
      <w:r>
        <w:t xml:space="preserve"> </w:t>
      </w:r>
      <w:r>
        <w:fldChar w:fldCharType="begin" w:fldLock="1"/>
      </w:r>
      <w:r w:rsidR="00875DEE">
        <w:instrText>ADDIN CSL_CITATION { "citationItems" : [ { "id" : "ITEM-1", "itemData" : { "author" : [ { "dropping-particle" : "", "family" : "Verlotski", "given" : "V", "non-dropping-particle" : "", "parse-names" : false, "suffix" : "" }, { "dropping-particle" : "", "family" : "Schaus", "given" : "M", "non-dropping-particle" : "", "parse-names" : false, "suffix" : "" }, { "dropping-particle" : "", "family" : "Pohl", "given" : "M", "non-dropping-particle" : "", "parse-names" : false, "suffix" : "" } ], "id" : "ITEM-1", "issued" : { "date-parts" : [ [ "1997" ] ] }, "page" : "227-239", "title" : "A solar thermal MgO-powder receiver with working temperatures of more than 1600 \u00b0 C : Model investigation by using a laser as an irradiation source", "type" : "article-journal", "volume" : "45" }, "uris" : [ "http://www.mendeley.com/documents/?uuid=88bf1b37-ac0b-42c6-b0c1-014ffc4c56c6" ] } ], "mendeley" : { "formattedCitation" : "(Verlotski et al. 1997)", "plainTextFormattedCitation" : "(Verlotski et al. 1997)", "previouslyFormattedCitation" : "(Verlotski et al. 1997)" }, "properties" : { "noteIndex" : 0 }, "schema" : "https://github.com/citation-style-language/schema/raw/master/csl-citation.json" }</w:instrText>
      </w:r>
      <w:r>
        <w:fldChar w:fldCharType="separate"/>
      </w:r>
      <w:r w:rsidR="00875DEE" w:rsidRPr="00875DEE">
        <w:rPr>
          <w:noProof/>
        </w:rPr>
        <w:t>(Verlotski et al. 1997)</w:t>
      </w:r>
      <w:r>
        <w:fldChar w:fldCharType="end"/>
      </w:r>
      <w:r>
        <w:t>. However, we have demonstrated, that by gradually increasing the beam intensity by incrementally opening shutters between the concentrator and the crucible and surrounding the crucible with sufficient insulation and thermal mass, it is possible to sustain a melt within such a crucible. However, upon cooling back to room temperature, at the end of the experiments, the crucibles did eventually fracture. This problem was solved later in this project and discussed in</w:t>
      </w:r>
      <w:r w:rsidR="00673F69">
        <w:t xml:space="preserve"> section</w:t>
      </w:r>
      <w:r>
        <w:t xml:space="preserve"> </w:t>
      </w:r>
      <w:r w:rsidRPr="00F52EC2">
        <w:fldChar w:fldCharType="begin"/>
      </w:r>
      <w:r w:rsidRPr="00F52EC2">
        <w:instrText xml:space="preserve"> REF _Ref432953590 \w \h  \* MERGEFORMAT </w:instrText>
      </w:r>
      <w:r w:rsidRPr="00F52EC2">
        <w:fldChar w:fldCharType="separate"/>
      </w:r>
      <w:r w:rsidR="00820EB1">
        <w:t>6.4</w:t>
      </w:r>
      <w:r w:rsidRPr="00F52EC2">
        <w:fldChar w:fldCharType="end"/>
      </w:r>
      <w:r w:rsidR="00673F69">
        <w:t>.</w:t>
      </w:r>
      <w:r w:rsidRPr="001F5C8D">
        <w:rPr>
          <w:i/>
        </w:rPr>
        <w:t xml:space="preserve"> </w:t>
      </w:r>
    </w:p>
    <w:p w14:paraId="6BD5901E" w14:textId="5373B4C9" w:rsidR="00452FE4" w:rsidRDefault="00452FE4">
      <w:r>
        <w:rPr>
          <w:i/>
        </w:rPr>
        <w:t>.</w:t>
      </w:r>
    </w:p>
    <w:p w14:paraId="7B06CA01" w14:textId="4B105CF5" w:rsidR="00452FE4" w:rsidRDefault="00452FE4">
      <w:r>
        <w:t>Also, the</w:t>
      </w:r>
      <w:r w:rsidRPr="00A27D4E">
        <w:t xml:space="preserve"> beam intensity required </w:t>
      </w:r>
      <w:r>
        <w:t xml:space="preserve">to melt the glass forming batches </w:t>
      </w:r>
      <w:r w:rsidRPr="00A27D4E">
        <w:t xml:space="preserve">was within the range which could be delivered by </w:t>
      </w:r>
      <w:r>
        <w:t>realistic</w:t>
      </w:r>
      <w:r w:rsidRPr="00A27D4E">
        <w:t xml:space="preserve"> solar </w:t>
      </w:r>
      <w:r w:rsidR="00673F69" w:rsidRPr="00A27D4E">
        <w:t>concentrat</w:t>
      </w:r>
      <w:r w:rsidR="00673F69">
        <w:t>or</w:t>
      </w:r>
      <w:r w:rsidR="00673F69" w:rsidRPr="00A27D4E">
        <w:t xml:space="preserve"> </w:t>
      </w:r>
      <w:r w:rsidRPr="00A27D4E">
        <w:t>systems</w:t>
      </w:r>
      <w:r>
        <w:t xml:space="preserve"> (C&lt;2000 suns)</w:t>
      </w:r>
      <w:r w:rsidRPr="00A27D4E">
        <w:t>.</w:t>
      </w:r>
      <w:r>
        <w:t xml:space="preserve"> Therefore, these experiments represented the first step towards demonstrating a realistic glass making process powered by direct concentrated solar radiation.</w:t>
      </w:r>
    </w:p>
    <w:p w14:paraId="4E8072FC" w14:textId="77777777" w:rsidR="00452FE4" w:rsidRDefault="00452FE4">
      <w:r>
        <w:t>Three types of glass forming batches were melted in crucibles using the HFSS solar beam:</w:t>
      </w:r>
    </w:p>
    <w:p w14:paraId="30C819AB" w14:textId="77777777" w:rsidR="00452FE4" w:rsidRDefault="00452FE4" w:rsidP="00F3524F">
      <w:pPr>
        <w:pStyle w:val="ListParagraph"/>
        <w:numPr>
          <w:ilvl w:val="0"/>
          <w:numId w:val="26"/>
        </w:numPr>
        <w:spacing w:after="160"/>
      </w:pPr>
      <w:r>
        <w:t>Pure silica sand;</w:t>
      </w:r>
    </w:p>
    <w:p w14:paraId="078D9316" w14:textId="77777777" w:rsidR="00452FE4" w:rsidRDefault="00452FE4" w:rsidP="00F3524F">
      <w:pPr>
        <w:pStyle w:val="ListParagraph"/>
        <w:numPr>
          <w:ilvl w:val="0"/>
          <w:numId w:val="26"/>
        </w:numPr>
        <w:spacing w:after="160"/>
      </w:pPr>
      <w:r>
        <w:t>Soda-lime-silica mixed granules and powders;</w:t>
      </w:r>
    </w:p>
    <w:p w14:paraId="5D505DED" w14:textId="77777777" w:rsidR="00452FE4" w:rsidRDefault="00452FE4" w:rsidP="00F3524F">
      <w:pPr>
        <w:pStyle w:val="ListParagraph"/>
        <w:numPr>
          <w:ilvl w:val="0"/>
          <w:numId w:val="26"/>
        </w:numPr>
        <w:spacing w:after="160"/>
      </w:pPr>
      <w:r>
        <w:t>Pelletised soda-lime-silica mixture.</w:t>
      </w:r>
    </w:p>
    <w:p w14:paraId="6F302A02" w14:textId="7E5133CA" w:rsidR="00452FE4" w:rsidRDefault="00452FE4" w:rsidP="00EA4BBA">
      <w:r>
        <w:lastRenderedPageBreak/>
        <w:t xml:space="preserve">This was the first time such materials of composition suitable for glass making had been irradiated by a (simulated) concentrated solar beam. The soda-lime-silica glasses were of the widest relevance as these compositions were representative of the most common type of glass produced worldwide for all kinds of products from containers to windows. The nearest comparable materials irradiated by concentrated solar beams were silica sands </w:t>
      </w:r>
      <w:r>
        <w:fldChar w:fldCharType="begin" w:fldLock="1"/>
      </w:r>
      <w:r w:rsidR="00875DEE">
        <w:instrText>ADDIN CSL_CITATION { "citationItems" : [ { "id" : "ITEM-1", "itemData" : { "author" : [ { "dropping-particle" : "", "family" : "Trombe", "given" : "Felix", "non-dropping-particle" : "", "parse-names" : false, "suffix" : "" } ], "container-title" : "Bulletin de la Societe Chimique de France", "id" : "ITEM-1", "issued" : { "date-parts" : [ [ "1954" ] ] }, "page" : "1315", "title" : "Utilisation de fours centrifuges pour le traitement par l'energie des substances a haute temperature", "type" : "article-journal" }, "uris" : [ "http://www.mendeley.com/documents/?uuid=38ebba28-dd39-4671-9c32-6b9667405e14" ] } ], "mendeley" : { "formattedCitation" : "(Trombe 1954)", "plainTextFormattedCitation" : "(Trombe 1954)", "previouslyFormattedCitation" : "(Trombe 1954)" }, "properties" : { "noteIndex" : 0 }, "schema" : "https://github.com/citation-style-language/schema/raw/master/csl-citation.json" }</w:instrText>
      </w:r>
      <w:r>
        <w:fldChar w:fldCharType="separate"/>
      </w:r>
      <w:r w:rsidR="00875DEE" w:rsidRPr="00875DEE">
        <w:rPr>
          <w:noProof/>
        </w:rPr>
        <w:t>(Trombe 1954)</w:t>
      </w:r>
      <w:r>
        <w:fldChar w:fldCharType="end"/>
      </w:r>
      <w:r>
        <w:t xml:space="preserve"> but they were not of the purity suitable for glass making. The melt produced from these silica sands was insufficiently fluid for fining and no useful quality of glass was produced. </w:t>
      </w:r>
      <w:r>
        <w:fldChar w:fldCharType="begin" w:fldLock="1"/>
      </w:r>
      <w:r w:rsidR="00875DEE">
        <w:instrText>ADDIN CSL_CITATION { "citationItems" : [ { "id" : "ITEM-1", "itemData" : { "DOI" : "10.1016/j.solener.2005.05.017", "ISSN" : "0038092X", "abstract" : "We developed the solar chemical reactor technology to effect the endothermic calcination reaction CaCO3(s)\u2192CaO(s)+CO2(g) at 1200\u20131400K. The indirect heating 10kWth multi-tube rotary kiln prototype processed 1\u20135mm limestone particles, producing high purity lime that is not contaminated with combustion by-products. The quality of the solar produced quicklime meets highest industrial standards in terms of reactivity (low, medium, and high) and degree of calcination (exceeding 98%). The reactor\u2019s efficiency, defined as the enthalpy of the calcination reaction at ambient temperature (3184kJkg\u22121) divided by the solar energy input, reached 30\u201335% for quicklime production rates up to 4kgh\u22121. The solar lime reactor prototype operated reliably for more than 100h at solar flux inputs of about 2000kWm\u22122, withstanding the thermal shocks that occur in solar high temperature applications. By substituting concentrated solar energy for fossil fuels as the source of process heat, one can reduce by 20% the CO2 emissions in a state-of-the-art lime plant and by 40% in a conventional cement plant. The cost of solar lime produced in a 20MWth industrial solar calcination plant is estimated in the range 131\u2013158 $/t, i.e. about 2\u20133 times the current selling price of conventional lime.", "author" : [ { "dropping-particle" : "", "family" : "Meier", "given" : "Anton", "non-dropping-particle" : "", "parse-names" : false, "suffix" : "" }, { "dropping-particle" : "", "family" : "Bonaldi", "given" : "Enrico", "non-dropping-particle" : "", "parse-names" : false, "suffix" : "" }, { "dropping-particle" : "", "family" : "Cella", "given" : "Gian Mario", "non-dropping-particle" : "", "parse-names" : false, "suffix" : "" }, { "dropping-particle" : "", "family" : "Lipinski", "given" : "Wojciech", "non-dropping-particle" : "", "parse-names" : false, "suffix" : "" }, { "dropping-particle" : "", "family" : "Wuillemin", "given" : "Daniel", "non-dropping-particle" : "", "parse-names" : false, "suffix" : "" } ], "container-title" : "Solar Energy", "id" : "ITEM-1", "issue" : "10", "issued" : { "date-parts" : [ [ "2006", "10" ] ] }, "note" : "heat balance for lime production", "page" : "1355-1362", "title" : "Solar chemical reactor technology for industrial production of lime", "type" : "article-journal", "volume" : "80" }, "uris" : [ "http://www.mendeley.com/documents/?uuid=6d23522f-7cfd-4b15-bb73-e2f034980ca6" ] } ], "mendeley" : { "formattedCitation" : "(Meier et al. 2006)", "plainTextFormattedCitation" : "(Meier et al. 2006)", "previouslyFormattedCitation" : "(Meier et al. 2006)" }, "properties" : { "noteIndex" : 0 }, "schema" : "https://github.com/citation-style-language/schema/raw/master/csl-citation.json" }</w:instrText>
      </w:r>
      <w:r>
        <w:fldChar w:fldCharType="separate"/>
      </w:r>
      <w:r w:rsidR="00875DEE" w:rsidRPr="00875DEE">
        <w:rPr>
          <w:noProof/>
        </w:rPr>
        <w:t>(Meier et al. 2006)</w:t>
      </w:r>
      <w:r>
        <w:fldChar w:fldCharType="end"/>
      </w:r>
      <w:r>
        <w:t xml:space="preserve"> heated limestone using a solar beam to produce lime but this was in an indirectly irradiated solar furnace. Also, </w:t>
      </w:r>
      <w:r>
        <w:fldChar w:fldCharType="begin" w:fldLock="1"/>
      </w:r>
      <w:r w:rsidR="00875DEE">
        <w:instrText>ADDIN CSL_CITATION { "citationItems" : [ { "id" : "ITEM-1", "itemData" : { "author" : [ { "dropping-particle" : "", "family" : "Verlotski", "given" : "V", "non-dropping-particle" : "", "parse-names" : false, "suffix" : "" }, { "dropping-particle" : "", "family" : "Schaus", "given" : "M", "non-dropping-particle" : "", "parse-names" : false, "suffix" : "" }, { "dropping-particle" : "", "family" : "Pohl", "given" : "M", "non-dropping-particle" : "", "parse-names" : false, "suffix" : "" } ], "id" : "ITEM-1", "issued" : { "date-parts" : [ [ "1997" ] ] }, "page" : "227-239", "title" : "A solar thermal MgO-powder receiver with working temperatures of more than 1600 \u00b0 C : Model investigation by using a laser as an irradiation source", "type" : "article-journal", "volume" : "45" }, "uris" : [ "http://www.mendeley.com/documents/?uuid=88bf1b37-ac0b-42c6-b0c1-014ffc4c56c6" ] } ], "mendeley" : { "formattedCitation" : "(Verlotski et al. 1997)", "plainTextFormattedCitation" : "(Verlotski et al. 1997)", "previouslyFormattedCitation" : "(Verlotski et al. 1997)" }, "properties" : { "noteIndex" : 0 }, "schema" : "https://github.com/citation-style-language/schema/raw/master/csl-citation.json" }</w:instrText>
      </w:r>
      <w:r>
        <w:fldChar w:fldCharType="separate"/>
      </w:r>
      <w:r w:rsidR="00875DEE" w:rsidRPr="00875DEE">
        <w:rPr>
          <w:noProof/>
        </w:rPr>
        <w:t>(Verlotski et al. 1997)</w:t>
      </w:r>
      <w:r>
        <w:fldChar w:fldCharType="end"/>
      </w:r>
      <w:r>
        <w:t xml:space="preserve"> irradiated MgO with a high intensity laser beam which is comparable only due to the mode of heating and being a refractory oxide but is obviously not directly applicable to glass melting using solar radiation.</w:t>
      </w:r>
    </w:p>
    <w:p w14:paraId="25C8718F" w14:textId="000AB3DE" w:rsidR="00452FE4" w:rsidRDefault="00452FE4">
      <w:r>
        <w:t>The volumes of glass we originally expected to melt were based on previous experiments where static samples of refractory oxides were directly irradiated by high intensity radiation such as: 1) our preliminary experiment using a 2 kW</w:t>
      </w:r>
      <w:r w:rsidRPr="00F52EC2">
        <w:rPr>
          <w:vertAlign w:val="subscript"/>
        </w:rPr>
        <w:t>th</w:t>
      </w:r>
      <w:r>
        <w:t xml:space="preserve"> solar concentrator melting sand which generated around 1</w:t>
      </w:r>
      <w:r w:rsidR="000751C6">
        <w:t xml:space="preserve"> </w:t>
      </w:r>
      <w:r>
        <w:t>cm</w:t>
      </w:r>
      <w:r>
        <w:rPr>
          <w:vertAlign w:val="superscript"/>
        </w:rPr>
        <w:t>3</w:t>
      </w:r>
      <w:r>
        <w:t xml:space="preserve"> of partially formed glass; 2) </w:t>
      </w:r>
      <w:r>
        <w:fldChar w:fldCharType="begin" w:fldLock="1"/>
      </w:r>
      <w:r w:rsidR="00875DEE">
        <w:instrText>ADDIN CSL_CITATION { "citationItems" : [ { "id" : "ITEM-1", "itemData" : { "author" : [ { "dropping-particle" : "", "family" : "Verlotski", "given" : "V", "non-dropping-particle" : "", "parse-names" : false, "suffix" : "" }, { "dropping-particle" : "", "family" : "Schaus", "given" : "M", "non-dropping-particle" : "", "parse-names" : false, "suffix" : "" }, { "dropping-particle" : "", "family" : "Pohl", "given" : "M", "non-dropping-particle" : "", "parse-names" : false, "suffix" : "" } ], "id" : "ITEM-1", "issued" : { "date-parts" : [ [ "1997" ] ] }, "page" : "227-239", "title" : "A solar thermal MgO-powder receiver with working temperatures of more than 1600 \u00b0 C : Model investigation by using a laser as an irradiation source", "type" : "article-journal", "volume" : "45" }, "uris" : [ "http://www.mendeley.com/documents/?uuid=88bf1b37-ac0b-42c6-b0c1-014ffc4c56c6" ] } ], "mendeley" : { "formattedCitation" : "(Verlotski et al. 1997)", "plainTextFormattedCitation" : "(Verlotski et al. 1997)", "previouslyFormattedCitation" : "(Verlotski et al. 1997)" }, "properties" : { "noteIndex" : 0 }, "schema" : "https://github.com/citation-style-language/schema/raw/master/csl-citation.json" }</w:instrText>
      </w:r>
      <w:r>
        <w:fldChar w:fldCharType="separate"/>
      </w:r>
      <w:r w:rsidR="00875DEE" w:rsidRPr="00875DEE">
        <w:rPr>
          <w:noProof/>
        </w:rPr>
        <w:t>(Verlotski et al. 1997)</w:t>
      </w:r>
      <w:r>
        <w:fldChar w:fldCharType="end"/>
      </w:r>
      <w:r>
        <w:t xml:space="preserve"> who used a 400 W laser to sinter up to 7.8</w:t>
      </w:r>
      <w:r w:rsidR="000751C6">
        <w:t xml:space="preserve"> </w:t>
      </w:r>
      <w:r>
        <w:t>cm</w:t>
      </w:r>
      <w:r>
        <w:rPr>
          <w:vertAlign w:val="superscript"/>
        </w:rPr>
        <w:t>3</w:t>
      </w:r>
      <w:r>
        <w:t xml:space="preserve"> of MgO. Therefore, with our greater requirement </w:t>
      </w:r>
      <w:r w:rsidR="00673F69">
        <w:t>to not only</w:t>
      </w:r>
      <w:r>
        <w:t xml:space="preserve"> partially melt the glass forming batches as already demonstrated, but also to generate a fluid melt pool using the HFSS which could deliver comparable radiant power densities to that of the aforementioned experiments, we originally envisaged generating melt pools in the order of a few cm</w:t>
      </w:r>
      <w:r>
        <w:rPr>
          <w:vertAlign w:val="superscript"/>
        </w:rPr>
        <w:t>3</w:t>
      </w:r>
      <w:r>
        <w:t xml:space="preserve">. However, in reality we found, we were able to generate much larger melt pools than expected, so much so that in </w:t>
      </w:r>
      <w:r w:rsidR="00673F69">
        <w:t>experiments A1-10</w:t>
      </w:r>
      <w:r>
        <w:t xml:space="preserve"> we were limited only by the capacity of the largest size crucible, as we were unprepared for the size of melts produced the largest being 77</w:t>
      </w:r>
      <w:r w:rsidR="000751C6">
        <w:t xml:space="preserve"> </w:t>
      </w:r>
      <w:r>
        <w:t>cm</w:t>
      </w:r>
      <w:r>
        <w:softHyphen/>
      </w:r>
      <w:r>
        <w:rPr>
          <w:vertAlign w:val="superscript"/>
        </w:rPr>
        <w:t>3</w:t>
      </w:r>
      <w:r>
        <w:t xml:space="preserve"> which was an order of magnitude larger than the previous</w:t>
      </w:r>
      <w:r w:rsidR="00673F69">
        <w:t>ly reported</w:t>
      </w:r>
      <w:r>
        <w:t xml:space="preserve"> experiments. This significant increase in the volume melt producible compared to the prior art could be explained by the fact that we managed to sustain the melt without any active cooling and therefore improved the melting efficiency and enabled a larger volume of material to sustain sufficiently high temperatures to melt. This increase in volume of melt producible using a solar beam is significant for glass making because the efficiency of any glass melting process is largely determined by the volume of melt contained. In order to generate useful glass, the melt must be held at around 1500</w:t>
      </w:r>
      <w:r>
        <w:rPr>
          <w:vertAlign w:val="superscript"/>
        </w:rPr>
        <w:t>o</w:t>
      </w:r>
      <w:r>
        <w:t xml:space="preserve">C to homogenise and remove bubbles and during this time substantial heat is lost through the walls of the tank containing the melt so increasing the volume of the melting tank, decreases the surface area to volume ratio and therefore reduces heat losses. </w:t>
      </w:r>
    </w:p>
    <w:p w14:paraId="15B944E8" w14:textId="598C8B53" w:rsidR="00452FE4" w:rsidRPr="00A43817" w:rsidRDefault="00452FE4">
      <w:r>
        <w:t xml:space="preserve">Not only did these experiments exceed the original expectation in terms of the quantities of glass produced, but the soda-lime-silica batches also far exceeded the quality expected by glass produced by direct irradiation by a (simulated) solar beam. All the </w:t>
      </w:r>
      <w:r w:rsidR="00673F69">
        <w:t>samples</w:t>
      </w:r>
      <w:r>
        <w:t xml:space="preserve"> produced were proved to be fully converted from their crystalline raw materials to x-ray amorphous glasses. Furthermore, the soda-lime-silica glasses were completely optically transparent and the melt </w:t>
      </w:r>
      <w:r>
        <w:lastRenderedPageBreak/>
        <w:t>s</w:t>
      </w:r>
      <w:r w:rsidR="000751C6">
        <w:t>urface was secularly reflective</w:t>
      </w:r>
      <w:r>
        <w:t xml:space="preserve"> so much so a photographic image of the HFSS could be seen in the melt surface after all the batch had fully melted down. Also, despite the relatively short retention times of the melt, the glasses produced contained very few bubbles. Overall, this provided the most promising evidence to date related to the feasibility of producing useful glasses using a solar beam heat source. By comparison, previous experiments, melting refractory oxides including silica, by direct irradiation by a solar beam had only every produced partially transformed glassy materials, always containing some unmelted raw materials and never producing anything transparent or anything considered useful from the point of view of glass making. This significant improvement of the quality of glass producible compared to the prior art could be attributed to novel features of these experiments: 1) use of raw materials more suitable for high quality glass making than previous experiments with higher purity silica sand and a flux (in our case sodium carbonate) to reduce the temperature at which a fluid melt/solution  could be formed; 2) </w:t>
      </w:r>
      <w:r w:rsidR="000751C6">
        <w:t>a</w:t>
      </w:r>
      <w:r>
        <w:t xml:space="preserve">voidance of active cooling of the melting chamber and instead insulation thereof to retain heat, thus allowing the raw materials to produce a complete melt pool. In summary, </w:t>
      </w:r>
      <w:r w:rsidR="00673F69">
        <w:t>experiments A1-10</w:t>
      </w:r>
      <w:r>
        <w:t xml:space="preserve"> demonstrated for the first time the possibility of producing useful glasses using a solar beam heat source.  </w:t>
      </w:r>
    </w:p>
    <w:p w14:paraId="7F953678" w14:textId="1207D739" w:rsidR="00452FE4" w:rsidRPr="00933BB7" w:rsidRDefault="00452FE4">
      <w:r>
        <w:t xml:space="preserve">However, it was found that producing similar quality glass from pure silica using a solar beam was not possible. Although it was possible to generate and sustain a complete melt pool, and thereby completely converting all the crystalline silica to an x-ray amorphous glass, even with the maximum power deliverable by a realistic solar beam, it was not possible to generate a transparent, bubble free glass as demonstrated with the soda-lime-silica. Furthermore, the viscosity of the silica melt did not appear sufficiently low to be considered feasible for subsequent forming processes required for a realistic glass making process. This was because without a flux such as sodium oxide, the temperature required to generate a fluid melt is </w:t>
      </w:r>
      <w:r w:rsidR="00673F69">
        <w:t xml:space="preserve">significantly </w:t>
      </w:r>
      <w:r>
        <w:t>higher and so the input power density required exceeds that which could be delivered by a realistic solar beam. Also, even if higher solar concentrations could be delivered, it was shown that then one hits a limit that the containing crucible itself would begin to deteriorate thus rendering such a process practically infeasible. This shows the limits of solar glass melting, that most but not all batch compositions may feasibly be melted to produce glasses using a solar beam, as pure silica is considered one of the most difficult glasses to produce a fluid melt from while soda-lime-silica represents the most common and widely represented glass composition.</w:t>
      </w:r>
    </w:p>
    <w:p w14:paraId="1A5790A8" w14:textId="2BD23702" w:rsidR="00452FE4" w:rsidRDefault="00452FE4">
      <w:r>
        <w:t>By comparing the glass produced from powdered v</w:t>
      </w:r>
      <w:r w:rsidR="00673F69">
        <w:t>ersus</w:t>
      </w:r>
      <w:r>
        <w:t xml:space="preserve"> pelletised soda-lime-silica batch it was found that the latter produced significantly better quality glass than the former. This is because, the raw materials were more homogeneous in the pelletised form compared to the powdered mixture. This is particularly important for solar glass melting due the limited number of hours it is available during the day, forcing the need to rapidly </w:t>
      </w:r>
      <w:r w:rsidR="000751C6">
        <w:t>melt and homogenise compared to</w:t>
      </w:r>
      <w:r>
        <w:t xml:space="preserve"> conventional furnaces which can deal with less homogenous raw materials because they are  </w:t>
      </w:r>
      <w:r>
        <w:lastRenderedPageBreak/>
        <w:t xml:space="preserve">large and are continuously heated enabling residence times of ~36 hours which is sufficient to produce a homogeneous glass despite </w:t>
      </w:r>
      <w:r w:rsidRPr="006B20E9">
        <w:t>inhomogeneities</w:t>
      </w:r>
      <w:r>
        <w:t xml:space="preserve"> of the input raw materials. Therefore, pelletised soda-lime-silica glass </w:t>
      </w:r>
      <w:r w:rsidR="00E132C9">
        <w:t xml:space="preserve">batch </w:t>
      </w:r>
      <w:r>
        <w:t>was considered the most promising type of glass forming batch for the solar glass melting experiments.</w:t>
      </w:r>
    </w:p>
    <w:p w14:paraId="2C5548A3" w14:textId="7BB28A67" w:rsidR="00452FE4" w:rsidRDefault="00452FE4">
      <w:r>
        <w:t>Testing a range of sizes of melts during experiments</w:t>
      </w:r>
      <w:r w:rsidR="00E132C9">
        <w:t xml:space="preserve"> A1-10</w:t>
      </w:r>
      <w:r>
        <w:t xml:space="preserve"> provided new understanding of the effects of the melting area and depth of the melt with respect to progression of the melting process and the glasses produced thereby. It was found that for batches which require high beam intensities, such as</w:t>
      </w:r>
      <w:r w:rsidR="00E132C9">
        <w:t xml:space="preserve"> </w:t>
      </w:r>
      <w:r>
        <w:t>pure silica, if the containing crucible was too small the crucible itself would start to deteriorate under the high beam intensity which limit</w:t>
      </w:r>
      <w:r w:rsidR="00E132C9">
        <w:t>ed</w:t>
      </w:r>
      <w:r>
        <w:t xml:space="preserve"> the progression of melt. This is because a smaller crucible would be close to the centre of the beam focal point and therefore exposed to excessive radiant flux. Also, although, the larger batches took longer to complete all reactions but the rate of increase in melting time with respect to the mass of batch melted was decreasing. For example, a small pelletised soda-lime-silica batch (10 g, experiment A8) required 18 minute</w:t>
      </w:r>
      <w:r w:rsidR="000751C6">
        <w:t>s at glass melting temperatures</w:t>
      </w:r>
      <w:r>
        <w:t xml:space="preserve"> for most of the reactions to complete </w:t>
      </w:r>
      <w:r w:rsidR="000751C6">
        <w:t>,</w:t>
      </w:r>
      <w:r>
        <w:t>while a much larger pelletised soda-lime-silica batch (58.5 g, experiment A9) required 25 minutes under similar conditions to reach a similar stage of progress. This, coupled with the fact that a larger melt surface is capable of capturing a greater proportion of the total spread of radiation from the concentrated solar beam mean</w:t>
      </w:r>
      <w:r w:rsidR="00E132C9">
        <w:t>t</w:t>
      </w:r>
      <w:r>
        <w:t xml:space="preserve"> that increasing the size of the melt, increase</w:t>
      </w:r>
      <w:r w:rsidR="00E132C9">
        <w:t>d</w:t>
      </w:r>
      <w:r>
        <w:t xml:space="preserve"> the melting efficiency. However, the glass produced from the deepest melt was found to contain more entrained bubbles at the bottom. Therefore, experiments</w:t>
      </w:r>
      <w:r w:rsidR="00E132C9">
        <w:t xml:space="preserve"> A1-10</w:t>
      </w:r>
      <w:r>
        <w:t xml:space="preserve"> helped to provide practical information regarding the realistic sizes of melts which could be generated from a solar beam, as required for the subsequent series of experiments for further development of solar glass melting. </w:t>
      </w:r>
    </w:p>
    <w:p w14:paraId="5ED05341" w14:textId="77777777" w:rsidR="00452FE4" w:rsidRDefault="00452FE4" w:rsidP="00F3524F">
      <w:pPr>
        <w:pStyle w:val="Heading3"/>
        <w:keepNext w:val="0"/>
        <w:keepLines w:val="0"/>
        <w:numPr>
          <w:ilvl w:val="2"/>
          <w:numId w:val="23"/>
        </w:numPr>
        <w:spacing w:before="0" w:after="160"/>
      </w:pPr>
      <w:bookmarkStart w:id="213" w:name="_Ref433032318"/>
      <w:r>
        <w:t>In-flight melting</w:t>
      </w:r>
      <w:bookmarkEnd w:id="213"/>
    </w:p>
    <w:p w14:paraId="7916CDBC" w14:textId="75C6A851" w:rsidR="00452FE4" w:rsidRPr="006B7AAC" w:rsidRDefault="00452FE4" w:rsidP="00EA4BBA">
      <w:r>
        <w:t xml:space="preserve">The in-flight solar glass melting experiments, where falling streams of glass forming batch were irradiated by a solar simulated beam in </w:t>
      </w:r>
      <w:r w:rsidR="00E132C9">
        <w:t xml:space="preserve">an </w:t>
      </w:r>
      <w:r>
        <w:t xml:space="preserve">attempt to rapidly produce glass proved unsuccessful. It appeared that the failure of the in-flight melting experiments was due to insufficient residence time of the batch particles in the path of the beam. Also, the temperature surrounding the falling stream </w:t>
      </w:r>
      <w:r w:rsidR="00E132C9">
        <w:t>was</w:t>
      </w:r>
      <w:r>
        <w:t xml:space="preserve"> too cool to sustain a melt. This shows that despite other high intensity radiant heat sources being capable of in-flight melting of glass forming batches </w:t>
      </w:r>
      <w:r>
        <w:fldChar w:fldCharType="begin" w:fldLock="1"/>
      </w:r>
      <w:r w:rsidR="00875DEE">
        <w:instrText>ADDIN CSL_CITATION { "citationItems" : [ { "id" : "ITEM-1", "itemData" : { "DOI" : "10.1088/1468-6996/9/2/025013", "ISSN" : "1468-6996", "author" : [ { "dropping-particle" : "", "family" : "Yao", "given" : "Yaochun", "non-dropping-particle" : "", "parse-names" : false, "suffix" : "" }, { "dropping-particle" : "", "family" : "Watanabe", "given" : "Takayuki", "non-dropping-particle" : "", "parse-names" : false, "suffix" : "" }, { "dropping-particle" : "", "family" : "Yano", "given" : "Tetsuji", "non-dropping-particle" : "", "parse-names" : false, "suffix" : "" }, { "dropping-particle" : "", "family" : "Iseda", "given" : "Toru", "non-dropping-particle" : "", "parse-names" : false, "suffix" : "" }, { "dropping-particle" : "", "family" : "Sakamoto", "given" : "Osamu", "non-dropping-particle" : "", "parse-names" : false, "suffix" : "" }, { "dropping-particle" : "", "family" : "Iwamoto", "given" : "Masanori", "non-dropping-particle" : "", "parse-names" : false, "suffix" : "" }, { "dropping-particle" : "", "family" : "Inoue", "given" : "Satoru", "non-dropping-particle" : "", "parse-names" : false, "suffix" : "" } ], "container-title" : "Science and Technology of Advanced Materials", "id" : "ITEM-1", "issue" : "2", "issued" : { "date-parts" : [ [ "2008", "4", "1" ] ] }, "page" : "025013", "title" : "An innovative energy-saving in-flight melting technology and its application to glass production", "type" : "article-journal", "volume" : "9" }, "uris" : [ "http://www.mendeley.com/documents/?uuid=f99be823-2c8d-42d6-a942-fe544333c092" ] }, { "id" : "ITEM-2", "itemData" : { "DOI" : "10.1016/j.cej.2009.03.013", "ISSN" : "13858947", "author" : [ { "dropping-particle" : "", "family" : "Hossain", "given" : "M. Mofazzal", "non-dropping-particle" : "", "parse-names" : false, "suffix" : "" }, { "dropping-particle" : "", "family" : "Yao", "given" : "Yaochun", "non-dropping-particle" : "", "parse-names" : false, "suffix" : "" }, { "dropping-particle" : "", "family" : "Watanabe", "given" : "Takayuki", "non-dropping-particle" : "", "parse-names" : false, "suffix" : "" }, { "dropping-particle" : "", "family" : "Funabiki", "given" : "Fuji", "non-dropping-particle" : "", "parse-names" : false, "suffix" : "" }, { "dropping-particle" : "", "family" : "Yano", "given" : "Tetsuji", "non-dropping-particle" : "", "parse-names" : false, "suffix" : "" } ], "container-title" : "Chemical Engineering Journal", "id" : "ITEM-2", "issue" : "2-3", "issued" : { "date-parts" : [ [ "2009", "8", "1" ] ] }, "page" : "561-568", "title" : "In-flight thermal treatment of soda-lime-silica glass powders for glass production by argon\u2013oxygen induction thermal plasmas", "type" : "article-journal", "volume" : "150" }, "uris" : [ "http://www.mendeley.com/documents/?uuid=c2f8fc00-94c2-4092-a865-d9209e777f9a" ] } ], "mendeley" : { "formattedCitation" : "(Yao et al. 2008; Hossain et al. 2009)", "manualFormatting" : "(Yao et al., 2008, 2009)", "plainTextFormattedCitation" : "(Yao et al. 2008; Hossain et al. 2009)", "previouslyFormattedCitation" : "(Yao et al. 2008; Hossain et al. 2009)" }, "properties" : { "noteIndex" : 0 }, "schema" : "https://github.com/citation-style-language/schema/raw/master/csl-citation.json" }</w:instrText>
      </w:r>
      <w:r>
        <w:fldChar w:fldCharType="separate"/>
      </w:r>
      <w:r>
        <w:rPr>
          <w:noProof/>
        </w:rPr>
        <w:t>(</w:t>
      </w:r>
      <w:r w:rsidRPr="00AE2F15">
        <w:rPr>
          <w:noProof/>
        </w:rPr>
        <w:t>Yao et al., 2008</w:t>
      </w:r>
      <w:r>
        <w:rPr>
          <w:noProof/>
        </w:rPr>
        <w:t>, 2009</w:t>
      </w:r>
      <w:r w:rsidRPr="00AE2F15">
        <w:rPr>
          <w:noProof/>
        </w:rPr>
        <w:t>)</w:t>
      </w:r>
      <w:r>
        <w:fldChar w:fldCharType="end"/>
      </w:r>
      <w:r>
        <w:t xml:space="preserve"> </w:t>
      </w:r>
      <w:r w:rsidR="00E132C9">
        <w:t>this is not</w:t>
      </w:r>
      <w:r>
        <w:t xml:space="preserve"> true for glass melting using concentrated solar radiation. Even using beam intensities well beyond that which could be feasibly generated by most solar concentrating systems, there was no sign of melting of the falling particles of any of the batches tested by this method. Others have shown that a solar beam can be used to heat falling streams of particles but these experiments cannot be directly transferred to solar powered glass melting. </w:t>
      </w:r>
      <w:r>
        <w:fldChar w:fldCharType="begin" w:fldLock="1"/>
      </w:r>
      <w:r w:rsidR="00875DEE">
        <w:instrText>ADDIN CSL_CITATION { "citationItems" : [ { "id" : "ITEM-1", "itemData" : { "DOI" : "10.1016/j.ijhydene.2012.08.086", "ISSN" : "03603199", "author" : [ { "dropping-particle" : "", "family" : "Koepf", "given" : "Erik", "non-dropping-particle" : "", "parse-names" : false, "suffix" : "" }, { "dropping-particle" : "", "family" : "Advani", "given" : "Suresh G.", "non-dropping-particle" : "", "parse-names" : false, "suffix" : "" }, { "dropping-particle" : "", "family" : "Steinfeld", "given" : "Aldo", "non-dropping-particle" : "", "parse-names" : false, "suffix" : "" }, { "dropping-particle" : "", "family" : "Prasad", "given" : "Ajay K.", "non-dropping-particle" : "", "parse-names" : false, "suffix" : "" } ], "container-title" : "International Journal of Hydrogen Energy", "id" : "ITEM-1", "issue" : "22", "issued" : { "date-parts" : [ [ "2012", "11" ] ] }, "page" : "16871-16887", "publisher" : "Elsevier Ltd", "title" : "A novel beam-down, gravity-fed, solar thermochemical receiver/reactor for direct solid particle decomposition: Design, modeling, and experimentation", "type" : "article-journal", "volume" : "37" }, "uris" : [ "http://www.mendeley.com/documents/?uuid=152249d3-b6da-47f7-89df-cc8b3eccd8c9" ] } ], "mendeley" : { "formattedCitation" : "(Koepf et al. 2012)", "plainTextFormattedCitation" : "(Koepf et al. 2012)", "previouslyFormattedCitation" : "(Koepf et al. 2012)" }, "properties" : { "noteIndex" : 0 }, "schema" : "https://github.com/citation-style-language/schema/raw/master/csl-citation.json" }</w:instrText>
      </w:r>
      <w:r>
        <w:fldChar w:fldCharType="separate"/>
      </w:r>
      <w:r w:rsidR="00875DEE" w:rsidRPr="00875DEE">
        <w:rPr>
          <w:noProof/>
        </w:rPr>
        <w:t>(Koepf et al. 2012)</w:t>
      </w:r>
      <w:r>
        <w:fldChar w:fldCharType="end"/>
      </w:r>
      <w:r>
        <w:t xml:space="preserve"> used sloped surfaces which the heated particles fell down to increase the residence time of the irradiate particles and to allow the particles to also be heated indirectly by these surfaces. </w:t>
      </w:r>
      <w:r>
        <w:lastRenderedPageBreak/>
        <w:t xml:space="preserve">However, with this setup </w:t>
      </w:r>
      <w:r w:rsidR="006A00A4">
        <w:t>the maximum surface temperature reported was 1173 K which would not be</w:t>
      </w:r>
      <w:r>
        <w:t xml:space="preserve"> sufficient for glass melting. Also, even if it was possible to achieved sufficient temperatures for glass melting with this setup, use of a sloped surfaces would not be practical for glass melting as the glass forming melt would stick to these surfaces which need to remain free for the process to continue to operate. Others have </w:t>
      </w:r>
      <w:r w:rsidR="006A00A4">
        <w:t xml:space="preserve">suggested </w:t>
      </w:r>
      <w:r>
        <w:t>higher temperatures</w:t>
      </w:r>
      <w:r w:rsidR="006A00A4">
        <w:t xml:space="preserve"> could be achieved</w:t>
      </w:r>
      <w:r>
        <w:t xml:space="preserve"> by irradiating free falling </w:t>
      </w:r>
      <w:r w:rsidR="006A00A4">
        <w:t xml:space="preserve">graphite </w:t>
      </w:r>
      <w:r>
        <w:t xml:space="preserve">particles </w:t>
      </w:r>
      <w:r>
        <w:fldChar w:fldCharType="begin" w:fldLock="1"/>
      </w:r>
      <w:r w:rsidR="006A00A4">
        <w:instrText>ADDIN CSL_CITATION { "citationItems" : [ { "id" : "ITEM-1", "itemData" : { "author" : [ { "dropping-particle" : "", "family" : "Abdelrahman", "given" : "M", "non-dropping-particle" : "", "parse-names" : false, "suffix" : "" } ], "container-title" : "Solar Energy", "id" : "ITEM-1", "issued" : { "date-parts" : [ [ "1979" ] ] }, "page" : "45-48", "title" : "Study of solid-gas-suspensions used for direct absorption of concentrated solar radiation", "type" : "article-journal", "volume" : "22" }, "uris" : [ "http://www.mendeley.com/documents/?uuid=e1ea92fa-8997-488b-b686-38afdf923e0a" ] } ], "mendeley" : { "formattedCitation" : "(Abdelrahman 1979)", "plainTextFormattedCitation" : "(Abdelrahman 1979)", "previouslyFormattedCitation" : "(Abdelrahman 1979)" }, "properties" : { "noteIndex" : 0 }, "schema" : "https://github.com/citation-style-language/schema/raw/master/csl-citation.json" }</w:instrText>
      </w:r>
      <w:r>
        <w:fldChar w:fldCharType="separate"/>
      </w:r>
      <w:r w:rsidR="00875DEE" w:rsidRPr="00875DEE">
        <w:rPr>
          <w:noProof/>
        </w:rPr>
        <w:t>(Abdelrahman 1979)</w:t>
      </w:r>
      <w:r>
        <w:fldChar w:fldCharType="end"/>
      </w:r>
      <w:r>
        <w:t xml:space="preserve"> </w:t>
      </w:r>
      <w:r w:rsidR="006A00A4">
        <w:t xml:space="preserve">suspended in a gas, </w:t>
      </w:r>
      <w:r>
        <w:t xml:space="preserve">with high intensity solar beams but the particles used </w:t>
      </w:r>
      <w:r w:rsidR="006A00A4">
        <w:t xml:space="preserve">would need to be </w:t>
      </w:r>
      <w:r>
        <w:t xml:space="preserve">highly absorbent of the incident solar radiation - much more so than the white, reflective glass forming batch. </w:t>
      </w:r>
    </w:p>
    <w:p w14:paraId="7ADF9F6D" w14:textId="77777777" w:rsidR="00452FE4" w:rsidRDefault="00452FE4" w:rsidP="00F3524F">
      <w:pPr>
        <w:pStyle w:val="Heading2"/>
        <w:numPr>
          <w:ilvl w:val="1"/>
          <w:numId w:val="23"/>
        </w:numPr>
      </w:pPr>
      <w:bookmarkStart w:id="214" w:name="_Toc473995179"/>
      <w:bookmarkStart w:id="215" w:name="_Ref432953588"/>
      <w:r>
        <w:t>Semi-continuous glass melt flow</w:t>
      </w:r>
      <w:bookmarkEnd w:id="214"/>
      <w:r>
        <w:t xml:space="preserve"> </w:t>
      </w:r>
      <w:bookmarkEnd w:id="215"/>
    </w:p>
    <w:p w14:paraId="6FF41BCB" w14:textId="613413CD" w:rsidR="00452FE4" w:rsidRDefault="00452FE4" w:rsidP="00EA4BBA">
      <w:r>
        <w:t xml:space="preserve">In order to demonstrate any useful applicability of the solar glass making process it was necessary to demonstrate not only melting glass forming batches at the focal point of a solar beam, but also generating a flow of molten glass therefrom beyond the focal point of the beam in order to show that the glass produced could be formed into useful products. This was important because it would not be realistic to envisage an entire glass making process with the focal point of a solar beam not only due to its limited size but also due to the difficulties related to the high radiation intensity therein. Therefore, it was considered necessary to demonstrate the flow of molten glass away from the focal point from the beam to another location where it could undergo a subsequent forming process. This was also considered that natural progression from a batch process towards a more continuous process. </w:t>
      </w:r>
    </w:p>
    <w:p w14:paraId="02DB3D0D" w14:textId="4ABA502D" w:rsidR="00452FE4" w:rsidRDefault="00452FE4">
      <w:r>
        <w:t xml:space="preserve">The use of direct solar heating combined with secondary electrical heating to effect a viscous glass melt flow had not been previously reported. It was difficult to predict how this flow would develop due to the complex interactions of a solar beam with glass forming batch as it converted from the raw material which as it would transform from a </w:t>
      </w:r>
      <w:r w:rsidR="00AD5003">
        <w:t>powder batch</w:t>
      </w:r>
      <w:r>
        <w:t xml:space="preserve"> to a semi-transparent glass melt exhibiting very complex</w:t>
      </w:r>
      <w:r w:rsidR="00AD5003">
        <w:t>,</w:t>
      </w:r>
      <w:r>
        <w:t xml:space="preserve"> non-linear thermodynamic</w:t>
      </w:r>
      <w:r w:rsidR="00AD5003">
        <w:t xml:space="preserve"> and </w:t>
      </w:r>
      <w:r>
        <w:t xml:space="preserve">optical properties, that would depend on composition, temperature and redox state </w:t>
      </w:r>
      <w:r>
        <w:fldChar w:fldCharType="begin" w:fldLock="1"/>
      </w:r>
      <w:r w:rsidR="00875DEE">
        <w:instrText>ADDIN CSL_CITATION { "citationItems" : [ { "id" : "ITEM-1", "itemData" : { "ISBN" : "1-57498-225-7", "author" : [ { "dropping-particle" : "", "family" : "Prokhorenko", "given" : "Oleg A", "non-dropping-particle" : "", "parse-names" : false, "suffix" : "" } ], "chapter-number" : "5", "container-title" : "High Temperature Glass Melt Properties Database for Process Modelling", "editor" : [ { "dropping-particle" : "", "family" : "Seward III", "given" : "Thomas P", "non-dropping-particle" : "", "parse-names" : false, "suffix" : "" }, { "dropping-particle" : "", "family" : "Vascott", "given" : "Terese", "non-dropping-particle" : "", "parse-names" : false, "suffix" : "" } ], "id" : "ITEM-1", "issued" : { "date-parts" : [ [ "2005" ] ] }, "publisher" : "The American Ceramics Society", "publisher-place" : "Westerville, Ohio", "title" : "Radiative Thermal Conductivity of Melts", "type" : "chapter" }, "uris" : [ "http://www.mendeley.com/documents/?uuid=d89d835d-e01c-4bc9-94ca-743074c274a7" ] } ], "mendeley" : { "formattedCitation" : "(Prokhorenko 2005)", "plainTextFormattedCitation" : "(Prokhorenko 2005)", "previouslyFormattedCitation" : "(Prokhorenko 2005)" }, "properties" : { "noteIndex" : 0 }, "schema" : "https://github.com/citation-style-language/schema/raw/master/csl-citation.json" }</w:instrText>
      </w:r>
      <w:r>
        <w:fldChar w:fldCharType="separate"/>
      </w:r>
      <w:r w:rsidR="00875DEE" w:rsidRPr="00875DEE">
        <w:rPr>
          <w:noProof/>
        </w:rPr>
        <w:t>(Prokhorenko 2005)</w:t>
      </w:r>
      <w:r>
        <w:fldChar w:fldCharType="end"/>
      </w:r>
      <w:r>
        <w:t>. Therefore, rather than attempting to solve this problem theoretically, it was considered more useful to run a series of experiments to develop a more realistic understanding of how this flow would develop. Based on the success of experiments</w:t>
      </w:r>
      <w:r w:rsidR="00AD5003">
        <w:t xml:space="preserve"> A1-10</w:t>
      </w:r>
      <w:r>
        <w:t xml:space="preserve"> it was decided to keep a similar general method of directly irradiating pelletised soda-lime-silica glass forming batch inside an aluminosilicate crucible. The specially made crucibles for experiments</w:t>
      </w:r>
      <w:r w:rsidR="00AD5003">
        <w:t xml:space="preserve"> B1-6</w:t>
      </w:r>
      <w:r>
        <w:t xml:space="preserve"> were designed as follows: </w:t>
      </w:r>
    </w:p>
    <w:p w14:paraId="2FC1CA68" w14:textId="77777777" w:rsidR="00452FE4" w:rsidRDefault="00452FE4" w:rsidP="00F3524F">
      <w:pPr>
        <w:pStyle w:val="ListParagraph"/>
        <w:numPr>
          <w:ilvl w:val="0"/>
          <w:numId w:val="27"/>
        </w:numPr>
        <w:spacing w:after="160"/>
      </w:pPr>
      <w:r>
        <w:t xml:space="preserve">A spout was added at one end to allow the molten glass produced to flow out; </w:t>
      </w:r>
    </w:p>
    <w:p w14:paraId="387EB17B" w14:textId="77777777" w:rsidR="00452FE4" w:rsidRDefault="00452FE4" w:rsidP="00F3524F">
      <w:pPr>
        <w:pStyle w:val="ListParagraph"/>
        <w:numPr>
          <w:ilvl w:val="0"/>
          <w:numId w:val="27"/>
        </w:numPr>
        <w:spacing w:after="160"/>
      </w:pPr>
      <w:r>
        <w:t xml:space="preserve">A weir was added across the top of the crucible to prevent unmelted pellets to be fed into one side of the crucible from flowing to the other side of the crucible where the outlet spout was situated. </w:t>
      </w:r>
    </w:p>
    <w:p w14:paraId="6F6B80EA" w14:textId="77777777" w:rsidR="00452FE4" w:rsidRDefault="00452FE4" w:rsidP="00EA4BBA">
      <w:r>
        <w:lastRenderedPageBreak/>
        <w:t xml:space="preserve">Also, the size of the crucible was selected based on the results of the previous series of experiments: </w:t>
      </w:r>
    </w:p>
    <w:p w14:paraId="0A3D8AEB" w14:textId="77777777" w:rsidR="00452FE4" w:rsidRDefault="00452FE4" w:rsidP="00F3524F">
      <w:pPr>
        <w:pStyle w:val="ListParagraph"/>
        <w:numPr>
          <w:ilvl w:val="0"/>
          <w:numId w:val="27"/>
        </w:numPr>
        <w:spacing w:after="160"/>
      </w:pPr>
      <w:r>
        <w:t xml:space="preserve">limited depth of 20mm to ensure heat from the beam could rapidly penetrate to the bottom of the melt to produce a fluid flow; </w:t>
      </w:r>
    </w:p>
    <w:p w14:paraId="76072139" w14:textId="33CB1236" w:rsidR="00452FE4" w:rsidRDefault="00452FE4" w:rsidP="00F3524F">
      <w:pPr>
        <w:pStyle w:val="ListParagraph"/>
        <w:numPr>
          <w:ilvl w:val="0"/>
          <w:numId w:val="27"/>
        </w:numPr>
        <w:spacing w:after="160"/>
      </w:pPr>
      <w:r>
        <w:t>the diameter of the crucible was limited to 45</w:t>
      </w:r>
      <w:r w:rsidR="00056AB4">
        <w:t xml:space="preserve"> </w:t>
      </w:r>
      <w:r>
        <w:t>mm so that the 60</w:t>
      </w:r>
      <w:r w:rsidR="00056AB4">
        <w:t xml:space="preserve"> </w:t>
      </w:r>
      <w:r>
        <w:t xml:space="preserve">mm focal region of the beam would not only cover the region where the batch would melt, but also cover part of the spout where the glass could flow out. </w:t>
      </w:r>
    </w:p>
    <w:p w14:paraId="0A928F55" w14:textId="464D45E4" w:rsidR="00452FE4" w:rsidRDefault="00452FE4" w:rsidP="00EA4BBA">
      <w:r>
        <w:t xml:space="preserve">Furthermore, a feeder was required to deliver the glass forming batch into the focal point of the beam. Due to the extremely high beam intensity, use of existing feeder systems was considered infeasible so a new batch feeder was specially made for these experiments. The batch feeder was fabricated from thick welded steel sections in order survive the intense heating from the beam. It was mounted on a linear actuator which enabled it to move into position to feed a charge of batch and then move away from the focal point in order to cool down in preparation for the next feed. This provided useful insight into the constraints associated with feeding material directly into the path of the beam which ultimately lead an alternative batch </w:t>
      </w:r>
      <w:r w:rsidR="00AD5003">
        <w:t xml:space="preserve">feeder </w:t>
      </w:r>
      <w:r>
        <w:t>for experiments</w:t>
      </w:r>
      <w:r w:rsidR="00AD5003">
        <w:t xml:space="preserve"> D1-4</w:t>
      </w:r>
      <w:r>
        <w:t xml:space="preserve"> (see section </w:t>
      </w:r>
      <w:r>
        <w:fldChar w:fldCharType="begin"/>
      </w:r>
      <w:r>
        <w:instrText xml:space="preserve"> REF _Ref451095963 \n \h </w:instrText>
      </w:r>
      <w:r>
        <w:fldChar w:fldCharType="separate"/>
      </w:r>
      <w:r w:rsidR="00820EB1">
        <w:t>6.4</w:t>
      </w:r>
      <w:r>
        <w:fldChar w:fldCharType="end"/>
      </w:r>
      <w:r>
        <w:t xml:space="preserve">). </w:t>
      </w:r>
    </w:p>
    <w:p w14:paraId="33915AAA" w14:textId="4F638C5C" w:rsidR="00452FE4" w:rsidRPr="00F00E69" w:rsidRDefault="00452FE4">
      <w:r>
        <w:t>As the crucibles were shallow to ensure the entire depth of their contents was rapidly and completely melted before flowing out, it was found that they were easily fractured due to the intense heat from the beam penetrating though to the base of the crucible and causing thermal shock. Also, the glass froze on its way out down the spout as it flowed away from the focal point of the beam preventing further glass from flowing out. This problem was overcome by building a heat shield to prevent heat loss around the outlet region and using another electrical heater to maintain the outflowing glass at sufficient temperature to enable the glass to successfully flow from the crucible where the batch was melted out into a secondary container where it was collected. Eventually, a beam intensity regime was found which enabled it to heat up gradually from room temperature, then melt a series of feeds and so successfully generating a flow of molten glass which proved to be fully converted into x-ray amorphous, transparent glass. However, this process was found to be very inefficient with only 3-4% of the incident radiation from the beam utilised for glass melting process. Despite, insulating the bottom and sides of the crucible to minimise heat losses the top surface was exposed to enable access for the beam and batch feeder so there was no resistance to heat loss through this top surface. Also, due to the small scale of experiment</w:t>
      </w:r>
      <w:r w:rsidR="00AD5003">
        <w:t>s B1-6</w:t>
      </w:r>
      <w:r>
        <w:t xml:space="preserve"> the glass contained had a large surface area to volume ratio resulting in poor thermal efficiency. Furthermore, after the beam was switched off the crucibles cracked due to the rapid cooling of the glass and crucible from 1500</w:t>
      </w:r>
      <w:r>
        <w:rPr>
          <w:vertAlign w:val="superscript"/>
        </w:rPr>
        <w:t>o</w:t>
      </w:r>
      <w:r>
        <w:t>C to room temperature. In summary, although experiments</w:t>
      </w:r>
      <w:r w:rsidR="00AD5003">
        <w:t xml:space="preserve"> B1-6</w:t>
      </w:r>
      <w:r>
        <w:t xml:space="preserve"> successfully demonstrated for the first time the ability to generate a flow of molten glass using heat primarily from a solar beam, there was still significant room for </w:t>
      </w:r>
      <w:r>
        <w:lastRenderedPageBreak/>
        <w:t>improvement in the process to deal with the challenges of durability and thermal efficiency. The results of experiments</w:t>
      </w:r>
      <w:r w:rsidR="00AD5003">
        <w:t xml:space="preserve"> B1-6</w:t>
      </w:r>
      <w:r>
        <w:t xml:space="preserve"> provided information about the realistic range of melting capacity for solar-heated glass melting process which fed into the subsequent scale-up system designs (see section </w:t>
      </w:r>
      <w:r>
        <w:fldChar w:fldCharType="begin"/>
      </w:r>
      <w:r>
        <w:instrText xml:space="preserve"> REF _Ref451095963 \n \h </w:instrText>
      </w:r>
      <w:r>
        <w:fldChar w:fldCharType="separate"/>
      </w:r>
      <w:r w:rsidR="00820EB1">
        <w:t>6.4</w:t>
      </w:r>
      <w:r>
        <w:fldChar w:fldCharType="end"/>
      </w:r>
      <w:r>
        <w:t>).</w:t>
      </w:r>
    </w:p>
    <w:p w14:paraId="6A4FFABB" w14:textId="77777777" w:rsidR="00452FE4" w:rsidRDefault="00452FE4" w:rsidP="00F3524F">
      <w:pPr>
        <w:pStyle w:val="Heading2"/>
        <w:numPr>
          <w:ilvl w:val="1"/>
          <w:numId w:val="23"/>
        </w:numPr>
      </w:pPr>
      <w:bookmarkStart w:id="216" w:name="_Ref432953590"/>
      <w:bookmarkStart w:id="217" w:name="_Ref451095963"/>
      <w:bookmarkStart w:id="218" w:name="_Toc473995180"/>
      <w:r>
        <w:t>Scale-up</w:t>
      </w:r>
      <w:bookmarkEnd w:id="216"/>
      <w:r>
        <w:t xml:space="preserve"> experiments</w:t>
      </w:r>
      <w:bookmarkEnd w:id="217"/>
      <w:bookmarkEnd w:id="218"/>
    </w:p>
    <w:p w14:paraId="1952C302" w14:textId="24E98BC2" w:rsidR="00452FE4" w:rsidRDefault="00452FE4" w:rsidP="00EA4BBA">
      <w:r>
        <w:t xml:space="preserve">In order to deal with the limitations experienced in the semi-continuous experiments i.e. efficiency, thermal shock and sustaining a melt beyond the focal point of the beam; a new solar glass melting reactor was developed. This scaled-up solar glass melting furnace was essentially a well-insulated box containing a large crucible which would contain the soda-lime-silica glass forming melt. The crucible was made from fused silica. With an internal diameter 187 mm, this crucible provided a melting surface area an order of magnitude larger than the previous series of experiments, which were limited by the area of the focus of the beam, which was mainly concentrated over a diameter of 6 cm. In order to overcome this limit, rather than focussing the beam directly onto the glass melting surface, instead the focal point of the beam was aimed coincide with a 6 cm diameter aperture in the insulated roof of the furnace and then the beam </w:t>
      </w:r>
      <w:r w:rsidR="00AD5003">
        <w:t xml:space="preserve">was allowed to </w:t>
      </w:r>
      <w:r>
        <w:t xml:space="preserve">diverge is it passed through this aperture to spread over the much larger glass melting surface area. This configuration of a small beam inlet aperture leading to a much larger glass melting surface area, surrounded by insulation, was designed to minimize the heat losses from the otherwise exposed glass melting surface. In order to access the glass produced, there was a hole in the base of the crucible which lead to a vertical tube which ran all the way though the bottom insulated wall of the furnace to an opening where the glass stream </w:t>
      </w:r>
      <w:r w:rsidR="00AD5003">
        <w:t xml:space="preserve">could </w:t>
      </w:r>
      <w:r>
        <w:t>emerge to be accessed to demonstrate a subsequent forming process. Surrounding this outlet tube, was an electrically powered heater to act as a freeze-thaw valve to control the glass outflow. In addition, there were independently controlled electrical resistance heating elements inside the furnace between the crucible and the insulating walls of the furnace. These heating elements were designed to enable the furnace to sustain operation with a variable intensity beam, as would be expected with real solar radiation availability, by providing sufficient heat to:</w:t>
      </w:r>
    </w:p>
    <w:p w14:paraId="170FECDC" w14:textId="77777777" w:rsidR="00452FE4" w:rsidRDefault="00452FE4" w:rsidP="00F3524F">
      <w:pPr>
        <w:pStyle w:val="ListParagraph"/>
        <w:numPr>
          <w:ilvl w:val="0"/>
          <w:numId w:val="28"/>
        </w:numPr>
        <w:spacing w:after="160"/>
      </w:pPr>
      <w:r>
        <w:t>Offset the rapid cooling associated with the event of sudden loss of the beam during melting at 1500</w:t>
      </w:r>
      <w:r w:rsidRPr="005B7DFC">
        <w:rPr>
          <w:vertAlign w:val="superscript"/>
        </w:rPr>
        <w:t xml:space="preserve"> </w:t>
      </w:r>
      <w:r w:rsidRPr="000F4BA4">
        <w:rPr>
          <w:rFonts w:cs="Times New Roman"/>
        </w:rPr>
        <w:t>°</w:t>
      </w:r>
      <w:r>
        <w:t xml:space="preserve">C as would be the case for cloud cover during the day and therefore preventing fracture of the refractories (i.e. the insulating walls) due to thermal shock; </w:t>
      </w:r>
    </w:p>
    <w:p w14:paraId="58FE7230" w14:textId="77777777" w:rsidR="00452FE4" w:rsidRDefault="00452FE4" w:rsidP="00F3524F">
      <w:pPr>
        <w:pStyle w:val="ListParagraph"/>
        <w:numPr>
          <w:ilvl w:val="0"/>
          <w:numId w:val="28"/>
        </w:numPr>
        <w:spacing w:after="160"/>
      </w:pPr>
      <w:r>
        <w:t>Hold the furnace temperature above 1000</w:t>
      </w:r>
      <w:r w:rsidRPr="005B7DFC">
        <w:rPr>
          <w:vertAlign w:val="superscript"/>
        </w:rPr>
        <w:t>o</w:t>
      </w:r>
      <w:r>
        <w:t>C overnight to prevent the glass contained from freezing and therefore preventing fracture of the glass contact refractory (i.e. the crucible) as the glass would otherwise force a contraction of its container at it froze as it would reduce in volume while adhering to the walls of its container.</w:t>
      </w:r>
    </w:p>
    <w:p w14:paraId="346F731B" w14:textId="4423EB22" w:rsidR="00452FE4" w:rsidRPr="00AA14B7" w:rsidRDefault="00452FE4" w:rsidP="00EA4BBA">
      <w:r>
        <w:lastRenderedPageBreak/>
        <w:t xml:space="preserve">Although others had previously developed furnaces which used concentrated solar radiation inside an insulated cavity to enable high process temperature, the combination of a solar furnace with integrated secondary electrical heating to maintain sufficient temperatures to enable a realistic solar glass melting process had not previously been tested. </w:t>
      </w:r>
      <w:r w:rsidR="00596C14">
        <w:t>E</w:t>
      </w:r>
      <w:r>
        <w:t>xperiments</w:t>
      </w:r>
      <w:r w:rsidR="00596C14">
        <w:t xml:space="preserve"> D1-4</w:t>
      </w:r>
      <w:r>
        <w:t xml:space="preserve"> provided useful data about the temperatures </w:t>
      </w:r>
      <w:r w:rsidR="00596C14">
        <w:t xml:space="preserve">to </w:t>
      </w:r>
      <w:r>
        <w:t xml:space="preserve">which the heating elements would be exposed </w:t>
      </w:r>
      <w:r w:rsidR="00596C14">
        <w:t>which was</w:t>
      </w:r>
      <w:r>
        <w:t xml:space="preserve"> previously unknown due to the uncertainties was related to the transmission of radiant heat through the glass melt. In the design stage it was assumed for safety that the heating elements could be exposed to temperatures approaching the maximum glass melting temperatures of over 1500</w:t>
      </w:r>
      <w:r>
        <w:rPr>
          <w:vertAlign w:val="superscript"/>
        </w:rPr>
        <w:t>o</w:t>
      </w:r>
      <w:r>
        <w:t>C so SiC heating elements rather than lower cost FeCrAl or NiCr heating elements were specified. From the results of these experiments it is now known that the temperature at which the heating elements would be exposed to would be only a maximum of just over 1200</w:t>
      </w:r>
      <w:r>
        <w:rPr>
          <w:vertAlign w:val="superscript"/>
        </w:rPr>
        <w:t>o</w:t>
      </w:r>
      <w:r>
        <w:t xml:space="preserve">C and they would not need to ever operate (i.e. have an electrical current passing through them) above this temperature. This means it would be possible to use lower cost FeCrAl or NiCr heating elements in a future solar glass melting furnace.  In future, the electrical power required by these heating elements could be provided by stored solar energy. The feasibility of this is considered in </w:t>
      </w:r>
      <w:r w:rsidR="00596C14">
        <w:t xml:space="preserve">section </w:t>
      </w:r>
      <w:r>
        <w:fldChar w:fldCharType="begin"/>
      </w:r>
      <w:r>
        <w:instrText xml:space="preserve"> REF _Ref446857760 \n \h </w:instrText>
      </w:r>
      <w:r>
        <w:fldChar w:fldCharType="separate"/>
      </w:r>
      <w:r w:rsidR="00820EB1">
        <w:t>6.5</w:t>
      </w:r>
      <w:r>
        <w:fldChar w:fldCharType="end"/>
      </w:r>
      <w:r>
        <w:t xml:space="preserve">. </w:t>
      </w:r>
    </w:p>
    <w:p w14:paraId="329F9A37" w14:textId="6993DC10" w:rsidR="00452FE4" w:rsidRDefault="00452FE4">
      <w:r>
        <w:t>The outlet glass flow control was critical because it was required to enable two key glass making process: 1) refining</w:t>
      </w:r>
      <w:r w:rsidR="00596C14">
        <w:t xml:space="preserve"> and </w:t>
      </w:r>
      <w:r>
        <w:t>2) forming. Until now, only melting had been demonstrated whereas these two processes which were essential for any useful glass making process had yet to be shown to be feasible using a direct solar furnace. The outlet glass flow control enabled refining of the glass melt as crucially, it allowed the molten glass produced to be held at 1500</w:t>
      </w:r>
      <w:r>
        <w:rPr>
          <w:vertAlign w:val="superscript"/>
        </w:rPr>
        <w:t>o</w:t>
      </w:r>
      <w:r>
        <w:t>C whereas without flow control as with experiments</w:t>
      </w:r>
      <w:r w:rsidR="00596C14">
        <w:t xml:space="preserve"> B1-6</w:t>
      </w:r>
      <w:r>
        <w:t>, the retention time of the glass produced was dictated by the time required by the glass to flow from where the raw materials were fed to the outlet. In more conventional modern glass tank furnaces, since their sizes are so large, this time taken by the glass to migrate across the furnace is designed to be sufficient to ensure that the glass refining process (i.e. dissolution of all contained refractories, removal of bubbles and homogenisation) is complete before the glass emerges at the outlet. However, since the size of the melt contained inside the solar glass melting furnace was much smaller than conventional glass tanks, it was found that operating the melting and refining process continuously was not feasible as this did not allow sufficient residence time for the glass forming batch to generate a fully refined and homogenous melt. Consequentially, in early experiments (C1-2 in chapter 6), where a continuous process was attempted, it was found that the glass outflow was inconsistent and therefore too difficult to control. Therefore, it was decided to operate the glass melting as</w:t>
      </w:r>
      <w:r w:rsidR="00596C14">
        <w:t xml:space="preserve"> a</w:t>
      </w:r>
      <w:r>
        <w:t xml:space="preserve"> batch, rather than </w:t>
      </w:r>
      <w:r w:rsidR="00596C14">
        <w:t xml:space="preserve">a </w:t>
      </w:r>
      <w:r>
        <w:t>continuous process, whereby one layer of batch was fed at time, then allowed to fully melt down and this was repeated until the crucible was sufficiently full and then the accumulated glass was held under the full power of the beam at 1500</w:t>
      </w:r>
      <w:r>
        <w:rPr>
          <w:vertAlign w:val="superscript"/>
        </w:rPr>
        <w:t>o</w:t>
      </w:r>
      <w:r>
        <w:t xml:space="preserve">C to refine for an hour before releasing the glass through the outlet. This successfully enabled a more consistent and flow </w:t>
      </w:r>
      <w:r>
        <w:lastRenderedPageBreak/>
        <w:t>of glass to be produced which was collected from the outlet and formed into pressed glassware which was then annealed in a separated annealing oven, thereby demonstrating a complete glass making process.</w:t>
      </w:r>
    </w:p>
    <w:p w14:paraId="2FEC0DCB" w14:textId="02A456C0" w:rsidR="00452FE4" w:rsidRPr="0011565D" w:rsidRDefault="00452FE4">
      <w:r>
        <w:t xml:space="preserve">Initial tests of the scale up solar glass melting furnace revealed a problematic cooling air flow which entered from the bottom outlet port, rose through the furnace and drew heat out through the beam inlet aperture at the top. </w:t>
      </w:r>
      <w:r w:rsidR="00596C14">
        <w:t>I</w:t>
      </w:r>
      <w:r>
        <w:t xml:space="preserve">t was difficult to prevent air flow through the beam inlet port as this was required to be open to allow the beam and batch feed in. One possible solution to this problem </w:t>
      </w:r>
      <w:r w:rsidR="00596C14">
        <w:t xml:space="preserve">would have </w:t>
      </w:r>
      <w:r>
        <w:t>be</w:t>
      </w:r>
      <w:r w:rsidR="00596C14">
        <w:t>en</w:t>
      </w:r>
      <w:r>
        <w:t xml:space="preserve"> to cover the beam inlet port with a quartz window which would be transparent to the beam while preventing air flow through it. However, this avoided as it would </w:t>
      </w:r>
      <w:r w:rsidR="00596C14">
        <w:t xml:space="preserve">have </w:t>
      </w:r>
      <w:r>
        <w:t>introduce</w:t>
      </w:r>
      <w:r w:rsidR="00596C14">
        <w:t>d</w:t>
      </w:r>
      <w:r>
        <w:t xml:space="preserve"> further problems related </w:t>
      </w:r>
      <w:r w:rsidR="00596C14">
        <w:t>to the need to remove</w:t>
      </w:r>
      <w:r>
        <w:t xml:space="preserve"> gases evolved from the melt, combined with the high intensity radiation </w:t>
      </w:r>
      <w:r w:rsidR="00596C14">
        <w:t>degrading</w:t>
      </w:r>
      <w:r>
        <w:t xml:space="preserve"> the window which would </w:t>
      </w:r>
      <w:r w:rsidR="00596C14">
        <w:t xml:space="preserve">have </w:t>
      </w:r>
      <w:r>
        <w:t>require</w:t>
      </w:r>
      <w:r w:rsidR="00596C14">
        <w:t>d</w:t>
      </w:r>
      <w:r>
        <w:t xml:space="preserve"> </w:t>
      </w:r>
      <w:r w:rsidR="00596C14">
        <w:t xml:space="preserve">active </w:t>
      </w:r>
      <w:r>
        <w:t>cooling</w:t>
      </w:r>
      <w:r w:rsidR="00596C14">
        <w:t xml:space="preserve">. </w:t>
      </w:r>
      <w:r>
        <w:t>Instead, the problem of the cooling air stream was addressed by blocking potential paths where the infiltrating air could enter the furnace. This was achieved by blocking open channels with ceramic fibre insulation blanket. This approach proved to be successful. Before blocking this cooling air flow, the secondary electrical heating elements were required to be on, even when the beam was running on full power, to sustain the furnace temperature above 1200</w:t>
      </w:r>
      <w:r>
        <w:rPr>
          <w:vertAlign w:val="superscript"/>
        </w:rPr>
        <w:t>o</w:t>
      </w:r>
      <w:r>
        <w:t>C. Once the cooling air flow was blocked, soon after the beam was switched on, the entire furnace temperature rose beyond 1200</w:t>
      </w:r>
      <w:r>
        <w:rPr>
          <w:vertAlign w:val="superscript"/>
        </w:rPr>
        <w:t>o</w:t>
      </w:r>
      <w:r>
        <w:t>C, taking over completely from the electrical heating elements. This issue of a cooling air flow through the reactor had not been previously reported by other researchers who have developed high temperature solar furnaces. Usually, at such high temperatures, radiative losses dominate but our experiments revealed that convective heat losses can also be significant. This may be due to the unique design of our glass melting solar furnace with its lack of window covering the beam and batch inlet and opening for the glass outlet flow.</w:t>
      </w:r>
    </w:p>
    <w:p w14:paraId="0DD9E81C" w14:textId="4C26EC36" w:rsidR="00452FE4" w:rsidRDefault="00452FE4">
      <w:pPr>
        <w:rPr>
          <w:noProof/>
          <w:lang w:val="en-US"/>
        </w:rPr>
      </w:pPr>
      <w:r>
        <w:t>After having overcome the initial issues of the infiltrating cooling air flow and the outlet glass flow control, the ability to run a series a stable, repeatable melting cycles was successfully demonstrated. When the glass temperature measured 1560</w:t>
      </w:r>
      <w:r>
        <w:rPr>
          <w:vertAlign w:val="superscript"/>
        </w:rPr>
        <w:t>o</w:t>
      </w:r>
      <w:r>
        <w:t>C, a charge of 300 g, which was just sufficient to just cover the full melt surface, was added. This required 15 minutes to transform the raw material to a stable glass melt and for the glass temperature to recover back to 1560</w:t>
      </w:r>
      <w:r>
        <w:rPr>
          <w:vertAlign w:val="superscript"/>
        </w:rPr>
        <w:t>o</w:t>
      </w:r>
      <w:r>
        <w:t xml:space="preserve">C. It was found that this cycle could be repeated until the crucible was full. </w:t>
      </w:r>
      <w:r w:rsidR="00596C14">
        <w:t xml:space="preserve">This </w:t>
      </w:r>
      <w:r>
        <w:t>was achieved with 5.25 kW radiant power entering the 6 cm diameter aperture which corresponds to a concentration ratio of C=1857 kW/m</w:t>
      </w:r>
      <w:r>
        <w:rPr>
          <w:vertAlign w:val="superscript"/>
        </w:rPr>
        <w:t xml:space="preserve">2 </w:t>
      </w:r>
      <w:r>
        <w:t xml:space="preserve">(suns) and a thermal efficiency of </w:t>
      </w:r>
      <w:r>
        <w:rPr>
          <w:rFonts w:cs="Times New Roman"/>
        </w:rPr>
        <w:t>η</w:t>
      </w:r>
      <w:r>
        <w:rPr>
          <w:vertAlign w:val="subscript"/>
        </w:rPr>
        <w:t>th</w:t>
      </w:r>
      <w:r>
        <w:t xml:space="preserve"> = 16 %. This was a significant improvement on the previous series of experiments of </w:t>
      </w:r>
      <w:r>
        <w:rPr>
          <w:rFonts w:cs="Times New Roman"/>
        </w:rPr>
        <w:t>η</w:t>
      </w:r>
      <w:r>
        <w:rPr>
          <w:vertAlign w:val="subscript"/>
        </w:rPr>
        <w:t>th</w:t>
      </w:r>
      <w:r>
        <w:t xml:space="preserve"> = 3-4 % and could be explained by the reduction in re-radiation losses from the melt surface by being held inside an insulated enclosure and the reduced surface area to volume ratio associated with the scale-up. Also, the concentration ratio required is within the range capable of being delivered by real existing solar concentrators which can provide 2000 suns (e.g. see </w:t>
      </w:r>
      <w:r>
        <w:fldChar w:fldCharType="begin" w:fldLock="1"/>
      </w:r>
      <w:r w:rsidR="00875DEE">
        <w:instrText>ADDIN CSL_CITATION { "citationItems" : [ { "id" : "ITEM-1", "itemData" : { "author" : [ { "dropping-particle" : "", "family" : "Siegel", "given" : "Nathan P", "non-dropping-particle" : "", "parse-names" : false, "suffix" : "" }, { "dropping-particle" : "", "family" : "Ermanoski", "given" : "Ivan", "non-dropping-particle" : "", "parse-names" : false, "suffix" : "" } ], "container-title" : "ASME Solar Conference", "id" : "ITEM-1", "issued" : { "date-parts" : [ [ "2013" ] ] }, "publisher-place" : "Minneapolis", "title" : "A Beam-Down Central Receiver for Solar Thermochemical Hydrogen Production", "type" : "paper-conference" }, "uris" : [ "http://www.mendeley.com/documents/?uuid=fc52f807-9b04-4653-9d5d-5cbc4f54a276" ] } ], "mendeley" : { "formattedCitation" : "(Siegel &amp; Ermanoski 2013)", "manualFormatting" : "Siegel &amp; Ermanoski, 2013)", "plainTextFormattedCitation" : "(Siegel &amp; Ermanoski 2013)", "previouslyFormattedCitation" : "(Siegel &amp; Ermanoski 2013)" }, "properties" : { "noteIndex" : 0 }, "schema" : "https://github.com/citation-style-language/schema/raw/master/csl-citation.json" }</w:instrText>
      </w:r>
      <w:r>
        <w:fldChar w:fldCharType="separate"/>
      </w:r>
      <w:r w:rsidRPr="001160CF">
        <w:rPr>
          <w:noProof/>
        </w:rPr>
        <w:t>Siegel &amp; Ermanoski, 2013)</w:t>
      </w:r>
      <w:r>
        <w:fldChar w:fldCharType="end"/>
      </w:r>
      <w:r>
        <w:rPr>
          <w:noProof/>
          <w:lang w:val="en-US"/>
        </w:rPr>
        <w:t>.</w:t>
      </w:r>
    </w:p>
    <w:p w14:paraId="7BAA38F5" w14:textId="53A3F144" w:rsidR="00452FE4" w:rsidRDefault="00452FE4">
      <w:r>
        <w:lastRenderedPageBreak/>
        <w:t>Furthermore, it was demonstrated that the solar glass furnace could deal with situations where the solar beam power was suddenly lost, such as in the case of cloud cover, and operate on a day/night cycle. In both cases the secondary electrical heating elements gradually took over to sustain glass temperatures above 1000</w:t>
      </w:r>
      <w:r>
        <w:rPr>
          <w:vertAlign w:val="superscript"/>
        </w:rPr>
        <w:t>o</w:t>
      </w:r>
      <w:r>
        <w:t>C to prevent it from solidifying</w:t>
      </w:r>
      <w:r w:rsidR="000A0AC5">
        <w:t>,</w:t>
      </w:r>
      <w:r>
        <w:t xml:space="preserve"> which would otherwise destroy the crucible containing the glass as it would force an associated contraction. Also, around this temperature, the silica crucible would undergo a phase change which could cause it to fracture. Therefore, the use of secondary heating to sustain safe temperatures inside the furnace with intermittent solar radiation availability, was necessary for demonstrating the viability of a realistic solar powered glass melting production.</w:t>
      </w:r>
    </w:p>
    <w:p w14:paraId="4C581773" w14:textId="38DC5FEC" w:rsidR="00452FE4" w:rsidRDefault="00452FE4">
      <w:r>
        <w:t xml:space="preserve">Observation of glass sections remaining in the crucible in which the glass had been melted, accumulated and refined, revealed a high quality, homogeneous glass. Interestingly, despite the increased volumes and depths of glass melted in the scaled-up solar-heated glass furnace, the glass produced appeared homogenous and contained few bubbles throughout. This was achieved by improvements in the design of the furnace based on </w:t>
      </w:r>
      <w:r w:rsidR="00596C14">
        <w:t>outcomes of</w:t>
      </w:r>
      <w:r>
        <w:t xml:space="preserve"> experiment</w:t>
      </w:r>
      <w:r w:rsidR="00596C14">
        <w:t xml:space="preserve"> A1-10, B1-6 and C1-3.</w:t>
      </w:r>
      <w:r>
        <w:t xml:space="preserve"> </w:t>
      </w:r>
      <w:r w:rsidR="00F14A80">
        <w:t>These improvements</w:t>
      </w:r>
      <w:r>
        <w:t xml:space="preserve"> ensured that the entire contents of the crucibles was completely heated by a combination of the transmission of radiant power from the beam through the glass and sufficient thermal mass and insulation surrounding it to prevent cooling around the otherwise exposed outer surfaces. This demonstrated the scalability of the solar glass melting process without compromise of the produced glass quality. </w:t>
      </w:r>
    </w:p>
    <w:p w14:paraId="6A8867C6" w14:textId="7958B5DA" w:rsidR="00452FE4" w:rsidRDefault="00452FE4">
      <w:r>
        <w:t>The capability to generate an output flow of glass from the solar glass furnace and produce pressed glassware therefrom was demonstrated. This was another important new step towards demonstrating the viability of a realistic, complete solar glass melting process. However, the pressed glassware produced was much less homogeneous and contained more bubbles than that which was recovered from the crucible in which it was melted. This was because the outlet glass stream was too thin and cool to be suitable for casting. This problem may have been solved by using a wider outlet tube and a more effective heater/cooling system. However, due to budget and time constraints for this project we were limited to a non-ideal outlet flow system for the chosen forming process. Further work is required to improve the glass outflow system according to the type of product to be produced</w:t>
      </w:r>
      <w:r w:rsidR="00F14A80">
        <w:t>. This is</w:t>
      </w:r>
      <w:r>
        <w:t xml:space="preserve"> discussed</w:t>
      </w:r>
      <w:r w:rsidR="00F14A80">
        <w:t xml:space="preserve"> further</w:t>
      </w:r>
      <w:r>
        <w:t xml:space="preserve"> in</w:t>
      </w:r>
      <w:r w:rsidR="00F14A80">
        <w:t xml:space="preserve"> section</w:t>
      </w:r>
      <w:r>
        <w:t xml:space="preserve"> 7.4.1.</w:t>
      </w:r>
    </w:p>
    <w:p w14:paraId="0E01FE56" w14:textId="77777777" w:rsidR="00452FE4" w:rsidRPr="0051537D" w:rsidRDefault="00452FE4" w:rsidP="00F3524F">
      <w:pPr>
        <w:pStyle w:val="Heading2"/>
        <w:numPr>
          <w:ilvl w:val="1"/>
          <w:numId w:val="23"/>
        </w:numPr>
      </w:pPr>
      <w:bookmarkStart w:id="219" w:name="_Ref446857760"/>
      <w:bookmarkStart w:id="220" w:name="_Toc473995181"/>
      <w:r w:rsidRPr="0051537D">
        <w:t>Implications for scale-up</w:t>
      </w:r>
      <w:bookmarkEnd w:id="219"/>
      <w:bookmarkEnd w:id="220"/>
    </w:p>
    <w:p w14:paraId="7D86CFD4" w14:textId="5B455338" w:rsidR="00452FE4" w:rsidRPr="00333A58" w:rsidRDefault="00452FE4" w:rsidP="00EA4BBA">
      <w:r w:rsidRPr="00333A58">
        <w:t>Although this project is focussed on addressing the technical constraints associated with the realisation of solar-heated glass production, it is instructive to consider the implications of the results the experiments conducted during the course of the project. So, in this section, the results of the analys</w:t>
      </w:r>
      <w:r>
        <w:t>is of the performance of the scaled-up solar heated glass furnace (see section</w:t>
      </w:r>
      <w:r w:rsidRPr="00333A58">
        <w:t xml:space="preserve"> 5.</w:t>
      </w:r>
      <w:r>
        <w:t>7)</w:t>
      </w:r>
      <w:r w:rsidRPr="00333A58">
        <w:t xml:space="preserve"> are extrapolated to envisage how a future solar-heated glass melting production using real solar radiation </w:t>
      </w:r>
      <w:r>
        <w:t>could be realised</w:t>
      </w:r>
      <w:r w:rsidRPr="00333A58">
        <w:t>.</w:t>
      </w:r>
    </w:p>
    <w:p w14:paraId="37DFE6C3" w14:textId="77777777" w:rsidR="00452FE4" w:rsidRPr="0051537D" w:rsidRDefault="00452FE4" w:rsidP="00F3524F">
      <w:pPr>
        <w:pStyle w:val="Heading3"/>
        <w:keepNext w:val="0"/>
        <w:keepLines w:val="0"/>
        <w:numPr>
          <w:ilvl w:val="2"/>
          <w:numId w:val="23"/>
        </w:numPr>
        <w:spacing w:before="0" w:after="160"/>
      </w:pPr>
      <w:bookmarkStart w:id="221" w:name="_Ref457072334"/>
      <w:r w:rsidRPr="0051537D">
        <w:lastRenderedPageBreak/>
        <w:t>Method of analysis</w:t>
      </w:r>
      <w:bookmarkEnd w:id="221"/>
    </w:p>
    <w:p w14:paraId="23A48C4D" w14:textId="620FDB91" w:rsidR="00452FE4" w:rsidRDefault="00452FE4" w:rsidP="00EA4BBA">
      <w:r>
        <w:t xml:space="preserve">The performance of the current experimental solar-heated glass furnace is considered in an envisaged scenario where it were powered by real solar radiation to estimate the area of land that would be required for the solar collection and the quantity of glass that could be produced. The primary source of energy for solar-heated melting and </w:t>
      </w:r>
      <w:r w:rsidR="00EB5F44">
        <w:t>fining</w:t>
      </w:r>
      <w:r>
        <w:t xml:space="preserve"> while there is sufficient direct solar radiation is assumed to be provided by a solar thermal concentration system described in section </w:t>
      </w:r>
      <w:r>
        <w:fldChar w:fldCharType="begin"/>
      </w:r>
      <w:r>
        <w:instrText xml:space="preserve"> REF _Ref446597200 \n \h </w:instrText>
      </w:r>
      <w:r>
        <w:fldChar w:fldCharType="separate"/>
      </w:r>
      <w:r w:rsidR="00820EB1">
        <w:t>6.5.1.2</w:t>
      </w:r>
      <w:r>
        <w:fldChar w:fldCharType="end"/>
      </w:r>
      <w:r>
        <w:t xml:space="preserve">. Secondary power (see section </w:t>
      </w:r>
      <w:r>
        <w:fldChar w:fldCharType="begin"/>
      </w:r>
      <w:r>
        <w:instrText xml:space="preserve"> REF _Ref446597325 \n \h </w:instrText>
      </w:r>
      <w:r>
        <w:fldChar w:fldCharType="separate"/>
      </w:r>
      <w:r w:rsidR="00820EB1">
        <w:t>6.5.1.3</w:t>
      </w:r>
      <w:r>
        <w:fldChar w:fldCharType="end"/>
      </w:r>
      <w:r>
        <w:t xml:space="preserve">) is assumed to be provided by a solar photovoltaic (PV) system with energy stored in batteries (see section </w:t>
      </w:r>
      <w:r>
        <w:fldChar w:fldCharType="begin"/>
      </w:r>
      <w:r>
        <w:instrText xml:space="preserve"> REF _Ref446597309 \n \h </w:instrText>
      </w:r>
      <w:r>
        <w:fldChar w:fldCharType="separate"/>
      </w:r>
      <w:r w:rsidR="00820EB1">
        <w:t>6.5.1.4</w:t>
      </w:r>
      <w:r>
        <w:fldChar w:fldCharType="end"/>
      </w:r>
      <w:r>
        <w:t xml:space="preserve">). Then, the results of this analysis for the based on the experimental system (see section </w:t>
      </w:r>
      <w:r>
        <w:fldChar w:fldCharType="begin"/>
      </w:r>
      <w:r>
        <w:instrText xml:space="preserve"> REF _Ref446597396 \n \h </w:instrText>
      </w:r>
      <w:r>
        <w:fldChar w:fldCharType="separate"/>
      </w:r>
      <w:r w:rsidR="00820EB1">
        <w:t>6.5.1.1</w:t>
      </w:r>
      <w:r>
        <w:fldChar w:fldCharType="end"/>
      </w:r>
      <w:r>
        <w:t xml:space="preserve">) are extrapolated for various scale-up scenarios (see section </w:t>
      </w:r>
      <w:r>
        <w:fldChar w:fldCharType="begin"/>
      </w:r>
      <w:r>
        <w:instrText xml:space="preserve"> REF _Ref446597434 \n \h </w:instrText>
      </w:r>
      <w:r>
        <w:fldChar w:fldCharType="separate"/>
      </w:r>
      <w:r w:rsidR="00820EB1">
        <w:t>6.5.1.5</w:t>
      </w:r>
      <w:r>
        <w:fldChar w:fldCharType="end"/>
      </w:r>
      <w:r>
        <w:t xml:space="preserve">). The capital investments required for these envisaged scale-up scenarios are estimated and their economic feasibility analysed (see section </w:t>
      </w:r>
      <w:r>
        <w:fldChar w:fldCharType="begin"/>
      </w:r>
      <w:r>
        <w:instrText xml:space="preserve"> REF _Ref446597711 \n \h </w:instrText>
      </w:r>
      <w:r>
        <w:fldChar w:fldCharType="separate"/>
      </w:r>
      <w:r w:rsidR="00820EB1">
        <w:t>6.5.1.6</w:t>
      </w:r>
      <w:r>
        <w:fldChar w:fldCharType="end"/>
      </w:r>
      <w:r>
        <w:t xml:space="preserve">). </w:t>
      </w:r>
      <w:r w:rsidR="004E2EA9">
        <w:t xml:space="preserve">A spreadsheet containing all the calculations involved in this section can be found in appendix </w:t>
      </w:r>
      <w:r w:rsidR="00AB5D57">
        <w:t>ID8</w:t>
      </w:r>
      <w:r w:rsidR="004E2EA9">
        <w:t>.</w:t>
      </w:r>
    </w:p>
    <w:p w14:paraId="7AA7280E" w14:textId="77777777" w:rsidR="00452FE4" w:rsidRPr="0051537D" w:rsidRDefault="00452FE4" w:rsidP="00F3524F">
      <w:pPr>
        <w:pStyle w:val="Heading4"/>
        <w:keepNext w:val="0"/>
        <w:keepLines w:val="0"/>
        <w:numPr>
          <w:ilvl w:val="3"/>
          <w:numId w:val="23"/>
        </w:numPr>
        <w:spacing w:before="0" w:after="160"/>
        <w:ind w:left="1728"/>
      </w:pPr>
      <w:bookmarkStart w:id="222" w:name="_Ref446597396"/>
      <w:r w:rsidRPr="0051537D">
        <w:t>Experimental basis</w:t>
      </w:r>
      <w:bookmarkEnd w:id="222"/>
    </w:p>
    <w:p w14:paraId="79B8A93A" w14:textId="6A89C2B9" w:rsidR="00452FE4" w:rsidRDefault="00452FE4" w:rsidP="00EA4BBA">
      <w:r>
        <w:t xml:space="preserve">The following analysis is based on the melting period measured during </w:t>
      </w:r>
      <w:r w:rsidRPr="00B35B5F">
        <w:t xml:space="preserve">01:45:37 </w:t>
      </w:r>
      <w:r>
        <w:t xml:space="preserve">to </w:t>
      </w:r>
      <w:r w:rsidRPr="00B35B5F">
        <w:t>03:53:42</w:t>
      </w:r>
      <w:r>
        <w:t xml:space="preserve"> of experiment D4 because this was a period of repeatedly consistent process data which was considered representative of the performance of the current experimental solar-heated glass furnace’s performance. During this </w:t>
      </w:r>
      <w:r w:rsidR="00F14A80">
        <w:t xml:space="preserve">period, </w:t>
      </w:r>
      <w:r>
        <w:t xml:space="preserve">the HFSS beam intensity maintained a constant level, while a series of melting cycles with very similar quantities of glass forming batch fed at regular intervals, resulting in a periodic glass temperature profile and complete conversion of batch to a fluid glass melt pool. The relevant results from this experiment which are used in the following analysis are summarised in </w:t>
      </w:r>
      <w:r w:rsidR="00CA3FA0">
        <w:fldChar w:fldCharType="begin"/>
      </w:r>
      <w:r w:rsidR="00CA3FA0">
        <w:instrText xml:space="preserve"> REF _Ref451210616 \h </w:instrText>
      </w:r>
      <w:r w:rsidR="00CA3FA0">
        <w:fldChar w:fldCharType="separate"/>
      </w:r>
      <w:r w:rsidR="00820EB1">
        <w:t xml:space="preserve">Table </w:t>
      </w:r>
      <w:r w:rsidR="00820EB1">
        <w:rPr>
          <w:noProof/>
        </w:rPr>
        <w:t>6</w:t>
      </w:r>
      <w:r w:rsidR="00CA3FA0">
        <w:fldChar w:fldCharType="end"/>
      </w:r>
      <w:r>
        <w:t>.</w:t>
      </w:r>
      <w:r w:rsidRPr="00333A58">
        <w:t xml:space="preserve"> </w:t>
      </w:r>
    </w:p>
    <w:p w14:paraId="3C4117EC" w14:textId="77777777" w:rsidR="00452FE4" w:rsidRPr="0051537D" w:rsidRDefault="00452FE4" w:rsidP="00F3524F">
      <w:pPr>
        <w:pStyle w:val="Heading4"/>
        <w:keepNext w:val="0"/>
        <w:keepLines w:val="0"/>
        <w:numPr>
          <w:ilvl w:val="3"/>
          <w:numId w:val="23"/>
        </w:numPr>
        <w:spacing w:before="0" w:after="160"/>
        <w:ind w:left="1728"/>
      </w:pPr>
      <w:bookmarkStart w:id="223" w:name="_Ref446597200"/>
      <w:r w:rsidRPr="0051537D">
        <w:t>Solar concentration system</w:t>
      </w:r>
      <w:bookmarkEnd w:id="223"/>
      <w:r w:rsidRPr="0051537D">
        <w:t xml:space="preserve"> </w:t>
      </w:r>
    </w:p>
    <w:p w14:paraId="08D5D007" w14:textId="429755EA" w:rsidR="000A0AC5" w:rsidRDefault="00452FE4" w:rsidP="00972C16">
      <w:r w:rsidRPr="00333A58">
        <w:t>Solar concentrating systems suitable for providing, a vertical beam with sufficient intensity as required for the solar-heated glass furnace, are called tower reflector or beam down optical concentration systems,</w:t>
      </w:r>
      <w:r w:rsidRPr="00333A58">
        <w:rPr>
          <w:color w:val="FF0000"/>
        </w:rPr>
        <w:t xml:space="preserve"> </w:t>
      </w:r>
      <w:r w:rsidRPr="00333A58">
        <w:fldChar w:fldCharType="begin" w:fldLock="1"/>
      </w:r>
      <w:r w:rsidR="00875DEE">
        <w:instrText>ADDIN CSL_CITATION { "citationItems" : [ { "id" : "ITEM-1", "itemData" : { "author" : [ { "dropping-particle" : "", "family" : "Rabl", "given" : "A R I", "non-dropping-particle" : "", "parse-names" : false, "suffix" : "" } ], "container-title" : "Solar Energy", "id" : "ITEM-1", "issue" : "4", "issued" : { "date-parts" : [ [ "1976" ] ] }, "page" : "269-271", "title" : "Tower reflector for solar power plant", "type" : "article-journal", "volume" : "18" }, "uris" : [ "http://www.mendeley.com/documents/?uuid=cbfa42ab-0ade-4ffe-99cb-a1959dca03cd", "http://www.mendeley.com/documents/?uuid=ee77cd4c-ef0d-4c7d-ab44-4dbcb321ee85" ] } ], "mendeley" : { "formattedCitation" : "(Rabl 1976)", "manualFormatting" : "(Rabl, (1976)", "plainTextFormattedCitation" : "(Rabl 1976)", "previouslyFormattedCitation" : "(Rabl 1976)" }, "properties" : { "noteIndex" : 0 }, "schema" : "https://github.com/citation-style-language/schema/raw/master/csl-citation.json" }</w:instrText>
      </w:r>
      <w:r w:rsidRPr="00333A58">
        <w:fldChar w:fldCharType="separate"/>
      </w:r>
      <w:r w:rsidRPr="00333A58">
        <w:rPr>
          <w:noProof/>
        </w:rPr>
        <w:t>(Rabl, (1976)</w:t>
      </w:r>
      <w:r w:rsidRPr="00333A58">
        <w:fldChar w:fldCharType="end"/>
      </w:r>
      <w:r w:rsidRPr="00333A58">
        <w:fldChar w:fldCharType="begin" w:fldLock="1"/>
      </w:r>
      <w:r w:rsidR="00875DEE">
        <w:instrText>ADDIN CSL_CITATION { "citationItems" : [ { "id" : "ITEM-1", "itemData" : { "DOI" : "10.1115/1.2804629", "author" : [ { "dropping-particle" : "", "family" : "Segal", "given" : "Akiba", "non-dropping-particle" : "", "parse-names" : false, "suffix" : "" }, { "dropping-particle" : "", "family" : "Epstein", "given" : "Michael", "non-dropping-particle" : "", "parse-names" : false, "suffix" : "" } ], "container-title" : "Journal of Solar Energy Engineering", "id" : "ITEM-1", "issue" : "February", "issued" : { "date-parts" : [ [ "2008" ] ] }, "page" : "1-7", "title" : "Practical Considerations in Designing Large Scale \u201c Beam Down \u201d Optical Systems", "type" : "article-journal", "volume" : "130" }, "uris" : [ "http://www.mendeley.com/documents/?uuid=9fae05a8-4ea3-4c21-8917-49df66420ee2", "http://www.mendeley.com/documents/?uuid=23b9c75a-a825-4099-8f02-d08d6fd8d8d7" ] } ], "mendeley" : { "formattedCitation" : "(Segal &amp; Epstein 2008)", "manualFormatting" : ", Segal &amp; Epstein, (2000, 2008))", "plainTextFormattedCitation" : "(Segal &amp; Epstein 2008)", "previouslyFormattedCitation" : "(Segal &amp; Epstein 2008)" }, "properties" : { "noteIndex" : 0 }, "schema" : "https://github.com/citation-style-language/schema/raw/master/csl-citation.json" }</w:instrText>
      </w:r>
      <w:r w:rsidRPr="00333A58">
        <w:fldChar w:fldCharType="separate"/>
      </w:r>
      <w:r w:rsidRPr="00333A58">
        <w:rPr>
          <w:noProof/>
        </w:rPr>
        <w:t>, Segal &amp; Epstein, (2000, 2008))</w:t>
      </w:r>
      <w:r w:rsidRPr="00333A58">
        <w:fldChar w:fldCharType="end"/>
      </w:r>
      <w:r w:rsidRPr="00333A58">
        <w:t xml:space="preserve"> </w:t>
      </w:r>
      <w:r w:rsidR="00F14A80">
        <w:t>and consisted of</w:t>
      </w:r>
      <w:r w:rsidR="00F14A80" w:rsidRPr="00333A58">
        <w:t xml:space="preserve"> </w:t>
      </w:r>
      <w:r w:rsidRPr="00333A58">
        <w:t xml:space="preserve">a field of heliostats, a “tower reflector“ (hyperboloid mirror) and a compound parabolic concentrator (CPC, </w:t>
      </w:r>
      <w:r w:rsidRPr="00333A58">
        <w:fldChar w:fldCharType="begin" w:fldLock="1"/>
      </w:r>
      <w:r w:rsidR="00875DEE">
        <w:instrText>ADDIN CSL_CITATION { "citationItems" : [ { "id" : "ITEM-1", "itemData" : { "author" : [ { "dropping-particle" : "", "family" : "Winston", "given" : "Roland", "non-dropping-particle" : "", "parse-names" : false, "suffix" : "" }, { "dropping-particle" : "", "family" : "Welford", "given" : "W. T.", "non-dropping-particle" : "", "parse-names" : false, "suffix" : "" }, { "dropping-particle" : "", "family" : "Beni\u0301tez", "given" : "Pablo", "non-dropping-particle" : "", "parse-names" : false, "suffix" : "" }, { "dropping-particle" : "", "family" : "Min\u0303ano", "given" : "Juan C.", "non-dropping-particle" : "", "parse-names" : false, "suffix" : "" } ], "id" : "ITEM-1", "issued" : { "date-parts" : [ [ "2005" ] ] }, "publisher" : "Academic Press", "publisher-place" : "Burlington, Mass", "title" : "Nonimaging Optics", "type" : "book" }, "uris" : [ "http://www.mendeley.com/documents/?uuid=aa6b6160-5c20-4a64-a3c8-691a8e04c893" ] } ], "mendeley" : { "formattedCitation" : "(Winston et al. 2005)", "manualFormatting" : "(Winston et al., 2005)", "plainTextFormattedCitation" : "(Winston et al. 2005)", "previouslyFormattedCitation" : "(Winston et al. 2005)" }, "properties" : { "noteIndex" : 0 }, "schema" : "https://github.com/citation-style-language/schema/raw/master/csl-citation.json" }</w:instrText>
      </w:r>
      <w:r w:rsidRPr="00333A58">
        <w:fldChar w:fldCharType="separate"/>
      </w:r>
      <w:r w:rsidRPr="00333A58">
        <w:rPr>
          <w:noProof/>
        </w:rPr>
        <w:t>(Winston et al., 2005)</w:t>
      </w:r>
      <w:r w:rsidRPr="00333A58">
        <w:fldChar w:fldCharType="end"/>
      </w:r>
      <w:r w:rsidRPr="00333A58">
        <w:t>) functioning as a secondary concentrator.</w:t>
      </w:r>
      <w:r>
        <w:t xml:space="preserve"> The ambient solar radiation intensity is concentrated by a factor of 1000 from the heliostat mirrors to the CPC, which then further concentrates the solar radiation by a factor of </w:t>
      </w:r>
      <w:r w:rsidRPr="00DE0E65">
        <w:t>2</w:t>
      </w:r>
      <w:r>
        <w:t xml:space="preserve"> </w:t>
      </w:r>
      <w:r>
        <w:fldChar w:fldCharType="begin" w:fldLock="1"/>
      </w:r>
      <w:r w:rsidR="00875DEE">
        <w:instrText>ADDIN CSL_CITATION { "citationItems" : [ { "id" : "ITEM-1", "itemData" : { "author" : [ { "dropping-particle" : "", "family" : "Winston", "given" : "Roland", "non-dropping-particle" : "", "parse-names" : false, "suffix" : "" }, { "dropping-particle" : "", "family" : "Welford", "given" : "W. T.", "non-dropping-particle" : "", "parse-names" : false, "suffix" : "" }, { "dropping-particle" : "", "family" : "Beni\u0301tez", "given" : "Pablo", "non-dropping-particle" : "", "parse-names" : false, "suffix" : "" }, { "dropping-particle" : "", "family" : "Min\u0303ano", "given" : "Juan C.", "non-dropping-particle" : "", "parse-names" : false, "suffix" : "" } ], "id" : "ITEM-1", "issued" : { "date-parts" : [ [ "2005" ] ] }, "publisher" : "Academic Press", "publisher-place" : "Burlington, Mass", "title" : "Nonimaging Optics", "type" : "book" }, "uris" : [ "http://www.mendeley.com/documents/?uuid=1f26b3de-dd3b-484e-a268-aa957f0c9938" ] } ], "mendeley" : { "formattedCitation" : "(Winston et al. 2005)", "manualFormatting" : "(Winston et al., 2005)", "plainTextFormattedCitation" : "(Winston et al. 2005)", "previouslyFormattedCitation" : "(Winston et al. 2005)" }, "properties" : { "noteIndex" : 0 }, "schema" : "https://github.com/citation-style-language/schema/raw/master/csl-citation.json" }</w:instrText>
      </w:r>
      <w:r>
        <w:fldChar w:fldCharType="separate"/>
      </w:r>
      <w:r>
        <w:rPr>
          <w:noProof/>
        </w:rPr>
        <w:t xml:space="preserve">(Winston et al., </w:t>
      </w:r>
      <w:r w:rsidRPr="007C26EB">
        <w:rPr>
          <w:noProof/>
        </w:rPr>
        <w:t>2005)</w:t>
      </w:r>
      <w:r>
        <w:fldChar w:fldCharType="end"/>
      </w:r>
      <w:r>
        <w:t xml:space="preserve"> before it reaches the furnace beam inlet aperture.  This gives an overall concentration ratio of C=2000 suns. </w:t>
      </w:r>
      <w:r w:rsidRPr="00333A58">
        <w:t xml:space="preserve">Such a system has been built and successfully operated at the Weizmann Institute of Science, Israel, for a power of around 500 kW. </w:t>
      </w:r>
      <w:r>
        <w:t>Typi</w:t>
      </w:r>
      <w:r w:rsidRPr="00333A58">
        <w:t xml:space="preserve">cal values for the specifications of </w:t>
      </w:r>
      <w:r>
        <w:t>such a</w:t>
      </w:r>
      <w:r w:rsidRPr="00333A58">
        <w:t xml:space="preserve"> solar concentrating system </w:t>
      </w:r>
      <w:r>
        <w:t>as assumed for</w:t>
      </w:r>
      <w:r w:rsidRPr="00333A58">
        <w:t xml:space="preserve"> the following </w:t>
      </w:r>
      <w:r>
        <w:t xml:space="preserve">analysis </w:t>
      </w:r>
      <w:r w:rsidRPr="00333A58">
        <w:t xml:space="preserve">are provided in </w:t>
      </w:r>
      <w:r w:rsidR="0000267C">
        <w:fldChar w:fldCharType="begin"/>
      </w:r>
      <w:r w:rsidR="0000267C">
        <w:instrText xml:space="preserve"> REF _Ref451210616 \h </w:instrText>
      </w:r>
      <w:r w:rsidR="0000267C">
        <w:fldChar w:fldCharType="separate"/>
      </w:r>
      <w:r w:rsidR="00820EB1">
        <w:t xml:space="preserve">Table </w:t>
      </w:r>
      <w:r w:rsidR="00820EB1">
        <w:rPr>
          <w:noProof/>
        </w:rPr>
        <w:t>6</w:t>
      </w:r>
      <w:r w:rsidR="0000267C">
        <w:fldChar w:fldCharType="end"/>
      </w:r>
      <w:r w:rsidRPr="00333A58">
        <w:t>.</w:t>
      </w:r>
      <w:r>
        <w:t xml:space="preserve"> </w:t>
      </w:r>
      <w:r w:rsidRPr="00333A58">
        <w:t>In</w:t>
      </w:r>
      <w:r>
        <w:t xml:space="preserve"> the following analysis</w:t>
      </w:r>
      <w:r w:rsidRPr="00333A58">
        <w:t xml:space="preserve"> </w:t>
      </w:r>
      <w:r>
        <w:lastRenderedPageBreak/>
        <w:t xml:space="preserve">the use of a beam-down solar concentration </w:t>
      </w:r>
      <w:r w:rsidRPr="00333A58">
        <w:t>to power a solar-heated glass furnace</w:t>
      </w:r>
      <w:r>
        <w:t xml:space="preserve"> as shown in </w:t>
      </w:r>
      <w:r w:rsidRPr="00333A58">
        <w:fldChar w:fldCharType="begin"/>
      </w:r>
      <w:r w:rsidRPr="00333A58">
        <w:instrText xml:space="preserve"> REF _Ref444344150 \h </w:instrText>
      </w:r>
      <w:r>
        <w:instrText xml:space="preserve"> \* MERGEFORMAT </w:instrText>
      </w:r>
      <w:r w:rsidRPr="00333A58">
        <w:fldChar w:fldCharType="separate"/>
      </w:r>
      <w:r w:rsidR="00820EB1" w:rsidRPr="00333A58">
        <w:t xml:space="preserve">Figure </w:t>
      </w:r>
      <w:r w:rsidR="00820EB1">
        <w:t>102</w:t>
      </w:r>
      <w:r w:rsidRPr="00333A58">
        <w:fldChar w:fldCharType="end"/>
      </w:r>
      <w:r w:rsidRPr="00333A58">
        <w:t xml:space="preserve">, </w:t>
      </w:r>
      <w:r>
        <w:t xml:space="preserve">is considered. </w:t>
      </w:r>
    </w:p>
    <w:p w14:paraId="283F8A55" w14:textId="0D9A3FEA" w:rsidR="00452FE4" w:rsidRPr="00333A58" w:rsidRDefault="00452FE4" w:rsidP="00972C16">
      <w:r>
        <w:rPr>
          <w:noProof/>
        </w:rPr>
        <w:drawing>
          <wp:inline distT="0" distB="0" distL="0" distR="0" wp14:anchorId="06F6F712" wp14:editId="4B712A01">
            <wp:extent cx="5476875" cy="1846418"/>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7117" t="36354" r="9927" b="19901"/>
                    <a:stretch/>
                  </pic:blipFill>
                  <pic:spPr bwMode="auto">
                    <a:xfrm>
                      <a:off x="0" y="0"/>
                      <a:ext cx="5502872" cy="1855182"/>
                    </a:xfrm>
                    <a:prstGeom prst="rect">
                      <a:avLst/>
                    </a:prstGeom>
                    <a:ln>
                      <a:noFill/>
                    </a:ln>
                    <a:extLst>
                      <a:ext uri="{53640926-AAD7-44D8-BBD7-CCE9431645EC}">
                        <a14:shadowObscured xmlns:a14="http://schemas.microsoft.com/office/drawing/2010/main"/>
                      </a:ext>
                    </a:extLst>
                  </pic:spPr>
                </pic:pic>
              </a:graphicData>
            </a:graphic>
          </wp:inline>
        </w:drawing>
      </w:r>
    </w:p>
    <w:p w14:paraId="28AAB14D" w14:textId="77777777" w:rsidR="00452FE4" w:rsidRPr="00333A58" w:rsidRDefault="00452FE4" w:rsidP="00EA4BBA">
      <w:pPr>
        <w:pStyle w:val="Caption"/>
      </w:pPr>
      <w:bookmarkStart w:id="224" w:name="_Ref444344150"/>
      <w:r w:rsidRPr="00333A58">
        <w:t xml:space="preserve">Figure </w:t>
      </w:r>
      <w:r w:rsidR="00A47317">
        <w:fldChar w:fldCharType="begin"/>
      </w:r>
      <w:r w:rsidR="00A47317">
        <w:instrText xml:space="preserve"> SEQ Figure \* ARABIC </w:instrText>
      </w:r>
      <w:r w:rsidR="00A47317">
        <w:fldChar w:fldCharType="separate"/>
      </w:r>
      <w:r w:rsidR="00820EB1">
        <w:rPr>
          <w:noProof/>
        </w:rPr>
        <w:t>102</w:t>
      </w:r>
      <w:r w:rsidR="00A47317">
        <w:rPr>
          <w:noProof/>
        </w:rPr>
        <w:fldChar w:fldCharType="end"/>
      </w:r>
      <w:bookmarkEnd w:id="224"/>
      <w:r>
        <w:t>: Schematic diagram (not to scale), showing the main features of an envisaged scaled-up solar-heated glass furnace powered by a beam-down solar concentration system. The rays of solar radiation shown as yellow lines. The field of heliostat mirrors change their angle during the day to direct the incoming rays via the tower top beam down reflector to a common focal spot around the beam inlet where a CPC secondary concentrator further concentrates the rays into the beam inlet aperture of the solar-heated glass furnace.</w:t>
      </w:r>
    </w:p>
    <w:p w14:paraId="3760A952" w14:textId="06B02C53" w:rsidR="00452FE4" w:rsidRPr="00333A58" w:rsidRDefault="00452FE4" w:rsidP="00EA4BBA">
      <w:pPr>
        <w:ind w:firstLine="0"/>
      </w:pPr>
      <w:r w:rsidRPr="00333A58">
        <w:t xml:space="preserve">The method for estimating the size of solar collector field and </w:t>
      </w:r>
      <w:r>
        <w:t>glass production of the</w:t>
      </w:r>
      <w:r w:rsidRPr="00333A58">
        <w:t xml:space="preserve"> solar-heated furnace powered by </w:t>
      </w:r>
      <w:r>
        <w:t>such a</w:t>
      </w:r>
      <w:r w:rsidRPr="00333A58">
        <w:t xml:space="preserve"> solar concentrat</w:t>
      </w:r>
      <w:r>
        <w:t>ing system,</w:t>
      </w:r>
      <w:r w:rsidRPr="00333A58">
        <w:t xml:space="preserve"> follows that by </w:t>
      </w:r>
      <w:r w:rsidRPr="00333A58">
        <w:fldChar w:fldCharType="begin" w:fldLock="1"/>
      </w:r>
      <w:r w:rsidR="00875DEE">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"manualFormatting" : "Meier et al,. (2005)", "plainTextFormattedCitation" : "(Meier et al. 2005)", "previouslyFormattedCitation" : "(Meier et al. 2005)" }, "properties" : { "noteIndex" : 0 }, "schema" : "https://github.com/citation-style-language/schema/raw/master/csl-citation.json" }</w:instrText>
      </w:r>
      <w:r w:rsidRPr="00333A58">
        <w:fldChar w:fldCharType="separate"/>
      </w:r>
      <w:r w:rsidRPr="00333A58">
        <w:rPr>
          <w:noProof/>
        </w:rPr>
        <w:t>Meier</w:t>
      </w:r>
      <w:r>
        <w:rPr>
          <w:noProof/>
        </w:rPr>
        <w:t xml:space="preserve"> et al,.</w:t>
      </w:r>
      <w:r w:rsidRPr="00333A58">
        <w:rPr>
          <w:noProof/>
        </w:rPr>
        <w:t xml:space="preserve"> </w:t>
      </w:r>
      <w:r>
        <w:rPr>
          <w:noProof/>
        </w:rPr>
        <w:t>(</w:t>
      </w:r>
      <w:r w:rsidRPr="00333A58">
        <w:rPr>
          <w:noProof/>
        </w:rPr>
        <w:t>2005)</w:t>
      </w:r>
      <w:r w:rsidRPr="00333A58">
        <w:fldChar w:fldCharType="end"/>
      </w:r>
      <w:r w:rsidRPr="00333A58">
        <w:t xml:space="preserve"> who conducted a similar analysis for </w:t>
      </w:r>
      <w:r>
        <w:t>a similar</w:t>
      </w:r>
      <w:r w:rsidRPr="00333A58">
        <w:t xml:space="preserve"> solar-heated </w:t>
      </w:r>
      <w:r>
        <w:t>process</w:t>
      </w:r>
      <w:r w:rsidRPr="00333A58">
        <w:t>.</w:t>
      </w:r>
      <w:r>
        <w:t xml:space="preserve"> Accordingly, t</w:t>
      </w:r>
      <w:r w:rsidRPr="00333A58">
        <w:t>he</w:t>
      </w:r>
      <w:r>
        <w:t xml:space="preserve"> envisaged</w:t>
      </w:r>
      <w:r w:rsidRPr="00333A58">
        <w:t xml:space="preserve"> solar-heated glass furnace</w:t>
      </w:r>
      <w:r>
        <w:t xml:space="preserve"> for this analysis,</w:t>
      </w:r>
      <w:r w:rsidRPr="00333A58">
        <w:t xml:space="preserve"> is </w:t>
      </w:r>
      <w:r>
        <w:t xml:space="preserve">assumed to operate in a </w:t>
      </w:r>
      <w:r w:rsidRPr="00333A58">
        <w:t>loc</w:t>
      </w:r>
      <w:r>
        <w:t>ation</w:t>
      </w:r>
      <w:r w:rsidRPr="00333A58">
        <w:t xml:space="preserve"> with an average</w:t>
      </w:r>
      <w:r>
        <w:t xml:space="preserve"> annual</w:t>
      </w:r>
      <w:r w:rsidRPr="00333A58">
        <w:t xml:space="preserve"> Direct Normal Irradiance</w:t>
      </w:r>
      <w:r>
        <w:t xml:space="preserve"> (</w:t>
      </w:r>
      <w:r w:rsidRPr="00F52EC2">
        <w:rPr>
          <w:i/>
        </w:rPr>
        <w:t>DNI</w:t>
      </w:r>
      <w:r w:rsidRPr="00F52EC2">
        <w:rPr>
          <w:i/>
          <w:vertAlign w:val="superscript"/>
        </w:rPr>
        <w:t>yr</w:t>
      </w:r>
      <w:r>
        <w:t>) of</w:t>
      </w:r>
      <w:r w:rsidRPr="00333A58">
        <w:t xml:space="preserve"> 2300 </w:t>
      </w:r>
      <m:oMath>
        <m:f>
          <m:fPr>
            <m:ctrlPr>
              <w:rPr>
                <w:rFonts w:ascii="Cambria Math" w:hAnsi="Cambria Math"/>
              </w:rPr>
            </m:ctrlPr>
          </m:fPr>
          <m:num>
            <m:r>
              <m:rPr>
                <m:sty m:val="p"/>
              </m:rPr>
              <w:rPr>
                <w:rFonts w:ascii="Cambria Math" w:hAnsi="Cambria Math"/>
              </w:rPr>
              <m:t>kWh</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yr</m:t>
            </m:r>
          </m:den>
        </m:f>
      </m:oMath>
      <w:r w:rsidRPr="00F14A80">
        <w:t xml:space="preserve"> (</w:t>
      </w:r>
      <w:r w:rsidRPr="00333A58">
        <w:fldChar w:fldCharType="begin"/>
      </w:r>
      <w:r w:rsidRPr="00333A58">
        <w:instrText xml:space="preserve"> REF _Ref444180310 \h </w:instrText>
      </w:r>
      <w:r>
        <w:instrText xml:space="preserve"> \* MERGEFORMAT </w:instrText>
      </w:r>
      <w:r w:rsidRPr="00333A58">
        <w:fldChar w:fldCharType="separate"/>
      </w:r>
      <w:r w:rsidR="00820EB1" w:rsidRPr="00333A58">
        <w:t xml:space="preserve">Figure </w:t>
      </w:r>
      <w:r w:rsidR="00820EB1">
        <w:rPr>
          <w:noProof/>
        </w:rPr>
        <w:t>103</w:t>
      </w:r>
      <w:r w:rsidRPr="00333A58">
        <w:fldChar w:fldCharType="end"/>
      </w:r>
      <w:r w:rsidRPr="00333A58">
        <w:t xml:space="preserve">). </w:t>
      </w:r>
      <w:r>
        <w:t xml:space="preserve">DNI is the quantity of direct solar radiation which would be received by a surface normal to the path of its rays, which is commonly used to evaluate the total solar energy resource for future solar concentration systems. </w:t>
      </w:r>
    </w:p>
    <w:p w14:paraId="124C7A2C" w14:textId="77777777" w:rsidR="00452FE4" w:rsidRPr="00333A58" w:rsidRDefault="00452FE4" w:rsidP="0066206C">
      <w:pPr>
        <w:pStyle w:val="Title"/>
      </w:pPr>
      <w:r w:rsidRPr="00333A58">
        <w:lastRenderedPageBreak/>
        <w:drawing>
          <wp:inline distT="0" distB="0" distL="0" distR="0" wp14:anchorId="4F65589B" wp14:editId="7E050FE4">
            <wp:extent cx="5530215" cy="2893326"/>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larGIS-Solar-map-DNI-World-map-en.png"/>
                    <pic:cNvPicPr/>
                  </pic:nvPicPr>
                  <pic:blipFill rotWithShape="1">
                    <a:blip r:embed="rId120" cstate="print">
                      <a:extLst>
                        <a:ext uri="{28A0092B-C50C-407E-A947-70E740481C1C}">
                          <a14:useLocalDpi xmlns:a14="http://schemas.microsoft.com/office/drawing/2010/main" val="0"/>
                        </a:ext>
                      </a:extLst>
                    </a:blip>
                    <a:srcRect b="4295"/>
                    <a:stretch/>
                  </pic:blipFill>
                  <pic:spPr bwMode="auto">
                    <a:xfrm>
                      <a:off x="0" y="0"/>
                      <a:ext cx="5584730" cy="2921847"/>
                    </a:xfrm>
                    <a:prstGeom prst="rect">
                      <a:avLst/>
                    </a:prstGeom>
                    <a:ln>
                      <a:noFill/>
                    </a:ln>
                    <a:extLst>
                      <a:ext uri="{53640926-AAD7-44D8-BBD7-CCE9431645EC}">
                        <a14:shadowObscured xmlns:a14="http://schemas.microsoft.com/office/drawing/2010/main"/>
                      </a:ext>
                    </a:extLst>
                  </pic:spPr>
                </pic:pic>
              </a:graphicData>
            </a:graphic>
          </wp:inline>
        </w:drawing>
      </w:r>
    </w:p>
    <w:p w14:paraId="1AF7931F" w14:textId="6E18849D" w:rsidR="00452FE4" w:rsidRPr="00333A58" w:rsidRDefault="00452FE4" w:rsidP="00EA4BBA">
      <w:pPr>
        <w:pStyle w:val="Caption"/>
      </w:pPr>
      <w:bookmarkStart w:id="225" w:name="_Ref444180310"/>
      <w:r w:rsidRPr="00333A58">
        <w:t xml:space="preserve">Figure </w:t>
      </w:r>
      <w:r w:rsidR="00A47317">
        <w:fldChar w:fldCharType="begin"/>
      </w:r>
      <w:r w:rsidR="00A47317">
        <w:instrText xml:space="preserve"> SEQ Figure \* ARABIC </w:instrText>
      </w:r>
      <w:r w:rsidR="00A47317">
        <w:fldChar w:fldCharType="separate"/>
      </w:r>
      <w:r w:rsidR="00820EB1">
        <w:rPr>
          <w:noProof/>
        </w:rPr>
        <w:t>103</w:t>
      </w:r>
      <w:r w:rsidR="00A47317">
        <w:rPr>
          <w:noProof/>
        </w:rPr>
        <w:fldChar w:fldCharType="end"/>
      </w:r>
      <w:bookmarkEnd w:id="225"/>
      <w:r w:rsidRPr="00333A58">
        <w:t>: Global DNI distribution</w:t>
      </w:r>
      <w:r>
        <w:t>. The analysis considered for the envisaged solar-heated glass furnace scenarios are based on a location with an annual average DNI of 2300 kWh/m</w:t>
      </w:r>
      <w:r>
        <w:rPr>
          <w:vertAlign w:val="superscript"/>
        </w:rPr>
        <w:t>2</w:t>
      </w:r>
      <w:r>
        <w:t>, corresponding to the orange</w:t>
      </w:r>
      <w:r w:rsidRPr="000F4BA4">
        <w:t xml:space="preserve"> coloured</w:t>
      </w:r>
      <w:r>
        <w:t xml:space="preserve"> regions shown here. Source: </w:t>
      </w:r>
      <w:r>
        <w:fldChar w:fldCharType="begin" w:fldLock="1"/>
      </w:r>
      <w:r w:rsidR="00875DEE">
        <w:instrText>ADDIN CSL_CITATION { "citationItems" : [ { "id" : "ITEM-1", "itemData" : { "URL" : "http://solargis.info/doc/free-solar-radiation-maps-DNI", "accessed" : { "date-parts" : [ [ "2016", "2", "26" ] ] }, "author" : [ { "dropping-particle" : "", "family" : "Solar GIS", "given" : "", "non-dropping-particle" : "", "parse-names" : false, "suffix" : "" } ], "id" : "ITEM-1", "issued" : { "date-parts" : [ [ "2016" ] ] }, "title" : "Direct Normal Irradiance world map", "type" : "webpage" }, "uris" : [ "http://www.mendeley.com/documents/?uuid=d276d51e-cab4-4068-ba64-93163b704b89" ] } ], "mendeley" : { "formattedCitation" : "(Solar GIS 2016a)", "manualFormatting" : " SolarGIS \u00a9 (2016) GeoModel Solar\u0002 ", "plainTextFormattedCitation" : "(Solar GIS 2016a)", "previouslyFormattedCitation" : "(Solar GIS 2016a)" }, "properties" : { "noteIndex" : 0 }, "schema" : "https://github.com/citation-style-language/schema/raw/master/csl-citation.json" }</w:instrText>
      </w:r>
      <w:r>
        <w:fldChar w:fldCharType="separate"/>
      </w:r>
      <w:r w:rsidRPr="002B6DC9">
        <w:rPr>
          <w:noProof/>
        </w:rPr>
        <w:t xml:space="preserve"> </w:t>
      </w:r>
      <w:r w:rsidRPr="002B6DC9">
        <w:rPr>
          <w:i w:val="0"/>
          <w:noProof/>
        </w:rPr>
        <w:t xml:space="preserve">SolarGIS © </w:t>
      </w:r>
      <w:r>
        <w:rPr>
          <w:i w:val="0"/>
          <w:noProof/>
        </w:rPr>
        <w:t>(</w:t>
      </w:r>
      <w:r w:rsidRPr="00EA06DC">
        <w:rPr>
          <w:i w:val="0"/>
          <w:noProof/>
        </w:rPr>
        <w:t>2016)</w:t>
      </w:r>
      <w:r w:rsidRPr="002B6DC9">
        <w:rPr>
          <w:i w:val="0"/>
          <w:noProof/>
        </w:rPr>
        <w:t xml:space="preserve"> GeoModel Solar</w:t>
      </w:r>
      <w:r>
        <w:rPr>
          <w:rStyle w:val="FootnoteReference"/>
          <w:i w:val="0"/>
          <w:noProof/>
        </w:rPr>
        <w:footnoteReference w:id="5"/>
      </w:r>
      <w:r w:rsidRPr="00EA06DC">
        <w:rPr>
          <w:i w:val="0"/>
          <w:noProof/>
        </w:rPr>
        <w:t xml:space="preserve"> </w:t>
      </w:r>
      <w:r>
        <w:fldChar w:fldCharType="end"/>
      </w:r>
      <w:r>
        <w:t>.</w:t>
      </w:r>
    </w:p>
    <w:p w14:paraId="26D3DB63" w14:textId="5C73DB09" w:rsidR="00452FE4" w:rsidRPr="004F24CF" w:rsidRDefault="00452FE4" w:rsidP="00EA4BBA">
      <w:pPr>
        <w:ind w:firstLine="0"/>
      </w:pPr>
      <w:r>
        <w:t xml:space="preserve">However, the fraction of this solar radiation available solar-heated glass melting is limited by the efficiency of the solar concentration system, the minimum radiation intensity required by the furnace to effect the glass forming reactions and the envisaged hours of glass melting operation conducted. According to Meier et al (2005), </w:t>
      </w:r>
      <m:oMath>
        <m:sSubSup>
          <m:sSubSupPr>
            <m:ctrlPr>
              <w:rPr>
                <w:rFonts w:ascii="Cambria Math" w:eastAsia="Calibri" w:hAnsi="Cambria Math" w:cs="Times New Roman"/>
                <w:i/>
              </w:rPr>
            </m:ctrlPr>
          </m:sSubSupPr>
          <m:e>
            <m:r>
              <w:rPr>
                <w:rFonts w:ascii="Cambria Math" w:eastAsia="Calibri" w:hAnsi="Cambria Math" w:cs="Times New Roman"/>
              </w:rPr>
              <m:t>q</m:t>
            </m:r>
          </m:e>
          <m:sub>
            <m:r>
              <w:rPr>
                <w:rFonts w:ascii="Cambria Math" w:eastAsia="Calibri" w:hAnsi="Cambria Math" w:cs="Times New Roman"/>
              </w:rPr>
              <m:t>sol</m:t>
            </m:r>
          </m:sub>
          <m:sup>
            <m:r>
              <w:rPr>
                <w:rFonts w:ascii="Cambria Math" w:eastAsia="Calibri" w:hAnsi="Cambria Math" w:cs="Times New Roman"/>
              </w:rPr>
              <m:t>yr</m:t>
            </m:r>
          </m:sup>
        </m:sSubSup>
      </m:oMath>
      <w:r>
        <w:t xml:space="preserve">= </w:t>
      </w:r>
      <w:r w:rsidRPr="00333A58">
        <w:rPr>
          <w:rStyle w:val="SubtleEmphasis"/>
          <w:sz w:val="20"/>
        </w:rPr>
        <w:t xml:space="preserve">2133 </w:t>
      </w:r>
      <m:oMath>
        <m:f>
          <m:fPr>
            <m:ctrlPr>
              <w:rPr>
                <w:rFonts w:ascii="Cambria Math" w:hAnsi="Cambria Math"/>
              </w:rPr>
            </m:ctrlPr>
          </m:fPr>
          <m:num>
            <m:r>
              <m:rPr>
                <m:sty m:val="p"/>
              </m:rPr>
              <w:rPr>
                <w:rFonts w:ascii="Cambria Math" w:hAnsi="Cambria Math"/>
              </w:rPr>
              <m:t>kWh</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yr</m:t>
            </m:r>
          </m:den>
        </m:f>
      </m:oMath>
      <w:r>
        <w:t xml:space="preserve"> , is the average annual DNI, which would be of  sufficient intensity to sustain a process temperature inside a solar reactor-</w:t>
      </w:r>
      <w:r w:rsidR="005C2333">
        <w:t>receiver</w:t>
      </w:r>
      <w:r>
        <w:t xml:space="preserve"> of 1200-1600 K, when using a beam-down solar concentration system in a location with </w:t>
      </w:r>
      <w:r w:rsidRPr="00F52EC2">
        <w:rPr>
          <w:i/>
        </w:rPr>
        <w:t>DNI</w:t>
      </w:r>
      <w:r w:rsidRPr="00F52EC2">
        <w:rPr>
          <w:i/>
          <w:vertAlign w:val="superscript"/>
        </w:rPr>
        <w:t>yr</w:t>
      </w:r>
      <w:r>
        <w:t xml:space="preserve"> =2300</w:t>
      </w:r>
      <m:oMath>
        <m:r>
          <w:rPr>
            <w:rFonts w:ascii="Cambria Math" w:hAnsi="Cambria Math"/>
          </w:rPr>
          <m:t xml:space="preserve"> </m:t>
        </m:r>
        <m:f>
          <m:fPr>
            <m:ctrlPr>
              <w:rPr>
                <w:rFonts w:ascii="Cambria Math" w:hAnsi="Cambria Math"/>
              </w:rPr>
            </m:ctrlPr>
          </m:fPr>
          <m:num>
            <m:r>
              <m:rPr>
                <m:sty m:val="p"/>
              </m:rPr>
              <w:rPr>
                <w:rFonts w:ascii="Cambria Math" w:hAnsi="Cambria Math"/>
              </w:rPr>
              <m:t>kWh</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yr</m:t>
            </m:r>
          </m:den>
        </m:f>
      </m:oMath>
      <w:r w:rsidRPr="00F14A80">
        <w:t>.</w:t>
      </w:r>
      <w:r>
        <w:t xml:space="preserve">  Since, most of the reactions involved in glass melting occur within a similar temperature range, this was considered an appropriate value for this analysis of solar-heated glass production. Also, </w:t>
      </w:r>
      <m:oMath>
        <m:sSubSup>
          <m:sSubSupPr>
            <m:ctrlPr>
              <w:rPr>
                <w:rFonts w:ascii="Cambria Math" w:hAnsi="Cambria Math"/>
                <w:i/>
              </w:rPr>
            </m:ctrlPr>
          </m:sSubSupPr>
          <m:e>
            <m:r>
              <w:rPr>
                <w:rFonts w:ascii="Cambria Math" w:hAnsi="Cambria Math"/>
              </w:rPr>
              <m:t>H</m:t>
            </m:r>
          </m:e>
          <m:sub>
            <m:r>
              <w:rPr>
                <w:rFonts w:ascii="Cambria Math" w:hAnsi="Cambria Math"/>
              </w:rPr>
              <m:t>op</m:t>
            </m:r>
          </m:sub>
          <m:sup>
            <m:r>
              <w:rPr>
                <w:rFonts w:ascii="Cambria Math" w:hAnsi="Cambria Math"/>
              </w:rPr>
              <m:t>yr</m:t>
            </m:r>
          </m:sup>
        </m:sSubSup>
      </m:oMath>
      <w:r>
        <w:t>=</w:t>
      </w:r>
      <w:r w:rsidR="000A5E71">
        <w:t xml:space="preserve">2677 </w:t>
      </w:r>
      <w:r>
        <w:t xml:space="preserve">h/y </w:t>
      </w:r>
      <w:r>
        <w:fldChar w:fldCharType="begin" w:fldLock="1"/>
      </w:r>
      <w:r w:rsidR="00875DEE">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fldChar w:fldCharType="separate"/>
      </w:r>
      <w:r w:rsidR="00875DEE" w:rsidRPr="00875DEE">
        <w:rPr>
          <w:noProof/>
        </w:rPr>
        <w:t>(Meier et al. 2005)</w:t>
      </w:r>
      <w:r>
        <w:fldChar w:fldCharType="end"/>
      </w:r>
      <w:r>
        <w:t xml:space="preserve">, is the average number of hours per year in which the solar radiation is within the range corresponding to </w:t>
      </w:r>
      <m:oMath>
        <m:sSubSup>
          <m:sSubSupPr>
            <m:ctrlPr>
              <w:rPr>
                <w:rFonts w:ascii="Cambria Math" w:eastAsia="Calibri" w:hAnsi="Cambria Math" w:cs="Times New Roman"/>
                <w:i/>
              </w:rPr>
            </m:ctrlPr>
          </m:sSubSupPr>
          <m:e>
            <m:r>
              <w:rPr>
                <w:rFonts w:ascii="Cambria Math" w:eastAsia="Calibri" w:hAnsi="Cambria Math" w:cs="Times New Roman"/>
              </w:rPr>
              <m:t>q</m:t>
            </m:r>
          </m:e>
          <m:sub>
            <m:r>
              <w:rPr>
                <w:rFonts w:ascii="Cambria Math" w:eastAsia="Calibri" w:hAnsi="Cambria Math" w:cs="Times New Roman"/>
              </w:rPr>
              <m:t>sol</m:t>
            </m:r>
          </m:sub>
          <m:sup>
            <m:r>
              <w:rPr>
                <w:rFonts w:ascii="Cambria Math" w:eastAsia="Calibri" w:hAnsi="Cambria Math" w:cs="Times New Roman"/>
              </w:rPr>
              <m:t>yr</m:t>
            </m:r>
          </m:sup>
        </m:sSubSup>
      </m:oMath>
      <w:r>
        <w:t xml:space="preserve"> . </w:t>
      </w:r>
      <w:r w:rsidR="00F14A80">
        <w:t>I</w:t>
      </w:r>
      <w:r>
        <w:t>n order to allow for 7</w:t>
      </w:r>
      <w:r w:rsidRPr="00333A58">
        <w:t xml:space="preserve"> days </w:t>
      </w:r>
      <w:r>
        <w:t xml:space="preserve">of planned annual maintenance, </w:t>
      </w:r>
      <m:oMath>
        <m:sSubSup>
          <m:sSubSupPr>
            <m:ctrlPr>
              <w:rPr>
                <w:rFonts w:ascii="Cambria Math" w:hAnsi="Cambria Math"/>
              </w:rPr>
            </m:ctrlPr>
          </m:sSubSupPr>
          <m:e>
            <m:r>
              <w:rPr>
                <w:rFonts w:ascii="Cambria Math" w:hAnsi="Cambria Math"/>
              </w:rPr>
              <m:t>D</m:t>
            </m:r>
          </m:e>
          <m:sub>
            <m:r>
              <w:rPr>
                <w:rFonts w:ascii="Cambria Math" w:hAnsi="Cambria Math"/>
              </w:rPr>
              <m:t>op</m:t>
            </m:r>
          </m:sub>
          <m:sup>
            <m:r>
              <w:rPr>
                <w:rFonts w:ascii="Cambria Math" w:hAnsi="Cambria Math"/>
              </w:rPr>
              <m:t>yr</m:t>
            </m:r>
          </m:sup>
        </m:sSubSup>
      </m:oMath>
      <w:r w:rsidRPr="00333A58">
        <w:t xml:space="preserve"> </w:t>
      </w:r>
      <w:r>
        <w:t>=358 d/y is the assumed number of days of operation per year. Accordingly, t</w:t>
      </w:r>
      <w:r w:rsidRPr="00333A58">
        <w:t>he average number of hours of solar powered glass melting and fining per day (</w:t>
      </w:r>
      <m:oMath>
        <m:sSubSup>
          <m:sSubSupPr>
            <m:ctrlPr>
              <w:rPr>
                <w:rFonts w:ascii="Cambria Math" w:hAnsi="Cambria Math"/>
                <w:i/>
              </w:rPr>
            </m:ctrlPr>
          </m:sSubSupPr>
          <m:e>
            <m:r>
              <w:rPr>
                <w:rFonts w:ascii="Cambria Math" w:hAnsi="Cambria Math"/>
              </w:rPr>
              <m:t xml:space="preserve">H </m:t>
            </m:r>
          </m:e>
          <m:sub>
            <m:r>
              <w:rPr>
                <w:rFonts w:ascii="Cambria Math" w:hAnsi="Cambria Math"/>
              </w:rPr>
              <m:t>op</m:t>
            </m:r>
          </m:sub>
          <m:sup>
            <m:r>
              <w:rPr>
                <w:rFonts w:ascii="Cambria Math" w:hAnsi="Cambria Math"/>
              </w:rPr>
              <m:t>day</m:t>
            </m:r>
          </m:sup>
        </m:sSubSup>
      </m:oMath>
      <w:r w:rsidRPr="00333A58">
        <w:t xml:space="preserve">) is given by </w:t>
      </w:r>
      <w:r w:rsidRPr="00333A58">
        <w:fldChar w:fldCharType="begin"/>
      </w:r>
      <w:r w:rsidRPr="00333A58">
        <w:instrText xml:space="preserve"> REF _Ref444428619 \h </w:instrText>
      </w:r>
      <w:r>
        <w:instrText xml:space="preserve"> \* MERGEFORMAT </w:instrText>
      </w:r>
      <w:r w:rsidRPr="00333A58">
        <w:fldChar w:fldCharType="separate"/>
      </w:r>
      <w:r w:rsidR="00820EB1" w:rsidRPr="00333A58">
        <w:t xml:space="preserve">Equation </w:t>
      </w:r>
      <w:r w:rsidR="00820EB1">
        <w:rPr>
          <w:noProof/>
        </w:rPr>
        <w:t>16</w:t>
      </w:r>
      <w:r w:rsidRPr="00333A58">
        <w:fldChar w:fldCharType="end"/>
      </w:r>
      <w:r>
        <w:t xml:space="preserve"> and t</w:t>
      </w:r>
      <w:r w:rsidRPr="00333A58">
        <w:t xml:space="preserve">he average solar intensity </w:t>
      </w:r>
      <w:r>
        <w:t xml:space="preserve">at the beam inlet aperture </w:t>
      </w:r>
      <w:r w:rsidRPr="00333A58">
        <w:t>(</w:t>
      </w:r>
      <m:oMath>
        <m:sSub>
          <m:sSubPr>
            <m:ctrlPr>
              <w:rPr>
                <w:rFonts w:ascii="Cambria Math" w:eastAsia="Calibri" w:hAnsi="Cambria Math" w:cs="Times New Roman"/>
                <w:i/>
              </w:rPr>
            </m:ctrlPr>
          </m:sSubPr>
          <m:e>
            <m:r>
              <w:rPr>
                <w:rFonts w:ascii="Cambria Math" w:eastAsia="Calibri" w:hAnsi="Cambria Math" w:cs="Times New Roman"/>
              </w:rPr>
              <m:t>q</m:t>
            </m:r>
          </m:e>
          <m:sub>
            <m:r>
              <w:rPr>
                <w:rFonts w:ascii="Cambria Math" w:eastAsia="Calibri" w:hAnsi="Cambria Math" w:cs="Times New Roman"/>
              </w:rPr>
              <m:t>sol</m:t>
            </m:r>
          </m:sub>
        </m:sSub>
      </m:oMath>
      <w:r w:rsidRPr="00333A58">
        <w:t xml:space="preserve">) </w:t>
      </w:r>
      <w:r>
        <w:t xml:space="preserve">of the furnace </w:t>
      </w:r>
      <w:r w:rsidRPr="00333A58">
        <w:t xml:space="preserve">during this period is given by </w:t>
      </w:r>
      <w:r w:rsidRPr="00333A58">
        <w:fldChar w:fldCharType="begin"/>
      </w:r>
      <w:r w:rsidRPr="00333A58">
        <w:instrText xml:space="preserve"> REF _Ref444429339 \h </w:instrText>
      </w:r>
      <w:r>
        <w:instrText xml:space="preserve"> \* MERGEFORMAT </w:instrText>
      </w:r>
      <w:r w:rsidRPr="00333A58">
        <w:fldChar w:fldCharType="separate"/>
      </w:r>
      <w:r w:rsidR="00820EB1" w:rsidRPr="00333A58">
        <w:t xml:space="preserve">Equation </w:t>
      </w:r>
      <w:r w:rsidR="00820EB1">
        <w:rPr>
          <w:noProof/>
        </w:rPr>
        <w:t>17</w:t>
      </w:r>
      <w:r w:rsidRPr="00333A58">
        <w:fldChar w:fldCharType="end"/>
      </w:r>
      <w:r w:rsidRPr="00333A58">
        <w:t>.</w:t>
      </w:r>
    </w:p>
    <w:tbl>
      <w:tblPr>
        <w:tblStyle w:val="TableGrid"/>
        <w:tblpPr w:leftFromText="180" w:rightFromText="180" w:vertAnchor="text" w:horzAnchor="margin" w:tblpYSpec="inside"/>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436"/>
        <w:gridCol w:w="1418"/>
        <w:gridCol w:w="2551"/>
        <w:gridCol w:w="851"/>
        <w:gridCol w:w="1366"/>
      </w:tblGrid>
      <w:tr w:rsidR="00452FE4" w:rsidRPr="00333A58" w14:paraId="36927BB0" w14:textId="77777777" w:rsidTr="00EA4BBA">
        <w:trPr>
          <w:trHeight w:val="261"/>
        </w:trPr>
        <w:tc>
          <w:tcPr>
            <w:tcW w:w="2394" w:type="dxa"/>
            <w:vAlign w:val="center"/>
          </w:tcPr>
          <w:p w14:paraId="2894379D" w14:textId="77777777" w:rsidR="00452FE4" w:rsidRPr="00333A58" w:rsidRDefault="00A47317" w:rsidP="00EA4BBA">
            <w:pPr>
              <w:jc w:val="right"/>
            </w:pPr>
            <m:oMath>
              <m:sSubSup>
                <m:sSubSupPr>
                  <m:ctrlPr>
                    <w:rPr>
                      <w:rFonts w:ascii="Cambria Math" w:hAnsi="Cambria Math"/>
                    </w:rPr>
                  </m:ctrlPr>
                </m:sSubSupPr>
                <m:e>
                  <m:r>
                    <w:rPr>
                      <w:rFonts w:ascii="Cambria Math" w:hAnsi="Cambria Math"/>
                    </w:rPr>
                    <m:t>H</m:t>
                  </m:r>
                  <m:r>
                    <m:rPr>
                      <m:sty m:val="p"/>
                    </m:rPr>
                    <w:rPr>
                      <w:rFonts w:ascii="Cambria Math" w:hAnsi="Cambria Math"/>
                    </w:rPr>
                    <m:t xml:space="preserve"> </m:t>
                  </m:r>
                </m:e>
                <m:sub>
                  <m:r>
                    <w:rPr>
                      <w:rFonts w:ascii="Cambria Math" w:hAnsi="Cambria Math"/>
                    </w:rPr>
                    <m:t>op</m:t>
                  </m:r>
                </m:sub>
                <m:sup>
                  <m:r>
                    <w:rPr>
                      <w:rFonts w:ascii="Cambria Math" w:hAnsi="Cambria Math"/>
                    </w:rPr>
                    <m:t>day</m:t>
                  </m:r>
                </m:sup>
              </m:sSubSup>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H</m:t>
                      </m:r>
                    </m:e>
                    <m:sub>
                      <m:r>
                        <w:rPr>
                          <w:rFonts w:ascii="Cambria Math" w:hAnsi="Cambria Math"/>
                        </w:rPr>
                        <m:t>op</m:t>
                      </m:r>
                    </m:sub>
                    <m:sup>
                      <m:r>
                        <w:rPr>
                          <w:rFonts w:ascii="Cambria Math" w:hAnsi="Cambria Math"/>
                        </w:rPr>
                        <m:t>yr</m:t>
                      </m:r>
                    </m:sup>
                  </m:sSubSup>
                </m:num>
                <m:den>
                  <m:sSubSup>
                    <m:sSubSupPr>
                      <m:ctrlPr>
                        <w:rPr>
                          <w:rFonts w:ascii="Cambria Math" w:hAnsi="Cambria Math"/>
                        </w:rPr>
                      </m:ctrlPr>
                    </m:sSubSupPr>
                    <m:e>
                      <m:r>
                        <w:rPr>
                          <w:rFonts w:ascii="Cambria Math" w:hAnsi="Cambria Math"/>
                        </w:rPr>
                        <m:t>D</m:t>
                      </m:r>
                    </m:e>
                    <m:sub>
                      <m:r>
                        <w:rPr>
                          <w:rFonts w:ascii="Cambria Math" w:hAnsi="Cambria Math"/>
                        </w:rPr>
                        <m:t>op</m:t>
                      </m:r>
                    </m:sub>
                    <m:sup>
                      <m:r>
                        <w:rPr>
                          <w:rFonts w:ascii="Cambria Math" w:hAnsi="Cambria Math"/>
                        </w:rPr>
                        <m:t>yr</m:t>
                      </m:r>
                    </m:sup>
                  </m:sSubSup>
                </m:den>
              </m:f>
            </m:oMath>
            <w:r w:rsidR="00452FE4">
              <w:t xml:space="preserve"> </w:t>
            </w:r>
          </w:p>
        </w:tc>
        <w:tc>
          <w:tcPr>
            <w:tcW w:w="436" w:type="dxa"/>
            <w:vAlign w:val="center"/>
          </w:tcPr>
          <w:p w14:paraId="592642EC" w14:textId="77777777" w:rsidR="00452FE4" w:rsidRPr="00333A58" w:rsidRDefault="00452FE4" w:rsidP="00EA4BBA">
            <w:pPr>
              <w:ind w:firstLine="0"/>
              <w:jc w:val="right"/>
            </w:pPr>
            <w:r>
              <w:t>…</w:t>
            </w:r>
          </w:p>
        </w:tc>
        <w:tc>
          <w:tcPr>
            <w:tcW w:w="1418" w:type="dxa"/>
            <w:vAlign w:val="center"/>
          </w:tcPr>
          <w:p w14:paraId="2BE23D1D" w14:textId="77777777" w:rsidR="00452FE4" w:rsidRDefault="00452FE4" w:rsidP="00EA4BBA">
            <w:pPr>
              <w:ind w:firstLine="0"/>
            </w:pPr>
            <w:bookmarkStart w:id="226" w:name="_Ref444428619"/>
            <w:r w:rsidRPr="00333A58">
              <w:t xml:space="preserve">Equation </w:t>
            </w:r>
            <w:r w:rsidR="00A47317">
              <w:fldChar w:fldCharType="begin"/>
            </w:r>
            <w:r w:rsidR="00A47317">
              <w:instrText xml:space="preserve"> SEQ Equation \* ARABIC </w:instrText>
            </w:r>
            <w:r w:rsidR="00A47317">
              <w:fldChar w:fldCharType="separate"/>
            </w:r>
            <w:r w:rsidR="00820EB1">
              <w:rPr>
                <w:noProof/>
              </w:rPr>
              <w:t>16</w:t>
            </w:r>
            <w:r w:rsidR="00A47317">
              <w:rPr>
                <w:noProof/>
              </w:rPr>
              <w:fldChar w:fldCharType="end"/>
            </w:r>
            <w:bookmarkEnd w:id="226"/>
            <w:r>
              <w:rPr>
                <w:noProof/>
              </w:rPr>
              <w:t xml:space="preserve"> ,</w:t>
            </w:r>
          </w:p>
        </w:tc>
        <w:tc>
          <w:tcPr>
            <w:tcW w:w="2551" w:type="dxa"/>
            <w:vAlign w:val="center"/>
          </w:tcPr>
          <w:p w14:paraId="214F5229" w14:textId="4C560F69" w:rsidR="00452FE4" w:rsidRPr="00333A58" w:rsidRDefault="00A47317" w:rsidP="00EA4BBA">
            <w:pPr>
              <w:jc w:val="right"/>
            </w:pPr>
            <m:oMath>
              <m:sSub>
                <m:sSubPr>
                  <m:ctrlPr>
                    <w:rPr>
                      <w:rFonts w:ascii="Cambria Math" w:eastAsia="Calibri" w:hAnsi="Cambria Math"/>
                    </w:rPr>
                  </m:ctrlPr>
                </m:sSubPr>
                <m:e>
                  <m:r>
                    <w:rPr>
                      <w:rFonts w:ascii="Cambria Math" w:eastAsia="Calibri" w:hAnsi="Cambria Math"/>
                    </w:rPr>
                    <m:t>q</m:t>
                  </m:r>
                </m:e>
                <m:sub>
                  <m:r>
                    <w:rPr>
                      <w:rFonts w:ascii="Cambria Math" w:eastAsia="Calibri" w:hAnsi="Cambria Math"/>
                    </w:rPr>
                    <m:t>sol</m:t>
                  </m:r>
                </m:sub>
              </m:sSub>
              <m:r>
                <m:rPr>
                  <m:sty m:val="p"/>
                </m:rPr>
                <w:rPr>
                  <w:rFonts w:ascii="Cambria Math" w:eastAsia="Calibri" w:hAnsi="Cambria Math"/>
                </w:rPr>
                <m:t>=</m:t>
              </m:r>
              <m:f>
                <m:fPr>
                  <m:ctrlPr>
                    <w:rPr>
                      <w:rFonts w:ascii="Cambria Math" w:eastAsia="Calibri" w:hAnsi="Cambria Math"/>
                    </w:rPr>
                  </m:ctrlPr>
                </m:fPr>
                <m:num>
                  <m:sSubSup>
                    <m:sSubSupPr>
                      <m:ctrlPr>
                        <w:rPr>
                          <w:rFonts w:ascii="Cambria Math" w:eastAsia="Calibri" w:hAnsi="Cambria Math"/>
                        </w:rPr>
                      </m:ctrlPr>
                    </m:sSubSupPr>
                    <m:e>
                      <m:r>
                        <w:rPr>
                          <w:rFonts w:ascii="Cambria Math" w:eastAsia="Calibri" w:hAnsi="Cambria Math"/>
                        </w:rPr>
                        <m:t>q</m:t>
                      </m:r>
                    </m:e>
                    <m:sub>
                      <m:r>
                        <w:rPr>
                          <w:rFonts w:ascii="Cambria Math" w:eastAsia="Calibri" w:hAnsi="Cambria Math"/>
                        </w:rPr>
                        <m:t>sol</m:t>
                      </m:r>
                    </m:sub>
                    <m:sup>
                      <m:r>
                        <w:rPr>
                          <w:rFonts w:ascii="Cambria Math" w:eastAsia="Calibri" w:hAnsi="Cambria Math"/>
                        </w:rPr>
                        <m:t>yr</m:t>
                      </m:r>
                    </m:sup>
                  </m:sSubSup>
                  <m:r>
                    <m:rPr>
                      <m:sty m:val="p"/>
                    </m:rPr>
                    <w:rPr>
                      <w:rFonts w:ascii="Cambria Math" w:eastAsia="Calibri" w:hAnsi="Cambria Math"/>
                    </w:rPr>
                    <m:t>×</m:t>
                  </m:r>
                  <m:f>
                    <m:fPr>
                      <m:type m:val="skw"/>
                      <m:ctrlPr>
                        <w:rPr>
                          <w:rFonts w:ascii="Cambria Math" w:eastAsia="Calibri" w:hAnsi="Cambria Math"/>
                        </w:rPr>
                      </m:ctrlPr>
                    </m:fPr>
                    <m:num>
                      <m:r>
                        <w:rPr>
                          <w:rFonts w:ascii="Cambria Math" w:eastAsia="Calibri" w:hAnsi="Cambria Math"/>
                        </w:rPr>
                        <m:t>1000</m:t>
                      </m:r>
                      <m:r>
                        <m:rPr>
                          <m:sty m:val="p"/>
                        </m:rPr>
                        <w:rPr>
                          <w:rFonts w:ascii="Cambria Math" w:eastAsia="Calibri" w:hAnsi="Cambria Math"/>
                        </w:rPr>
                        <m:t>W</m:t>
                      </m:r>
                    </m:num>
                    <m:den>
                      <m:r>
                        <m:rPr>
                          <m:sty m:val="p"/>
                        </m:rPr>
                        <w:rPr>
                          <w:rFonts w:ascii="Cambria Math" w:eastAsia="Calibri" w:hAnsi="Cambria Math"/>
                        </w:rPr>
                        <m:t>kW</m:t>
                      </m:r>
                    </m:den>
                  </m:f>
                  <m:r>
                    <m:rPr>
                      <m:sty m:val="p"/>
                    </m:rPr>
                    <w:rPr>
                      <w:rFonts w:ascii="Cambria Math" w:eastAsia="Calibri" w:hAnsi="Cambria Math"/>
                    </w:rPr>
                    <m:t xml:space="preserve"> </m:t>
                  </m:r>
                </m:num>
                <m:den>
                  <m:sSubSup>
                    <m:sSubSupPr>
                      <m:ctrlPr>
                        <w:rPr>
                          <w:rFonts w:ascii="Cambria Math" w:hAnsi="Cambria Math"/>
                        </w:rPr>
                      </m:ctrlPr>
                    </m:sSubSupPr>
                    <m:e>
                      <m:r>
                        <w:rPr>
                          <w:rFonts w:ascii="Cambria Math" w:hAnsi="Cambria Math"/>
                        </w:rPr>
                        <m:t>H</m:t>
                      </m:r>
                    </m:e>
                    <m:sub>
                      <m:r>
                        <w:rPr>
                          <w:rFonts w:ascii="Cambria Math" w:hAnsi="Cambria Math"/>
                        </w:rPr>
                        <m:t>op</m:t>
                      </m:r>
                    </m:sub>
                    <m:sup>
                      <m:r>
                        <w:rPr>
                          <w:rFonts w:ascii="Cambria Math" w:hAnsi="Cambria Math"/>
                        </w:rPr>
                        <m:t>yr</m:t>
                      </m:r>
                    </m:sup>
                  </m:sSubSup>
                </m:den>
              </m:f>
            </m:oMath>
            <w:r w:rsidR="00452FE4">
              <w:t xml:space="preserve"> </w:t>
            </w:r>
          </w:p>
        </w:tc>
        <w:tc>
          <w:tcPr>
            <w:tcW w:w="851" w:type="dxa"/>
            <w:vAlign w:val="center"/>
          </w:tcPr>
          <w:p w14:paraId="7B0FB373" w14:textId="77777777" w:rsidR="00452FE4" w:rsidRPr="00333A58" w:rsidRDefault="00452FE4" w:rsidP="00EA4BBA">
            <w:pPr>
              <w:ind w:firstLine="0"/>
              <w:jc w:val="right"/>
            </w:pPr>
            <w:r>
              <w:t>…</w:t>
            </w:r>
          </w:p>
        </w:tc>
        <w:tc>
          <w:tcPr>
            <w:tcW w:w="1366" w:type="dxa"/>
            <w:vAlign w:val="center"/>
          </w:tcPr>
          <w:p w14:paraId="24644AB3" w14:textId="77777777" w:rsidR="00452FE4" w:rsidRPr="00333A58" w:rsidRDefault="00452FE4" w:rsidP="00EA4BBA">
            <w:pPr>
              <w:ind w:firstLine="0"/>
            </w:pPr>
            <w:bookmarkStart w:id="227" w:name="_Ref444429339"/>
            <w:r w:rsidRPr="00333A58">
              <w:t xml:space="preserve">Equation </w:t>
            </w:r>
            <w:r w:rsidR="00A47317">
              <w:fldChar w:fldCharType="begin"/>
            </w:r>
            <w:r w:rsidR="00A47317">
              <w:instrText xml:space="preserve"> SEQ Equation \* ARABIC </w:instrText>
            </w:r>
            <w:r w:rsidR="00A47317">
              <w:fldChar w:fldCharType="separate"/>
            </w:r>
            <w:r w:rsidR="00820EB1">
              <w:rPr>
                <w:noProof/>
              </w:rPr>
              <w:t>17</w:t>
            </w:r>
            <w:r w:rsidR="00A47317">
              <w:rPr>
                <w:noProof/>
              </w:rPr>
              <w:fldChar w:fldCharType="end"/>
            </w:r>
            <w:bookmarkEnd w:id="227"/>
          </w:p>
        </w:tc>
      </w:tr>
    </w:tbl>
    <w:p w14:paraId="2C9FCD6E" w14:textId="135F9095" w:rsidR="00452FE4" w:rsidRDefault="00452FE4" w:rsidP="00EA4BBA">
      <w:pPr>
        <w:ind w:firstLine="0"/>
      </w:pPr>
      <w:r>
        <w:lastRenderedPageBreak/>
        <w:t>The melting rate is assumed to be approximately proportional to the beam intensity at the furnace inlet aperture. So, average melting rate expected using the real solar radiation intensity assumed to be available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sol</m:t>
            </m:r>
          </m:sub>
        </m:sSub>
        <m:r>
          <w:rPr>
            <w:rFonts w:ascii="Cambria Math" w:hAnsi="Cambria Math"/>
          </w:rPr>
          <m:t>)</m:t>
        </m:r>
      </m:oMath>
      <w:r>
        <w:t xml:space="preserve"> is given by </w:t>
      </w:r>
      <w:r>
        <w:fldChar w:fldCharType="begin"/>
      </w:r>
      <w:r>
        <w:instrText xml:space="preserve"> REF _Ref446149399 \h </w:instrText>
      </w:r>
      <w:r>
        <w:fldChar w:fldCharType="separate"/>
      </w:r>
      <w:r w:rsidR="00820EB1" w:rsidRPr="00333A58">
        <w:t xml:space="preserve">Equation </w:t>
      </w:r>
      <w:r w:rsidR="00820EB1">
        <w:rPr>
          <w:noProof/>
        </w:rPr>
        <w:t>18</w:t>
      </w:r>
      <w:r>
        <w:fldChar w:fldCharType="end"/>
      </w:r>
      <w:r>
        <w:t>.</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2"/>
        <w:gridCol w:w="1017"/>
        <w:gridCol w:w="1841"/>
      </w:tblGrid>
      <w:tr w:rsidR="00452FE4" w:rsidRPr="00333A58" w14:paraId="1696587B" w14:textId="77777777" w:rsidTr="00972C16">
        <w:trPr>
          <w:trHeight w:val="261"/>
        </w:trPr>
        <w:tc>
          <w:tcPr>
            <w:tcW w:w="5362" w:type="dxa"/>
            <w:vAlign w:val="center"/>
          </w:tcPr>
          <w:p w14:paraId="0998BB2C" w14:textId="77777777" w:rsidR="00452FE4" w:rsidRPr="00333A58" w:rsidRDefault="00A47317" w:rsidP="00EA4BBA">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 xml:space="preserve">sol </m:t>
                    </m:r>
                  </m:sub>
                </m:sSub>
                <m:r>
                  <m:rPr>
                    <m:sty m:val="p"/>
                  </m:rP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m</m:t>
                        </m:r>
                      </m:e>
                    </m:acc>
                  </m:e>
                  <m:sub>
                    <m:r>
                      <w:rPr>
                        <w:rFonts w:ascii="Cambria Math" w:hAnsi="Cambria Math"/>
                      </w:rPr>
                      <m:t>sim</m:t>
                    </m:r>
                  </m:sub>
                </m:sSub>
                <m:r>
                  <w:rPr>
                    <w:rFonts w:ascii="Cambria Math" w:hAnsi="Cambria Math"/>
                  </w:rPr>
                  <m:t>×</m:t>
                </m:r>
                <m:f>
                  <m:fPr>
                    <m:ctrlPr>
                      <w:rPr>
                        <w:rFonts w:ascii="Cambria Math" w:hAnsi="Cambria Math"/>
                        <w:i/>
                      </w:rPr>
                    </m:ctrlPr>
                  </m:fPr>
                  <m:num>
                    <m:sSub>
                      <m:sSubPr>
                        <m:ctrlPr>
                          <w:rPr>
                            <w:rFonts w:ascii="Cambria Math" w:eastAsia="Calibri" w:hAnsi="Cambria Math"/>
                          </w:rPr>
                        </m:ctrlPr>
                      </m:sSubPr>
                      <m:e>
                        <m:r>
                          <w:rPr>
                            <w:rFonts w:ascii="Cambria Math" w:eastAsia="Calibri" w:hAnsi="Cambria Math"/>
                          </w:rPr>
                          <m:t>q</m:t>
                        </m:r>
                      </m:e>
                      <m:sub>
                        <m:r>
                          <w:rPr>
                            <w:rFonts w:ascii="Cambria Math" w:eastAsia="Calibri" w:hAnsi="Cambria Math"/>
                          </w:rPr>
                          <m:t>sol</m:t>
                        </m:r>
                      </m:sub>
                    </m:sSub>
                    <m:r>
                      <w:rPr>
                        <w:rFonts w:ascii="Cambria Math" w:eastAsia="Calibri" w:hAnsi="Cambria Math"/>
                      </w:rPr>
                      <m:t>×C</m:t>
                    </m:r>
                  </m:num>
                  <m:den>
                    <m:sSub>
                      <m:sSubPr>
                        <m:ctrlPr>
                          <w:rPr>
                            <w:rFonts w:ascii="Cambria Math" w:hAnsi="Cambria Math"/>
                            <w:i/>
                          </w:rPr>
                        </m:ctrlPr>
                      </m:sSubPr>
                      <m:e>
                        <m:r>
                          <w:rPr>
                            <w:rFonts w:ascii="Cambria Math" w:hAnsi="Cambria Math"/>
                          </w:rPr>
                          <m:t>q</m:t>
                        </m:r>
                      </m:e>
                      <m:sub>
                        <m:r>
                          <w:rPr>
                            <w:rFonts w:ascii="Cambria Math" w:hAnsi="Cambria Math"/>
                          </w:rPr>
                          <m:t>sim</m:t>
                        </m:r>
                      </m:sub>
                    </m:sSub>
                  </m:den>
                </m:f>
              </m:oMath>
            </m:oMathPara>
          </w:p>
        </w:tc>
        <w:tc>
          <w:tcPr>
            <w:tcW w:w="1017" w:type="dxa"/>
            <w:vAlign w:val="center"/>
          </w:tcPr>
          <w:p w14:paraId="43514207" w14:textId="77777777" w:rsidR="00452FE4" w:rsidRPr="00333A58" w:rsidRDefault="00452FE4" w:rsidP="00EA4BBA">
            <w:pPr>
              <w:jc w:val="right"/>
            </w:pPr>
            <w:r>
              <w:t>…</w:t>
            </w:r>
          </w:p>
        </w:tc>
        <w:tc>
          <w:tcPr>
            <w:tcW w:w="1841" w:type="dxa"/>
            <w:vAlign w:val="center"/>
          </w:tcPr>
          <w:p w14:paraId="1F5EE57B" w14:textId="77777777" w:rsidR="00452FE4" w:rsidRPr="00333A58" w:rsidRDefault="00452FE4" w:rsidP="00EA4BBA">
            <w:bookmarkStart w:id="228" w:name="_Ref446149399"/>
            <w:r w:rsidRPr="00333A58">
              <w:t xml:space="preserve">Equation </w:t>
            </w:r>
            <w:r w:rsidR="00A47317">
              <w:fldChar w:fldCharType="begin"/>
            </w:r>
            <w:r w:rsidR="00A47317">
              <w:instrText xml:space="preserve"> SEQ Equation \* ARABIC </w:instrText>
            </w:r>
            <w:r w:rsidR="00A47317">
              <w:fldChar w:fldCharType="separate"/>
            </w:r>
            <w:r w:rsidR="00820EB1">
              <w:rPr>
                <w:noProof/>
              </w:rPr>
              <w:t>18</w:t>
            </w:r>
            <w:r w:rsidR="00A47317">
              <w:rPr>
                <w:noProof/>
              </w:rPr>
              <w:fldChar w:fldCharType="end"/>
            </w:r>
            <w:bookmarkEnd w:id="228"/>
          </w:p>
        </w:tc>
      </w:tr>
    </w:tbl>
    <w:p w14:paraId="20CD3463" w14:textId="14F87EB5" w:rsidR="00452FE4" w:rsidRDefault="00452FE4" w:rsidP="00EA4BBA">
      <w:pPr>
        <w:ind w:firstLine="0"/>
      </w:pPr>
      <w:r>
        <w:t xml:space="preserve">Where </w:t>
      </w:r>
      <m:oMath>
        <m:sSub>
          <m:sSubPr>
            <m:ctrlPr>
              <w:rPr>
                <w:rFonts w:ascii="Cambria Math" w:hAnsi="Cambria Math"/>
              </w:rPr>
            </m:ctrlPr>
          </m:sSubPr>
          <m:e>
            <m:acc>
              <m:accPr>
                <m:chr m:val="̇"/>
                <m:ctrlPr>
                  <w:rPr>
                    <w:rFonts w:ascii="Cambria Math" w:hAnsi="Cambria Math"/>
                    <w:i/>
                  </w:rPr>
                </m:ctrlPr>
              </m:accPr>
              <m:e>
                <m:r>
                  <w:rPr>
                    <w:rFonts w:ascii="Cambria Math" w:hAnsi="Cambria Math"/>
                  </w:rPr>
                  <m:t>m</m:t>
                </m:r>
              </m:e>
            </m:acc>
          </m:e>
          <m:sub>
            <m:r>
              <w:rPr>
                <w:rFonts w:ascii="Cambria Math" w:hAnsi="Cambria Math"/>
              </w:rPr>
              <m:t>sim</m:t>
            </m:r>
          </m:sub>
        </m:sSub>
      </m:oMath>
      <w:r>
        <w:t xml:space="preserve"> and </w:t>
      </w:r>
      <m:oMath>
        <m:sSub>
          <m:sSubPr>
            <m:ctrlPr>
              <w:rPr>
                <w:rFonts w:ascii="Cambria Math" w:hAnsi="Cambria Math"/>
                <w:i/>
              </w:rPr>
            </m:ctrlPr>
          </m:sSubPr>
          <m:e>
            <m:r>
              <w:rPr>
                <w:rFonts w:ascii="Cambria Math" w:hAnsi="Cambria Math"/>
              </w:rPr>
              <m:t>q</m:t>
            </m:r>
          </m:e>
          <m:sub>
            <m:r>
              <w:rPr>
                <w:rFonts w:ascii="Cambria Math" w:hAnsi="Cambria Math"/>
              </w:rPr>
              <m:t>sim</m:t>
            </m:r>
          </m:sub>
        </m:sSub>
      </m:oMath>
      <w:r>
        <w:t xml:space="preserve"> (</w:t>
      </w:r>
      <w:r w:rsidR="0000267C">
        <w:fldChar w:fldCharType="begin"/>
      </w:r>
      <w:r w:rsidR="0000267C">
        <w:instrText xml:space="preserve"> REF _Ref451210616 \h </w:instrText>
      </w:r>
      <w:r w:rsidR="0000267C">
        <w:fldChar w:fldCharType="separate"/>
      </w:r>
      <w:r w:rsidR="00820EB1">
        <w:t xml:space="preserve">Table </w:t>
      </w:r>
      <w:r w:rsidR="00820EB1">
        <w:rPr>
          <w:noProof/>
        </w:rPr>
        <w:t>6</w:t>
      </w:r>
      <w:r w:rsidR="0000267C">
        <w:fldChar w:fldCharType="end"/>
      </w:r>
      <w:r>
        <w:t xml:space="preserve">) are the average melting rate and beam intensity at the inlet aperture, measured during the experiments using simulated solar radiation. </w:t>
      </w:r>
      <m:oMath>
        <m:r>
          <w:rPr>
            <w:rFonts w:ascii="Cambria Math" w:eastAsia="Calibri" w:hAnsi="Cambria Math"/>
          </w:rPr>
          <m:t>C</m:t>
        </m:r>
      </m:oMath>
      <w:r>
        <w:t xml:space="preserve"> is the solar concentration ratio as explained in </w:t>
      </w:r>
      <w:r>
        <w:fldChar w:fldCharType="begin"/>
      </w:r>
      <w:r>
        <w:instrText xml:space="preserve"> REF _Ref446597200 \n \h </w:instrText>
      </w:r>
      <w:r>
        <w:fldChar w:fldCharType="separate"/>
      </w:r>
      <w:r w:rsidR="00820EB1">
        <w:t>6.5.1.2</w:t>
      </w:r>
      <w:r>
        <w:fldChar w:fldCharType="end"/>
      </w:r>
      <w:r>
        <w:t xml:space="preserve">.  Essentially, this accounts for the fact that the intensity of radiation used in the experiments using the solar simulator was slightly higher than that expected from the real solar radiation assumed to be available in this analysis. </w:t>
      </w:r>
      <w:r w:rsidR="00C409D3">
        <w:fldChar w:fldCharType="begin"/>
      </w:r>
      <w:r w:rsidR="00C409D3">
        <w:instrText xml:space="preserve"> REF _Ref457234116 \h </w:instrText>
      </w:r>
      <w:r w:rsidR="00C409D3">
        <w:fldChar w:fldCharType="separate"/>
      </w:r>
      <w:r w:rsidR="00820EB1" w:rsidRPr="00333A58">
        <w:t xml:space="preserve">Equation </w:t>
      </w:r>
      <w:r w:rsidR="00820EB1">
        <w:rPr>
          <w:noProof/>
        </w:rPr>
        <w:t>20</w:t>
      </w:r>
      <w:r w:rsidR="00C409D3">
        <w:fldChar w:fldCharType="end"/>
      </w:r>
      <w:r>
        <w:t xml:space="preserve"> is used to estimate t</w:t>
      </w:r>
      <w:r w:rsidRPr="00333A58">
        <w:t>he power required to be incident at the heliostat mirrors</w:t>
      </w:r>
      <w:r>
        <w:t xml:space="preserve"> (</w:t>
      </w:r>
      <m:oMath>
        <m:sSub>
          <m:sSubPr>
            <m:ctrlPr>
              <w:rPr>
                <w:rFonts w:ascii="Cambria Math" w:hAnsi="Cambria Math"/>
                <w:i/>
                <w:sz w:val="20"/>
              </w:rPr>
            </m:ctrlPr>
          </m:sSubPr>
          <m:e>
            <m:r>
              <w:rPr>
                <w:rFonts w:ascii="Cambria Math" w:hAnsi="Cambria Math"/>
                <w:sz w:val="20"/>
              </w:rPr>
              <m:t>Q</m:t>
            </m:r>
          </m:e>
          <m:sub>
            <m:r>
              <w:rPr>
                <w:rFonts w:ascii="Cambria Math" w:hAnsi="Cambria Math"/>
                <w:sz w:val="20"/>
              </w:rPr>
              <m:t>mirrors</m:t>
            </m:r>
          </m:sub>
        </m:sSub>
      </m:oMath>
      <w:r>
        <w:rPr>
          <w:sz w:val="20"/>
        </w:rPr>
        <w:t>)</w:t>
      </w:r>
      <w:r w:rsidRPr="00333A58">
        <w:t>, in order to provide sufficient power for the solar-heated glass furnace (</w:t>
      </w:r>
      <m:oMath>
        <m:sSub>
          <m:sSubPr>
            <m:ctrlPr>
              <w:rPr>
                <w:rFonts w:ascii="Cambria Math" w:hAnsi="Cambria Math"/>
                <w:i/>
              </w:rPr>
            </m:ctrlPr>
          </m:sSubPr>
          <m:e>
            <m:r>
              <w:rPr>
                <w:rFonts w:ascii="Cambria Math" w:hAnsi="Cambria Math"/>
              </w:rPr>
              <m:t>Q</m:t>
            </m:r>
          </m:e>
          <m:sub>
            <m:r>
              <w:rPr>
                <w:rFonts w:ascii="Cambria Math" w:hAnsi="Cambria Math"/>
              </w:rPr>
              <m:t>inlet</m:t>
            </m:r>
          </m:sub>
        </m:sSub>
        <m:r>
          <w:rPr>
            <w:rFonts w:ascii="Cambria Math" w:hAnsi="Cambria Math"/>
          </w:rPr>
          <m:t>)</m:t>
        </m:r>
      </m:oMath>
      <w:r>
        <w:t xml:space="preserve"> which is given by </w:t>
      </w:r>
      <w:r>
        <w:fldChar w:fldCharType="begin"/>
      </w:r>
      <w:r>
        <w:instrText xml:space="preserve"> REF _Ref445726798 \h  \* MERGEFORMAT </w:instrText>
      </w:r>
      <w:r>
        <w:fldChar w:fldCharType="separate"/>
      </w:r>
      <w:r w:rsidR="00820EB1" w:rsidRPr="00333A58">
        <w:t xml:space="preserve">Equation </w:t>
      </w:r>
      <w:r w:rsidR="00820EB1">
        <w:t>19</w:t>
      </w:r>
      <w:r>
        <w:fldChar w:fldCharType="end"/>
      </w:r>
      <w:r w:rsidRPr="00333A58">
        <w:t>.</w:t>
      </w:r>
    </w:p>
    <w:tbl>
      <w:tblPr>
        <w:tblStyle w:val="TableGrid"/>
        <w:tblpPr w:leftFromText="180" w:rightFromText="180" w:vertAnchor="text" w:horzAnchor="margin" w:tblpXSpec="center" w:tblpYSpec="inside"/>
        <w:tblW w:w="8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566"/>
        <w:gridCol w:w="2121"/>
      </w:tblGrid>
      <w:tr w:rsidR="00F14A80" w:rsidRPr="00333A58" w14:paraId="75672C1B" w14:textId="77777777" w:rsidTr="00684240">
        <w:trPr>
          <w:trHeight w:val="841"/>
        </w:trPr>
        <w:tc>
          <w:tcPr>
            <w:tcW w:w="5807" w:type="dxa"/>
            <w:vAlign w:val="center"/>
          </w:tcPr>
          <w:p w14:paraId="7B5F7B4D" w14:textId="7C70A545" w:rsidR="00F14A80" w:rsidRPr="00333A58" w:rsidRDefault="00A47317" w:rsidP="00F52EC2">
            <w:pPr>
              <w:ind w:firstLine="0"/>
              <w:jc w:val="center"/>
            </w:pPr>
            <m:oMathPara>
              <m:oMath>
                <m:sSub>
                  <m:sSubPr>
                    <m:ctrlPr>
                      <w:rPr>
                        <w:rFonts w:ascii="Cambria Math" w:hAnsi="Cambria Math"/>
                        <w:sz w:val="24"/>
                      </w:rPr>
                    </m:ctrlPr>
                  </m:sSubPr>
                  <m:e>
                    <m:r>
                      <w:rPr>
                        <w:rFonts w:ascii="Cambria Math" w:hAnsi="Cambria Math" w:hint="eastAsia"/>
                        <w:sz w:val="24"/>
                      </w:rPr>
                      <m:t>Q</m:t>
                    </m:r>
                  </m:e>
                  <m:sub>
                    <m:r>
                      <w:rPr>
                        <w:rFonts w:ascii="Cambria Math" w:hAnsi="Cambria Math" w:hint="eastAsia"/>
                        <w:sz w:val="24"/>
                      </w:rPr>
                      <m:t>inlet</m:t>
                    </m:r>
                  </m:sub>
                </m:sSub>
                <m:r>
                  <m:rPr>
                    <m:sty m:val="p"/>
                  </m:rPr>
                  <w:rPr>
                    <w:rFonts w:ascii="Cambria Math" w:hAnsi="Cambria Math" w:hint="eastAsia"/>
                    <w:sz w:val="24"/>
                  </w:rPr>
                  <m:t>=</m:t>
                </m:r>
                <m:f>
                  <m:fPr>
                    <m:ctrlPr>
                      <w:rPr>
                        <w:rFonts w:ascii="Cambria Math" w:hAnsi="Cambria Math"/>
                        <w:sz w:val="24"/>
                      </w:rPr>
                    </m:ctrlPr>
                  </m:fPr>
                  <m:num>
                    <m:sSub>
                      <m:sSubPr>
                        <m:ctrlPr>
                          <w:rPr>
                            <w:rFonts w:ascii="Cambria Math" w:hAnsi="Cambria Math"/>
                            <w:i/>
                            <w:sz w:val="24"/>
                          </w:rPr>
                        </m:ctrlPr>
                      </m:sSubPr>
                      <m:e>
                        <m:acc>
                          <m:accPr>
                            <m:chr m:val="̇"/>
                            <m:ctrlPr>
                              <w:rPr>
                                <w:rFonts w:ascii="Cambria Math" w:hAnsi="Cambria Math"/>
                                <w:i/>
                                <w:sz w:val="24"/>
                              </w:rPr>
                            </m:ctrlPr>
                          </m:accPr>
                          <m:e>
                            <m:r>
                              <w:rPr>
                                <w:rStyle w:val="SubtleEmphasis"/>
                                <w:rFonts w:ascii="Cambria Math" w:hAnsi="Cambria Math"/>
                              </w:rPr>
                              <m:t>γ</m:t>
                            </m:r>
                            <m:r>
                              <w:rPr>
                                <w:rFonts w:ascii="Cambria Math" w:hAnsi="Cambria Math" w:hint="eastAsia"/>
                                <w:sz w:val="24"/>
                              </w:rPr>
                              <m:t>m</m:t>
                            </m:r>
                          </m:e>
                        </m:acc>
                      </m:e>
                      <m:sub>
                        <m:r>
                          <w:rPr>
                            <w:rFonts w:ascii="Cambria Math" w:hAnsi="Cambria Math" w:hint="eastAsia"/>
                            <w:sz w:val="24"/>
                          </w:rPr>
                          <m:t>sol</m:t>
                        </m:r>
                      </m:sub>
                    </m:sSub>
                  </m:num>
                  <m:den>
                    <m:sSub>
                      <m:sSubPr>
                        <m:ctrlPr>
                          <w:rPr>
                            <w:rFonts w:ascii="Cambria Math" w:hAnsi="Cambria Math"/>
                            <w:sz w:val="24"/>
                          </w:rPr>
                        </m:ctrlPr>
                      </m:sSubPr>
                      <m:e>
                        <m:r>
                          <w:rPr>
                            <w:rFonts w:ascii="Cambria Math" w:hAnsi="Cambria Math"/>
                            <w:sz w:val="24"/>
                          </w:rPr>
                          <m:t>β</m:t>
                        </m:r>
                        <m:r>
                          <w:rPr>
                            <w:rFonts w:ascii="Cambria Math" w:hAnsi="Cambria Math" w:hint="eastAsia"/>
                            <w:sz w:val="24"/>
                          </w:rPr>
                          <m:t>η</m:t>
                        </m:r>
                      </m:e>
                      <m:sub>
                        <m:r>
                          <w:rPr>
                            <w:rFonts w:ascii="Cambria Math" w:hAnsi="Cambria Math" w:hint="eastAsia"/>
                            <w:sz w:val="24"/>
                          </w:rPr>
                          <m:t>gf</m:t>
                        </m:r>
                      </m:sub>
                    </m:sSub>
                  </m:den>
                </m:f>
              </m:oMath>
            </m:oMathPara>
          </w:p>
        </w:tc>
        <w:tc>
          <w:tcPr>
            <w:tcW w:w="566" w:type="dxa"/>
            <w:vAlign w:val="center"/>
          </w:tcPr>
          <w:p w14:paraId="49FC2B13" w14:textId="2742213B" w:rsidR="00F14A80" w:rsidRPr="00333A58" w:rsidRDefault="00F14A80" w:rsidP="00F14A80">
            <w:pPr>
              <w:ind w:firstLine="0"/>
              <w:jc w:val="right"/>
            </w:pPr>
            <w:r w:rsidRPr="004618D2">
              <w:rPr>
                <w:sz w:val="24"/>
              </w:rPr>
              <w:t>…</w:t>
            </w:r>
          </w:p>
        </w:tc>
        <w:tc>
          <w:tcPr>
            <w:tcW w:w="2121" w:type="dxa"/>
            <w:vAlign w:val="center"/>
          </w:tcPr>
          <w:p w14:paraId="190A21CD" w14:textId="1BBA026F" w:rsidR="00F14A80" w:rsidRDefault="00F14A80" w:rsidP="00684240">
            <w:pPr>
              <w:ind w:firstLine="0"/>
              <w:jc w:val="right"/>
            </w:pPr>
            <w:bookmarkStart w:id="229" w:name="_Ref445726798"/>
            <w:r w:rsidRPr="00333A58">
              <w:t xml:space="preserve">Equation </w:t>
            </w:r>
            <w:r w:rsidR="00A47317">
              <w:fldChar w:fldCharType="begin"/>
            </w:r>
            <w:r w:rsidR="00A47317">
              <w:instrText xml:space="preserve"> SEQ Equation \* ARABIC </w:instrText>
            </w:r>
            <w:r w:rsidR="00A47317">
              <w:fldChar w:fldCharType="separate"/>
            </w:r>
            <w:r w:rsidR="00820EB1">
              <w:rPr>
                <w:noProof/>
              </w:rPr>
              <w:t>19</w:t>
            </w:r>
            <w:r w:rsidR="00A47317">
              <w:rPr>
                <w:noProof/>
              </w:rPr>
              <w:fldChar w:fldCharType="end"/>
            </w:r>
            <w:bookmarkEnd w:id="229"/>
            <w:r>
              <w:rPr>
                <w:noProof/>
              </w:rPr>
              <w:t>,</w:t>
            </w:r>
          </w:p>
        </w:tc>
      </w:tr>
      <w:tr w:rsidR="00F14A80" w:rsidRPr="00333A58" w14:paraId="0937AC59" w14:textId="77777777" w:rsidTr="00F52EC2">
        <w:trPr>
          <w:trHeight w:val="261"/>
        </w:trPr>
        <w:tc>
          <w:tcPr>
            <w:tcW w:w="5807" w:type="dxa"/>
            <w:vAlign w:val="center"/>
          </w:tcPr>
          <w:p w14:paraId="33F0F168" w14:textId="162C0606" w:rsidR="00F14A80" w:rsidRDefault="00A47317" w:rsidP="00F52EC2">
            <w:pPr>
              <w:ind w:firstLine="0"/>
              <w:jc w:val="center"/>
              <w:rPr>
                <w:rFonts w:eastAsia="SimSun" w:cs="Arial"/>
              </w:rPr>
            </w:pPr>
            <m:oMathPara>
              <m:oMath>
                <m:sSub>
                  <m:sSubPr>
                    <m:ctrlPr>
                      <w:rPr>
                        <w:rFonts w:ascii="Cambria Math" w:hAnsi="Cambria Math"/>
                        <w:sz w:val="24"/>
                      </w:rPr>
                    </m:ctrlPr>
                  </m:sSubPr>
                  <m:e>
                    <m:r>
                      <w:rPr>
                        <w:rFonts w:ascii="Cambria Math" w:hAnsi="Cambria Math" w:hint="eastAsia"/>
                        <w:sz w:val="24"/>
                      </w:rPr>
                      <m:t>Q</m:t>
                    </m:r>
                  </m:e>
                  <m:sub>
                    <m:r>
                      <w:rPr>
                        <w:rFonts w:ascii="Cambria Math" w:hAnsi="Cambria Math" w:hint="eastAsia"/>
                        <w:sz w:val="24"/>
                      </w:rPr>
                      <m:t>mirrors</m:t>
                    </m:r>
                  </m:sub>
                </m:sSub>
                <m:r>
                  <m:rPr>
                    <m:sty m:val="p"/>
                  </m:rPr>
                  <w:rPr>
                    <w:rFonts w:ascii="Cambria Math" w:hAnsi="Cambria Math" w:hint="eastAsia"/>
                    <w:sz w:val="24"/>
                  </w:rPr>
                  <m:t>=</m:t>
                </m:r>
                <m:f>
                  <m:fPr>
                    <m:ctrlPr>
                      <w:rPr>
                        <w:rFonts w:ascii="Cambria Math" w:hAnsi="Cambria Math"/>
                        <w:sz w:val="24"/>
                      </w:rPr>
                    </m:ctrlPr>
                  </m:fPr>
                  <m:num>
                    <m:sSub>
                      <m:sSubPr>
                        <m:ctrlPr>
                          <w:rPr>
                            <w:rFonts w:ascii="Cambria Math" w:hAnsi="Cambria Math"/>
                            <w:sz w:val="24"/>
                          </w:rPr>
                        </m:ctrlPr>
                      </m:sSubPr>
                      <m:e>
                        <m:r>
                          <w:rPr>
                            <w:rFonts w:ascii="Cambria Math" w:hAnsi="Cambria Math" w:hint="eastAsia"/>
                            <w:sz w:val="24"/>
                          </w:rPr>
                          <m:t>Q</m:t>
                        </m:r>
                      </m:e>
                      <m:sub>
                        <m:r>
                          <w:rPr>
                            <w:rFonts w:ascii="Cambria Math" w:hAnsi="Cambria Math" w:hint="eastAsia"/>
                            <w:sz w:val="24"/>
                          </w:rPr>
                          <m:t>inlet</m:t>
                        </m:r>
                      </m:sub>
                    </m:sSub>
                  </m:num>
                  <m:den>
                    <m:sSub>
                      <m:sSubPr>
                        <m:ctrlPr>
                          <w:rPr>
                            <w:rFonts w:ascii="Cambria Math" w:hAnsi="Cambria Math"/>
                            <w:sz w:val="24"/>
                          </w:rPr>
                        </m:ctrlPr>
                      </m:sSubPr>
                      <m:e>
                        <m:r>
                          <w:rPr>
                            <w:rFonts w:ascii="Cambria Math" w:hAnsi="Cambria Math" w:hint="eastAsia"/>
                            <w:sz w:val="24"/>
                          </w:rPr>
                          <m:t>η</m:t>
                        </m:r>
                      </m:e>
                      <m:sub>
                        <m:r>
                          <w:rPr>
                            <w:rFonts w:ascii="Cambria Math" w:hAnsi="Cambria Math" w:hint="eastAsia"/>
                            <w:sz w:val="24"/>
                          </w:rPr>
                          <m:t>solar</m:t>
                        </m:r>
                        <m:r>
                          <m:rPr>
                            <m:sty m:val="p"/>
                          </m:rPr>
                          <w:rPr>
                            <w:rFonts w:ascii="Cambria Math" w:hAnsi="Cambria Math" w:hint="eastAsia"/>
                            <w:sz w:val="24"/>
                          </w:rPr>
                          <m:t xml:space="preserve"> </m:t>
                        </m:r>
                        <m:r>
                          <w:rPr>
                            <w:rFonts w:ascii="Cambria Math" w:hAnsi="Cambria Math" w:hint="eastAsia"/>
                            <w:sz w:val="24"/>
                          </w:rPr>
                          <m:t>conc</m:t>
                        </m:r>
                      </m:sub>
                    </m:sSub>
                  </m:den>
                </m:f>
              </m:oMath>
            </m:oMathPara>
          </w:p>
        </w:tc>
        <w:tc>
          <w:tcPr>
            <w:tcW w:w="566" w:type="dxa"/>
            <w:vAlign w:val="center"/>
          </w:tcPr>
          <w:p w14:paraId="1B78DE09" w14:textId="3D292430" w:rsidR="00F14A80" w:rsidRPr="00333A58" w:rsidRDefault="00F14A80" w:rsidP="00F14A80">
            <w:pPr>
              <w:ind w:firstLine="0"/>
              <w:jc w:val="right"/>
            </w:pPr>
            <w:r>
              <w:t>...</w:t>
            </w:r>
          </w:p>
        </w:tc>
        <w:tc>
          <w:tcPr>
            <w:tcW w:w="2121" w:type="dxa"/>
            <w:vAlign w:val="center"/>
          </w:tcPr>
          <w:p w14:paraId="3D69E29F" w14:textId="6A0D4E11" w:rsidR="00F14A80" w:rsidRPr="00333A58" w:rsidRDefault="00F14A80" w:rsidP="00F52EC2">
            <w:pPr>
              <w:ind w:firstLine="0"/>
              <w:jc w:val="right"/>
            </w:pPr>
            <w:bookmarkStart w:id="230" w:name="_Ref457234116"/>
            <w:r w:rsidRPr="00333A58">
              <w:t xml:space="preserve">Equation </w:t>
            </w:r>
            <w:r w:rsidR="00A47317">
              <w:fldChar w:fldCharType="begin"/>
            </w:r>
            <w:r w:rsidR="00A47317">
              <w:instrText xml:space="preserve"> SEQ Equation \* ARABIC </w:instrText>
            </w:r>
            <w:r w:rsidR="00A47317">
              <w:fldChar w:fldCharType="separate"/>
            </w:r>
            <w:r w:rsidR="00820EB1">
              <w:rPr>
                <w:noProof/>
              </w:rPr>
              <w:t>20</w:t>
            </w:r>
            <w:r w:rsidR="00A47317">
              <w:rPr>
                <w:noProof/>
              </w:rPr>
              <w:fldChar w:fldCharType="end"/>
            </w:r>
            <w:bookmarkEnd w:id="230"/>
          </w:p>
        </w:tc>
      </w:tr>
    </w:tbl>
    <w:p w14:paraId="1213EC84" w14:textId="6B812AC5" w:rsidR="00452FE4" w:rsidRDefault="00452FE4" w:rsidP="00EA4BBA">
      <w:pPr>
        <w:ind w:firstLine="0"/>
      </w:pPr>
      <w:r w:rsidRPr="00333A58">
        <w:t xml:space="preserve">Where </w:t>
      </w:r>
      <m:oMath>
        <m:sSub>
          <m:sSubPr>
            <m:ctrlPr>
              <w:rPr>
                <w:rFonts w:ascii="Cambria Math" w:hAnsi="Cambria Math"/>
                <w:i/>
              </w:rPr>
            </m:ctrlPr>
          </m:sSubPr>
          <m:e>
            <m:r>
              <w:rPr>
                <w:rFonts w:ascii="Cambria Math" w:hAnsi="Cambria Math"/>
              </w:rPr>
              <m:t>η</m:t>
            </m:r>
          </m:e>
          <m:sub>
            <m:r>
              <w:rPr>
                <w:rFonts w:ascii="Cambria Math" w:hAnsi="Cambria Math"/>
              </w:rPr>
              <m:t>gf</m:t>
            </m:r>
          </m:sub>
        </m:sSub>
      </m:oMath>
      <w:r w:rsidRPr="00333A58">
        <w:t xml:space="preserve"> </w:t>
      </w:r>
      <w:r>
        <w:t>is</w:t>
      </w:r>
      <w:r w:rsidRPr="00333A58">
        <w:t xml:space="preserve"> the glass melting rate and efficiency based on experi</w:t>
      </w:r>
      <w:r>
        <w:t>m</w:t>
      </w:r>
      <w:r w:rsidRPr="00333A58">
        <w:t>ents</w:t>
      </w:r>
      <w:r>
        <w:t>,</w:t>
      </w:r>
      <w:r w:rsidRPr="00333A58">
        <w:t xml:space="preserve"> </w:t>
      </w:r>
      <m:oMath>
        <m:r>
          <w:rPr>
            <w:rStyle w:val="SubtleEmphasis"/>
            <w:rFonts w:ascii="Cambria Math" w:hAnsi="Cambria Math"/>
            <w:sz w:val="20"/>
          </w:rPr>
          <m:t>γ</m:t>
        </m:r>
      </m:oMath>
      <w:r w:rsidRPr="00333A58">
        <w:rPr>
          <w:rStyle w:val="SubtleEmphasis"/>
          <w:sz w:val="20"/>
        </w:rPr>
        <w:t xml:space="preserve"> </w:t>
      </w:r>
      <w:r w:rsidRPr="00E442EB">
        <w:t>is the theoretical en</w:t>
      </w:r>
      <w:r>
        <w:t>ergy required for glass melting</w:t>
      </w:r>
      <w:r w:rsidR="00D80CD4" w:rsidRPr="00D80CD4">
        <w:t xml:space="preserve">, </w:t>
      </w:r>
      <m:oMath>
        <m:r>
          <w:rPr>
            <w:rFonts w:ascii="Cambria Math" w:hAnsi="Cambria Math" w:hint="eastAsia"/>
          </w:rPr>
          <m:t>β</m:t>
        </m:r>
      </m:oMath>
      <w:r w:rsidR="00D80CD4" w:rsidRPr="00F52EC2">
        <w:t xml:space="preserve"> is the batch factor</w:t>
      </w:r>
      <w:r w:rsidR="00D80CD4">
        <w:t xml:space="preserve"> (as explained in section 4.4)</w:t>
      </w:r>
      <w:r>
        <w:t xml:space="preserve"> and </w:t>
      </w:r>
      <m:oMath>
        <m:sSub>
          <m:sSubPr>
            <m:ctrlPr>
              <w:rPr>
                <w:rFonts w:ascii="Cambria Math" w:hAnsi="Cambria Math"/>
                <w:i/>
              </w:rPr>
            </m:ctrlPr>
          </m:sSubPr>
          <m:e>
            <m:r>
              <w:rPr>
                <w:rFonts w:ascii="Cambria Math" w:hAnsi="Cambria Math"/>
              </w:rPr>
              <m:t>η</m:t>
            </m:r>
          </m:e>
          <m:sub>
            <m:r>
              <w:rPr>
                <w:rFonts w:ascii="Cambria Math" w:hAnsi="Cambria Math"/>
              </w:rPr>
              <m:t xml:space="preserve">solar conc </m:t>
            </m:r>
          </m:sub>
        </m:sSub>
      </m:oMath>
      <w:r w:rsidRPr="00333A58">
        <w:t xml:space="preserve">is the fraction of </w:t>
      </w:r>
      <w:r>
        <w:t xml:space="preserve">the direct </w:t>
      </w:r>
      <w:r w:rsidRPr="00333A58">
        <w:t>solar radiation which is transferred from the collecting field of heliostat mirrors to the beam inlet aperture of the solar-heated glass furnace</w:t>
      </w:r>
      <w:r>
        <w:t xml:space="preserve"> </w:t>
      </w:r>
      <w:r w:rsidRPr="00333A58">
        <w:t>(</w:t>
      </w:r>
      <w:r w:rsidR="0000267C">
        <w:fldChar w:fldCharType="begin"/>
      </w:r>
      <w:r w:rsidR="0000267C">
        <w:instrText xml:space="preserve"> REF _Ref451210616 \h </w:instrText>
      </w:r>
      <w:r w:rsidR="0000267C">
        <w:fldChar w:fldCharType="separate"/>
      </w:r>
      <w:r w:rsidR="00820EB1">
        <w:t xml:space="preserve">Table </w:t>
      </w:r>
      <w:r w:rsidR="00820EB1">
        <w:rPr>
          <w:noProof/>
        </w:rPr>
        <w:t>6</w:t>
      </w:r>
      <w:r w:rsidR="0000267C">
        <w:fldChar w:fldCharType="end"/>
      </w:r>
      <w:r w:rsidRPr="00333A58">
        <w:t xml:space="preserve">). </w:t>
      </w:r>
      <m:oMath>
        <m:sSub>
          <m:sSubPr>
            <m:ctrlPr>
              <w:rPr>
                <w:rFonts w:ascii="Cambria Math" w:hAnsi="Cambria Math"/>
                <w:i/>
              </w:rPr>
            </m:ctrlPr>
          </m:sSubPr>
          <m:e>
            <m:r>
              <w:rPr>
                <w:rFonts w:ascii="Cambria Math" w:hAnsi="Cambria Math"/>
              </w:rPr>
              <m:t>η</m:t>
            </m:r>
          </m:e>
          <m:sub>
            <m:r>
              <w:rPr>
                <w:rFonts w:ascii="Cambria Math" w:hAnsi="Cambria Math"/>
              </w:rPr>
              <m:t xml:space="preserve">solar conc </m:t>
            </m:r>
          </m:sub>
        </m:sSub>
      </m:oMath>
      <w:r w:rsidRPr="00333A58">
        <w:t xml:space="preserve"> takes into account </w:t>
      </w:r>
      <w:r>
        <w:t xml:space="preserve">various losses associated with transferring the available direct solar radiation from the heliostat mirrored surfaces to the solar-heated glass furnace beam inlet as discussed in appendix ID7. Accordingly, </w:t>
      </w:r>
      <w:r>
        <w:fldChar w:fldCharType="begin"/>
      </w:r>
      <w:r>
        <w:instrText xml:space="preserve"> REF _Ref446503477 \h </w:instrText>
      </w:r>
      <w:r>
        <w:fldChar w:fldCharType="separate"/>
      </w:r>
      <w:r w:rsidR="00820EB1" w:rsidRPr="00333A58">
        <w:t xml:space="preserve">Equation </w:t>
      </w:r>
      <w:r w:rsidR="00820EB1">
        <w:rPr>
          <w:noProof/>
        </w:rPr>
        <w:t>21</w:t>
      </w:r>
      <w:r>
        <w:fldChar w:fldCharType="end"/>
      </w:r>
      <w:r w:rsidRPr="00333A58">
        <w:t xml:space="preserve"> is used to calculate the surface area of heliostat</w:t>
      </w:r>
      <w:r w:rsidR="00D70E1A">
        <w:t xml:space="preserve"> </w:t>
      </w:r>
      <w:r w:rsidRPr="00333A58">
        <w:t>mirrors (</w:t>
      </w:r>
      <m:oMath>
        <m:sSub>
          <m:sSubPr>
            <m:ctrlPr>
              <w:rPr>
                <w:rFonts w:ascii="Cambria Math" w:hAnsi="Cambria Math"/>
                <w:i/>
              </w:rPr>
            </m:ctrlPr>
          </m:sSubPr>
          <m:e>
            <m:r>
              <w:rPr>
                <w:rFonts w:ascii="Cambria Math" w:hAnsi="Cambria Math"/>
              </w:rPr>
              <m:t>A</m:t>
            </m:r>
          </m:e>
          <m:sub>
            <m:r>
              <w:rPr>
                <w:rFonts w:ascii="Cambria Math" w:hAnsi="Cambria Math"/>
              </w:rPr>
              <m:t>mirrors</m:t>
            </m:r>
          </m:sub>
        </m:sSub>
      </m:oMath>
      <w:r w:rsidRPr="00333A58">
        <w:t>) required to collect sufficient sunlight to power the solar-heated glass furnace.</w:t>
      </w:r>
      <w:r>
        <w:t xml:space="preserve"> </w:t>
      </w:r>
      <w:r w:rsidRPr="00333A58">
        <w:t xml:space="preserve">Where </w:t>
      </w:r>
      <m:oMath>
        <m:sSub>
          <m:sSubPr>
            <m:ctrlPr>
              <w:rPr>
                <w:rFonts w:ascii="Cambria Math" w:hAnsi="Cambria Math"/>
              </w:rPr>
            </m:ctrlPr>
          </m:sSubPr>
          <m:e>
            <m:r>
              <m:rPr>
                <m:sty m:val="p"/>
              </m:rPr>
              <w:rPr>
                <w:rFonts w:ascii="Cambria Math" w:hAnsi="Cambria Math"/>
              </w:rPr>
              <m:t>α</m:t>
            </m:r>
          </m:e>
          <m:sub>
            <m:r>
              <w:rPr>
                <w:rFonts w:ascii="Cambria Math" w:hAnsi="Cambria Math"/>
              </w:rPr>
              <m:t>heliostats</m:t>
            </m:r>
          </m:sub>
        </m:sSub>
        <m:r>
          <w:rPr>
            <w:rFonts w:ascii="Cambria Math" w:hAnsi="Cambria Math"/>
          </w:rPr>
          <m:t>=98%</m:t>
        </m:r>
      </m:oMath>
      <w:r w:rsidRPr="00333A58">
        <w:t xml:space="preserve"> accounts for time during which the heliostats are not available for use as they may require maintenance. Also, since the heliostat mirrors do not completely cover </w:t>
      </w:r>
      <w:r>
        <w:t>the land area which they occupy</w:t>
      </w:r>
      <w:r w:rsidRPr="00333A58">
        <w:t>, the area of the field (</w:t>
      </w:r>
      <m:oMath>
        <m:sSub>
          <m:sSubPr>
            <m:ctrlPr>
              <w:rPr>
                <w:rFonts w:ascii="Cambria Math" w:hAnsi="Cambria Math"/>
              </w:rPr>
            </m:ctrlPr>
          </m:sSubPr>
          <m:e>
            <m:r>
              <w:rPr>
                <w:rFonts w:ascii="Cambria Math" w:hAnsi="Cambria Math"/>
              </w:rPr>
              <m:t>A</m:t>
            </m:r>
          </m:e>
          <m:sub>
            <m:r>
              <w:rPr>
                <w:rFonts w:ascii="Cambria Math" w:hAnsi="Cambria Math"/>
              </w:rPr>
              <m:t>land mirrors</m:t>
            </m:r>
          </m:sub>
        </m:sSub>
        <m:r>
          <w:rPr>
            <w:rFonts w:ascii="Cambria Math" w:hAnsi="Cambria Math"/>
          </w:rPr>
          <m:t>)</m:t>
        </m:r>
      </m:oMath>
      <w:r w:rsidRPr="00333A58">
        <w:t xml:space="preserve"> requried to collect the required direct solar radiation during the day is given by </w:t>
      </w:r>
      <w:r w:rsidR="003865C0">
        <w:fldChar w:fldCharType="begin"/>
      </w:r>
      <w:r w:rsidR="003865C0">
        <w:instrText xml:space="preserve"> REF _Ref446503477 \h </w:instrText>
      </w:r>
      <w:r w:rsidR="003865C0">
        <w:fldChar w:fldCharType="separate"/>
      </w:r>
      <w:r w:rsidR="00820EB1" w:rsidRPr="00333A58">
        <w:t xml:space="preserve">Equation </w:t>
      </w:r>
      <w:r w:rsidR="00820EB1">
        <w:rPr>
          <w:noProof/>
        </w:rPr>
        <w:t>21</w:t>
      </w:r>
      <w:r w:rsidR="003865C0">
        <w:fldChar w:fldCharType="end"/>
      </w:r>
      <w:r w:rsidRPr="00333A58">
        <w:t>.</w:t>
      </w:r>
    </w:p>
    <w:tbl>
      <w:tblPr>
        <w:tblStyle w:val="TableGrid"/>
        <w:tblpPr w:leftFromText="180" w:rightFromText="180" w:vertAnchor="text" w:horzAnchor="margin" w:tblpYSpec="inside"/>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709"/>
        <w:gridCol w:w="1417"/>
      </w:tblGrid>
      <w:tr w:rsidR="00D70E1A" w:rsidRPr="00333A58" w14:paraId="6514DBDF" w14:textId="77777777" w:rsidTr="00684240">
        <w:trPr>
          <w:trHeight w:val="261"/>
        </w:trPr>
        <w:tc>
          <w:tcPr>
            <w:tcW w:w="6374" w:type="dxa"/>
            <w:vAlign w:val="center"/>
          </w:tcPr>
          <w:p w14:paraId="21653C3A" w14:textId="5BC8BD44" w:rsidR="00D70E1A" w:rsidRPr="00333A58" w:rsidRDefault="00A47317" w:rsidP="00F52EC2">
            <w:pPr>
              <w:ind w:firstLine="0"/>
              <w:jc w:val="center"/>
            </w:pPr>
            <m:oMathPara>
              <m:oMath>
                <m:sSub>
                  <m:sSubPr>
                    <m:ctrlPr>
                      <w:rPr>
                        <w:rFonts w:ascii="Cambria Math" w:hAnsi="Cambria Math"/>
                      </w:rPr>
                    </m:ctrlPr>
                  </m:sSubPr>
                  <m:e>
                    <m:r>
                      <w:rPr>
                        <w:rFonts w:ascii="Cambria Math" w:hAnsi="Cambria Math"/>
                      </w:rPr>
                      <m:t>A</m:t>
                    </m:r>
                  </m:e>
                  <m:sub>
                    <m:r>
                      <w:rPr>
                        <w:rFonts w:ascii="Cambria Math" w:hAnsi="Cambria Math"/>
                      </w:rPr>
                      <m:t>mirrors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Q</m:t>
                        </m:r>
                      </m:e>
                      <m:sub>
                        <m:r>
                          <w:rPr>
                            <w:rFonts w:ascii="Cambria Math" w:hAnsi="Cambria Math"/>
                          </w:rPr>
                          <m:t>mirrors</m:t>
                        </m:r>
                      </m:sub>
                    </m:sSub>
                  </m:num>
                  <m:den>
                    <m:sSub>
                      <m:sSubPr>
                        <m:ctrlPr>
                          <w:rPr>
                            <w:rFonts w:ascii="Cambria Math" w:hAnsi="Cambria Math"/>
                          </w:rPr>
                        </m:ctrlPr>
                      </m:sSubPr>
                      <m:e>
                        <m:r>
                          <w:rPr>
                            <w:rFonts w:ascii="Cambria Math" w:hAnsi="Cambria Math"/>
                          </w:rPr>
                          <m:t>q</m:t>
                        </m:r>
                      </m:e>
                      <m:sub>
                        <m:r>
                          <w:rPr>
                            <w:rFonts w:ascii="Cambria Math" w:hAnsi="Cambria Math"/>
                          </w:rPr>
                          <m:t>sol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w:rPr>
                            <w:rFonts w:ascii="Cambria Math" w:hAnsi="Cambria Math"/>
                          </w:rPr>
                          <m:t>heliostats</m:t>
                        </m:r>
                      </m:sub>
                    </m:sSub>
                    <m:r>
                      <m:rPr>
                        <m:sty m:val="p"/>
                      </m:rPr>
                      <w:rPr>
                        <w:rFonts w:ascii="Cambria Math" w:hAnsi="Cambria Math"/>
                      </w:rPr>
                      <m:t xml:space="preserve"> </m:t>
                    </m:r>
                  </m:den>
                </m:f>
              </m:oMath>
            </m:oMathPara>
          </w:p>
        </w:tc>
        <w:tc>
          <w:tcPr>
            <w:tcW w:w="709" w:type="dxa"/>
            <w:vAlign w:val="center"/>
          </w:tcPr>
          <w:p w14:paraId="43C4405B" w14:textId="77777777" w:rsidR="00D70E1A" w:rsidRPr="00333A58" w:rsidRDefault="00D70E1A" w:rsidP="00EA4BBA">
            <w:pPr>
              <w:ind w:firstLine="0"/>
              <w:jc w:val="right"/>
            </w:pPr>
            <w:r>
              <w:t>…</w:t>
            </w:r>
          </w:p>
        </w:tc>
        <w:tc>
          <w:tcPr>
            <w:tcW w:w="1417" w:type="dxa"/>
            <w:vAlign w:val="center"/>
          </w:tcPr>
          <w:p w14:paraId="5AE5C13E" w14:textId="5552CAD7" w:rsidR="00D70E1A" w:rsidRDefault="00D70E1A" w:rsidP="00684240">
            <w:pPr>
              <w:ind w:firstLine="0"/>
              <w:jc w:val="right"/>
            </w:pPr>
            <w:bookmarkStart w:id="231" w:name="_Ref446503477"/>
            <w:r w:rsidRPr="00333A58">
              <w:t xml:space="preserve">Equation </w:t>
            </w:r>
            <w:r w:rsidR="00A47317">
              <w:fldChar w:fldCharType="begin"/>
            </w:r>
            <w:r w:rsidR="00A47317">
              <w:instrText xml:space="preserve"> SEQ Equation \* ARABIC </w:instrText>
            </w:r>
            <w:r w:rsidR="00A47317">
              <w:fldChar w:fldCharType="separate"/>
            </w:r>
            <w:r w:rsidR="00820EB1">
              <w:rPr>
                <w:noProof/>
              </w:rPr>
              <w:t>21</w:t>
            </w:r>
            <w:r w:rsidR="00A47317">
              <w:rPr>
                <w:noProof/>
              </w:rPr>
              <w:fldChar w:fldCharType="end"/>
            </w:r>
            <w:bookmarkEnd w:id="231"/>
          </w:p>
        </w:tc>
      </w:tr>
      <w:tr w:rsidR="00D70E1A" w:rsidRPr="00333A58" w14:paraId="39C0B481" w14:textId="77777777" w:rsidTr="00F52EC2">
        <w:trPr>
          <w:trHeight w:val="261"/>
        </w:trPr>
        <w:tc>
          <w:tcPr>
            <w:tcW w:w="6374" w:type="dxa"/>
            <w:vAlign w:val="center"/>
          </w:tcPr>
          <w:p w14:paraId="0C79136A" w14:textId="23651143" w:rsidR="00D70E1A" w:rsidRDefault="00A47317" w:rsidP="00F52EC2">
            <w:pPr>
              <w:ind w:firstLine="0"/>
              <w:jc w:val="center"/>
              <w:rPr>
                <w:rFonts w:eastAsia="SimSun" w:cs="Arial"/>
              </w:rPr>
            </w:pPr>
            <m:oMathPara>
              <m:oMath>
                <m:sSub>
                  <m:sSubPr>
                    <m:ctrlPr>
                      <w:rPr>
                        <w:rFonts w:ascii="Cambria Math" w:hAnsi="Cambria Math"/>
                      </w:rPr>
                    </m:ctrlPr>
                  </m:sSubPr>
                  <m:e>
                    <m:r>
                      <w:rPr>
                        <w:rFonts w:ascii="Cambria Math" w:hAnsi="Cambria Math"/>
                      </w:rPr>
                      <m:t>A</m:t>
                    </m:r>
                  </m:e>
                  <m:sub>
                    <m:r>
                      <w:rPr>
                        <w:rFonts w:ascii="Cambria Math" w:hAnsi="Cambria Math"/>
                      </w:rPr>
                      <m:t>land</m:t>
                    </m:r>
                    <m:r>
                      <m:rPr>
                        <m:sty m:val="p"/>
                      </m:rPr>
                      <w:rPr>
                        <w:rFonts w:ascii="Cambria Math" w:hAnsi="Cambria Math"/>
                      </w:rPr>
                      <m:t xml:space="preserve"> </m:t>
                    </m:r>
                    <m:r>
                      <w:rPr>
                        <w:rFonts w:ascii="Cambria Math" w:hAnsi="Cambria Math"/>
                      </w:rPr>
                      <m:t>mirrors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mirrors</m:t>
                        </m:r>
                      </m:sub>
                    </m:sSub>
                  </m:num>
                  <m:den>
                    <m:sSub>
                      <m:sSubPr>
                        <m:ctrlPr>
                          <w:rPr>
                            <w:rFonts w:ascii="Cambria Math" w:hAnsi="Cambria Math"/>
                          </w:rPr>
                        </m:ctrlPr>
                      </m:sSubPr>
                      <m:e>
                        <m:r>
                          <w:rPr>
                            <w:rFonts w:ascii="Cambria Math" w:hAnsi="Cambria Math"/>
                          </w:rPr>
                          <m:t>η</m:t>
                        </m:r>
                      </m:e>
                      <m:sub>
                        <m:r>
                          <w:rPr>
                            <w:rFonts w:ascii="Cambria Math" w:hAnsi="Cambria Math"/>
                          </w:rPr>
                          <m:t>land</m:t>
                        </m:r>
                      </m:sub>
                    </m:sSub>
                  </m:den>
                </m:f>
              </m:oMath>
            </m:oMathPara>
          </w:p>
        </w:tc>
        <w:tc>
          <w:tcPr>
            <w:tcW w:w="709" w:type="dxa"/>
            <w:vAlign w:val="center"/>
          </w:tcPr>
          <w:p w14:paraId="1BEA78B7" w14:textId="08FF8376" w:rsidR="00D70E1A" w:rsidRDefault="00D70E1A" w:rsidP="00EA4BBA">
            <w:pPr>
              <w:ind w:firstLine="0"/>
              <w:jc w:val="right"/>
            </w:pPr>
            <w:r>
              <w:t>...</w:t>
            </w:r>
          </w:p>
        </w:tc>
        <w:tc>
          <w:tcPr>
            <w:tcW w:w="1417" w:type="dxa"/>
            <w:vAlign w:val="center"/>
          </w:tcPr>
          <w:p w14:paraId="0D25C898" w14:textId="75091786" w:rsidR="00D70E1A" w:rsidRPr="00333A58" w:rsidRDefault="00D70E1A" w:rsidP="00F52EC2">
            <w:pPr>
              <w:ind w:firstLine="0"/>
              <w:jc w:val="right"/>
            </w:pPr>
            <w:r w:rsidRPr="00333A58">
              <w:t xml:space="preserve">Equation </w:t>
            </w:r>
            <w:r w:rsidR="00A47317">
              <w:fldChar w:fldCharType="begin"/>
            </w:r>
            <w:r w:rsidR="00A47317">
              <w:instrText xml:space="preserve"> SEQ Equation \* ARABIC </w:instrText>
            </w:r>
            <w:r w:rsidR="00A47317">
              <w:fldChar w:fldCharType="separate"/>
            </w:r>
            <w:r w:rsidR="00820EB1">
              <w:rPr>
                <w:noProof/>
              </w:rPr>
              <w:t>22</w:t>
            </w:r>
            <w:r w:rsidR="00A47317">
              <w:rPr>
                <w:noProof/>
              </w:rPr>
              <w:fldChar w:fldCharType="end"/>
            </w:r>
          </w:p>
        </w:tc>
      </w:tr>
    </w:tbl>
    <w:p w14:paraId="6C43E681" w14:textId="7A2C27BB" w:rsidR="00452FE4" w:rsidRPr="00333A58" w:rsidRDefault="00452FE4" w:rsidP="00EA4BBA">
      <w:pPr>
        <w:ind w:firstLine="0"/>
      </w:pPr>
      <w:r w:rsidRPr="00333A58">
        <w:t xml:space="preserve">Where </w:t>
      </w:r>
      <m:oMath>
        <m:sSub>
          <m:sSubPr>
            <m:ctrlPr>
              <w:rPr>
                <w:rFonts w:ascii="Cambria Math" w:hAnsi="Cambria Math"/>
              </w:rPr>
            </m:ctrlPr>
          </m:sSubPr>
          <m:e>
            <m:r>
              <w:rPr>
                <w:rFonts w:ascii="Cambria Math" w:hAnsi="Cambria Math"/>
              </w:rPr>
              <m:t>η</m:t>
            </m:r>
          </m:e>
          <m:sub>
            <m:r>
              <w:rPr>
                <w:rFonts w:ascii="Cambria Math" w:hAnsi="Cambria Math"/>
              </w:rPr>
              <m:t>land</m:t>
            </m:r>
          </m:sub>
        </m:sSub>
        <m:r>
          <w:rPr>
            <w:rFonts w:ascii="Cambria Math" w:hAnsi="Cambria Math"/>
          </w:rPr>
          <m:t xml:space="preserve"> </m:t>
        </m:r>
      </m:oMath>
      <w:r w:rsidRPr="00333A58">
        <w:t>is the typical fraction of the land area which is covered by the collecting heliostat mirrors which is also known in the literature as the ‘heliostat packing density’</w:t>
      </w:r>
      <w:r>
        <w:t xml:space="preserve"> and is typically around 0.35 (</w:t>
      </w:r>
      <w:r>
        <w:fldChar w:fldCharType="begin" w:fldLock="1"/>
      </w:r>
      <w:r w:rsidR="00875DEE">
        <w:instrText>ADDIN CSL_CITATION { "citationItems" : [ { "id" : "ITEM-1", "itemData" : { "author" : [ { "dropping-particle" : "", "family" : "Epstein", "given" : "M", "non-dropping-particle" : "", "parse-names" : false, "suffix" : "" }, { "dropping-particle" : "", "family" : "Yogev", "given" : "A", "non-dropping-particle" : "", "parse-names" : false, "suffix" : "" }, { "dropping-particle" : "", "family" : "Hodara", "given" : "I", "non-dropping-particle" : "", "parse-names" : false, "suffix" : "" }, { "dropping-particle" : "", "family" : "Segal", "given" : "A", "non-dropping-particle" : "", "parse-names" : false, "suffix" : "" } ], "container-title" : "Sun Day Symposium", "id" : "ITEM-1", "issued" : { "date-parts" : [ [ "1996" ] ] }, "publisher" : "Weizmann Institute of Science", "publisher-place" : "Rehovot, Israel", "title" : "Results of a feasibility study on the possible use of the solar tower technology at the Dead Sea Works", "type" : "paper-conference" }, "uris" : [ "http://www.mendeley.com/documents/?uuid=7313f11b-517f-4fc5-8fd4-b9716d8a71e2" ] } ], "mendeley" : { "formattedCitation" : "(Epstein et al. 1996)", "manualFormatting" : "Epstein et al 1996)", "plainTextFormattedCitation" : "(Epstein et al. 1996)", "previouslyFormattedCitation" : "(Epstein et al. 1996)" }, "properties" : { "noteIndex" : 0 }, "schema" : "https://github.com/citation-style-language/schema/raw/master/csl-citation.json" }</w:instrText>
      </w:r>
      <w:r>
        <w:fldChar w:fldCharType="separate"/>
      </w:r>
      <w:r>
        <w:rPr>
          <w:noProof/>
        </w:rPr>
        <w:t>Epstein et al</w:t>
      </w:r>
      <w:r w:rsidRPr="00BF33B6">
        <w:rPr>
          <w:noProof/>
        </w:rPr>
        <w:t xml:space="preserve"> 1996)</w:t>
      </w:r>
      <w:r>
        <w:fldChar w:fldCharType="end"/>
      </w:r>
      <w:r>
        <w:t xml:space="preserve">, </w:t>
      </w:r>
      <w:r>
        <w:fldChar w:fldCharType="begin" w:fldLock="1"/>
      </w:r>
      <w:r w:rsidR="00875DEE">
        <w:instrText>ADDIN CSL_CITATION { "citationItems" : [ { "id" : "ITEM-1", "itemData" : { "author" : [ { "dropping-particle" : "", "family" : "Segal", "given" : "A", "non-dropping-particle" : "", "parse-names" : false, "suffix" : "" }, { "dropping-particle" : "", "family" : "Epstein", "given" : "M.", "non-dropping-particle" : "", "parse-names" : false, "suffix" : "" } ], "container-title" : "Solar Energy", "id" : "ITEM-1", "issued" : { "date-parts" : [ [ "1999" ] ] }, "page" : "207-26", "title" : "Comparative performance of tower-top and tower-reflector central solar receiver", "type" : "article-journal", "volume" : "65" }, "uris" : [ "http://www.mendeley.com/documents/?uuid=4f3f2113-65d5-475c-9fb3-341934278b87" ] } ], "mendeley" : { "formattedCitation" : "(Segal &amp; Epstein 1999)", "plainTextFormattedCitation" : "(Segal &amp; Epstein 1999)", "previouslyFormattedCitation" : "(Segal &amp; Epstein 1999)" }, "properties" : { "noteIndex" : 0 }, "schema" : "https://github.com/citation-style-language/schema/raw/master/csl-citation.json" }</w:instrText>
      </w:r>
      <w:r>
        <w:fldChar w:fldCharType="separate"/>
      </w:r>
      <w:r w:rsidR="00875DEE" w:rsidRPr="00875DEE">
        <w:rPr>
          <w:noProof/>
        </w:rPr>
        <w:t>(Segal &amp; Epstein 1999)</w:t>
      </w:r>
      <w:r>
        <w:fldChar w:fldCharType="end"/>
      </w:r>
      <w:r w:rsidRPr="00333A58">
        <w:t xml:space="preserve">. </w:t>
      </w:r>
      <w:r>
        <w:t>T</w:t>
      </w:r>
      <w:r w:rsidRPr="00333A58">
        <w:t>he time available per average day during which new glass forming batch can be melted (</w:t>
      </w:r>
      <m:oMath>
        <m:sSubSup>
          <m:sSubSupPr>
            <m:ctrlPr>
              <w:rPr>
                <w:rFonts w:ascii="Cambria Math" w:hAnsi="Cambria Math"/>
                <w:i/>
              </w:rPr>
            </m:ctrlPr>
          </m:sSubSupPr>
          <m:e>
            <m:r>
              <w:rPr>
                <w:rFonts w:ascii="Cambria Math" w:hAnsi="Cambria Math"/>
              </w:rPr>
              <m:t>H</m:t>
            </m:r>
          </m:e>
          <m:sub>
            <m:r>
              <w:rPr>
                <w:rFonts w:ascii="Cambria Math" w:hAnsi="Cambria Math"/>
              </w:rPr>
              <m:t>melting</m:t>
            </m:r>
          </m:sub>
          <m:sup>
            <m:r>
              <w:rPr>
                <w:rFonts w:ascii="Cambria Math" w:hAnsi="Cambria Math"/>
              </w:rPr>
              <m:t>day</m:t>
            </m:r>
          </m:sup>
        </m:sSubSup>
      </m:oMath>
      <w:r w:rsidRPr="00333A58">
        <w:t>)</w:t>
      </w:r>
      <w:r>
        <w:t xml:space="preserve"> is given by </w:t>
      </w:r>
      <w:r w:rsidRPr="00333A58">
        <w:fldChar w:fldCharType="begin"/>
      </w:r>
      <w:r w:rsidRPr="00333A58">
        <w:instrText xml:space="preserve"> REF _Ref444345048 \h </w:instrText>
      </w:r>
      <w:r>
        <w:instrText xml:space="preserve"> \* MERGEFORMAT </w:instrText>
      </w:r>
      <w:r w:rsidRPr="00333A58">
        <w:fldChar w:fldCharType="separate"/>
      </w:r>
      <w:r w:rsidR="00820EB1" w:rsidRPr="00333A58">
        <w:t xml:space="preserve">Equation </w:t>
      </w:r>
      <w:r w:rsidR="00820EB1">
        <w:rPr>
          <w:noProof/>
        </w:rPr>
        <w:t>23</w:t>
      </w:r>
      <w:r w:rsidRPr="00333A58">
        <w:fldChar w:fldCharType="end"/>
      </w:r>
      <w:r w:rsidRPr="00333A58">
        <w:t xml:space="preserve">. This accounts for the periods, based on </w:t>
      </w:r>
      <w:r>
        <w:t xml:space="preserve">the </w:t>
      </w:r>
      <w:r w:rsidRPr="00333A58">
        <w:t xml:space="preserve">experiments, required to initially preheat the furnace </w:t>
      </w:r>
      <w:r w:rsidRPr="00333A58">
        <w:lastRenderedPageBreak/>
        <w:t>(</w:t>
      </w:r>
      <m:oMath>
        <m:sSubSup>
          <m:sSubSupPr>
            <m:ctrlPr>
              <w:rPr>
                <w:rStyle w:val="SubtleEmphasis"/>
                <w:rFonts w:ascii="Cambria Math" w:hAnsi="Cambria Math"/>
                <w:i/>
                <w:sz w:val="20"/>
              </w:rPr>
            </m:ctrlPr>
          </m:sSubSupPr>
          <m:e>
            <m:r>
              <w:rPr>
                <w:rStyle w:val="SubtleEmphasis"/>
                <w:rFonts w:ascii="Cambria Math" w:hAnsi="Cambria Math"/>
                <w:sz w:val="20"/>
              </w:rPr>
              <m:t>H</m:t>
            </m:r>
          </m:e>
          <m:sub>
            <m:r>
              <w:rPr>
                <w:rStyle w:val="SubtleEmphasis"/>
                <w:rFonts w:ascii="Cambria Math" w:hAnsi="Cambria Math"/>
                <w:sz w:val="20"/>
              </w:rPr>
              <m:t>heat up</m:t>
            </m:r>
          </m:sub>
          <m:sup>
            <m:r>
              <w:rPr>
                <w:rStyle w:val="SubtleEmphasis"/>
                <w:rFonts w:ascii="Cambria Math" w:hAnsi="Cambria Math"/>
                <w:sz w:val="20"/>
              </w:rPr>
              <m:t>day</m:t>
            </m:r>
          </m:sup>
        </m:sSubSup>
        <m:r>
          <w:rPr>
            <w:rFonts w:ascii="Cambria Math" w:hAnsi="Cambria Math"/>
          </w:rPr>
          <m:t xml:space="preserve">=0.3 </m:t>
        </m:r>
        <m:r>
          <m:rPr>
            <m:sty m:val="p"/>
          </m:rPr>
          <w:rPr>
            <w:rFonts w:ascii="Cambria Math" w:hAnsi="Cambria Math"/>
          </w:rPr>
          <m:t>h/d</m:t>
        </m:r>
        <m:r>
          <w:rPr>
            <w:rFonts w:ascii="Cambria Math" w:hAnsi="Cambria Math"/>
          </w:rPr>
          <m:t>)</m:t>
        </m:r>
      </m:oMath>
      <w:r w:rsidRPr="00333A58">
        <w:t xml:space="preserve">  to the</w:t>
      </w:r>
      <w:r>
        <w:t xml:space="preserve"> melting</w:t>
      </w:r>
      <w:r w:rsidRPr="00333A58">
        <w:t xml:space="preserve"> temperature and the </w:t>
      </w:r>
      <w:r>
        <w:t>period</w:t>
      </w:r>
      <w:r w:rsidRPr="00333A58">
        <w:t xml:space="preserve"> after melting, required for fining (</w:t>
      </w:r>
      <m:oMath>
        <m:sSubSup>
          <m:sSubSupPr>
            <m:ctrlPr>
              <w:rPr>
                <w:rStyle w:val="SubtleEmphasis"/>
                <w:rFonts w:ascii="Cambria Math" w:hAnsi="Cambria Math"/>
                <w:i/>
                <w:sz w:val="20"/>
              </w:rPr>
            </m:ctrlPr>
          </m:sSubSupPr>
          <m:e>
            <m:r>
              <w:rPr>
                <w:rStyle w:val="SubtleEmphasis"/>
                <w:rFonts w:ascii="Cambria Math" w:hAnsi="Cambria Math"/>
                <w:sz w:val="20"/>
              </w:rPr>
              <m:t>H</m:t>
            </m:r>
          </m:e>
          <m:sub>
            <m:r>
              <w:rPr>
                <w:rStyle w:val="SubtleEmphasis"/>
                <w:rFonts w:ascii="Cambria Math" w:hAnsi="Cambria Math"/>
                <w:sz w:val="20"/>
              </w:rPr>
              <m:t>fining</m:t>
            </m:r>
          </m:sub>
          <m:sup>
            <m:r>
              <w:rPr>
                <w:rStyle w:val="SubtleEmphasis"/>
                <w:rFonts w:ascii="Cambria Math" w:hAnsi="Cambria Math"/>
                <w:sz w:val="20"/>
              </w:rPr>
              <m:t>day</m:t>
            </m:r>
          </m:sup>
        </m:sSubSup>
        <m:r>
          <w:rPr>
            <w:rFonts w:ascii="Cambria Math" w:hAnsi="Cambria Math"/>
          </w:rPr>
          <m:t xml:space="preserve">=1 </m:t>
        </m:r>
        <m:r>
          <m:rPr>
            <m:sty m:val="p"/>
          </m:rPr>
          <w:rPr>
            <w:rFonts w:ascii="Cambria Math" w:hAnsi="Cambria Math"/>
          </w:rPr>
          <m:t>h/d</m:t>
        </m:r>
        <m:r>
          <w:rPr>
            <w:rFonts w:ascii="Cambria Math" w:hAnsi="Cambria Math"/>
          </w:rPr>
          <m:t>)</m:t>
        </m:r>
      </m:oMath>
      <w:r w:rsidRPr="00333A58">
        <w:t xml:space="preserve"> </w:t>
      </w:r>
      <w:r>
        <w:t>during which</w:t>
      </w:r>
      <w:r w:rsidRPr="00333A58">
        <w:t xml:space="preserve"> no new raw material is fed but power is</w:t>
      </w:r>
      <w:r>
        <w:t xml:space="preserve"> still</w:t>
      </w:r>
      <w:r w:rsidRPr="00333A58">
        <w:t xml:space="preserve"> required to sustain the glass at sufficient temperatures to effect bubble removal and homogenisation to produce glass of useful quality. Then, </w:t>
      </w:r>
      <w:r w:rsidRPr="00333A58">
        <w:fldChar w:fldCharType="begin"/>
      </w:r>
      <w:r w:rsidRPr="00333A58">
        <w:instrText xml:space="preserve"> REF _Ref444442170 \h </w:instrText>
      </w:r>
      <w:r w:rsidRPr="00333A58">
        <w:fldChar w:fldCharType="separate"/>
      </w:r>
      <w:r w:rsidR="00820EB1" w:rsidRPr="00333A58">
        <w:t xml:space="preserve">Equation </w:t>
      </w:r>
      <w:r w:rsidR="00820EB1">
        <w:rPr>
          <w:noProof/>
        </w:rPr>
        <w:t>24</w:t>
      </w:r>
      <w:r w:rsidRPr="00333A58">
        <w:fldChar w:fldCharType="end"/>
      </w:r>
      <w:r w:rsidRPr="00333A58">
        <w:t xml:space="preserve"> is used to estimate the average daily glass production (</w:t>
      </w:r>
      <m:oMath>
        <m:sSubSup>
          <m:sSubSupPr>
            <m:ctrlPr>
              <w:rPr>
                <w:rFonts w:ascii="Cambria Math" w:hAnsi="Cambria Math"/>
                <w:i/>
              </w:rPr>
            </m:ctrlPr>
          </m:sSubSupPr>
          <m:e>
            <m:r>
              <w:rPr>
                <w:rFonts w:ascii="Cambria Math" w:hAnsi="Cambria Math"/>
              </w:rPr>
              <m:t>m</m:t>
            </m:r>
          </m:e>
          <m:sub>
            <m:r>
              <w:rPr>
                <w:rFonts w:ascii="Cambria Math" w:hAnsi="Cambria Math"/>
              </w:rPr>
              <m:t>glass</m:t>
            </m:r>
          </m:sub>
          <m:sup>
            <m:r>
              <w:rPr>
                <w:rFonts w:ascii="Cambria Math" w:hAnsi="Cambria Math"/>
              </w:rPr>
              <m:t>day</m:t>
            </m:r>
          </m:sup>
        </m:sSubSup>
      </m:oMath>
      <w:r w:rsidRPr="00333A58">
        <w:t>).</w:t>
      </w:r>
    </w:p>
    <w:tbl>
      <w:tblPr>
        <w:tblStyle w:val="TableGrid"/>
        <w:tblpPr w:leftFromText="180" w:rightFromText="180" w:vertAnchor="text" w:horzAnchor="margin" w:tblpYSpec="inside"/>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0"/>
        <w:gridCol w:w="1408"/>
        <w:gridCol w:w="1418"/>
      </w:tblGrid>
      <w:tr w:rsidR="00452FE4" w:rsidRPr="00333A58" w14:paraId="06E8DE99" w14:textId="77777777" w:rsidTr="00EA4BBA">
        <w:trPr>
          <w:trHeight w:val="261"/>
        </w:trPr>
        <w:tc>
          <w:tcPr>
            <w:tcW w:w="6190" w:type="dxa"/>
            <w:vAlign w:val="center"/>
          </w:tcPr>
          <w:p w14:paraId="03EEE3AB" w14:textId="77777777" w:rsidR="00452FE4" w:rsidRPr="00333A58" w:rsidRDefault="00A47317" w:rsidP="00EA4BBA">
            <m:oMathPara>
              <m:oMath>
                <m:sSubSup>
                  <m:sSubSupPr>
                    <m:ctrlPr>
                      <w:rPr>
                        <w:rFonts w:ascii="Cambria Math" w:hAnsi="Cambria Math"/>
                      </w:rPr>
                    </m:ctrlPr>
                  </m:sSubSupPr>
                  <m:e>
                    <m:r>
                      <w:rPr>
                        <w:rFonts w:ascii="Cambria Math" w:hAnsi="Cambria Math"/>
                      </w:rPr>
                      <m:t>H</m:t>
                    </m:r>
                  </m:e>
                  <m:sub>
                    <m:r>
                      <w:rPr>
                        <w:rFonts w:ascii="Cambria Math" w:hAnsi="Cambria Math"/>
                      </w:rPr>
                      <m:t>melting</m:t>
                    </m:r>
                  </m:sub>
                  <m:sup>
                    <m:r>
                      <w:rPr>
                        <w:rFonts w:ascii="Cambria Math" w:hAnsi="Cambria Math"/>
                      </w:rPr>
                      <m:t>day</m:t>
                    </m:r>
                  </m:sup>
                </m:sSubSup>
                <m:r>
                  <m:rPr>
                    <m:sty m:val="p"/>
                  </m:rPr>
                  <w:rPr>
                    <w:rFonts w:ascii="Cambria Math" w:hAnsi="Cambria Math"/>
                  </w:rPr>
                  <m:t>=</m:t>
                </m:r>
                <m:sSubSup>
                  <m:sSubSupPr>
                    <m:ctrlPr>
                      <w:rPr>
                        <w:rFonts w:ascii="Cambria Math" w:hAnsi="Cambria Math"/>
                      </w:rPr>
                    </m:ctrlPr>
                  </m:sSubSupPr>
                  <m:e>
                    <m:r>
                      <w:rPr>
                        <w:rFonts w:ascii="Cambria Math" w:hAnsi="Cambria Math"/>
                      </w:rPr>
                      <m:t>H</m:t>
                    </m:r>
                    <m:r>
                      <m:rPr>
                        <m:sty m:val="p"/>
                      </m:rPr>
                      <w:rPr>
                        <w:rFonts w:ascii="Cambria Math" w:hAnsi="Cambria Math"/>
                      </w:rPr>
                      <m:t xml:space="preserve"> </m:t>
                    </m:r>
                  </m:e>
                  <m:sub>
                    <m:r>
                      <w:rPr>
                        <w:rFonts w:ascii="Cambria Math" w:hAnsi="Cambria Math"/>
                      </w:rPr>
                      <m:t>op</m:t>
                    </m:r>
                  </m:sub>
                  <m:sup>
                    <m:r>
                      <w:rPr>
                        <w:rFonts w:ascii="Cambria Math" w:hAnsi="Cambria Math"/>
                      </w:rPr>
                      <m:t>day</m:t>
                    </m:r>
                  </m:sup>
                </m:sSubSup>
                <m:r>
                  <m:rPr>
                    <m:sty m:val="p"/>
                  </m:rPr>
                  <w:rPr>
                    <w:rFonts w:ascii="Cambria Math" w:hAnsi="Cambria Math"/>
                  </w:rPr>
                  <m:t>-</m:t>
                </m:r>
                <m:d>
                  <m:dPr>
                    <m:ctrlPr>
                      <w:rPr>
                        <w:rFonts w:ascii="Cambria Math" w:hAnsi="Cambria Math"/>
                      </w:rPr>
                    </m:ctrlPr>
                  </m:dPr>
                  <m:e>
                    <m:sSubSup>
                      <m:sSubSupPr>
                        <m:ctrlPr>
                          <w:rPr>
                            <w:rStyle w:val="SubtleEmphasis"/>
                            <w:rFonts w:ascii="Cambria Math" w:hAnsi="Cambria Math"/>
                            <w:i/>
                            <w:sz w:val="20"/>
                          </w:rPr>
                        </m:ctrlPr>
                      </m:sSubSupPr>
                      <m:e>
                        <m:r>
                          <w:rPr>
                            <w:rStyle w:val="SubtleEmphasis"/>
                            <w:rFonts w:ascii="Cambria Math" w:hAnsi="Cambria Math"/>
                            <w:sz w:val="20"/>
                          </w:rPr>
                          <m:t>H</m:t>
                        </m:r>
                      </m:e>
                      <m:sub>
                        <m:r>
                          <w:rPr>
                            <w:rStyle w:val="SubtleEmphasis"/>
                            <w:rFonts w:ascii="Cambria Math" w:hAnsi="Cambria Math"/>
                            <w:sz w:val="20"/>
                          </w:rPr>
                          <m:t>heat up</m:t>
                        </m:r>
                      </m:sub>
                      <m:sup>
                        <m:r>
                          <w:rPr>
                            <w:rStyle w:val="SubtleEmphasis"/>
                            <w:rFonts w:ascii="Cambria Math" w:hAnsi="Cambria Math"/>
                            <w:sz w:val="20"/>
                          </w:rPr>
                          <m:t>day</m:t>
                        </m:r>
                      </m:sup>
                    </m:sSubSup>
                    <m:r>
                      <m:rPr>
                        <m:sty m:val="p"/>
                      </m:rPr>
                      <w:rPr>
                        <w:rFonts w:ascii="Cambria Math" w:hAnsi="Cambria Math"/>
                      </w:rPr>
                      <m:t>+</m:t>
                    </m:r>
                    <m:sSubSup>
                      <m:sSubSupPr>
                        <m:ctrlPr>
                          <w:rPr>
                            <w:rStyle w:val="SubtleEmphasis"/>
                            <w:rFonts w:ascii="Cambria Math" w:hAnsi="Cambria Math"/>
                            <w:i/>
                            <w:sz w:val="20"/>
                          </w:rPr>
                        </m:ctrlPr>
                      </m:sSubSupPr>
                      <m:e>
                        <m:r>
                          <w:rPr>
                            <w:rStyle w:val="SubtleEmphasis"/>
                            <w:rFonts w:ascii="Cambria Math" w:hAnsi="Cambria Math"/>
                            <w:sz w:val="20"/>
                          </w:rPr>
                          <m:t>H</m:t>
                        </m:r>
                      </m:e>
                      <m:sub>
                        <m:r>
                          <w:rPr>
                            <w:rStyle w:val="SubtleEmphasis"/>
                            <w:rFonts w:ascii="Cambria Math" w:hAnsi="Cambria Math"/>
                            <w:sz w:val="20"/>
                          </w:rPr>
                          <m:t>fining</m:t>
                        </m:r>
                      </m:sub>
                      <m:sup>
                        <m:r>
                          <w:rPr>
                            <w:rStyle w:val="SubtleEmphasis"/>
                            <w:rFonts w:ascii="Cambria Math" w:hAnsi="Cambria Math"/>
                            <w:sz w:val="20"/>
                          </w:rPr>
                          <m:t>day</m:t>
                        </m:r>
                      </m:sup>
                    </m:sSubSup>
                  </m:e>
                </m:d>
              </m:oMath>
            </m:oMathPara>
          </w:p>
        </w:tc>
        <w:tc>
          <w:tcPr>
            <w:tcW w:w="1408" w:type="dxa"/>
            <w:vAlign w:val="center"/>
          </w:tcPr>
          <w:p w14:paraId="7EA0D3E2" w14:textId="77777777" w:rsidR="00452FE4" w:rsidRPr="00333A58" w:rsidRDefault="00452FE4" w:rsidP="00EA4BBA">
            <w:pPr>
              <w:jc w:val="right"/>
            </w:pPr>
            <w:r>
              <w:t>…</w:t>
            </w:r>
          </w:p>
        </w:tc>
        <w:tc>
          <w:tcPr>
            <w:tcW w:w="1418" w:type="dxa"/>
            <w:vAlign w:val="center"/>
          </w:tcPr>
          <w:p w14:paraId="7AED9137" w14:textId="77777777" w:rsidR="00452FE4" w:rsidRPr="00333A58" w:rsidRDefault="00452FE4" w:rsidP="00EA4BBA">
            <w:pPr>
              <w:ind w:firstLine="0"/>
              <w:jc w:val="left"/>
            </w:pPr>
            <w:bookmarkStart w:id="232" w:name="_Ref444345048"/>
            <w:r w:rsidRPr="00333A58">
              <w:t xml:space="preserve">Equation </w:t>
            </w:r>
            <w:r w:rsidR="00A47317">
              <w:fldChar w:fldCharType="begin"/>
            </w:r>
            <w:r w:rsidR="00A47317">
              <w:instrText xml:space="preserve"> SEQ Equation \* ARABIC </w:instrText>
            </w:r>
            <w:r w:rsidR="00A47317">
              <w:fldChar w:fldCharType="separate"/>
            </w:r>
            <w:r w:rsidR="00820EB1">
              <w:rPr>
                <w:noProof/>
              </w:rPr>
              <w:t>23</w:t>
            </w:r>
            <w:r w:rsidR="00A47317">
              <w:rPr>
                <w:noProof/>
              </w:rPr>
              <w:fldChar w:fldCharType="end"/>
            </w:r>
            <w:bookmarkEnd w:id="232"/>
          </w:p>
        </w:tc>
      </w:tr>
      <w:tr w:rsidR="00452FE4" w:rsidRPr="00333A58" w14:paraId="0A3B3349" w14:textId="77777777" w:rsidTr="00EA4BBA">
        <w:trPr>
          <w:trHeight w:val="261"/>
        </w:trPr>
        <w:tc>
          <w:tcPr>
            <w:tcW w:w="6190" w:type="dxa"/>
            <w:vAlign w:val="center"/>
          </w:tcPr>
          <w:p w14:paraId="2EB0518D" w14:textId="0AFD296C" w:rsidR="00452FE4" w:rsidRPr="00333A58" w:rsidRDefault="00A47317" w:rsidP="00EA4BBA">
            <m:oMathPara>
              <m:oMath>
                <m:sSubSup>
                  <m:sSubSupPr>
                    <m:ctrlPr>
                      <w:rPr>
                        <w:rFonts w:ascii="Cambria Math" w:hAnsi="Cambria Math"/>
                      </w:rPr>
                    </m:ctrlPr>
                  </m:sSubSupPr>
                  <m:e>
                    <m:acc>
                      <m:accPr>
                        <m:chr m:val="̇"/>
                        <m:ctrlPr>
                          <w:rPr>
                            <w:rFonts w:ascii="Cambria Math" w:hAnsi="Cambria Math"/>
                            <w:i/>
                          </w:rPr>
                        </m:ctrlPr>
                      </m:accPr>
                      <m:e>
                        <m:r>
                          <w:rPr>
                            <w:rFonts w:ascii="Cambria Math" w:hAnsi="Cambria Math"/>
                          </w:rPr>
                          <m:t>m</m:t>
                        </m:r>
                      </m:e>
                    </m:acc>
                  </m:e>
                  <m:sub>
                    <m:r>
                      <w:rPr>
                        <w:rFonts w:ascii="Cambria Math" w:hAnsi="Cambria Math"/>
                      </w:rPr>
                      <m:t>glass</m:t>
                    </m:r>
                  </m:sub>
                  <m:sup>
                    <m:r>
                      <w:rPr>
                        <w:rFonts w:ascii="Cambria Math" w:hAnsi="Cambria Math"/>
                      </w:rPr>
                      <m:t>day</m:t>
                    </m:r>
                  </m:sup>
                </m:sSubSup>
                <m:r>
                  <m:rPr>
                    <m:sty m:val="p"/>
                  </m:rP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rPr>
                      <m:t>melting</m:t>
                    </m:r>
                  </m:sub>
                  <m:sup>
                    <m:r>
                      <w:rPr>
                        <w:rFonts w:ascii="Cambria Math" w:hAnsi="Cambria Math"/>
                      </w:rPr>
                      <m:t>day</m:t>
                    </m:r>
                  </m:sup>
                </m:sSubSup>
                <m:r>
                  <m:rPr>
                    <m:sty m:val="p"/>
                  </m:rPr>
                  <w:rPr>
                    <w:rFonts w:ascii="Cambria Math" w:hAnsi="Cambria Math"/>
                  </w:rPr>
                  <m:t>×3600</m:t>
                </m:r>
                <m:f>
                  <m:fPr>
                    <m:ctrlPr>
                      <w:rPr>
                        <w:rFonts w:ascii="Cambria Math" w:hAnsi="Cambria Math"/>
                      </w:rPr>
                    </m:ctrlPr>
                  </m:fPr>
                  <m:num>
                    <m:r>
                      <w:rPr>
                        <w:rFonts w:ascii="Cambria Math" w:hAnsi="Cambria Math"/>
                      </w:rPr>
                      <m:t>s</m:t>
                    </m:r>
                  </m:num>
                  <m:den>
                    <m:r>
                      <w:rPr>
                        <w:rFonts w:ascii="Cambria Math" w:hAnsi="Cambria Math"/>
                      </w:rPr>
                      <m:t>h</m:t>
                    </m:r>
                  </m:den>
                </m:f>
                <m:r>
                  <m:rPr>
                    <m:sty m:val="p"/>
                  </m:rPr>
                  <w:rPr>
                    <w:rFonts w:ascii="Cambria Math" w:hAnsi="Cambria Math"/>
                  </w:rPr>
                  <m:t>×</m:t>
                </m:r>
                <m:f>
                  <m:fPr>
                    <m:ctrlPr>
                      <w:rPr>
                        <w:rFonts w:ascii="Cambria Math" w:hAnsi="Cambria Math"/>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m</m:t>
                            </m:r>
                          </m:e>
                        </m:acc>
                      </m:e>
                      <m:sub>
                        <m:r>
                          <w:rPr>
                            <w:rFonts w:ascii="Cambria Math" w:hAnsi="Cambria Math"/>
                          </w:rPr>
                          <m:t xml:space="preserve">sol </m:t>
                        </m:r>
                      </m:sub>
                    </m:sSub>
                  </m:num>
                  <m:den>
                    <m:r>
                      <m:rPr>
                        <m:sty m:val="p"/>
                      </m:rPr>
                      <w:rPr>
                        <w:rFonts w:ascii="Cambria Math" w:hAnsi="Cambria Math"/>
                      </w:rPr>
                      <m:t>1000</m:t>
                    </m:r>
                    <m:f>
                      <m:fPr>
                        <m:ctrlPr>
                          <w:rPr>
                            <w:rFonts w:ascii="Cambria Math" w:hAnsi="Cambria Math"/>
                          </w:rPr>
                        </m:ctrlPr>
                      </m:fPr>
                      <m:num>
                        <m:r>
                          <m:rPr>
                            <m:sty m:val="p"/>
                          </m:rPr>
                          <w:rPr>
                            <w:rFonts w:ascii="Cambria Math" w:hAnsi="Cambria Math"/>
                          </w:rPr>
                          <m:t>g</m:t>
                        </m:r>
                      </m:num>
                      <m:den>
                        <m:r>
                          <m:rPr>
                            <m:sty m:val="p"/>
                          </m:rPr>
                          <w:rPr>
                            <w:rFonts w:ascii="Cambria Math" w:hAnsi="Cambria Math"/>
                          </w:rPr>
                          <m:t>kg</m:t>
                        </m:r>
                      </m:den>
                    </m:f>
                  </m:den>
                </m:f>
              </m:oMath>
            </m:oMathPara>
          </w:p>
        </w:tc>
        <w:tc>
          <w:tcPr>
            <w:tcW w:w="1408" w:type="dxa"/>
            <w:vAlign w:val="center"/>
          </w:tcPr>
          <w:p w14:paraId="3D354A04" w14:textId="77777777" w:rsidR="00452FE4" w:rsidRPr="00333A58" w:rsidRDefault="00452FE4" w:rsidP="00EA4BBA">
            <w:pPr>
              <w:jc w:val="right"/>
            </w:pPr>
            <w:r>
              <w:t>…</w:t>
            </w:r>
          </w:p>
        </w:tc>
        <w:tc>
          <w:tcPr>
            <w:tcW w:w="1418" w:type="dxa"/>
            <w:vAlign w:val="center"/>
          </w:tcPr>
          <w:p w14:paraId="40655358" w14:textId="77777777" w:rsidR="00452FE4" w:rsidRPr="00333A58" w:rsidRDefault="00452FE4" w:rsidP="00EA4BBA">
            <w:pPr>
              <w:ind w:firstLine="0"/>
              <w:jc w:val="left"/>
            </w:pPr>
            <w:bookmarkStart w:id="233" w:name="_Ref444442170"/>
            <w:r w:rsidRPr="00333A58">
              <w:t xml:space="preserve">Equation </w:t>
            </w:r>
            <w:r w:rsidR="00A47317">
              <w:fldChar w:fldCharType="begin"/>
            </w:r>
            <w:r w:rsidR="00A47317">
              <w:instrText xml:space="preserve"> SEQ Equation \* ARABIC </w:instrText>
            </w:r>
            <w:r w:rsidR="00A47317">
              <w:fldChar w:fldCharType="separate"/>
            </w:r>
            <w:r w:rsidR="00820EB1">
              <w:rPr>
                <w:noProof/>
              </w:rPr>
              <w:t>24</w:t>
            </w:r>
            <w:r w:rsidR="00A47317">
              <w:rPr>
                <w:noProof/>
              </w:rPr>
              <w:fldChar w:fldCharType="end"/>
            </w:r>
            <w:bookmarkEnd w:id="233"/>
          </w:p>
        </w:tc>
      </w:tr>
    </w:tbl>
    <w:p w14:paraId="1C2B229B" w14:textId="77777777" w:rsidR="00452FE4" w:rsidRPr="0051537D" w:rsidRDefault="00452FE4" w:rsidP="00F3524F">
      <w:pPr>
        <w:pStyle w:val="Heading4"/>
        <w:keepNext w:val="0"/>
        <w:keepLines w:val="0"/>
        <w:numPr>
          <w:ilvl w:val="3"/>
          <w:numId w:val="23"/>
        </w:numPr>
        <w:spacing w:before="0" w:after="160"/>
        <w:ind w:left="1728"/>
      </w:pPr>
      <w:bookmarkStart w:id="234" w:name="_Ref446597325"/>
      <w:r w:rsidRPr="0051537D">
        <w:t>Overnight energy demand</w:t>
      </w:r>
      <w:bookmarkEnd w:id="234"/>
    </w:p>
    <w:p w14:paraId="3DDB58CB" w14:textId="7D86BE42" w:rsidR="00452FE4" w:rsidRPr="00333A58" w:rsidRDefault="00452FE4" w:rsidP="00EA4BBA">
      <w:pPr>
        <w:ind w:firstLine="720"/>
      </w:pPr>
      <w:r w:rsidRPr="00333A58">
        <w:t>After melting and fining during the day, for</w:t>
      </w:r>
      <w:r>
        <w:t xml:space="preserve"> the</w:t>
      </w:r>
      <w:r w:rsidRPr="00333A58">
        <w:t xml:space="preserve"> remainder of the day and overnight when there is insufficient sunlight and </w:t>
      </w:r>
      <w:r>
        <w:t>to enable melting temperature,</w:t>
      </w:r>
      <w:r w:rsidRPr="00333A58">
        <w:t xml:space="preserve"> the</w:t>
      </w:r>
      <w:r>
        <w:t xml:space="preserve"> furnace</w:t>
      </w:r>
      <w:r w:rsidRPr="00333A58">
        <w:t xml:space="preserve"> </w:t>
      </w:r>
      <w:r>
        <w:t>is assumed to</w:t>
      </w:r>
      <w:r w:rsidRPr="00333A58">
        <w:t xml:space="preserve"> be sustained at </w:t>
      </w:r>
      <w:r w:rsidR="00DB3CEB" w:rsidRPr="00333A58">
        <w:t>1</w:t>
      </w:r>
      <w:r w:rsidR="00DB3CEB">
        <w:t>1</w:t>
      </w:r>
      <w:r w:rsidR="00DB3CEB" w:rsidRPr="00333A58">
        <w:t>00</w:t>
      </w:r>
      <w:r w:rsidR="00DB3CEB" w:rsidRPr="00333A58">
        <w:rPr>
          <w:vertAlign w:val="superscript"/>
        </w:rPr>
        <w:t>o</w:t>
      </w:r>
      <w:r w:rsidR="00DB3CEB" w:rsidRPr="00333A58">
        <w:t>C</w:t>
      </w:r>
      <w:r>
        <w:t>,</w:t>
      </w:r>
      <w:r w:rsidRPr="00333A58">
        <w:t xml:space="preserve"> </w:t>
      </w:r>
      <w:r>
        <w:t>as demonstrated in the experiments t</w:t>
      </w:r>
      <w:r w:rsidRPr="00333A58">
        <w:t>o enable the glass produced to be formed and prevent the damage otherwise associated with cooling. The average duration of this period per day is (</w:t>
      </w:r>
      <m:oMath>
        <m:sSubSup>
          <m:sSubSupPr>
            <m:ctrlPr>
              <w:rPr>
                <w:rFonts w:ascii="Cambria Math" w:hAnsi="Cambria Math"/>
                <w:i/>
              </w:rPr>
            </m:ctrlPr>
          </m:sSubSupPr>
          <m:e>
            <m:r>
              <w:rPr>
                <w:rFonts w:ascii="Cambria Math" w:hAnsi="Cambria Math"/>
              </w:rPr>
              <m:t>H</m:t>
            </m:r>
          </m:e>
          <m:sub>
            <m:r>
              <w:rPr>
                <w:rFonts w:ascii="Cambria Math" w:hAnsi="Cambria Math"/>
              </w:rPr>
              <m:t>night</m:t>
            </m:r>
          </m:sub>
          <m:sup>
            <m:r>
              <w:rPr>
                <w:rFonts w:ascii="Cambria Math" w:hAnsi="Cambria Math"/>
              </w:rPr>
              <m:t>day</m:t>
            </m:r>
          </m:sup>
        </m:sSubSup>
      </m:oMath>
      <w:r w:rsidRPr="00333A58">
        <w:t>) and energy demand (</w:t>
      </w:r>
      <m:oMath>
        <m:sSubSup>
          <m:sSubSupPr>
            <m:ctrlPr>
              <w:rPr>
                <w:rFonts w:ascii="Cambria Math" w:hAnsi="Cambria Math"/>
                <w:i/>
              </w:rPr>
            </m:ctrlPr>
          </m:sSubSupPr>
          <m:e>
            <m:r>
              <w:rPr>
                <w:rFonts w:ascii="Cambria Math" w:hAnsi="Cambria Math"/>
              </w:rPr>
              <m:t>E</m:t>
            </m:r>
          </m:e>
          <m:sub>
            <m:r>
              <w:rPr>
                <w:rFonts w:ascii="Cambria Math" w:hAnsi="Cambria Math"/>
              </w:rPr>
              <m:t>store</m:t>
            </m:r>
          </m:sub>
          <m:sup>
            <m:r>
              <w:rPr>
                <w:rFonts w:ascii="Cambria Math" w:hAnsi="Cambria Math"/>
              </w:rPr>
              <m:t>day</m:t>
            </m:r>
          </m:sup>
        </m:sSubSup>
      </m:oMath>
      <w:r w:rsidRPr="00333A58">
        <w:t xml:space="preserve">) </w:t>
      </w:r>
      <w:r>
        <w:t>over</w:t>
      </w:r>
      <w:r w:rsidRPr="00333A58">
        <w:t xml:space="preserve"> this period is given by </w:t>
      </w:r>
      <w:r w:rsidRPr="00333A58">
        <w:fldChar w:fldCharType="begin"/>
      </w:r>
      <w:r w:rsidRPr="00333A58">
        <w:instrText xml:space="preserve"> REF _Ref444505272 \h </w:instrText>
      </w:r>
      <w:r w:rsidRPr="00333A58">
        <w:fldChar w:fldCharType="separate"/>
      </w:r>
      <w:r w:rsidR="00820EB1" w:rsidRPr="00333A58">
        <w:t xml:space="preserve">Equation </w:t>
      </w:r>
      <w:r w:rsidR="00820EB1">
        <w:rPr>
          <w:noProof/>
        </w:rPr>
        <w:t>25</w:t>
      </w:r>
      <w:r w:rsidRPr="00333A58">
        <w:fldChar w:fldCharType="end"/>
      </w:r>
      <w:r w:rsidRPr="00333A58">
        <w:t xml:space="preserve"> and </w:t>
      </w:r>
      <w:r w:rsidRPr="00333A58">
        <w:fldChar w:fldCharType="begin"/>
      </w:r>
      <w:r w:rsidRPr="00333A58">
        <w:instrText xml:space="preserve"> REF _Ref444505392 \h </w:instrText>
      </w:r>
      <w:r w:rsidRPr="00333A58">
        <w:fldChar w:fldCharType="separate"/>
      </w:r>
      <w:r w:rsidR="00820EB1" w:rsidRPr="00333A58">
        <w:t xml:space="preserve">Equation </w:t>
      </w:r>
      <w:r w:rsidR="00820EB1">
        <w:rPr>
          <w:noProof/>
        </w:rPr>
        <w:t>26</w:t>
      </w:r>
      <w:r w:rsidRPr="00333A58">
        <w:fldChar w:fldCharType="end"/>
      </w:r>
      <w:r w:rsidRPr="00333A58">
        <w:t xml:space="preserve"> respectively.</w:t>
      </w:r>
    </w:p>
    <w:tbl>
      <w:tblPr>
        <w:tblStyle w:val="TableGrid"/>
        <w:tblpPr w:leftFromText="180" w:rightFromText="180" w:vertAnchor="text" w:horzAnchor="margin" w:tblpYSpec="inside"/>
        <w:tblW w:w="8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7"/>
        <w:gridCol w:w="794"/>
        <w:gridCol w:w="1741"/>
      </w:tblGrid>
      <w:tr w:rsidR="00452FE4" w:rsidRPr="00333A58" w14:paraId="707AC18E" w14:textId="77777777" w:rsidTr="004220BC">
        <w:trPr>
          <w:trHeight w:val="236"/>
        </w:trPr>
        <w:tc>
          <w:tcPr>
            <w:tcW w:w="6437" w:type="dxa"/>
            <w:vAlign w:val="center"/>
          </w:tcPr>
          <w:p w14:paraId="22EA3E56" w14:textId="4AC99FD0" w:rsidR="00452FE4" w:rsidRPr="00333A58" w:rsidRDefault="00A47317" w:rsidP="00EA4BBA">
            <m:oMathPara>
              <m:oMath>
                <m:sSubSup>
                  <m:sSubSupPr>
                    <m:ctrlPr>
                      <w:rPr>
                        <w:rFonts w:ascii="Cambria Math" w:hAnsi="Cambria Math"/>
                      </w:rPr>
                    </m:ctrlPr>
                  </m:sSubSupPr>
                  <m:e>
                    <m:r>
                      <w:rPr>
                        <w:rFonts w:ascii="Cambria Math" w:hAnsi="Cambria Math"/>
                      </w:rPr>
                      <m:t>H</m:t>
                    </m:r>
                  </m:e>
                  <m:sub>
                    <m:r>
                      <w:rPr>
                        <w:rFonts w:ascii="Cambria Math" w:hAnsi="Cambria Math"/>
                      </w:rPr>
                      <m:t>night</m:t>
                    </m:r>
                  </m:sub>
                  <m:sup>
                    <m:r>
                      <w:rPr>
                        <w:rFonts w:ascii="Cambria Math" w:hAnsi="Cambria Math"/>
                      </w:rPr>
                      <m:t>day</m:t>
                    </m:r>
                  </m:sup>
                </m:sSubSup>
                <m:r>
                  <m:rPr>
                    <m:sty m:val="p"/>
                  </m:rPr>
                  <w:rPr>
                    <w:rFonts w:ascii="Cambria Math" w:hAnsi="Cambria Math"/>
                  </w:rPr>
                  <m:t>=24 h-</m:t>
                </m:r>
                <m:sSubSup>
                  <m:sSubSupPr>
                    <m:ctrlPr>
                      <w:rPr>
                        <w:rFonts w:ascii="Cambria Math" w:hAnsi="Cambria Math"/>
                      </w:rPr>
                    </m:ctrlPr>
                  </m:sSubSupPr>
                  <m:e>
                    <m:r>
                      <w:rPr>
                        <w:rFonts w:ascii="Cambria Math" w:hAnsi="Cambria Math"/>
                      </w:rPr>
                      <m:t>H</m:t>
                    </m:r>
                  </m:e>
                  <m:sub>
                    <m:r>
                      <w:rPr>
                        <w:rFonts w:ascii="Cambria Math" w:hAnsi="Cambria Math"/>
                      </w:rPr>
                      <m:t>op</m:t>
                    </m:r>
                  </m:sub>
                  <m:sup>
                    <m:r>
                      <w:rPr>
                        <w:rFonts w:ascii="Cambria Math" w:hAnsi="Cambria Math"/>
                      </w:rPr>
                      <m:t>day</m:t>
                    </m:r>
                  </m:sup>
                </m:sSubSup>
              </m:oMath>
            </m:oMathPara>
          </w:p>
        </w:tc>
        <w:tc>
          <w:tcPr>
            <w:tcW w:w="794" w:type="dxa"/>
            <w:vAlign w:val="center"/>
          </w:tcPr>
          <w:p w14:paraId="0F6633E0" w14:textId="77777777" w:rsidR="00452FE4" w:rsidRPr="00333A58" w:rsidRDefault="00452FE4" w:rsidP="00EA4BBA">
            <w:pPr>
              <w:jc w:val="right"/>
            </w:pPr>
            <w:r>
              <w:t>…</w:t>
            </w:r>
          </w:p>
        </w:tc>
        <w:tc>
          <w:tcPr>
            <w:tcW w:w="1741" w:type="dxa"/>
            <w:vAlign w:val="center"/>
          </w:tcPr>
          <w:p w14:paraId="5EE0C88D" w14:textId="77777777" w:rsidR="00452FE4" w:rsidRPr="00333A58" w:rsidRDefault="00452FE4" w:rsidP="00EA4BBA">
            <w:bookmarkStart w:id="235" w:name="_Ref444505272"/>
            <w:r w:rsidRPr="00333A58">
              <w:t xml:space="preserve">Equation </w:t>
            </w:r>
            <w:r w:rsidR="00A47317">
              <w:fldChar w:fldCharType="begin"/>
            </w:r>
            <w:r w:rsidR="00A47317">
              <w:instrText xml:space="preserve"> SEQ Equation \* ARABIC </w:instrText>
            </w:r>
            <w:r w:rsidR="00A47317">
              <w:fldChar w:fldCharType="separate"/>
            </w:r>
            <w:r w:rsidR="00820EB1">
              <w:rPr>
                <w:noProof/>
              </w:rPr>
              <w:t>25</w:t>
            </w:r>
            <w:r w:rsidR="00A47317">
              <w:rPr>
                <w:noProof/>
              </w:rPr>
              <w:fldChar w:fldCharType="end"/>
            </w:r>
            <w:bookmarkEnd w:id="235"/>
          </w:p>
        </w:tc>
      </w:tr>
      <w:tr w:rsidR="00452FE4" w:rsidRPr="00333A58" w14:paraId="2E0BAFD5" w14:textId="77777777" w:rsidTr="004220BC">
        <w:trPr>
          <w:trHeight w:val="236"/>
        </w:trPr>
        <w:tc>
          <w:tcPr>
            <w:tcW w:w="6437" w:type="dxa"/>
            <w:vAlign w:val="center"/>
          </w:tcPr>
          <w:p w14:paraId="306059DA" w14:textId="353DD5CD" w:rsidR="00452FE4" w:rsidRPr="00333A58" w:rsidRDefault="00A47317" w:rsidP="00EA4BBA">
            <m:oMathPara>
              <m:oMath>
                <m:sSubSup>
                  <m:sSubSupPr>
                    <m:ctrlPr>
                      <w:rPr>
                        <w:rFonts w:ascii="Cambria Math" w:hAnsi="Cambria Math"/>
                      </w:rPr>
                    </m:ctrlPr>
                  </m:sSubSupPr>
                  <m:e>
                    <m:r>
                      <w:rPr>
                        <w:rFonts w:ascii="Cambria Math" w:hAnsi="Cambria Math"/>
                      </w:rPr>
                      <m:t>E</m:t>
                    </m:r>
                  </m:e>
                  <m:sub>
                    <m:r>
                      <w:rPr>
                        <w:rFonts w:ascii="Cambria Math" w:hAnsi="Cambria Math"/>
                      </w:rPr>
                      <m:t>store</m:t>
                    </m:r>
                  </m:sub>
                  <m:sup>
                    <m:r>
                      <w:rPr>
                        <w:rFonts w:ascii="Cambria Math" w:hAnsi="Cambria Math"/>
                      </w:rPr>
                      <m:t>day</m:t>
                    </m:r>
                  </m:sup>
                </m:sSubSup>
                <m:r>
                  <m:rPr>
                    <m:sty m:val="p"/>
                  </m:rPr>
                  <w:rPr>
                    <w:rFonts w:ascii="Cambria Math" w:hAnsi="Cambria Math"/>
                  </w:rPr>
                  <m:t>=</m:t>
                </m:r>
                <m:sSubSup>
                  <m:sSubSupPr>
                    <m:ctrlPr>
                      <w:rPr>
                        <w:rFonts w:ascii="Cambria Math" w:hAnsi="Cambria Math"/>
                        <w:i/>
                      </w:rPr>
                    </m:ctrlPr>
                  </m:sSubSupPr>
                  <m:e>
                    <m:r>
                      <w:rPr>
                        <w:rFonts w:ascii="Cambria Math" w:hAnsi="Cambria Math"/>
                      </w:rPr>
                      <m:t>Q</m:t>
                    </m:r>
                  </m:e>
                  <m:sub>
                    <m:r>
                      <w:rPr>
                        <w:rFonts w:ascii="Cambria Math" w:hAnsi="Cambria Math"/>
                      </w:rPr>
                      <m:t>cond night</m:t>
                    </m:r>
                  </m:sub>
                  <m:sup>
                    <m:r>
                      <w:rPr>
                        <w:rFonts w:ascii="Cambria Math" w:hAnsi="Cambria Math"/>
                      </w:rPr>
                      <m:t>day</m:t>
                    </m:r>
                  </m:sup>
                </m:sSubSup>
                <m:r>
                  <m:rPr>
                    <m:sty m:val="p"/>
                  </m:rPr>
                  <w:rPr>
                    <w:rFonts w:ascii="Cambria Math" w:hAnsi="Cambria Math"/>
                  </w:rPr>
                  <m:t>×3600</m:t>
                </m:r>
                <m:f>
                  <m:fPr>
                    <m:ctrlPr>
                      <w:rPr>
                        <w:rFonts w:ascii="Cambria Math" w:hAnsi="Cambria Math"/>
                      </w:rPr>
                    </m:ctrlPr>
                  </m:fPr>
                  <m:num>
                    <m:r>
                      <m:rPr>
                        <m:sty m:val="p"/>
                      </m:rPr>
                      <w:rPr>
                        <w:rFonts w:ascii="Cambria Math" w:hAnsi="Cambria Math"/>
                      </w:rPr>
                      <m:t>s</m:t>
                    </m:r>
                  </m:num>
                  <m:den>
                    <m:r>
                      <m:rPr>
                        <m:sty m:val="p"/>
                      </m:rPr>
                      <w:rPr>
                        <w:rFonts w:ascii="Cambria Math" w:hAnsi="Cambria Math"/>
                      </w:rPr>
                      <m:t>h</m:t>
                    </m:r>
                  </m:den>
                </m:f>
                <m:r>
                  <m:rPr>
                    <m:sty m:val="p"/>
                  </m:rP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rPr>
                      <m:t>night</m:t>
                    </m:r>
                  </m:sub>
                  <m:sup>
                    <m:r>
                      <w:rPr>
                        <w:rFonts w:ascii="Cambria Math" w:hAnsi="Cambria Math"/>
                      </w:rPr>
                      <m:t>day</m:t>
                    </m:r>
                  </m:sup>
                </m:sSubSup>
              </m:oMath>
            </m:oMathPara>
          </w:p>
        </w:tc>
        <w:tc>
          <w:tcPr>
            <w:tcW w:w="794" w:type="dxa"/>
            <w:vAlign w:val="center"/>
          </w:tcPr>
          <w:p w14:paraId="7B63BE02" w14:textId="77777777" w:rsidR="00452FE4" w:rsidRPr="00333A58" w:rsidRDefault="00452FE4" w:rsidP="00EA4BBA">
            <w:pPr>
              <w:jc w:val="right"/>
            </w:pPr>
            <w:r>
              <w:t>…</w:t>
            </w:r>
          </w:p>
        </w:tc>
        <w:tc>
          <w:tcPr>
            <w:tcW w:w="1741" w:type="dxa"/>
            <w:vAlign w:val="center"/>
          </w:tcPr>
          <w:p w14:paraId="3C7D4D4F" w14:textId="77777777" w:rsidR="00452FE4" w:rsidRPr="00333A58" w:rsidRDefault="00452FE4" w:rsidP="00EA4BBA">
            <w:bookmarkStart w:id="236" w:name="_Ref444505392"/>
            <w:r w:rsidRPr="00333A58">
              <w:t xml:space="preserve">Equation </w:t>
            </w:r>
            <w:r w:rsidR="00A47317">
              <w:fldChar w:fldCharType="begin"/>
            </w:r>
            <w:r w:rsidR="00A47317">
              <w:instrText xml:space="preserve"> SEQ Equation \* ARABIC </w:instrText>
            </w:r>
            <w:r w:rsidR="00A47317">
              <w:fldChar w:fldCharType="separate"/>
            </w:r>
            <w:r w:rsidR="00820EB1">
              <w:rPr>
                <w:noProof/>
              </w:rPr>
              <w:t>26</w:t>
            </w:r>
            <w:r w:rsidR="00A47317">
              <w:rPr>
                <w:noProof/>
              </w:rPr>
              <w:fldChar w:fldCharType="end"/>
            </w:r>
            <w:bookmarkEnd w:id="236"/>
          </w:p>
        </w:tc>
      </w:tr>
    </w:tbl>
    <w:p w14:paraId="614E0F41" w14:textId="46DF33C0" w:rsidR="004220BC" w:rsidRDefault="004220BC" w:rsidP="00EA4BBA">
      <w:pPr>
        <w:ind w:firstLine="0"/>
      </w:pPr>
      <w:r w:rsidRPr="00333A58">
        <w:t xml:space="preserve">Where </w:t>
      </w:r>
      <m:oMath>
        <m:sSubSup>
          <m:sSubSupPr>
            <m:ctrlPr>
              <w:rPr>
                <w:rFonts w:ascii="Cambria Math" w:hAnsi="Cambria Math"/>
                <w:i/>
              </w:rPr>
            </m:ctrlPr>
          </m:sSubSupPr>
          <m:e>
            <m:r>
              <w:rPr>
                <w:rFonts w:ascii="Cambria Math" w:hAnsi="Cambria Math"/>
              </w:rPr>
              <m:t>Q</m:t>
            </m:r>
          </m:e>
          <m:sub>
            <m:r>
              <w:rPr>
                <w:rFonts w:ascii="Cambria Math" w:hAnsi="Cambria Math"/>
              </w:rPr>
              <m:t>cond night</m:t>
            </m:r>
          </m:sub>
          <m:sup>
            <m:r>
              <w:rPr>
                <w:rFonts w:ascii="Cambria Math" w:hAnsi="Cambria Math"/>
              </w:rPr>
              <m:t>day</m:t>
            </m:r>
          </m:sup>
        </m:sSubSup>
        <m:r>
          <w:rPr>
            <w:rFonts w:ascii="Cambria Math" w:hAnsi="Cambria Math"/>
          </w:rPr>
          <m:t xml:space="preserve"> </m:t>
        </m:r>
      </m:oMath>
      <w:r w:rsidRPr="00333A58">
        <w:t xml:space="preserve">is the </w:t>
      </w:r>
      <w:r w:rsidR="00D10BA9">
        <w:t xml:space="preserve">overnight heating demand due to </w:t>
      </w:r>
      <w:r w:rsidRPr="00333A58">
        <w:t>conduction heat losses through the walls of the furnace associated with sustaining the</w:t>
      </w:r>
      <w:r>
        <w:t xml:space="preserve"> temperature inside the furnace</w:t>
      </w:r>
      <w:r w:rsidRPr="00333A58">
        <w:t xml:space="preserve"> at 1</w:t>
      </w:r>
      <w:r>
        <w:t>1</w:t>
      </w:r>
      <w:r w:rsidRPr="00333A58">
        <w:t>00</w:t>
      </w:r>
      <w:r w:rsidRPr="00333A58">
        <w:rPr>
          <w:vertAlign w:val="superscript"/>
        </w:rPr>
        <w:t>o</w:t>
      </w:r>
      <w:r>
        <w:t>C</w:t>
      </w:r>
      <w:r w:rsidR="00D10BA9">
        <w:t>.</w:t>
      </w:r>
      <w:r>
        <w:t xml:space="preserve"> </w:t>
      </w:r>
      <w:r w:rsidR="00D10BA9">
        <w:t xml:space="preserve">This is </w:t>
      </w:r>
      <w:r w:rsidR="0044489D">
        <w:t>calculated</w:t>
      </w:r>
      <w:r w:rsidR="00D10BA9">
        <w:t xml:space="preserve"> in appendix ID8</w:t>
      </w:r>
      <w:r w:rsidRPr="004220BC">
        <w:t xml:space="preserve"> </w:t>
      </w:r>
      <w:r w:rsidR="00D10BA9">
        <w:t>by</w:t>
      </w:r>
      <w:r w:rsidRPr="004220BC">
        <w:t xml:space="preserve"> modell</w:t>
      </w:r>
      <w:r w:rsidR="00D10BA9">
        <w:t>ing the furnace</w:t>
      </w:r>
      <w:r w:rsidRPr="004220BC">
        <w:t xml:space="preserve"> as an insulated cylinder with 1D, steady state heat transfer across the melt containing side walls, superstructure sidewalls, roof and base, assuming typical values for each of these sections’ thermal conductivities, thicknesses and external surface heat transfer coefficients for intermediate scale glass furnaces </w:t>
      </w:r>
      <w:r w:rsidR="005917B9">
        <w:t xml:space="preserve">according to </w:t>
      </w:r>
      <w:r w:rsidRPr="004220BC">
        <w:t xml:space="preserve">Díaz-Ibarra et al., </w:t>
      </w:r>
      <w:r w:rsidR="005917B9">
        <w:t>(</w:t>
      </w:r>
      <w:r w:rsidR="002D333B">
        <w:t xml:space="preserve">2013). </w:t>
      </w:r>
    </w:p>
    <w:p w14:paraId="3A612902" w14:textId="77777777" w:rsidR="00452FE4" w:rsidRPr="0051537D" w:rsidRDefault="00452FE4" w:rsidP="00415170">
      <w:pPr>
        <w:pStyle w:val="Heading4"/>
        <w:keepNext w:val="0"/>
        <w:keepLines w:val="0"/>
        <w:numPr>
          <w:ilvl w:val="3"/>
          <w:numId w:val="23"/>
        </w:numPr>
        <w:spacing w:before="0" w:after="160"/>
        <w:ind w:left="1728"/>
      </w:pPr>
      <w:bookmarkStart w:id="237" w:name="_Ref446597309"/>
      <w:r w:rsidRPr="0051537D">
        <w:t>Photovoltaic and battery storage system</w:t>
      </w:r>
      <w:bookmarkEnd w:id="237"/>
    </w:p>
    <w:p w14:paraId="3C6F0F03" w14:textId="5F4C768F" w:rsidR="00452FE4" w:rsidRPr="00333A58" w:rsidRDefault="00452FE4" w:rsidP="00EA4BBA">
      <w:r>
        <w:t xml:space="preserve"> </w:t>
      </w:r>
      <w:r w:rsidRPr="00333A58">
        <w:t xml:space="preserve">For this analysis, we consider the use of </w:t>
      </w:r>
      <w:r>
        <w:t xml:space="preserve">a </w:t>
      </w:r>
      <w:r w:rsidRPr="00333A58">
        <w:t xml:space="preserve">solar photovoltaic (PV) </w:t>
      </w:r>
      <w:r>
        <w:t xml:space="preserve">system to generate sufficient electrical </w:t>
      </w:r>
      <w:r w:rsidRPr="00333A58">
        <w:t>energy during the day to be stored</w:t>
      </w:r>
      <w:r>
        <w:t xml:space="preserve"> in batteries,</w:t>
      </w:r>
      <w:r w:rsidRPr="00333A58">
        <w:t xml:space="preserve"> to meet the glass furnace’s overnight energy demand (</w:t>
      </w:r>
      <m:oMath>
        <m:sSubSup>
          <m:sSubSupPr>
            <m:ctrlPr>
              <w:rPr>
                <w:rFonts w:ascii="Cambria Math" w:hAnsi="Cambria Math"/>
                <w:i/>
              </w:rPr>
            </m:ctrlPr>
          </m:sSubSupPr>
          <m:e>
            <m:r>
              <w:rPr>
                <w:rFonts w:ascii="Cambria Math" w:hAnsi="Cambria Math"/>
              </w:rPr>
              <m:t>E</m:t>
            </m:r>
          </m:e>
          <m:sub>
            <m:r>
              <w:rPr>
                <w:rFonts w:ascii="Cambria Math" w:hAnsi="Cambria Math"/>
              </w:rPr>
              <m:t>store</m:t>
            </m:r>
          </m:sub>
          <m:sup>
            <m:r>
              <w:rPr>
                <w:rFonts w:ascii="Cambria Math" w:hAnsi="Cambria Math"/>
              </w:rPr>
              <m:t>day</m:t>
            </m:r>
          </m:sup>
        </m:sSubSup>
        <m:r>
          <w:rPr>
            <w:rFonts w:ascii="Cambria Math" w:hAnsi="Cambria Math"/>
          </w:rPr>
          <m:t>)</m:t>
        </m:r>
      </m:oMath>
      <w:r w:rsidRPr="00333A58">
        <w:t>. The area of</w:t>
      </w:r>
      <w:r>
        <w:t xml:space="preserve"> the</w:t>
      </w:r>
      <w:r w:rsidRPr="00333A58">
        <w:t xml:space="preserve"> solar PV </w:t>
      </w:r>
      <w:r>
        <w:t xml:space="preserve">field </w:t>
      </w:r>
      <w:r w:rsidRPr="00333A58">
        <w:t xml:space="preserve">required is given by </w:t>
      </w:r>
      <w:r w:rsidRPr="00333A58">
        <w:fldChar w:fldCharType="begin"/>
      </w:r>
      <w:r w:rsidRPr="00333A58">
        <w:instrText xml:space="preserve"> REF _Ref444442171 \h </w:instrText>
      </w:r>
      <w:r w:rsidRPr="00333A58">
        <w:fldChar w:fldCharType="separate"/>
      </w:r>
      <w:r w:rsidR="00820EB1" w:rsidRPr="00333A58">
        <w:t xml:space="preserve">Equation </w:t>
      </w:r>
      <w:r w:rsidR="00820EB1">
        <w:rPr>
          <w:noProof/>
        </w:rPr>
        <w:t>27</w:t>
      </w:r>
      <w:r w:rsidRPr="00333A58">
        <w:fldChar w:fldCharType="end"/>
      </w:r>
      <w:r w:rsidRPr="00333A58">
        <w:t>.</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7"/>
        <w:gridCol w:w="1129"/>
        <w:gridCol w:w="1474"/>
      </w:tblGrid>
      <w:tr w:rsidR="00452FE4" w:rsidRPr="00333A58" w14:paraId="282ACA0D" w14:textId="77777777" w:rsidTr="00EA4BBA">
        <w:trPr>
          <w:trHeight w:val="261"/>
        </w:trPr>
        <w:tc>
          <w:tcPr>
            <w:tcW w:w="5982" w:type="dxa"/>
            <w:vAlign w:val="center"/>
          </w:tcPr>
          <w:p w14:paraId="0B9FC567" w14:textId="4BEDC825" w:rsidR="00452FE4" w:rsidRPr="00333A58" w:rsidRDefault="00A47317" w:rsidP="00EA4BBA">
            <m:oMathPara>
              <m:oMath>
                <m:sSub>
                  <m:sSubPr>
                    <m:ctrlPr>
                      <w:rPr>
                        <w:rFonts w:ascii="Cambria Math" w:hAnsi="Cambria Math"/>
                      </w:rPr>
                    </m:ctrlPr>
                  </m:sSubPr>
                  <m:e>
                    <m:r>
                      <w:rPr>
                        <w:rFonts w:ascii="Cambria Math" w:hAnsi="Cambria Math"/>
                      </w:rPr>
                      <m:t>A</m:t>
                    </m:r>
                  </m:e>
                  <m:sub>
                    <m:r>
                      <w:rPr>
                        <w:rFonts w:ascii="Cambria Math" w:hAnsi="Cambria Math"/>
                      </w:rPr>
                      <m:t>PV</m:t>
                    </m:r>
                  </m:sub>
                </m:sSub>
                <m:r>
                  <m:rPr>
                    <m:sty m:val="p"/>
                  </m:rPr>
                  <w:rPr>
                    <w:rFonts w:ascii="Cambria Math" w:hAnsi="Cambria Math"/>
                  </w:rPr>
                  <m:t>=</m:t>
                </m:r>
                <m:f>
                  <m:fPr>
                    <m:ctrlPr>
                      <w:rPr>
                        <w:rFonts w:ascii="Cambria Math" w:hAnsi="Cambria Math"/>
                      </w:rPr>
                    </m:ctrlPr>
                  </m:fPr>
                  <m:num>
                    <m:sSubSup>
                      <m:sSubSupPr>
                        <m:ctrlPr>
                          <w:rPr>
                            <w:rFonts w:ascii="Cambria Math" w:hAnsi="Cambria Math"/>
                            <w:i/>
                          </w:rPr>
                        </m:ctrlPr>
                      </m:sSubSupPr>
                      <m:e>
                        <m:r>
                          <w:rPr>
                            <w:rFonts w:ascii="Cambria Math" w:hAnsi="Cambria Math"/>
                          </w:rPr>
                          <m:t>E</m:t>
                        </m:r>
                      </m:e>
                      <m:sub>
                        <m:r>
                          <w:rPr>
                            <w:rFonts w:ascii="Cambria Math" w:hAnsi="Cambria Math"/>
                          </w:rPr>
                          <m:t>store</m:t>
                        </m:r>
                      </m:sub>
                      <m:sup>
                        <m:r>
                          <w:rPr>
                            <w:rFonts w:ascii="Cambria Math" w:hAnsi="Cambria Math"/>
                          </w:rPr>
                          <m:t>day</m:t>
                        </m:r>
                      </m:sup>
                    </m:sSubSup>
                  </m:num>
                  <m:den>
                    <m:sSubSup>
                      <m:sSubSupPr>
                        <m:ctrlPr>
                          <w:rPr>
                            <w:rStyle w:val="SubtleEmphasis"/>
                            <w:rFonts w:ascii="Cambria Math" w:eastAsia="Calibri" w:hAnsi="Cambria Math" w:cs="Times New Roman"/>
                            <w:i/>
                            <w:sz w:val="20"/>
                          </w:rPr>
                        </m:ctrlPr>
                      </m:sSubSupPr>
                      <m:e>
                        <m:r>
                          <w:rPr>
                            <w:rStyle w:val="SubtleEmphasis"/>
                            <w:rFonts w:ascii="Cambria Math" w:eastAsia="Calibri" w:hAnsi="Cambria Math" w:cs="Times New Roman"/>
                            <w:sz w:val="20"/>
                          </w:rPr>
                          <m:t>q</m:t>
                        </m:r>
                      </m:e>
                      <m:sub>
                        <m:r>
                          <w:rPr>
                            <w:rStyle w:val="SubtleEmphasis"/>
                            <w:rFonts w:ascii="Cambria Math" w:eastAsia="Calibri" w:hAnsi="Cambria Math" w:cs="Times New Roman"/>
                            <w:sz w:val="20"/>
                          </w:rPr>
                          <m:t>GHI</m:t>
                        </m:r>
                      </m:sub>
                      <m:sup>
                        <m:r>
                          <w:rPr>
                            <w:rStyle w:val="SubtleEmphasis"/>
                            <w:rFonts w:ascii="Cambria Math" w:eastAsia="Calibri" w:hAnsi="Cambria Math" w:cs="Times New Roman"/>
                            <w:sz w:val="20"/>
                          </w:rPr>
                          <m:t>day</m:t>
                        </m:r>
                      </m:sup>
                    </m:sSubSup>
                    <m:r>
                      <m:rPr>
                        <m:sty m:val="p"/>
                      </m:rPr>
                      <w:rPr>
                        <w:rFonts w:ascii="Cambria Math" w:hAnsi="Cambria Math"/>
                      </w:rPr>
                      <m:t>×</m:t>
                    </m:r>
                    <m:f>
                      <m:fPr>
                        <m:ctrlPr>
                          <w:rPr>
                            <w:rFonts w:ascii="Cambria Math" w:hAnsi="Cambria Math"/>
                          </w:rPr>
                        </m:ctrlPr>
                      </m:fPr>
                      <m:num>
                        <m:r>
                          <w:rPr>
                            <w:rFonts w:ascii="Cambria Math" w:hAnsi="Cambria Math"/>
                          </w:rPr>
                          <m:t xml:space="preserve">3,600,000 </m:t>
                        </m:r>
                        <m:r>
                          <m:rPr>
                            <m:sty m:val="p"/>
                          </m:rPr>
                          <w:rPr>
                            <w:rFonts w:ascii="Cambria Math" w:hAnsi="Cambria Math"/>
                          </w:rPr>
                          <m:t>J</m:t>
                        </m:r>
                      </m:num>
                      <m:den>
                        <m:r>
                          <m:rPr>
                            <m:sty m:val="p"/>
                          </m:rPr>
                          <w:rPr>
                            <w:rFonts w:ascii="Cambria Math" w:hAnsi="Cambria Math"/>
                          </w:rPr>
                          <m:t>kWh</m:t>
                        </m:r>
                      </m:den>
                    </m:f>
                    <m:r>
                      <m:rPr>
                        <m:sty m:val="p"/>
                      </m:rPr>
                      <w:rPr>
                        <w:rFonts w:ascii="Cambria Math" w:hAnsi="Cambria Math"/>
                      </w:rPr>
                      <m:t xml:space="preserve">× </m:t>
                    </m:r>
                    <m:sSub>
                      <m:sSubPr>
                        <m:ctrlPr>
                          <w:rPr>
                            <w:rFonts w:ascii="Cambria Math" w:hAnsi="Cambria Math"/>
                          </w:rPr>
                        </m:ctrlPr>
                      </m:sSubPr>
                      <m:e>
                        <m:r>
                          <w:rPr>
                            <w:rFonts w:ascii="Cambria Math" w:hAnsi="Cambria Math"/>
                          </w:rPr>
                          <m:t>η</m:t>
                        </m:r>
                      </m:e>
                      <m:sub>
                        <m:r>
                          <m:rPr>
                            <m:sty m:val="p"/>
                          </m:rPr>
                          <w:rPr>
                            <w:rFonts w:ascii="Cambria Math" w:hAnsi="Cambria Math"/>
                          </w:rPr>
                          <m:t>PV</m:t>
                        </m:r>
                      </m:sub>
                    </m:sSub>
                    <m:r>
                      <m:rPr>
                        <m:sty m:val="p"/>
                      </m:rPr>
                      <w:rPr>
                        <w:rFonts w:ascii="Cambria Math" w:hAnsi="Cambria Math"/>
                      </w:rPr>
                      <m:t>×</m:t>
                    </m:r>
                    <m:sSub>
                      <m:sSubPr>
                        <m:ctrlPr>
                          <w:rPr>
                            <w:rFonts w:ascii="Cambria Math" w:hAnsi="Cambria Math"/>
                          </w:rPr>
                        </m:ctrlPr>
                      </m:sSubPr>
                      <m:e>
                        <m:r>
                          <w:rPr>
                            <w:rFonts w:ascii="Cambria Math" w:hAnsi="Cambria Math"/>
                          </w:rPr>
                          <m:t>η</m:t>
                        </m:r>
                      </m:e>
                      <m:sub>
                        <m:r>
                          <w:rPr>
                            <w:rFonts w:ascii="Cambria Math" w:hAnsi="Cambria Math"/>
                          </w:rPr>
                          <m:t>store</m:t>
                        </m:r>
                        <m:r>
                          <m:rPr>
                            <m:sty m:val="p"/>
                          </m:rPr>
                          <w:rPr>
                            <w:rFonts w:ascii="Cambria Math" w:hAnsi="Cambria Math"/>
                          </w:rPr>
                          <m:t xml:space="preserve"> </m:t>
                        </m:r>
                      </m:sub>
                    </m:sSub>
                    <m:r>
                      <m:rPr>
                        <m:sty m:val="p"/>
                      </m:rPr>
                      <w:rPr>
                        <w:rFonts w:ascii="Cambria Math" w:hAnsi="Cambria Math"/>
                      </w:rPr>
                      <m:t xml:space="preserve"> </m:t>
                    </m:r>
                  </m:den>
                </m:f>
              </m:oMath>
            </m:oMathPara>
          </w:p>
        </w:tc>
        <w:tc>
          <w:tcPr>
            <w:tcW w:w="1191" w:type="dxa"/>
            <w:vAlign w:val="center"/>
          </w:tcPr>
          <w:p w14:paraId="0B64B5B2" w14:textId="77777777" w:rsidR="00452FE4" w:rsidRPr="00333A58" w:rsidRDefault="00452FE4" w:rsidP="00EA4BBA">
            <w:pPr>
              <w:jc w:val="right"/>
            </w:pPr>
            <w:r>
              <w:t>…</w:t>
            </w:r>
          </w:p>
        </w:tc>
        <w:tc>
          <w:tcPr>
            <w:tcW w:w="1559" w:type="dxa"/>
            <w:vAlign w:val="center"/>
          </w:tcPr>
          <w:p w14:paraId="319B26C3" w14:textId="136D254E" w:rsidR="00452FE4" w:rsidRPr="00333A58" w:rsidRDefault="00452FE4" w:rsidP="00EA4BBA">
            <w:pPr>
              <w:ind w:firstLine="0"/>
            </w:pPr>
            <w:bookmarkStart w:id="238" w:name="_Ref444442171"/>
            <w:r w:rsidRPr="00333A58">
              <w:t xml:space="preserve">Equation </w:t>
            </w:r>
            <w:r w:rsidR="00A47317">
              <w:fldChar w:fldCharType="begin"/>
            </w:r>
            <w:r w:rsidR="00A47317">
              <w:instrText xml:space="preserve"> SEQ Equation \* ARABIC </w:instrText>
            </w:r>
            <w:r w:rsidR="00A47317">
              <w:fldChar w:fldCharType="separate"/>
            </w:r>
            <w:r w:rsidR="00820EB1">
              <w:rPr>
                <w:noProof/>
              </w:rPr>
              <w:t>27</w:t>
            </w:r>
            <w:r w:rsidR="00A47317">
              <w:rPr>
                <w:noProof/>
              </w:rPr>
              <w:fldChar w:fldCharType="end"/>
            </w:r>
            <w:bookmarkEnd w:id="238"/>
          </w:p>
        </w:tc>
      </w:tr>
    </w:tbl>
    <w:p w14:paraId="0C962BF1" w14:textId="344BEB0F" w:rsidR="00452FE4" w:rsidRPr="006E6BD6" w:rsidRDefault="00452FE4" w:rsidP="00EA4BBA">
      <w:pPr>
        <w:ind w:firstLine="0"/>
      </w:pPr>
      <w:r w:rsidRPr="00333A58">
        <w:lastRenderedPageBreak/>
        <w:t xml:space="preserve">Where </w:t>
      </w:r>
      <m:oMath>
        <m:sSubSup>
          <m:sSubSupPr>
            <m:ctrlPr>
              <w:rPr>
                <w:rStyle w:val="SubtleEmphasis"/>
                <w:rFonts w:ascii="Cambria Math" w:eastAsia="Calibri" w:hAnsi="Cambria Math" w:cs="Times New Roman"/>
                <w:i/>
                <w:sz w:val="20"/>
              </w:rPr>
            </m:ctrlPr>
          </m:sSubSupPr>
          <m:e>
            <m:r>
              <w:rPr>
                <w:rStyle w:val="SubtleEmphasis"/>
                <w:rFonts w:ascii="Cambria Math" w:eastAsia="Calibri" w:hAnsi="Cambria Math" w:cs="Times New Roman"/>
                <w:sz w:val="20"/>
              </w:rPr>
              <m:t>q</m:t>
            </m:r>
          </m:e>
          <m:sub>
            <m:r>
              <w:rPr>
                <w:rStyle w:val="SubtleEmphasis"/>
                <w:rFonts w:ascii="Cambria Math" w:eastAsia="Calibri" w:hAnsi="Cambria Math" w:cs="Times New Roman"/>
                <w:sz w:val="20"/>
              </w:rPr>
              <m:t>GHI</m:t>
            </m:r>
          </m:sub>
          <m:sup>
            <m:r>
              <w:rPr>
                <w:rStyle w:val="SubtleEmphasis"/>
                <w:rFonts w:ascii="Cambria Math" w:eastAsia="Calibri" w:hAnsi="Cambria Math" w:cs="Times New Roman"/>
                <w:sz w:val="20"/>
              </w:rPr>
              <m:t>day</m:t>
            </m:r>
          </m:sup>
        </m:sSubSup>
      </m:oMath>
      <w:r w:rsidRPr="00333A58">
        <w:t xml:space="preserve"> is the </w:t>
      </w:r>
      <w:r>
        <w:t xml:space="preserve">daily </w:t>
      </w:r>
      <w:r w:rsidRPr="00333A58">
        <w:t xml:space="preserve">average </w:t>
      </w:r>
      <w:r>
        <w:t xml:space="preserve">daily </w:t>
      </w:r>
      <w:r w:rsidRPr="00333A58">
        <w:t>G</w:t>
      </w:r>
      <w:r>
        <w:t xml:space="preserve">lobal Horizontal Irradiance </w:t>
      </w:r>
      <w:r w:rsidRPr="00333A58">
        <w:t>which is the quantity of both direct and diffuse radiation falling on a horizontal surface, conventionally used to predict the power generation of PV systems.</w:t>
      </w:r>
      <w:r>
        <w:t xml:space="preserve"> A value of </w:t>
      </w:r>
      <m:oMath>
        <m:sSubSup>
          <m:sSubSupPr>
            <m:ctrlPr>
              <w:rPr>
                <w:rStyle w:val="SubtleEmphasis"/>
                <w:rFonts w:ascii="Cambria Math" w:eastAsia="Calibri" w:hAnsi="Cambria Math" w:cs="Times New Roman"/>
                <w:i/>
                <w:sz w:val="20"/>
              </w:rPr>
            </m:ctrlPr>
          </m:sSubSupPr>
          <m:e>
            <m:r>
              <w:rPr>
                <w:rStyle w:val="SubtleEmphasis"/>
                <w:rFonts w:ascii="Cambria Math" w:eastAsia="Calibri" w:hAnsi="Cambria Math" w:cs="Times New Roman"/>
                <w:sz w:val="20"/>
              </w:rPr>
              <m:t>q</m:t>
            </m:r>
          </m:e>
          <m:sub>
            <m:r>
              <w:rPr>
                <w:rStyle w:val="SubtleEmphasis"/>
                <w:rFonts w:ascii="Cambria Math" w:eastAsia="Calibri" w:hAnsi="Cambria Math" w:cs="Times New Roman"/>
                <w:sz w:val="20"/>
              </w:rPr>
              <m:t>GHI</m:t>
            </m:r>
          </m:sub>
          <m:sup>
            <m:r>
              <w:rPr>
                <w:rStyle w:val="SubtleEmphasis"/>
                <w:rFonts w:ascii="Cambria Math" w:eastAsia="Calibri" w:hAnsi="Cambria Math" w:cs="Times New Roman"/>
                <w:sz w:val="20"/>
              </w:rPr>
              <m:t>day</m:t>
            </m:r>
          </m:sup>
        </m:sSubSup>
        <m:r>
          <w:rPr>
            <w:rStyle w:val="SubtleEmphasis"/>
            <w:rFonts w:ascii="Cambria Math" w:hAnsi="Cambria Math"/>
            <w:sz w:val="20"/>
          </w:rPr>
          <m:t>=5.5</m:t>
        </m:r>
        <m:f>
          <m:fPr>
            <m:ctrlPr>
              <w:rPr>
                <w:rStyle w:val="SubtleEmphasis"/>
                <w:rFonts w:ascii="Cambria Math" w:hAnsi="Cambria Math"/>
                <w:sz w:val="20"/>
              </w:rPr>
            </m:ctrlPr>
          </m:fPr>
          <m:num>
            <m:r>
              <m:rPr>
                <m:sty m:val="p"/>
              </m:rPr>
              <w:rPr>
                <w:rStyle w:val="SubtleEmphasis"/>
                <w:rFonts w:ascii="Cambria Math" w:hAnsi="Cambria Math"/>
                <w:sz w:val="20"/>
              </w:rPr>
              <m:t>kWh</m:t>
            </m:r>
          </m:num>
          <m:den>
            <m:sSup>
              <m:sSupPr>
                <m:ctrlPr>
                  <w:rPr>
                    <w:rStyle w:val="SubtleEmphasis"/>
                    <w:rFonts w:ascii="Cambria Math" w:hAnsi="Cambria Math"/>
                    <w:sz w:val="20"/>
                  </w:rPr>
                </m:ctrlPr>
              </m:sSupPr>
              <m:e>
                <m:r>
                  <m:rPr>
                    <m:sty m:val="p"/>
                  </m:rPr>
                  <w:rPr>
                    <w:rStyle w:val="SubtleEmphasis"/>
                    <w:rFonts w:ascii="Cambria Math" w:hAnsi="Cambria Math"/>
                    <w:sz w:val="20"/>
                  </w:rPr>
                  <m:t>m</m:t>
                </m:r>
              </m:e>
              <m:sup>
                <m:r>
                  <m:rPr>
                    <m:sty m:val="p"/>
                  </m:rPr>
                  <w:rPr>
                    <w:rStyle w:val="SubtleEmphasis"/>
                    <w:rFonts w:ascii="Cambria Math" w:hAnsi="Cambria Math"/>
                    <w:sz w:val="20"/>
                  </w:rPr>
                  <m:t>2</m:t>
                </m:r>
              </m:sup>
            </m:sSup>
            <m:r>
              <m:rPr>
                <m:sty m:val="p"/>
              </m:rPr>
              <w:rPr>
                <w:rStyle w:val="SubtleEmphasis"/>
                <w:rFonts w:ascii="Cambria Math" w:hAnsi="Cambria Math"/>
                <w:sz w:val="20"/>
              </w:rPr>
              <m:t>d</m:t>
            </m:r>
          </m:den>
        </m:f>
      </m:oMath>
      <w:r>
        <w:rPr>
          <w:rStyle w:val="SubtleEmphasis"/>
          <w:sz w:val="20"/>
        </w:rPr>
        <w:t xml:space="preserve"> </w:t>
      </w:r>
      <w:r w:rsidRPr="0073088F">
        <w:t>is assumed</w:t>
      </w:r>
      <w:r>
        <w:t xml:space="preserve"> for this analysis, being typical for </w:t>
      </w:r>
      <w:r w:rsidRPr="0073088F">
        <w:t>regions with high solar radiation availability</w:t>
      </w:r>
      <w:r>
        <w:t xml:space="preserve"> (</w:t>
      </w:r>
      <w:r w:rsidR="00970F23">
        <w:t>see appendix ID9</w:t>
      </w:r>
      <w:r>
        <w:t>).</w:t>
      </w:r>
      <w:r w:rsidRPr="00333A58">
        <w:t xml:space="preserve">  </w:t>
      </w:r>
      <m:oMath>
        <m:sSub>
          <m:sSubPr>
            <m:ctrlPr>
              <w:rPr>
                <w:rFonts w:ascii="Cambria Math" w:hAnsi="Cambria Math"/>
                <w:i/>
              </w:rPr>
            </m:ctrlPr>
          </m:sSubPr>
          <m:e>
            <m:r>
              <w:rPr>
                <w:rFonts w:ascii="Cambria Math" w:hAnsi="Cambria Math"/>
              </w:rPr>
              <m:t>η</m:t>
            </m:r>
          </m:e>
          <m:sub>
            <m:r>
              <w:rPr>
                <w:rFonts w:ascii="Cambria Math" w:hAnsi="Cambria Math"/>
              </w:rPr>
              <m:t>PV</m:t>
            </m:r>
          </m:sub>
        </m:sSub>
        <m:r>
          <w:rPr>
            <w:rFonts w:ascii="Cambria Math" w:hAnsi="Cambria Math"/>
          </w:rPr>
          <m:t xml:space="preserve">=14% </m:t>
        </m:r>
      </m:oMath>
      <w:r>
        <w:fldChar w:fldCharType="begin" w:fldLock="1"/>
      </w:r>
      <w:r w:rsidR="00875DEE">
        <w:instrText>ADDIN CSL_CITATION { "citationItems" : [ { "id" : "ITEM-1", "itemData" : { "author" : [ { "dropping-particle" : "", "family" : "IRENA", "given" : "", "non-dropping-particle" : "", "parse-names" : false, "suffix" : "" } ], "id" : "ITEM-1", "issued" : { "date-parts" : [ [ "2012" ] ] }, "number-of-pages" : "10", "publisher-place" : "Abu Dhabi", "title" : "Renewable Enegy Technologies: Cost Analysis Series. Solar Photovoltaics", "type" : "report" }, "uris" : [ "http://www.mendeley.com/documents/?uuid=1fdc9312-f76b-452c-8b69-a1ad8d7f800e" ] } ], "mendeley" : { "formattedCitation" : "(IRENA 2012)", "plainTextFormattedCitation" : "(IRENA 2012)", "previouslyFormattedCitation" : "(IRENA 2012)" }, "properties" : { "noteIndex" : 0 }, "schema" : "https://github.com/citation-style-language/schema/raw/master/csl-citation.json" }</w:instrText>
      </w:r>
      <w:r>
        <w:fldChar w:fldCharType="separate"/>
      </w:r>
      <w:r w:rsidR="00875DEE" w:rsidRPr="00875DEE">
        <w:rPr>
          <w:noProof/>
        </w:rPr>
        <w:t>(IRENA 2012)</w:t>
      </w:r>
      <w:r>
        <w:fldChar w:fldCharType="end"/>
      </w:r>
      <w:r>
        <w:t xml:space="preserve"> and </w:t>
      </w:r>
      <m:oMath>
        <m:sSub>
          <m:sSubPr>
            <m:ctrlPr>
              <w:rPr>
                <w:rFonts w:ascii="Cambria Math" w:hAnsi="Cambria Math"/>
              </w:rPr>
            </m:ctrlPr>
          </m:sSubPr>
          <m:e>
            <m:r>
              <w:rPr>
                <w:rFonts w:ascii="Cambria Math" w:hAnsi="Cambria Math"/>
              </w:rPr>
              <m:t>η</m:t>
            </m:r>
          </m:e>
          <m:sub>
            <m:r>
              <w:rPr>
                <w:rFonts w:ascii="Cambria Math" w:hAnsi="Cambria Math"/>
              </w:rPr>
              <m:t>store</m:t>
            </m:r>
          </m:sub>
        </m:sSub>
        <m:r>
          <w:rPr>
            <w:rFonts w:ascii="Cambria Math" w:hAnsi="Cambria Math"/>
          </w:rPr>
          <m:t>=75%</m:t>
        </m:r>
      </m:oMath>
      <w:r w:rsidRPr="00333A58">
        <w:t xml:space="preserve"> </w:t>
      </w:r>
      <w:r w:rsidRPr="006A45A4">
        <w:fldChar w:fldCharType="begin" w:fldLock="1"/>
      </w:r>
      <w:r w:rsidR="00875DEE">
        <w:instrText>ADDIN CSL_CITATION { "citationItems" : [ { "id" : "ITEM-1", "itemData" : { "author" : [ { "dropping-particle" : "", "family" : "U.S. Department of Energy", "given" : "", "non-dropping-particle" : "", "parse-names" : false, "suffix" : "" } ], "id" : "ITEM-1", "issued" : { "date-parts" : [ [ "2013" ] ] }, "number-of-pages" : "33", "publisher-place" : "Washington", "title" : "Grid Energy Storage", "type" : "report" }, "uris" : [ "http://www.mendeley.com/documents/?uuid=cb7fa732-2e3d-485c-b866-65484eaa50fb" ] } ], "mendeley" : { "formattedCitation" : "(U.S. Department of Energy 2013)", "manualFormatting" : "(U.S. D.O.E., 2013)", "plainTextFormattedCitation" : "(U.S. Department of Energy 2013)", "previouslyFormattedCitation" : "(U.S. Department of Energy 2013)" }, "properties" : { "noteIndex" : 0 }, "schema" : "https://github.com/citation-style-language/schema/raw/master/csl-citation.json" }</w:instrText>
      </w:r>
      <w:r w:rsidRPr="006A45A4">
        <w:fldChar w:fldCharType="separate"/>
      </w:r>
      <w:r w:rsidRPr="006A45A4">
        <w:rPr>
          <w:noProof/>
        </w:rPr>
        <w:t>(U.S. D.O.E., 2013)</w:t>
      </w:r>
      <w:r w:rsidRPr="006A45A4">
        <w:fldChar w:fldCharType="end"/>
      </w:r>
      <w:r>
        <w:t xml:space="preserve"> are the assumed typical overall system efficiencies for a conventional mono-crystalline PV system and</w:t>
      </w:r>
      <w:r w:rsidRPr="00333A58">
        <w:t xml:space="preserve"> </w:t>
      </w:r>
      <w:r>
        <w:t>the roundtrip</w:t>
      </w:r>
      <w:r w:rsidRPr="00333A58">
        <w:t xml:space="preserve"> efficienc</w:t>
      </w:r>
      <w:r>
        <w:t>y</w:t>
      </w:r>
      <w:r w:rsidRPr="00333A58">
        <w:t xml:space="preserve"> for </w:t>
      </w:r>
      <w:r>
        <w:t xml:space="preserve">electrical </w:t>
      </w:r>
      <w:r w:rsidRPr="00333A58">
        <w:t xml:space="preserve">energy storage </w:t>
      </w:r>
      <w:r>
        <w:t xml:space="preserve">in batteries </w:t>
      </w:r>
      <w:r w:rsidRPr="00333A58">
        <w:t xml:space="preserve">respectively. </w:t>
      </w:r>
      <w:r>
        <w:t>Typical costs of 1400 $/m</w:t>
      </w:r>
      <w:r>
        <w:rPr>
          <w:vertAlign w:val="superscript"/>
        </w:rPr>
        <w:t>2</w:t>
      </w:r>
      <w:r>
        <w:t xml:space="preserve"> </w:t>
      </w:r>
      <w:r>
        <w:fldChar w:fldCharType="begin" w:fldLock="1"/>
      </w:r>
      <w:r w:rsidR="00875DEE">
        <w:instrText>ADDIN CSL_CITATION { "citationItems" : [ { "id" : "ITEM-1", "itemData" : { "author" : [ { "dropping-particle" : "", "family" : "IRENA", "given" : "", "non-dropping-particle" : "", "parse-names" : false, "suffix" : "" } ], "id" : "ITEM-1", "issued" : { "date-parts" : [ [ "2012" ] ] }, "number-of-pages" : "10", "publisher-place" : "Abu Dhabi", "title" : "Renewable Enegy Technologies: Cost Analysis Series. Solar Photovoltaics", "type" : "report" }, "uris" : [ "http://www.mendeley.com/documents/?uuid=1fdc9312-f76b-452c-8b69-a1ad8d7f800e" ] } ], "mendeley" : { "formattedCitation" : "(IRENA 2012)", "plainTextFormattedCitation" : "(IRENA 2012)", "previouslyFormattedCitation" : "(IRENA 2012)" }, "properties" : { "noteIndex" : 0 }, "schema" : "https://github.com/citation-style-language/schema/raw/master/csl-citation.json" }</w:instrText>
      </w:r>
      <w:r>
        <w:fldChar w:fldCharType="separate"/>
      </w:r>
      <w:r w:rsidR="00875DEE" w:rsidRPr="00875DEE">
        <w:rPr>
          <w:noProof/>
        </w:rPr>
        <w:t>(IRENA 2012)</w:t>
      </w:r>
      <w:r>
        <w:fldChar w:fldCharType="end"/>
      </w:r>
      <w:r>
        <w:t xml:space="preserve"> for the PV field and </w:t>
      </w:r>
      <w:r w:rsidRPr="0054004A">
        <w:t>250 $/kWh</w:t>
      </w:r>
      <w:r>
        <w:rPr>
          <w:rStyle w:val="SubtleEmphasis"/>
          <w:sz w:val="20"/>
        </w:rPr>
        <w:t xml:space="preserve"> </w:t>
      </w:r>
      <w:r w:rsidRPr="006A45A4">
        <w:fldChar w:fldCharType="begin" w:fldLock="1"/>
      </w:r>
      <w:r w:rsidR="00875DEE">
        <w:instrText>ADDIN CSL_CITATION { "citationItems" : [ { "id" : "ITEM-1", "itemData" : { "author" : [ { "dropping-particle" : "", "family" : "U.S. Department of Energy", "given" : "", "non-dropping-particle" : "", "parse-names" : false, "suffix" : "" } ], "id" : "ITEM-1", "issued" : { "date-parts" : [ [ "2013" ] ] }, "number-of-pages" : "33", "publisher-place" : "Washington", "title" : "Grid Energy Storage", "type" : "report" }, "uris" : [ "http://www.mendeley.com/documents/?uuid=cb7fa732-2e3d-485c-b866-65484eaa50fb" ] } ], "mendeley" : { "formattedCitation" : "(U.S. Department of Energy 2013)", "manualFormatting" : "(U.S. D.O.E., 2013)", "plainTextFormattedCitation" : "(U.S. Department of Energy 2013)", "previouslyFormattedCitation" : "(U.S. Department of Energy 2013)" }, "properties" : { "noteIndex" : 0 }, "schema" : "https://github.com/citation-style-language/schema/raw/master/csl-citation.json" }</w:instrText>
      </w:r>
      <w:r w:rsidRPr="006A45A4">
        <w:fldChar w:fldCharType="separate"/>
      </w:r>
      <w:r w:rsidRPr="006A45A4">
        <w:rPr>
          <w:noProof/>
        </w:rPr>
        <w:t>(U.S. D.O.E., 2013)</w:t>
      </w:r>
      <w:r w:rsidRPr="006A45A4">
        <w:fldChar w:fldCharType="end"/>
      </w:r>
      <w:r>
        <w:t xml:space="preserve"> for the battery storage are assumed</w:t>
      </w:r>
      <w:r w:rsidRPr="0054004A">
        <w:t>.</w:t>
      </w:r>
    </w:p>
    <w:p w14:paraId="78208082" w14:textId="77777777" w:rsidR="00452FE4" w:rsidRPr="0051537D" w:rsidRDefault="00452FE4" w:rsidP="00F3524F">
      <w:pPr>
        <w:pStyle w:val="Heading4"/>
        <w:keepNext w:val="0"/>
        <w:keepLines w:val="0"/>
        <w:numPr>
          <w:ilvl w:val="3"/>
          <w:numId w:val="23"/>
        </w:numPr>
        <w:spacing w:before="0" w:after="160"/>
        <w:ind w:left="1728"/>
      </w:pPr>
      <w:bookmarkStart w:id="239" w:name="_Ref446597434"/>
      <w:r w:rsidRPr="0051537D">
        <w:t>Scale-up scenarios</w:t>
      </w:r>
      <w:bookmarkEnd w:id="239"/>
      <w:r w:rsidRPr="0051537D">
        <w:t xml:space="preserve"> </w:t>
      </w:r>
    </w:p>
    <w:p w14:paraId="16BDAD78" w14:textId="4E222965" w:rsidR="00452FE4" w:rsidRPr="009E7971" w:rsidRDefault="00452FE4" w:rsidP="00931E62">
      <w:r>
        <w:t xml:space="preserve">The estimated glass production rates, land areas and costs associated with the solar concentrating and PV systems required for the existing experimental system and for nine scale-up scenarios (1a,b,c; 2a,b,c; 3a,b,c) are provided in </w:t>
      </w:r>
      <w:r>
        <w:fldChar w:fldCharType="begin"/>
      </w:r>
      <w:r>
        <w:instrText xml:space="preserve"> REF _Ref451099133 \h </w:instrText>
      </w:r>
      <w:r>
        <w:fldChar w:fldCharType="separate"/>
      </w:r>
      <w:r w:rsidR="00820EB1" w:rsidRPr="00F52F2B">
        <w:t xml:space="preserve">Table </w:t>
      </w:r>
      <w:r w:rsidR="00820EB1">
        <w:rPr>
          <w:noProof/>
        </w:rPr>
        <w:t>7</w:t>
      </w:r>
      <w:r>
        <w:fldChar w:fldCharType="end"/>
      </w:r>
      <w:r w:rsidR="00931E62">
        <w:t xml:space="preserve">. </w:t>
      </w:r>
      <w:r>
        <w:t xml:space="preserve">These nine scale up scenarios are based on three sizes of solar concentrating systems corresponding to </w:t>
      </w:r>
      <w:r w:rsidRPr="00F52EC2">
        <w:t>1</w:t>
      </w:r>
      <w:r w:rsidRPr="00DB3CEB">
        <w:t>)</w:t>
      </w:r>
      <w:r w:rsidR="00D77B5B">
        <w:t xml:space="preserve"> </w:t>
      </w:r>
      <w:r>
        <w:t>1,000 m</w:t>
      </w:r>
      <w:r>
        <w:rPr>
          <w:vertAlign w:val="superscript"/>
        </w:rPr>
        <w:t>2</w:t>
      </w:r>
      <w:r>
        <w:t xml:space="preserve">, </w:t>
      </w:r>
      <w:r w:rsidRPr="00F52EC2">
        <w:t>2</w:t>
      </w:r>
      <w:r w:rsidRPr="00DB3CEB">
        <w:t>)</w:t>
      </w:r>
      <w:r w:rsidR="00D77B5B">
        <w:t xml:space="preserve"> </w:t>
      </w:r>
      <w:r>
        <w:t>5,000 m</w:t>
      </w:r>
      <w:r>
        <w:rPr>
          <w:vertAlign w:val="superscript"/>
        </w:rPr>
        <w:t>2</w:t>
      </w:r>
      <w:r>
        <w:t xml:space="preserve"> and </w:t>
      </w:r>
      <w:r w:rsidRPr="00F52EC2">
        <w:t>3</w:t>
      </w:r>
      <w:r w:rsidRPr="00DB3CEB">
        <w:t>)</w:t>
      </w:r>
      <w:r w:rsidR="00D77B5B">
        <w:t xml:space="preserve"> </w:t>
      </w:r>
      <w:r>
        <w:t>25,000 m</w:t>
      </w:r>
      <w:r>
        <w:rPr>
          <w:vertAlign w:val="superscript"/>
        </w:rPr>
        <w:t>2</w:t>
      </w:r>
      <w:r>
        <w:t xml:space="preserve"> of heliostat mirror area and for each of these sizes, the </w:t>
      </w:r>
      <w:r w:rsidRPr="00F52EC2">
        <w:t>a</w:t>
      </w:r>
      <w:r w:rsidRPr="00DB3CEB">
        <w:t xml:space="preserve">) </w:t>
      </w:r>
      <w:r>
        <w:t xml:space="preserve">worse, </w:t>
      </w:r>
      <w:r w:rsidRPr="00F52EC2">
        <w:t>b</w:t>
      </w:r>
      <w:r w:rsidRPr="00DB3CEB">
        <w:t>)</w:t>
      </w:r>
      <w:r>
        <w:t xml:space="preserve"> intermediate and </w:t>
      </w:r>
      <w:r w:rsidRPr="00F52EC2">
        <w:t>c</w:t>
      </w:r>
      <w:r w:rsidRPr="00DB3CEB">
        <w:t>)</w:t>
      </w:r>
      <w:r>
        <w:t xml:space="preserve"> best case scenarios with respect to the efficiency of the solar-heated glass furnace are given as follows. These particular sizes of solar concentration systems were selected because their costs were conveniently available from Meier et al (2005). For the worse case (</w:t>
      </w:r>
      <w:r w:rsidRPr="00210472">
        <w:rPr>
          <w:i/>
        </w:rPr>
        <w:t>a</w:t>
      </w:r>
      <w:r>
        <w:t xml:space="preserve">) scenarios, the same glass furnace efficiency as our existing experimental system </w:t>
      </w:r>
      <m:oMath>
        <m:sSub>
          <m:sSubPr>
            <m:ctrlPr>
              <w:rPr>
                <w:rFonts w:ascii="Cambria Math" w:hAnsi="Cambria Math"/>
                <w:i/>
              </w:rPr>
            </m:ctrlPr>
          </m:sSubPr>
          <m:e>
            <m:r>
              <w:rPr>
                <w:rFonts w:ascii="Cambria Math" w:hAnsi="Cambria Math"/>
              </w:rPr>
              <m:t>η</m:t>
            </m:r>
          </m:e>
          <m:sub>
            <m:r>
              <w:rPr>
                <w:rFonts w:ascii="Cambria Math" w:hAnsi="Cambria Math"/>
              </w:rPr>
              <m:t>gf,exp</m:t>
            </m:r>
          </m:sub>
        </m:sSub>
        <m:r>
          <w:rPr>
            <w:rFonts w:ascii="Cambria Math" w:hAnsi="Cambria Math"/>
          </w:rPr>
          <m:t>=16%</m:t>
        </m:r>
      </m:oMath>
      <w:r>
        <w:t xml:space="preserve"> is assumed. The performance of </w:t>
      </w:r>
      <w:r w:rsidRPr="009E7971">
        <w:t xml:space="preserve">the envisaged real system </w:t>
      </w:r>
      <w:r>
        <w:t>should be</w:t>
      </w:r>
      <w:r w:rsidRPr="009E7971">
        <w:t xml:space="preserve"> </w:t>
      </w:r>
      <w:r>
        <w:t xml:space="preserve">greater than </w:t>
      </w:r>
      <m:oMath>
        <m:sSub>
          <m:sSubPr>
            <m:ctrlPr>
              <w:rPr>
                <w:rFonts w:ascii="Cambria Math" w:hAnsi="Cambria Math"/>
                <w:i/>
              </w:rPr>
            </m:ctrlPr>
          </m:sSubPr>
          <m:e>
            <m:r>
              <w:rPr>
                <w:rFonts w:ascii="Cambria Math" w:hAnsi="Cambria Math"/>
              </w:rPr>
              <m:t>η</m:t>
            </m:r>
          </m:e>
          <m:sub>
            <m:r>
              <w:rPr>
                <w:rFonts w:ascii="Cambria Math" w:hAnsi="Cambria Math"/>
              </w:rPr>
              <m:t>gf,exp</m:t>
            </m:r>
          </m:sub>
        </m:sSub>
      </m:oMath>
      <w:r>
        <w:t xml:space="preserve"> partly due to reducing surface area to volume heat losses on scale-up and partly because the existing experimental system was not optimised so there is significant scope for improvements in future developments as discussed in section 7.7. However, the overall glass melting efficiency of future systems could be lower if the retention time required to produce the required quality of glass proved to be much longer than that of our experiments. Also, the maximum efficiency which could be achieved is limited both by the Carnot efficiency (</w:t>
      </w:r>
      <m:oMath>
        <m:sSub>
          <m:sSubPr>
            <m:ctrlPr>
              <w:rPr>
                <w:rFonts w:ascii="Cambria Math" w:hAnsi="Cambria Math"/>
                <w:i/>
              </w:rPr>
            </m:ctrlPr>
          </m:sSubPr>
          <m:e>
            <m:r>
              <w:rPr>
                <w:rFonts w:ascii="Cambria Math" w:hAnsi="Cambria Math"/>
              </w:rPr>
              <m:t>η</m:t>
            </m:r>
          </m:e>
          <m:sub>
            <m:r>
              <w:rPr>
                <w:rFonts w:ascii="Cambria Math" w:hAnsi="Cambria Math"/>
              </w:rPr>
              <m:t>carnot</m:t>
            </m:r>
          </m:sub>
        </m:sSub>
        <m:r>
          <w:rPr>
            <w:rFonts w:ascii="Cambria Math" w:hAnsi="Cambria Math"/>
          </w:rPr>
          <m:t>)</m:t>
        </m:r>
      </m:oMath>
      <w:r>
        <w:t xml:space="preserve"> limit as well as the maximum rate of net heat absorbtion (</w:t>
      </w:r>
      <m:oMath>
        <m:sSub>
          <m:sSubPr>
            <m:ctrlPr>
              <w:rPr>
                <w:rFonts w:ascii="Cambria Math" w:hAnsi="Cambria Math"/>
                <w:i/>
              </w:rPr>
            </m:ctrlPr>
          </m:sSubPr>
          <m:e>
            <m:r>
              <w:rPr>
                <w:rFonts w:ascii="Cambria Math" w:hAnsi="Cambria Math"/>
              </w:rPr>
              <m:t>η</m:t>
            </m:r>
          </m:e>
          <m:sub>
            <m:r>
              <w:rPr>
                <w:rFonts w:ascii="Cambria Math" w:hAnsi="Cambria Math"/>
              </w:rPr>
              <m:t>ideal absorbtion</m:t>
            </m:r>
          </m:sub>
        </m:sSub>
        <m:r>
          <w:rPr>
            <w:rFonts w:ascii="Cambria Math" w:hAnsi="Cambria Math"/>
          </w:rPr>
          <m:t>)</m:t>
        </m:r>
      </m:oMath>
      <w:r>
        <w:t xml:space="preserve"> due to the fact that some heat must be re-radiated back out through the beam inlet aperture </w:t>
      </w:r>
      <w:r>
        <w:fldChar w:fldCharType="begin" w:fldLock="1"/>
      </w:r>
      <w:r w:rsidR="00875DEE">
        <w:instrText>ADDIN CSL_CITATION { "citationItems" : [ { "id" : "ITEM-1", "itemData" : { "author" : [ { "dropping-particle" : "", "family" : "Steinfeld", "given" : "Aldo", "non-dropping-particle" : "", "parse-names" : false, "suffix" : "" } ], "container-title" : "Solar Fuels and Materials", "id" : "ITEM-1", "issued" : { "date-parts" : [ [ "2004" ] ] }, "page" : "623-637", "title" : "Solar Fuels and Materials", "type" : "article-journal", "volume" : "5" }, "uris" : [ "http://www.mendeley.com/documents/?uuid=4d9c6e4d-2c6f-4f04-849c-c7de707c55be" ] } ], "mendeley" : { "formattedCitation" : "(Steinfeld 2004)", "plainTextFormattedCitation" : "(Steinfeld 2004)", "previouslyFormattedCitation" : "(Steinfeld 2004)" }, "properties" : { "noteIndex" : 0 }, "schema" : "https://github.com/citation-style-language/schema/raw/master/csl-citation.json" }</w:instrText>
      </w:r>
      <w:r>
        <w:fldChar w:fldCharType="separate"/>
      </w:r>
      <w:r w:rsidR="00875DEE" w:rsidRPr="00875DEE">
        <w:rPr>
          <w:noProof/>
        </w:rPr>
        <w:t>(Steinfeld 2004)</w:t>
      </w:r>
      <w:r>
        <w:fldChar w:fldCharType="end"/>
      </w:r>
      <w:r>
        <w:t>. So, the</w:t>
      </w:r>
      <w:r w:rsidRPr="00333A58">
        <w:t xml:space="preserve"> maximum possible </w:t>
      </w:r>
      <w:r>
        <w:t xml:space="preserve">overall </w:t>
      </w:r>
      <w:r w:rsidRPr="00333A58">
        <w:t xml:space="preserve">efficiency </w:t>
      </w:r>
      <w:r>
        <w:t>(</w:t>
      </w:r>
      <m:oMath>
        <m:sSub>
          <m:sSubPr>
            <m:ctrlPr>
              <w:rPr>
                <w:rFonts w:ascii="Cambria Math" w:hAnsi="Cambria Math"/>
                <w:i/>
              </w:rPr>
            </m:ctrlPr>
          </m:sSubPr>
          <m:e>
            <m:r>
              <w:rPr>
                <w:rFonts w:ascii="Cambria Math" w:hAnsi="Cambria Math"/>
              </w:rPr>
              <m:t>η</m:t>
            </m:r>
          </m:e>
          <m:sub>
            <m:r>
              <w:rPr>
                <w:rFonts w:ascii="Cambria Math" w:hAnsi="Cambria Math"/>
              </w:rPr>
              <m:t>gf,ideal</m:t>
            </m:r>
          </m:sub>
        </m:sSub>
        <m:r>
          <w:rPr>
            <w:rFonts w:ascii="Cambria Math" w:hAnsi="Cambria Math"/>
          </w:rPr>
          <m:t xml:space="preserve">) </m:t>
        </m:r>
      </m:oMath>
      <w:r>
        <w:t>as assumed in the best case (</w:t>
      </w:r>
      <w:r>
        <w:rPr>
          <w:i/>
        </w:rPr>
        <w:t>c</w:t>
      </w:r>
      <w:r>
        <w:t xml:space="preserve">) scenarios for each size system envisaged is </w:t>
      </w:r>
      <w:r w:rsidRPr="00333A58">
        <w:t xml:space="preserve">given by </w:t>
      </w:r>
      <w:r w:rsidRPr="00333A58">
        <w:fldChar w:fldCharType="begin"/>
      </w:r>
      <w:r w:rsidRPr="00333A58">
        <w:instrText xml:space="preserve"> REF _Ref444622774 \h </w:instrText>
      </w:r>
      <w:r w:rsidRPr="00333A58">
        <w:fldChar w:fldCharType="separate"/>
      </w:r>
      <w:r w:rsidR="00820EB1" w:rsidRPr="00333A58">
        <w:t xml:space="preserve">Equation </w:t>
      </w:r>
      <w:r w:rsidR="00820EB1">
        <w:rPr>
          <w:noProof/>
        </w:rPr>
        <w:t>28</w:t>
      </w:r>
      <w:r w:rsidRPr="00333A58">
        <w:fldChar w:fldCharType="end"/>
      </w:r>
      <w:r w:rsidRPr="00333A58">
        <w:t>.</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8"/>
        <w:gridCol w:w="1212"/>
        <w:gridCol w:w="1660"/>
      </w:tblGrid>
      <w:tr w:rsidR="00452FE4" w:rsidRPr="00333A58" w14:paraId="0A651CA9" w14:textId="77777777" w:rsidTr="00EA4BBA">
        <w:trPr>
          <w:trHeight w:val="261"/>
        </w:trPr>
        <w:tc>
          <w:tcPr>
            <w:tcW w:w="5709" w:type="dxa"/>
            <w:vAlign w:val="center"/>
          </w:tcPr>
          <w:p w14:paraId="05B49017" w14:textId="77777777" w:rsidR="00452FE4" w:rsidRPr="00333A58" w:rsidRDefault="00A47317" w:rsidP="00EA4BBA">
            <m:oMathPara>
              <m:oMath>
                <m:sSub>
                  <m:sSubPr>
                    <m:ctrlPr>
                      <w:rPr>
                        <w:rFonts w:ascii="Cambria Math" w:hAnsi="Cambria Math"/>
                      </w:rPr>
                    </m:ctrlPr>
                  </m:sSubPr>
                  <m:e>
                    <m:r>
                      <w:rPr>
                        <w:rFonts w:ascii="Cambria Math" w:hAnsi="Cambria Math"/>
                      </w:rPr>
                      <m:t>η</m:t>
                    </m:r>
                  </m:e>
                  <m:sub>
                    <m:r>
                      <w:rPr>
                        <w:rFonts w:ascii="Cambria Math" w:hAnsi="Cambria Math"/>
                      </w:rPr>
                      <m:t>gf</m:t>
                    </m:r>
                    <m:r>
                      <m:rPr>
                        <m:sty m:val="p"/>
                      </m:rPr>
                      <w:rPr>
                        <w:rFonts w:ascii="Cambria Math" w:hAnsi="Cambria Math"/>
                      </w:rPr>
                      <m:t xml:space="preserve"> </m:t>
                    </m:r>
                    <m:r>
                      <w:rPr>
                        <w:rFonts w:ascii="Cambria Math" w:hAnsi="Cambria Math"/>
                      </w:rPr>
                      <m:t>ideal</m:t>
                    </m:r>
                  </m:sub>
                </m:sSub>
                <m:r>
                  <m:rPr>
                    <m:sty m:val="p"/>
                  </m:rPr>
                  <w:rPr>
                    <w:rFonts w:ascii="Cambria Math" w:hAnsi="Cambria Math"/>
                  </w:rPr>
                  <m:t>=</m:t>
                </m:r>
                <m:sSub>
                  <m:sSubPr>
                    <m:ctrlPr>
                      <w:rPr>
                        <w:rFonts w:ascii="Cambria Math" w:hAnsi="Cambria Math"/>
                      </w:rPr>
                    </m:ctrlPr>
                  </m:sSubPr>
                  <m:e>
                    <m:r>
                      <w:rPr>
                        <w:rFonts w:ascii="Cambria Math" w:hAnsi="Cambria Math"/>
                      </w:rPr>
                      <m:t>η</m:t>
                    </m:r>
                  </m:e>
                  <m:sub>
                    <m:r>
                      <w:rPr>
                        <w:rFonts w:ascii="Cambria Math" w:hAnsi="Cambria Math"/>
                      </w:rPr>
                      <m:t>ideal</m:t>
                    </m:r>
                    <m:r>
                      <m:rPr>
                        <m:sty m:val="p"/>
                      </m:rPr>
                      <w:rPr>
                        <w:rFonts w:ascii="Cambria Math" w:hAnsi="Cambria Math"/>
                      </w:rPr>
                      <m:t xml:space="preserve"> </m:t>
                    </m:r>
                    <m:r>
                      <w:rPr>
                        <w:rFonts w:ascii="Cambria Math" w:hAnsi="Cambria Math"/>
                      </w:rPr>
                      <m:t>absorbtion</m:t>
                    </m:r>
                  </m:sub>
                </m:sSub>
                <m:r>
                  <m:rPr>
                    <m:sty m:val="p"/>
                  </m:rPr>
                  <w:rPr>
                    <w:rFonts w:ascii="Cambria Math" w:hAnsi="Cambria Math"/>
                  </w:rPr>
                  <m:t>×</m:t>
                </m:r>
                <m:sSub>
                  <m:sSubPr>
                    <m:ctrlPr>
                      <w:rPr>
                        <w:rFonts w:ascii="Cambria Math" w:hAnsi="Cambria Math"/>
                      </w:rPr>
                    </m:ctrlPr>
                  </m:sSubPr>
                  <m:e>
                    <m:r>
                      <w:rPr>
                        <w:rFonts w:ascii="Cambria Math" w:hAnsi="Cambria Math"/>
                      </w:rPr>
                      <m:t>η</m:t>
                    </m:r>
                  </m:e>
                  <m:sub>
                    <m:r>
                      <w:rPr>
                        <w:rFonts w:ascii="Cambria Math" w:hAnsi="Cambria Math"/>
                      </w:rPr>
                      <m:t>carnot</m:t>
                    </m:r>
                  </m:sub>
                </m:sSub>
              </m:oMath>
            </m:oMathPara>
          </w:p>
          <w:p w14:paraId="7B087E5F" w14:textId="77777777" w:rsidR="00452FE4" w:rsidRPr="00333A58" w:rsidRDefault="00A47317" w:rsidP="00EA4BBA">
            <m:oMathPara>
              <m:oMath>
                <m:sSub>
                  <m:sSubPr>
                    <m:ctrlPr>
                      <w:rPr>
                        <w:rFonts w:ascii="Cambria Math" w:hAnsi="Cambria Math"/>
                      </w:rPr>
                    </m:ctrlPr>
                  </m:sSubPr>
                  <m:e>
                    <m:r>
                      <w:rPr>
                        <w:rFonts w:ascii="Cambria Math" w:hAnsi="Cambria Math"/>
                      </w:rPr>
                      <m:t>η</m:t>
                    </m:r>
                  </m:e>
                  <m:sub>
                    <m:r>
                      <w:rPr>
                        <w:rFonts w:ascii="Cambria Math" w:hAnsi="Cambria Math"/>
                      </w:rPr>
                      <m:t>gf</m:t>
                    </m:r>
                    <m:r>
                      <m:rPr>
                        <m:sty m:val="p"/>
                      </m:rPr>
                      <w:rPr>
                        <w:rFonts w:ascii="Cambria Math" w:hAnsi="Cambria Math"/>
                      </w:rPr>
                      <m:t xml:space="preserve"> </m:t>
                    </m:r>
                    <m:r>
                      <w:rPr>
                        <w:rFonts w:ascii="Cambria Math" w:hAnsi="Cambria Math"/>
                      </w:rPr>
                      <m:t>ideal</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f>
                      <m:fPr>
                        <m:ctrlPr>
                          <w:rPr>
                            <w:rFonts w:ascii="Cambria Math" w:hAnsi="Cambria Math"/>
                          </w:rPr>
                        </m:ctrlPr>
                      </m:fPr>
                      <m:num>
                        <m:r>
                          <w:rPr>
                            <w:rFonts w:ascii="Cambria Math" w:hAnsi="Cambria Math"/>
                          </w:rPr>
                          <m:t>σ</m:t>
                        </m:r>
                        <m:sSub>
                          <m:sSubPr>
                            <m:ctrlPr>
                              <w:rPr>
                                <w:rFonts w:ascii="Cambria Math" w:hAnsi="Cambria Math"/>
                              </w:rPr>
                            </m:ctrlPr>
                          </m:sSubPr>
                          <m:e>
                            <m:r>
                              <w:rPr>
                                <w:rFonts w:ascii="Cambria Math" w:hAnsi="Cambria Math"/>
                              </w:rPr>
                              <m:t>T</m:t>
                            </m:r>
                          </m:e>
                          <m:sub>
                            <m:r>
                              <w:rPr>
                                <w:rFonts w:ascii="Cambria Math" w:hAnsi="Cambria Math"/>
                              </w:rPr>
                              <m:t>glass</m:t>
                            </m:r>
                          </m:sub>
                        </m:sSub>
                      </m:num>
                      <m:den>
                        <m:r>
                          <w:rPr>
                            <w:rFonts w:ascii="Cambria Math" w:hAnsi="Cambria Math"/>
                          </w:rPr>
                          <m:t>C×</m:t>
                        </m:r>
                        <m:sSub>
                          <m:sSubPr>
                            <m:ctrlPr>
                              <w:rPr>
                                <w:rFonts w:ascii="Cambria Math" w:hAnsi="Cambria Math"/>
                              </w:rPr>
                            </m:ctrlPr>
                          </m:sSubPr>
                          <m:e>
                            <m:r>
                              <w:rPr>
                                <w:rFonts w:ascii="Cambria Math" w:hAnsi="Cambria Math"/>
                              </w:rPr>
                              <m:t>q</m:t>
                            </m:r>
                          </m:e>
                          <m:sub>
                            <m:r>
                              <w:rPr>
                                <w:rFonts w:ascii="Cambria Math" w:hAnsi="Cambria Math"/>
                              </w:rPr>
                              <m:t>sol</m:t>
                            </m:r>
                          </m:sub>
                        </m:sSub>
                      </m:den>
                    </m:f>
                  </m:e>
                </m:d>
                <m:r>
                  <m:rPr>
                    <m:sty m:val="p"/>
                  </m:rPr>
                  <w:rPr>
                    <w:rFonts w:ascii="Cambria Math" w:hAnsi="Cambria Math"/>
                  </w:rPr>
                  <m:t>×</m:t>
                </m:r>
                <m:d>
                  <m:dPr>
                    <m:ctrlPr>
                      <w:rPr>
                        <w:rFonts w:ascii="Cambria Math" w:hAnsi="Cambria Math"/>
                      </w:rPr>
                    </m:ctrlPr>
                  </m:dPr>
                  <m:e>
                    <m:r>
                      <m:rPr>
                        <m:sty m:val="p"/>
                      </m:rP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amb</m:t>
                            </m:r>
                          </m:sub>
                        </m:sSub>
                      </m:num>
                      <m:den>
                        <m:sSub>
                          <m:sSubPr>
                            <m:ctrlPr>
                              <w:rPr>
                                <w:rFonts w:ascii="Cambria Math" w:hAnsi="Cambria Math"/>
                              </w:rPr>
                            </m:ctrlPr>
                          </m:sSubPr>
                          <m:e>
                            <m:r>
                              <w:rPr>
                                <w:rFonts w:ascii="Cambria Math" w:hAnsi="Cambria Math"/>
                              </w:rPr>
                              <m:t>T</m:t>
                            </m:r>
                          </m:e>
                          <m:sub>
                            <m:r>
                              <w:rPr>
                                <w:rFonts w:ascii="Cambria Math" w:hAnsi="Cambria Math"/>
                              </w:rPr>
                              <m:t>glass</m:t>
                            </m:r>
                          </m:sub>
                        </m:sSub>
                      </m:den>
                    </m:f>
                  </m:e>
                </m:d>
              </m:oMath>
            </m:oMathPara>
          </w:p>
          <w:p w14:paraId="0FE4EF50" w14:textId="3AA0320C" w:rsidR="00452FE4" w:rsidRPr="00333A58" w:rsidRDefault="00A47317" w:rsidP="00EA4BBA">
            <m:oMathPara>
              <m:oMath>
                <m:sSub>
                  <m:sSubPr>
                    <m:ctrlPr>
                      <w:rPr>
                        <w:rFonts w:ascii="Cambria Math" w:hAnsi="Cambria Math"/>
                      </w:rPr>
                    </m:ctrlPr>
                  </m:sSubPr>
                  <m:e>
                    <m:r>
                      <w:rPr>
                        <w:rFonts w:ascii="Cambria Math" w:hAnsi="Cambria Math"/>
                      </w:rPr>
                      <m:t>η</m:t>
                    </m:r>
                  </m:e>
                  <m:sub>
                    <m:r>
                      <w:rPr>
                        <w:rFonts w:ascii="Cambria Math" w:hAnsi="Cambria Math"/>
                      </w:rPr>
                      <m:t>gf</m:t>
                    </m:r>
                    <m:r>
                      <m:rPr>
                        <m:sty m:val="p"/>
                      </m:rPr>
                      <w:rPr>
                        <w:rFonts w:ascii="Cambria Math" w:hAnsi="Cambria Math"/>
                      </w:rPr>
                      <m:t xml:space="preserve"> </m:t>
                    </m:r>
                    <m:r>
                      <w:rPr>
                        <w:rFonts w:ascii="Cambria Math" w:hAnsi="Cambria Math"/>
                      </w:rPr>
                      <m:t>ideal</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5.669×</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-8</m:t>
                            </m:r>
                          </m:sup>
                        </m:sSup>
                        <m:r>
                          <m:rPr>
                            <m:sty m:val="p"/>
                          </m:rPr>
                          <w:rPr>
                            <w:rFonts w:ascii="Cambria Math" w:hAnsi="Cambria Math"/>
                          </w:rPr>
                          <m:t>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K</m:t>
                            </m:r>
                          </m:e>
                          <m:sup>
                            <m:r>
                              <m:rPr>
                                <m:sty m:val="p"/>
                              </m:rPr>
                              <w:rPr>
                                <w:rFonts w:ascii="Cambria Math" w:hAnsi="Cambria Math"/>
                              </w:rPr>
                              <m:t>-4</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1773K</m:t>
                            </m:r>
                          </m:e>
                          <m:sup>
                            <m:r>
                              <m:rPr>
                                <m:sty m:val="p"/>
                              </m:rPr>
                              <w:rPr>
                                <w:rFonts w:ascii="Cambria Math" w:hAnsi="Cambria Math"/>
                              </w:rPr>
                              <m:t>4</m:t>
                            </m:r>
                          </m:sup>
                        </m:sSup>
                      </m:num>
                      <m:den>
                        <m:r>
                          <m:rPr>
                            <m:sty m:val="p"/>
                          </m:rPr>
                          <w:rPr>
                            <w:rFonts w:ascii="Cambria Math" w:hAnsi="Cambria Math"/>
                          </w:rPr>
                          <m:t>2000</m:t>
                        </m:r>
                        <m:r>
                          <w:rPr>
                            <w:rFonts w:ascii="Cambria Math" w:hAnsi="Cambria Math"/>
                          </w:rPr>
                          <m:t>×</m:t>
                        </m:r>
                        <m:r>
                          <m:rPr>
                            <m:sty m:val="p"/>
                          </m:rPr>
                          <w:rPr>
                            <w:rFonts w:ascii="Cambria Math" w:hAnsi="Cambria Math"/>
                          </w:rPr>
                          <m:t>797 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e>
                </m:d>
                <m:r>
                  <m:rPr>
                    <m:sty m:val="p"/>
                  </m:rPr>
                  <w:rPr>
                    <w:rFonts w:ascii="Cambria Math" w:hAnsi="Cambria Math"/>
                  </w:rPr>
                  <m:t>×</m:t>
                </m:r>
                <m:d>
                  <m:dPr>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293K</m:t>
                        </m:r>
                      </m:num>
                      <m:den>
                        <m:r>
                          <m:rPr>
                            <m:sty m:val="p"/>
                          </m:rPr>
                          <w:rPr>
                            <w:rFonts w:ascii="Cambria Math" w:hAnsi="Cambria Math"/>
                          </w:rPr>
                          <m:t>1773K</m:t>
                        </m:r>
                      </m:den>
                    </m:f>
                  </m:e>
                </m:d>
                <m:r>
                  <m:rPr>
                    <m:sty m:val="p"/>
                  </m:rPr>
                  <w:rPr>
                    <w:rFonts w:ascii="Cambria Math" w:hAnsi="Cambria Math"/>
                  </w:rPr>
                  <m:t>=54.1%</m:t>
                </m:r>
              </m:oMath>
            </m:oMathPara>
          </w:p>
        </w:tc>
        <w:tc>
          <w:tcPr>
            <w:tcW w:w="1307" w:type="dxa"/>
          </w:tcPr>
          <w:p w14:paraId="5CBD79A5" w14:textId="77777777" w:rsidR="00452FE4" w:rsidRPr="00333A58" w:rsidRDefault="00452FE4" w:rsidP="00EA4BBA">
            <w:pPr>
              <w:jc w:val="right"/>
            </w:pPr>
            <w:r>
              <w:lastRenderedPageBreak/>
              <w:t>…</w:t>
            </w:r>
          </w:p>
        </w:tc>
        <w:tc>
          <w:tcPr>
            <w:tcW w:w="1726" w:type="dxa"/>
          </w:tcPr>
          <w:p w14:paraId="6BF0A7E0" w14:textId="0F9AEE46" w:rsidR="00452FE4" w:rsidRPr="00333A58" w:rsidRDefault="00452FE4" w:rsidP="00EA4BBA">
            <w:pPr>
              <w:jc w:val="right"/>
            </w:pPr>
            <w:bookmarkStart w:id="240" w:name="_Ref444622774"/>
            <w:r w:rsidRPr="00333A58">
              <w:t xml:space="preserve">Equation </w:t>
            </w:r>
            <w:r w:rsidR="00A47317">
              <w:fldChar w:fldCharType="begin"/>
            </w:r>
            <w:r w:rsidR="00A47317">
              <w:instrText xml:space="preserve"> SEQ Equation \* ARABIC </w:instrText>
            </w:r>
            <w:r w:rsidR="00A47317">
              <w:fldChar w:fldCharType="separate"/>
            </w:r>
            <w:r w:rsidR="00820EB1">
              <w:rPr>
                <w:noProof/>
              </w:rPr>
              <w:t>28</w:t>
            </w:r>
            <w:r w:rsidR="00A47317">
              <w:rPr>
                <w:noProof/>
              </w:rPr>
              <w:fldChar w:fldCharType="end"/>
            </w:r>
            <w:bookmarkEnd w:id="240"/>
          </w:p>
        </w:tc>
      </w:tr>
    </w:tbl>
    <w:p w14:paraId="6409429A" w14:textId="7DA109CD" w:rsidR="00452FE4" w:rsidRPr="00333A58" w:rsidRDefault="00452FE4" w:rsidP="00EA4BBA">
      <w:pPr>
        <w:ind w:firstLine="0"/>
      </w:pPr>
      <w:r>
        <w:t xml:space="preserve">From </w:t>
      </w:r>
      <w:r>
        <w:fldChar w:fldCharType="begin"/>
      </w:r>
      <w:r>
        <w:instrText xml:space="preserve"> REF _Ref444622774 \h </w:instrText>
      </w:r>
      <w:r>
        <w:fldChar w:fldCharType="separate"/>
      </w:r>
      <w:r w:rsidR="00820EB1" w:rsidRPr="00333A58">
        <w:t xml:space="preserve">Equation </w:t>
      </w:r>
      <w:r w:rsidR="00820EB1">
        <w:rPr>
          <w:noProof/>
        </w:rPr>
        <w:t>28</w:t>
      </w:r>
      <w:r>
        <w:fldChar w:fldCharType="end"/>
      </w:r>
      <w:r>
        <w:t xml:space="preserve">, it can be seen, than this </w:t>
      </w:r>
      <w:r w:rsidRPr="00CE4EB9">
        <w:rPr>
          <w:i/>
        </w:rPr>
        <w:t>ideal</w:t>
      </w:r>
      <w:r>
        <w:t xml:space="preserve"> efficiency could actually be increased if the concentration ratio (</w:t>
      </w:r>
      <m:oMath>
        <m:r>
          <w:rPr>
            <w:rFonts w:ascii="Cambria Math" w:hAnsi="Cambria Math"/>
          </w:rPr>
          <m:t>C)</m:t>
        </m:r>
      </m:oMath>
      <w:r>
        <w:t xml:space="preserve"> were increased, which might be possible by use of an improved solar concentrating system, as discussed in section </w:t>
      </w:r>
      <w:r>
        <w:fldChar w:fldCharType="begin"/>
      </w:r>
      <w:r>
        <w:instrText xml:space="preserve"> REF _Ref446720130 \n \h </w:instrText>
      </w:r>
      <w:r>
        <w:fldChar w:fldCharType="separate"/>
      </w:r>
      <w:r w:rsidR="00820EB1">
        <w:t>6.5.3.2</w:t>
      </w:r>
      <w:r>
        <w:fldChar w:fldCharType="end"/>
      </w:r>
      <w:r>
        <w:t>. For the intermediate (</w:t>
      </w:r>
      <w:r w:rsidRPr="00205364">
        <w:rPr>
          <w:i/>
        </w:rPr>
        <w:t>c</w:t>
      </w:r>
      <w:r>
        <w:t>) scenario the solar glass furnace efficiency is assumed to be 30%, which represents an estimated achievable level of improvement being higher than the efficiency current experiments but well within the ideal limit for the reasons already explained. The daily</w:t>
      </w:r>
      <w:r w:rsidRPr="00333A58">
        <w:t xml:space="preserve"> glass </w:t>
      </w:r>
      <w:r>
        <w:t>production is</w:t>
      </w:r>
      <w:r w:rsidRPr="00333A58">
        <w:t xml:space="preserve"> proportional to</w:t>
      </w:r>
      <w:r>
        <w:t xml:space="preserve"> the area of mirror</w:t>
      </w:r>
      <w:r w:rsidR="00FB6700">
        <w:t xml:space="preserve">, </w:t>
      </w:r>
      <w:r>
        <w:t xml:space="preserve">the </w:t>
      </w:r>
      <w:r w:rsidR="00DB3CEB">
        <w:t xml:space="preserve">efficiencies </w:t>
      </w:r>
      <w:r>
        <w:t xml:space="preserve">of the solar concentrating system and </w:t>
      </w:r>
      <w:r w:rsidRPr="00333A58">
        <w:t>glass fur</w:t>
      </w:r>
      <w:r>
        <w:t>nace so</w:t>
      </w:r>
      <w:r w:rsidRPr="00333A58">
        <w:t xml:space="preserve"> </w:t>
      </w:r>
      <w:r w:rsidRPr="00333A58">
        <w:fldChar w:fldCharType="begin"/>
      </w:r>
      <w:r w:rsidRPr="00333A58">
        <w:instrText xml:space="preserve"> REF _Ref444604512 \h </w:instrText>
      </w:r>
      <w:r w:rsidRPr="00333A58">
        <w:fldChar w:fldCharType="separate"/>
      </w:r>
      <w:r w:rsidR="00820EB1" w:rsidRPr="00333A58">
        <w:t xml:space="preserve">Equation </w:t>
      </w:r>
      <w:r w:rsidR="00820EB1">
        <w:rPr>
          <w:noProof/>
        </w:rPr>
        <w:t>29</w:t>
      </w:r>
      <w:r w:rsidRPr="00333A58">
        <w:fldChar w:fldCharType="end"/>
      </w:r>
      <w:r>
        <w:t xml:space="preserve"> is used</w:t>
      </w:r>
      <w:r w:rsidRPr="00333A58">
        <w:t xml:space="preserve"> to estimate the </w:t>
      </w:r>
      <w:r>
        <w:t>glass production rates</w:t>
      </w:r>
      <w:r w:rsidRPr="00333A58">
        <w:t xml:space="preserve"> for</w:t>
      </w:r>
      <w:r>
        <w:t xml:space="preserve"> each of</w:t>
      </w:r>
      <w:r w:rsidRPr="00333A58">
        <w:t xml:space="preserve"> </w:t>
      </w:r>
      <w:r>
        <w:t>the scale-up scenarios.</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4"/>
        <w:gridCol w:w="1378"/>
        <w:gridCol w:w="1728"/>
      </w:tblGrid>
      <w:tr w:rsidR="00452FE4" w:rsidRPr="00333A58" w14:paraId="229F3B66" w14:textId="77777777" w:rsidTr="00EA4BBA">
        <w:trPr>
          <w:trHeight w:val="261"/>
        </w:trPr>
        <w:tc>
          <w:tcPr>
            <w:tcW w:w="5510" w:type="dxa"/>
            <w:vAlign w:val="center"/>
          </w:tcPr>
          <w:p w14:paraId="524D0B86" w14:textId="26020685" w:rsidR="00452FE4" w:rsidRPr="00333A58" w:rsidRDefault="00A47317" w:rsidP="00EA4BBA">
            <m:oMathPara>
              <m:oMath>
                <m:sSubSup>
                  <m:sSubSupPr>
                    <m:ctrlPr>
                      <w:rPr>
                        <w:rFonts w:ascii="Cambria Math" w:hAnsi="Cambria Math"/>
                      </w:rPr>
                    </m:ctrlPr>
                  </m:sSubSupPr>
                  <m:e>
                    <m:r>
                      <w:rPr>
                        <w:rFonts w:ascii="Cambria Math" w:hAnsi="Cambria Math"/>
                      </w:rPr>
                      <m:t>m</m:t>
                    </m:r>
                  </m:e>
                  <m:sub>
                    <m:r>
                      <w:rPr>
                        <w:rFonts w:ascii="Cambria Math" w:hAnsi="Cambria Math"/>
                      </w:rPr>
                      <m:t>glass</m:t>
                    </m:r>
                    <m:r>
                      <m:rPr>
                        <m:sty m:val="p"/>
                      </m:rPr>
                      <w:rPr>
                        <w:rFonts w:ascii="Cambria Math" w:hAnsi="Cambria Math"/>
                      </w:rPr>
                      <m:t>,</m:t>
                    </m:r>
                    <m:r>
                      <w:rPr>
                        <w:rFonts w:ascii="Cambria Math" w:hAnsi="Cambria Math"/>
                      </w:rPr>
                      <m:t>SU</m:t>
                    </m:r>
                  </m:sub>
                  <m:sup>
                    <m:r>
                      <w:rPr>
                        <w:rFonts w:ascii="Cambria Math" w:hAnsi="Cambria Math"/>
                      </w:rPr>
                      <m:t>day</m:t>
                    </m:r>
                  </m:sup>
                </m:sSubSup>
                <m:r>
                  <m:rPr>
                    <m:sty m:val="p"/>
                  </m:rPr>
                  <w:rPr>
                    <w:rFonts w:ascii="Cambria Math" w:hAnsi="Cambria Math"/>
                  </w:rPr>
                  <m:t>=</m:t>
                </m:r>
                <m:sSubSup>
                  <m:sSubSupPr>
                    <m:ctrlPr>
                      <w:rPr>
                        <w:rFonts w:ascii="Cambria Math" w:hAnsi="Cambria Math"/>
                      </w:rPr>
                    </m:ctrlPr>
                  </m:sSubSupPr>
                  <m:e>
                    <m:acc>
                      <m:accPr>
                        <m:chr m:val="̇"/>
                        <m:ctrlPr>
                          <w:rPr>
                            <w:rFonts w:ascii="Cambria Math" w:hAnsi="Cambria Math"/>
                            <w:i/>
                          </w:rPr>
                        </m:ctrlPr>
                      </m:accPr>
                      <m:e>
                        <m:r>
                          <w:rPr>
                            <w:rFonts w:ascii="Cambria Math" w:hAnsi="Cambria Math"/>
                          </w:rPr>
                          <m:t>m</m:t>
                        </m:r>
                      </m:e>
                    </m:acc>
                  </m:e>
                  <m:sub>
                    <m:r>
                      <w:rPr>
                        <w:rFonts w:ascii="Cambria Math" w:hAnsi="Cambria Math"/>
                      </w:rPr>
                      <m:t>glass,  exp</m:t>
                    </m:r>
                  </m:sub>
                  <m:sup>
                    <m:r>
                      <w:rPr>
                        <w:rFonts w:ascii="Cambria Math" w:hAnsi="Cambria Math"/>
                      </w:rPr>
                      <m:t>day</m:t>
                    </m:r>
                  </m:sup>
                </m:sSubSup>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η</m:t>
                            </m:r>
                          </m:e>
                          <m:sub>
                            <m:r>
                              <w:rPr>
                                <w:rFonts w:ascii="Cambria Math" w:hAnsi="Cambria Math"/>
                              </w:rPr>
                              <m:t>gf</m:t>
                            </m:r>
                            <m:r>
                              <m:rPr>
                                <m:sty m:val="p"/>
                              </m:rPr>
                              <w:rPr>
                                <w:rFonts w:ascii="Cambria Math" w:hAnsi="Cambria Math"/>
                              </w:rPr>
                              <m:t>,</m:t>
                            </m:r>
                            <m:r>
                              <w:rPr>
                                <w:rFonts w:ascii="Cambria Math" w:hAnsi="Cambria Math"/>
                              </w:rPr>
                              <m:t>SU</m:t>
                            </m:r>
                          </m:sub>
                        </m:sSub>
                      </m:num>
                      <m:den>
                        <m:sSub>
                          <m:sSubPr>
                            <m:ctrlPr>
                              <w:rPr>
                                <w:rFonts w:ascii="Cambria Math" w:hAnsi="Cambria Math"/>
                              </w:rPr>
                            </m:ctrlPr>
                          </m:sSubPr>
                          <m:e>
                            <m:r>
                              <w:rPr>
                                <w:rFonts w:ascii="Cambria Math" w:hAnsi="Cambria Math"/>
                              </w:rPr>
                              <m:t>η</m:t>
                            </m:r>
                          </m:e>
                          <m:sub>
                            <m:r>
                              <w:rPr>
                                <w:rFonts w:ascii="Cambria Math" w:hAnsi="Cambria Math"/>
                              </w:rPr>
                              <m:t>gf</m:t>
                            </m:r>
                            <m:r>
                              <m:rPr>
                                <m:sty m:val="p"/>
                              </m:rPr>
                              <w:rPr>
                                <w:rFonts w:ascii="Cambria Math" w:hAnsi="Cambria Math"/>
                              </w:rPr>
                              <m:t>,</m:t>
                            </m:r>
                            <m:r>
                              <w:rPr>
                                <w:rFonts w:ascii="Cambria Math" w:hAnsi="Cambria Math"/>
                              </w:rPr>
                              <m:t>exp</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w:rPr>
                                <w:rFonts w:ascii="Cambria Math" w:hAnsi="Cambria Math"/>
                              </w:rPr>
                              <m:t>mirrors</m:t>
                            </m:r>
                            <m:r>
                              <m:rPr>
                                <m:sty m:val="p"/>
                              </m:rPr>
                              <w:rPr>
                                <w:rFonts w:ascii="Cambria Math" w:hAnsi="Cambria Math"/>
                              </w:rPr>
                              <m:t xml:space="preserve"> </m:t>
                            </m:r>
                            <m:r>
                              <w:rPr>
                                <w:rFonts w:ascii="Cambria Math" w:hAnsi="Cambria Math"/>
                              </w:rPr>
                              <m:t>SU</m:t>
                            </m:r>
                          </m:sub>
                        </m:sSub>
                      </m:num>
                      <m:den>
                        <m:sSub>
                          <m:sSubPr>
                            <m:ctrlPr>
                              <w:rPr>
                                <w:rFonts w:ascii="Cambria Math" w:hAnsi="Cambria Math"/>
                              </w:rPr>
                            </m:ctrlPr>
                          </m:sSubPr>
                          <m:e>
                            <m:r>
                              <w:rPr>
                                <w:rFonts w:ascii="Cambria Math" w:hAnsi="Cambria Math"/>
                              </w:rPr>
                              <m:t>A</m:t>
                            </m:r>
                          </m:e>
                          <m:sub>
                            <m:r>
                              <w:rPr>
                                <w:rFonts w:ascii="Cambria Math" w:hAnsi="Cambria Math"/>
                              </w:rPr>
                              <m:t>mirror</m:t>
                            </m:r>
                            <m:r>
                              <m:rPr>
                                <m:sty m:val="p"/>
                              </m:rPr>
                              <w:rPr>
                                <w:rFonts w:ascii="Cambria Math" w:hAnsi="Cambria Math"/>
                              </w:rPr>
                              <m:t xml:space="preserve"> </m:t>
                            </m:r>
                            <m:r>
                              <w:rPr>
                                <w:rFonts w:ascii="Cambria Math" w:hAnsi="Cambria Math"/>
                              </w:rPr>
                              <m:t>exp</m:t>
                            </m:r>
                          </m:sub>
                        </m:sSub>
                      </m:den>
                    </m:f>
                  </m:e>
                </m:d>
              </m:oMath>
            </m:oMathPara>
          </w:p>
        </w:tc>
        <w:tc>
          <w:tcPr>
            <w:tcW w:w="1456" w:type="dxa"/>
            <w:vAlign w:val="center"/>
          </w:tcPr>
          <w:p w14:paraId="70BFFE00" w14:textId="77777777" w:rsidR="00452FE4" w:rsidRPr="00333A58" w:rsidRDefault="00452FE4" w:rsidP="00EA4BBA">
            <w:pPr>
              <w:jc w:val="right"/>
            </w:pPr>
            <w:r>
              <w:t>…</w:t>
            </w:r>
          </w:p>
        </w:tc>
        <w:tc>
          <w:tcPr>
            <w:tcW w:w="1776" w:type="dxa"/>
            <w:vAlign w:val="center"/>
          </w:tcPr>
          <w:p w14:paraId="10803C8A" w14:textId="36C0D856" w:rsidR="00452FE4" w:rsidRPr="00333A58" w:rsidRDefault="00452FE4" w:rsidP="00EA4BBA">
            <w:bookmarkStart w:id="241" w:name="_Ref444604512"/>
            <w:r w:rsidRPr="00333A58">
              <w:t xml:space="preserve">Equation </w:t>
            </w:r>
            <w:r w:rsidR="00A47317">
              <w:fldChar w:fldCharType="begin"/>
            </w:r>
            <w:r w:rsidR="00A47317">
              <w:instrText xml:space="preserve"> SEQ Equation \* ARABIC </w:instrText>
            </w:r>
            <w:r w:rsidR="00A47317">
              <w:fldChar w:fldCharType="separate"/>
            </w:r>
            <w:r w:rsidR="00820EB1">
              <w:rPr>
                <w:noProof/>
              </w:rPr>
              <w:t>29</w:t>
            </w:r>
            <w:r w:rsidR="00A47317">
              <w:rPr>
                <w:noProof/>
              </w:rPr>
              <w:fldChar w:fldCharType="end"/>
            </w:r>
            <w:bookmarkEnd w:id="241"/>
          </w:p>
        </w:tc>
      </w:tr>
    </w:tbl>
    <w:p w14:paraId="51B6738C" w14:textId="33066846" w:rsidR="00452FE4" w:rsidRDefault="00452FE4" w:rsidP="00EA4BBA">
      <w:pPr>
        <w:ind w:firstLine="0"/>
      </w:pPr>
      <w:r w:rsidRPr="00333A58">
        <w:t>Where</w:t>
      </w:r>
      <w:r>
        <w:t xml:space="preserve"> </w:t>
      </w:r>
      <m:oMath>
        <m:sSubSup>
          <m:sSubSupPr>
            <m:ctrlPr>
              <w:rPr>
                <w:rFonts w:ascii="Cambria Math" w:hAnsi="Cambria Math"/>
                <w:i/>
              </w:rPr>
            </m:ctrlPr>
          </m:sSubSupPr>
          <m:e>
            <m:r>
              <w:rPr>
                <w:rFonts w:ascii="Cambria Math" w:hAnsi="Cambria Math"/>
              </w:rPr>
              <m:t>m</m:t>
            </m:r>
          </m:e>
          <m:sub>
            <m:r>
              <w:rPr>
                <w:rFonts w:ascii="Cambria Math" w:hAnsi="Cambria Math"/>
              </w:rPr>
              <m:t>glass,SU</m:t>
            </m:r>
          </m:sub>
          <m:sup>
            <m:r>
              <w:rPr>
                <w:rFonts w:ascii="Cambria Math" w:hAnsi="Cambria Math"/>
              </w:rPr>
              <m:t>day</m:t>
            </m:r>
          </m:sup>
        </m:sSubSup>
      </m:oMath>
      <w:r>
        <w:t xml:space="preserve"> is the daily glass melting rate for each scale-up scenario</w:t>
      </w:r>
      <w:r w:rsidRPr="00333A58">
        <w:t xml:space="preserve"> </w:t>
      </w:r>
      <w:r>
        <w:t xml:space="preserve">with assumed glass furnace efficiency of </w:t>
      </w:r>
      <m:oMath>
        <m:sSub>
          <m:sSubPr>
            <m:ctrlPr>
              <w:rPr>
                <w:rFonts w:ascii="Cambria Math" w:hAnsi="Cambria Math"/>
                <w:i/>
              </w:rPr>
            </m:ctrlPr>
          </m:sSubPr>
          <m:e>
            <m:r>
              <w:rPr>
                <w:rFonts w:ascii="Cambria Math" w:hAnsi="Cambria Math"/>
              </w:rPr>
              <m:t>η</m:t>
            </m:r>
          </m:e>
          <m:sub>
            <m:r>
              <w:rPr>
                <w:rFonts w:ascii="Cambria Math" w:hAnsi="Cambria Math"/>
              </w:rPr>
              <m:t>gf,SU</m:t>
            </m:r>
          </m:sub>
        </m:sSub>
      </m:oMath>
      <w:r>
        <w:t xml:space="preserve"> and specified area of mirrors </w:t>
      </w:r>
      <m:oMath>
        <m:sSub>
          <m:sSubPr>
            <m:ctrlPr>
              <w:rPr>
                <w:rFonts w:ascii="Cambria Math" w:hAnsi="Cambria Math"/>
                <w:i/>
              </w:rPr>
            </m:ctrlPr>
          </m:sSubPr>
          <m:e>
            <m:r>
              <w:rPr>
                <w:rFonts w:ascii="Cambria Math" w:hAnsi="Cambria Math"/>
              </w:rPr>
              <m:t>A</m:t>
            </m:r>
          </m:e>
          <m:sub>
            <m:r>
              <w:rPr>
                <w:rFonts w:ascii="Cambria Math" w:hAnsi="Cambria Math"/>
              </w:rPr>
              <m:t>mirrors SU</m:t>
            </m:r>
          </m:sub>
        </m:sSub>
      </m:oMath>
      <w:r>
        <w:t xml:space="preserve">; </w:t>
      </w:r>
      <m:oMath>
        <m:sSubSup>
          <m:sSubSupPr>
            <m:ctrlPr>
              <w:rPr>
                <w:rFonts w:ascii="Cambria Math" w:hAnsi="Cambria Math"/>
                <w:i/>
              </w:rPr>
            </m:ctrlPr>
          </m:sSubSupPr>
          <m:e>
            <m:r>
              <w:rPr>
                <w:rFonts w:ascii="Cambria Math" w:hAnsi="Cambria Math"/>
              </w:rPr>
              <m:t>m</m:t>
            </m:r>
          </m:e>
          <m:sub>
            <m:r>
              <w:rPr>
                <w:rFonts w:ascii="Cambria Math" w:hAnsi="Cambria Math"/>
              </w:rPr>
              <m:t>glass,  exp</m:t>
            </m:r>
          </m:sub>
          <m:sup>
            <m:r>
              <w:rPr>
                <w:rFonts w:ascii="Cambria Math" w:hAnsi="Cambria Math"/>
              </w:rPr>
              <m:t>day</m:t>
            </m:r>
          </m:sup>
        </m:sSubSup>
      </m:oMath>
      <w:r>
        <w:t xml:space="preserve"> (from </w:t>
      </w:r>
      <w:r>
        <w:fldChar w:fldCharType="begin"/>
      </w:r>
      <w:r>
        <w:instrText xml:space="preserve"> REF _Ref444442170 \h </w:instrText>
      </w:r>
      <w:r>
        <w:fldChar w:fldCharType="separate"/>
      </w:r>
      <w:r w:rsidR="00820EB1" w:rsidRPr="00333A58">
        <w:t xml:space="preserve">Equation </w:t>
      </w:r>
      <w:r w:rsidR="00820EB1">
        <w:rPr>
          <w:noProof/>
        </w:rPr>
        <w:t>24</w:t>
      </w:r>
      <w:r>
        <w:fldChar w:fldCharType="end"/>
      </w:r>
      <w:r>
        <w:t xml:space="preserve">) is the daily melting rate for the current scale experimental system using solar radiation and </w:t>
      </w:r>
      <m:oMath>
        <m:sSub>
          <m:sSubPr>
            <m:ctrlPr>
              <w:rPr>
                <w:rFonts w:ascii="Cambria Math" w:hAnsi="Cambria Math"/>
                <w:i/>
              </w:rPr>
            </m:ctrlPr>
          </m:sSubPr>
          <m:e>
            <m:r>
              <w:rPr>
                <w:rFonts w:ascii="Cambria Math" w:hAnsi="Cambria Math"/>
              </w:rPr>
              <m:t>A</m:t>
            </m:r>
          </m:e>
          <m:sub>
            <m:r>
              <w:rPr>
                <w:rFonts w:ascii="Cambria Math" w:hAnsi="Cambria Math"/>
              </w:rPr>
              <m:t>mirror exp</m:t>
            </m:r>
          </m:sub>
        </m:sSub>
      </m:oMath>
      <w:r>
        <w:t xml:space="preserve"> (from </w:t>
      </w:r>
      <w:r>
        <w:fldChar w:fldCharType="begin"/>
      </w:r>
      <w:r>
        <w:instrText xml:space="preserve"> REF _Ref446503477 \h </w:instrText>
      </w:r>
      <w:r>
        <w:fldChar w:fldCharType="separate"/>
      </w:r>
      <w:r w:rsidR="00820EB1" w:rsidRPr="00333A58">
        <w:t xml:space="preserve">Equation </w:t>
      </w:r>
      <w:r w:rsidR="00820EB1">
        <w:rPr>
          <w:noProof/>
        </w:rPr>
        <w:t>21</w:t>
      </w:r>
      <w:r>
        <w:fldChar w:fldCharType="end"/>
      </w:r>
      <w:r>
        <w:t>) is the corresponding area of mirrors that would be required.</w:t>
      </w:r>
      <w:r w:rsidRPr="00121552">
        <w:rPr>
          <w:b/>
        </w:rPr>
        <w:t xml:space="preserve"> </w:t>
      </w:r>
    </w:p>
    <w:p w14:paraId="464CD72F" w14:textId="3357C5E4" w:rsidR="004F57FB" w:rsidRPr="00B750A4" w:rsidRDefault="00452FE4" w:rsidP="004F57FB">
      <w:pPr>
        <w:ind w:firstLine="0"/>
        <w:rPr>
          <w:i/>
        </w:rPr>
      </w:pPr>
      <w:r>
        <w:t>The beam intensity is limited by the solar concentration system and available solar insolation so this is assumed to remain constant on scale-up. So, assuming a constant beam intensity</w:t>
      </w:r>
      <w:r w:rsidR="004F57FB">
        <w:t xml:space="preserve"> (</w:t>
      </w:r>
      <m:oMath>
        <m:sSub>
          <m:sSubPr>
            <m:ctrlPr>
              <w:rPr>
                <w:rFonts w:ascii="Cambria Math" w:eastAsia="Calibri" w:hAnsi="Cambria Math"/>
              </w:rPr>
            </m:ctrlPr>
          </m:sSubPr>
          <m:e>
            <m:r>
              <w:rPr>
                <w:rFonts w:ascii="Cambria Math" w:eastAsia="Calibri" w:hAnsi="Cambria Math"/>
              </w:rPr>
              <m:t>q</m:t>
            </m:r>
          </m:e>
          <m:sub>
            <m:r>
              <w:rPr>
                <w:rFonts w:ascii="Cambria Math" w:eastAsia="Calibri" w:hAnsi="Cambria Math"/>
              </w:rPr>
              <m:t>sol</m:t>
            </m:r>
          </m:sub>
        </m:sSub>
        <m:r>
          <w:rPr>
            <w:rFonts w:ascii="Cambria Math" w:eastAsia="Calibri" w:hAnsi="Cambria Math"/>
          </w:rPr>
          <m:t>×C)</m:t>
        </m:r>
      </m:oMath>
      <w:r>
        <w:t>, the area of the beam inlet aperture must increase proportionally to the input power which is directly proportional the area of heliostat mirrors constituting the solar concentration system. Also, in order for the results of the scale-up scenarios to be representative of the results of the experiments, the internal surface area of the glass furnace is assumed to scale up with the same ratio to the area of the beam inlet aperture as the experimental system. The overnight heat demand (</w:t>
      </w:r>
      <m:oMath>
        <m:sSub>
          <m:sSubPr>
            <m:ctrlPr>
              <w:rPr>
                <w:rFonts w:ascii="Cambria Math" w:hAnsi="Cambria Math"/>
                <w:i/>
              </w:rPr>
            </m:ctrlPr>
          </m:sSubPr>
          <m:e>
            <m:r>
              <w:rPr>
                <w:rFonts w:ascii="Cambria Math" w:hAnsi="Cambria Math"/>
              </w:rPr>
              <m:t>E</m:t>
            </m:r>
          </m:e>
          <m:sub>
            <m:r>
              <w:rPr>
                <w:rFonts w:ascii="Cambria Math" w:hAnsi="Cambria Math"/>
              </w:rPr>
              <m:t>store</m:t>
            </m:r>
          </m:sub>
        </m:sSub>
      </m:oMath>
      <w:r>
        <w:t xml:space="preserve">) </w:t>
      </w:r>
      <w:r w:rsidRPr="00B750A4">
        <w:t>is</w:t>
      </w:r>
      <w:r>
        <w:t xml:space="preserve"> determined by the conductive heat losses through the walls of the furnace </w:t>
      </w:r>
      <w:r w:rsidR="004F57FB">
        <w:t>according to the method described</w:t>
      </w:r>
      <w:r w:rsidR="00D77B5B">
        <w:t xml:space="preserve"> in</w:t>
      </w:r>
      <w:r>
        <w:t xml:space="preserve"> </w:t>
      </w:r>
      <w:r w:rsidR="00D77B5B">
        <w:t xml:space="preserve">section </w:t>
      </w:r>
      <w:r w:rsidR="00D77B5B">
        <w:fldChar w:fldCharType="begin"/>
      </w:r>
      <w:r w:rsidR="00D77B5B">
        <w:instrText xml:space="preserve"> REF _Ref446597325 \n \h </w:instrText>
      </w:r>
      <w:r w:rsidR="00D77B5B">
        <w:fldChar w:fldCharType="separate"/>
      </w:r>
      <w:r w:rsidR="00820EB1">
        <w:t>6.5.1.3</w:t>
      </w:r>
      <w:r w:rsidR="00D77B5B">
        <w:fldChar w:fldCharType="end"/>
      </w:r>
      <w:r>
        <w:fldChar w:fldCharType="begin"/>
      </w:r>
      <w:r>
        <w:instrText xml:space="preserve"> REF _Ref446427381 \h </w:instrText>
      </w:r>
      <w:r>
        <w:fldChar w:fldCharType="end"/>
      </w:r>
      <w:r w:rsidR="00D77B5B">
        <w:t>.</w:t>
      </w:r>
      <w:r w:rsidR="004F57FB">
        <w:t xml:space="preserve"> </w:t>
      </w:r>
      <w:r w:rsidR="004F57FB">
        <w:rPr>
          <w:rFonts w:eastAsia="Times New Roman" w:cs="Times New Roman"/>
        </w:rPr>
        <w:t xml:space="preserve">Then, </w:t>
      </w:r>
      <w:r w:rsidR="004F57FB">
        <w:t xml:space="preserve">the area of the PV systems for the scale-up scenarios area given by </w:t>
      </w:r>
      <w:r w:rsidR="004F57FB">
        <w:fldChar w:fldCharType="begin"/>
      </w:r>
      <w:r w:rsidR="004F57FB">
        <w:instrText xml:space="preserve"> REF _Ref446427381 \h  \* MERGEFORMAT </w:instrText>
      </w:r>
      <w:r w:rsidR="004F57FB">
        <w:fldChar w:fldCharType="end"/>
      </w:r>
      <w:r w:rsidR="004F57FB">
        <w:t>. The cost</w:t>
      </w:r>
      <w:r w:rsidR="004F57FB">
        <w:rPr>
          <w:rFonts w:eastAsia="Times New Roman" w:cs="Times New Roman"/>
        </w:rPr>
        <w:t xml:space="preserve"> of the PV system and battery energy storage for each scenarios scales up linearly at the aforementioned rates of </w:t>
      </w:r>
      <w:r w:rsidR="004F57FB">
        <w:t>1400 $/m</w:t>
      </w:r>
      <w:r w:rsidR="004F57FB">
        <w:rPr>
          <w:vertAlign w:val="superscript"/>
        </w:rPr>
        <w:t>2</w:t>
      </w:r>
      <w:r w:rsidR="004F57FB">
        <w:t xml:space="preserve"> and </w:t>
      </w:r>
      <w:r w:rsidR="004F57FB" w:rsidRPr="005B434D">
        <w:rPr>
          <w:rFonts w:eastAsia="Times New Roman" w:cs="Times New Roman"/>
        </w:rPr>
        <w:t>250 $/kWh respectively.</w:t>
      </w:r>
      <w:r w:rsidR="004F57FB">
        <w:rPr>
          <w:rStyle w:val="SubtleEmphasis"/>
          <w:sz w:val="20"/>
        </w:rPr>
        <w:t xml:space="preserve"> </w:t>
      </w:r>
    </w:p>
    <w:p w14:paraId="44A61E34" w14:textId="77777777" w:rsidR="00452FE4" w:rsidRPr="0051537D" w:rsidRDefault="00452FE4" w:rsidP="00F3524F">
      <w:pPr>
        <w:pStyle w:val="Heading4"/>
        <w:keepNext w:val="0"/>
        <w:keepLines w:val="0"/>
        <w:numPr>
          <w:ilvl w:val="3"/>
          <w:numId w:val="23"/>
        </w:numPr>
        <w:spacing w:before="0" w:after="160"/>
        <w:ind w:left="1728"/>
      </w:pPr>
      <w:bookmarkStart w:id="242" w:name="_Ref446597711"/>
      <w:r w:rsidRPr="0051537D">
        <w:t xml:space="preserve">Economic </w:t>
      </w:r>
      <w:bookmarkEnd w:id="242"/>
      <w:r w:rsidRPr="0051537D">
        <w:t>feasibility</w:t>
      </w:r>
    </w:p>
    <w:p w14:paraId="33E19B37" w14:textId="77777777" w:rsidR="00452FE4" w:rsidRDefault="00452FE4" w:rsidP="00EA4BBA">
      <w:r>
        <w:t xml:space="preserve">The economic viability of a capital investment such as that of a solar power system to replace fossil fuels to provide process heat is conventionally evaluated according to </w:t>
      </w:r>
      <w:r w:rsidRPr="00092ECF">
        <w:rPr>
          <w:i/>
        </w:rPr>
        <w:t>Pay Back Time (PBT)</w:t>
      </w:r>
      <w:r>
        <w:rPr>
          <w:i/>
        </w:rPr>
        <w:t>, Net Present Value (NPV)</w:t>
      </w:r>
      <w:r>
        <w:rPr>
          <w:i/>
          <w:sz w:val="20"/>
        </w:rPr>
        <w:t xml:space="preserve"> </w:t>
      </w:r>
      <w:r>
        <w:rPr>
          <w:sz w:val="20"/>
        </w:rPr>
        <w:t xml:space="preserve">and </w:t>
      </w:r>
      <w:r w:rsidRPr="00F52EC2">
        <w:t>Internal Rate of Return (IRR)</w:t>
      </w:r>
      <w:r>
        <w:rPr>
          <w:i/>
        </w:rPr>
        <w:t xml:space="preserve"> </w:t>
      </w:r>
      <w:r>
        <w:t xml:space="preserve">which are explained with respect to the current analysis of solar-heated glass production as follows. </w:t>
      </w:r>
    </w:p>
    <w:p w14:paraId="2DE47702" w14:textId="6FCDB5ED" w:rsidR="00E31BD0" w:rsidRDefault="00452FE4" w:rsidP="00EA4BBA">
      <w:r w:rsidRPr="004477FA">
        <w:rPr>
          <w:i/>
        </w:rPr>
        <w:lastRenderedPageBreak/>
        <w:t>PBT</w:t>
      </w:r>
      <w:r w:rsidRPr="00446A7C">
        <w:rPr>
          <w:i/>
        </w:rPr>
        <w:t xml:space="preserve"> </w:t>
      </w:r>
      <w:r>
        <w:t>is the time required for the value of an initial capital investment to pay for itself by the net profits generated from it. Meier et al (2005) calculated the PBT for a beam down solar concentration system to power an otherwise fossil-fuel powered lime furnace based on extrapolations from their experiment. In this analysis, they assumed the same high solar insolation of 2300 k</w:t>
      </w:r>
      <w:r w:rsidR="000D6B33">
        <w:t>W</w:t>
      </w:r>
      <w:r>
        <w:t xml:space="preserve">h </w:t>
      </w:r>
      <w:r w:rsidRPr="005563AF">
        <w:t>m</w:t>
      </w:r>
      <w:r>
        <w:rPr>
          <w:vertAlign w:val="superscript"/>
        </w:rPr>
        <w:t>-2</w:t>
      </w:r>
      <w:r>
        <w:t xml:space="preserve"> y</w:t>
      </w:r>
      <w:r>
        <w:rPr>
          <w:vertAlign w:val="superscript"/>
        </w:rPr>
        <w:t>-1</w:t>
      </w:r>
      <w:r>
        <w:t xml:space="preserve"> and low land price of 2 $/m</w:t>
      </w:r>
      <w:r>
        <w:rPr>
          <w:vertAlign w:val="superscript"/>
        </w:rPr>
        <w:t>2</w:t>
      </w:r>
      <w:r>
        <w:t xml:space="preserve"> as we have in our analysis </w:t>
      </w:r>
      <w:r w:rsidR="00D72920">
        <w:fldChar w:fldCharType="begin"/>
      </w:r>
      <w:r w:rsidR="00D72920">
        <w:instrText xml:space="preserve"> REF _Ref451210616 \h </w:instrText>
      </w:r>
      <w:r w:rsidR="00D72920">
        <w:fldChar w:fldCharType="separate"/>
      </w:r>
      <w:r w:rsidR="00820EB1">
        <w:t xml:space="preserve">Table </w:t>
      </w:r>
      <w:r w:rsidR="00820EB1">
        <w:rPr>
          <w:noProof/>
        </w:rPr>
        <w:t>6</w:t>
      </w:r>
      <w:r w:rsidR="00D72920">
        <w:fldChar w:fldCharType="end"/>
      </w:r>
      <w:r>
        <w:t xml:space="preserve">. In their experiments, they demonstrated the solar-heated lime furnace could operate at an efficiency of 35 % with room for improvement, so they assumed that the envisaged commercial solar-heated lime kiln could operate at an efficiency of 45 % which would be the same as the equivalent fossil fuel fired furnace. Also, since the solar and fossil-fuel heated furnaces were very similar, </w:t>
      </w:r>
      <w:r w:rsidR="00DB3CEB">
        <w:t>they</w:t>
      </w:r>
      <w:r>
        <w:t xml:space="preserve"> assumed that the size and therefore capital cost of the two types of furnaces were similar. This greatly simplified calculation of the PBT because it meant that the solar concentrating system could be conveniently decoupled from the conventional lime production process. </w:t>
      </w:r>
      <w:r w:rsidR="00DB3CEB">
        <w:t>Ra</w:t>
      </w:r>
      <w:r>
        <w:t xml:space="preserve">ther than having to estimate all the capital costs associated with building and running a solar-heated lime kiln at different scales. Instead, since the cost of the solar concentration system was the main difference in the capital costs between the solar and fossil-fuel systems compared, this was essentially the only significant capital cost in for the calculation of the PBT for the solar system. Accordingly, they calculated that it would take a PBT of 10-20 years for the initial cost of the solar system to pay for itself assuming the solar concentration system would save nearly all the fossil-fuels otherwise burnt during this period and that they </w:t>
      </w:r>
      <w:r w:rsidR="00DB3CEB">
        <w:t>c</w:t>
      </w:r>
      <w:r>
        <w:t xml:space="preserve">ould sell the lime produced by solar-heated lime production for twice the value of the lime would otherwise sell from a conventional the equivalent fossil-fuelled furnace. This is because their experiments showed that the solar-heated lime kiln could produce higher quality lime than the conventional fossil fuelled equivalent. By comparison, our experiments demonstrated intermittent solar-heated glass melting at a peak efficiency of around </w:t>
      </w:r>
      <w:r w:rsidRPr="00F52EC2">
        <w:rPr>
          <w:i/>
        </w:rPr>
        <w:t>n</w:t>
      </w:r>
      <w:r w:rsidRPr="00F52EC2">
        <w:rPr>
          <w:i/>
          <w:vertAlign w:val="subscript"/>
        </w:rPr>
        <w:t>gf</w:t>
      </w:r>
      <w:r>
        <w:t>=16 % while commercial fossil-fuel fired furnac</w:t>
      </w:r>
      <w:r w:rsidR="002D3AAA">
        <w:t>es operate continuously at ~50%</w:t>
      </w:r>
      <w:r w:rsidR="00E31BD0">
        <w:t xml:space="preserve"> </w:t>
      </w:r>
      <w:r w:rsidR="00E31BD0">
        <w:fldChar w:fldCharType="begin" w:fldLock="1"/>
      </w:r>
      <w:r w:rsidR="00751BE9">
        <w:instrText>ADDIN CSL_CITATION { "citationItems" : [ { "id" : "ITEM-1", "itemData" : { "author" : [ { "dropping-particle" : "", "family" : "Scalet", "given" : "Bianca Maria", "non-dropping-particle" : "", "parse-names" : false, "suffix" : "" }, { "dropping-particle" : "", "family" : "Garcia Munoz", "given" : "Marcos", "non-dropping-particle" : "", "parse-names" : false, "suffix" : "" }, { "dropping-particle" : "", "family" : "Sisa", "given" : "Aiva Querol", "non-dropping-particle" : "", "parse-names" : false, "suffix" : "" }, { "dropping-particle" : "", "family" : "Roudier", "given" : "Serge", "non-dropping-particle" : "", "parse-names" : false, "suffix" : "" }, { "dropping-particle" : "", "family" : "Delgado Sancho", "given" : "Luis", "non-dropping-particle" : "", "parse-names" : false, "suffix" : "" } ], "id" : "ITEM-1", "issued" : { "date-parts" : [ [ "2013" ] ] }, "title" : "Best Available Techniques (BAT) Reference Document for the Manufacture of Glass", "type" : "report" }, "uris" : [ "http://www.mendeley.com/documents/?uuid=e4140784-6a08-4e50-b701-eeb2940543fd" ] } ], "mendeley" : { "formattedCitation" : "(Scalet et al. 2013)", "plainTextFormattedCitation" : "(Scalet et al. 2013)", "previouslyFormattedCitation" : "(Scalet et al. 2013)" }, "properties" : { "noteIndex" : 0 }, "schema" : "https://github.com/citation-style-language/schema/raw/master/csl-citation.json" }</w:instrText>
      </w:r>
      <w:r w:rsidR="00E31BD0">
        <w:fldChar w:fldCharType="separate"/>
      </w:r>
      <w:r w:rsidR="00E31BD0" w:rsidRPr="00E31BD0">
        <w:rPr>
          <w:noProof/>
        </w:rPr>
        <w:t>(Scalet et al. 2013)</w:t>
      </w:r>
      <w:r w:rsidR="00E31BD0">
        <w:fldChar w:fldCharType="end"/>
      </w:r>
      <w:r>
        <w:t xml:space="preserve">. Also, we were unable to evaluate the commercial value of the glass produced from the solar-heated glass furnace. Therefore, the same direct comparison between the solar-heated vs. fossil fuel fired processes as Meier et al (2005) cannot be made because the solar-heated glass making is not similar to the conventional fossil fuel fired process and therefore it is impossible to calculate the PBT for the investment in a solar power system to replace fossil fuels for conventional glass production by the same method. However, a qualitative discussion of the known factors affecting this PBT relative to the equivalent solar-heated lime process does provide some useful insights as follows. The efficiency of the current solar-heated glass furnace is lower than the conventional fossil fuelled process whereas for the lime process these values are assumed to be equal. The quality of glass produced from the solar-heated glass furnace is lower than that of the conventional process whereas for lime it was higher. Also, Meier et al (2005) assumed a fuel oil price of 176.5 $/t for calculating the energy cost savings associated with using solar energy instead of fossil fuels but currently, the price of oil is much lower than this. All these factors, </w:t>
      </w:r>
      <w:r>
        <w:lastRenderedPageBreak/>
        <w:t xml:space="preserve">mean that the PBT for solar heated glass production now would be </w:t>
      </w:r>
      <w:r w:rsidR="00E31BD0">
        <w:t xml:space="preserve">significantly </w:t>
      </w:r>
      <w:r>
        <w:t xml:space="preserve">longer than the 10-20 years calculated by Meier et al (2005). For comparison, </w:t>
      </w:r>
      <w:r>
        <w:fldChar w:fldCharType="begin" w:fldLock="1"/>
      </w:r>
      <w:r w:rsidR="00875DEE">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"uris" : [ "http://www.mendeley.com/documents/?uuid=ee53de1b-7c5d-4e4d-93ed-be4419800e41" ] } ], "mendeley" : { "formattedCitation" : "(Philip Ross &amp; Tincher 2004)", "manualFormatting" : "Ross &amp; Tincher (2004)", "plainTextFormattedCitation" : "(Philip Ross &amp; Tincher 2004)", "previouslyFormattedCitation" : "(Philip Ross &amp; Tincher 2004)" }, "properties" : { "noteIndex" : 0 }, "schema" : "https://github.com/citation-style-language/schema/raw/master/csl-citation.json" }</w:instrText>
      </w:r>
      <w:r>
        <w:fldChar w:fldCharType="separate"/>
      </w:r>
      <w:r>
        <w:rPr>
          <w:noProof/>
        </w:rPr>
        <w:t>Ross &amp; Tincher</w:t>
      </w:r>
      <w:r w:rsidRPr="00FE7B81">
        <w:rPr>
          <w:noProof/>
        </w:rPr>
        <w:t xml:space="preserve"> </w:t>
      </w:r>
      <w:r>
        <w:rPr>
          <w:noProof/>
        </w:rPr>
        <w:t>(</w:t>
      </w:r>
      <w:r w:rsidRPr="00FE7B81">
        <w:rPr>
          <w:noProof/>
        </w:rPr>
        <w:t>2004)</w:t>
      </w:r>
      <w:r>
        <w:fldChar w:fldCharType="end"/>
      </w:r>
      <w:r>
        <w:t xml:space="preserve"> claimed that most US glass manufacturing companies expected payback times within one to two years on their capital investments. Also, the typically assumed lifetime of solar concentration systems are around 25 years.  So, although it is difficult to properly evaluate the PBT for an investment in concentrated solar radiation to replace use of fossil fuels for a conventional continuously operated, large scale glass tank, it is already clear that such an investment would not be considered economically viable with respect to conventional glass production. </w:t>
      </w:r>
    </w:p>
    <w:p w14:paraId="6DF6B68C" w14:textId="6EB4DC68" w:rsidR="00BE245C" w:rsidRDefault="00452FE4" w:rsidP="00F52EC2">
      <w:r>
        <w:t xml:space="preserve">Therefore, in the following section we consider an alternative business model as follows. Conventional glass manufacturing operates a commodity business model. This means that the primary objective is to minimize the unit production cost by maximising efficiency. Since, glass production is an energy intensive process, competition between producers has gradually lead to glass tanks becoming extremely large in order to benefit from economies of scale. A larger tank has a smaller surface area to volume ratio and therefore the heat losses per unit volume of glass produced generally decreases with increasing glass furnace size. As a result of many years of competition, research and development, the conventional glass making process has been greatly optimised and scaled up such that today’s cost per unit mass of glass is extremely low. For example, the value </w:t>
      </w:r>
      <w:r w:rsidR="00E31BD0">
        <w:t xml:space="preserve">of </w:t>
      </w:r>
      <w:r>
        <w:t>low quality formed glass containers in Europe is only around 200 £/t</w:t>
      </w:r>
      <w:r>
        <w:rPr>
          <w:rStyle w:val="FootnoteReference"/>
        </w:rPr>
        <w:footnoteReference w:id="6"/>
      </w:r>
      <w:r>
        <w:t xml:space="preserve">. Also, the energy efficiency of conventional glass production is now very high. This makes it extremely difficult to compete with. However, as a result of the great scales of today glass tanks and optimisation for manufacturing a low variety of product to minimise unit cost, they now suffer from a problem of overcapacity and inflexibility </w:t>
      </w:r>
      <w:r>
        <w:fldChar w:fldCharType="begin" w:fldLock="1"/>
      </w:r>
      <w:r w:rsidR="00875DEE">
        <w:instrText>ADDIN CSL_CITATION { "citationItems" : [ { "id" : "ITEM-1", "itemData" : { "author" : [ { "dropping-particle" : "", "family" : "Pipino", "given" : "Massimo", "non-dropping-particle" : "", "parse-names" : false, "suffix" : "" } ], "container-title" : "12th European Society of Glass Conference", "id" : "ITEM-1", "issued" : { "date-parts" : [ [ "2014" ] ] }, "publisher-place" : "Parma, Italy", "title" : "Is the (flat) glass half full?", "type" : "paper-conference" }, "uris" : [ "http://www.mendeley.com/documents/?uuid=1ebb3dad-29c9-4c9e-8d9a-84965a5b0d8d" ] } ], "mendeley" : { "formattedCitation" : "(Pipino 2014)", "plainTextFormattedCitation" : "(Pipino 2014)", "previouslyFormattedCitation" : "(Pipino 2014)" }, "properties" : { "noteIndex" : 0 }, "schema" : "https://github.com/citation-style-language/schema/raw/master/csl-citation.json" }</w:instrText>
      </w:r>
      <w:r>
        <w:fldChar w:fldCharType="separate"/>
      </w:r>
      <w:r w:rsidR="00875DEE" w:rsidRPr="00875DEE">
        <w:rPr>
          <w:noProof/>
        </w:rPr>
        <w:t>(Pipino 2014)</w:t>
      </w:r>
      <w:r>
        <w:fldChar w:fldCharType="end"/>
      </w:r>
      <w:r>
        <w:t xml:space="preserve">. Therefore, recently, smaller furnaces have become of greater interest to glass manufacturers, because, despite being less efficiency and more expensive per unit of glass produced, they provide greater flexibility in meeting business demands </w:t>
      </w:r>
      <w:r>
        <w:fldChar w:fldCharType="begin" w:fldLock="1"/>
      </w:r>
      <w:r w:rsidR="00875DEE">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"locator" : "40-41", "uris" : [ "http://www.mendeley.com/documents/?uuid=ee53de1b-7c5d-4e4d-93ed-be4419800e41" ] } ], "mendeley" : { "formattedCitation" : "(Philip Ross &amp; Tincher 2004, pp.40\u201341)", "plainTextFormattedCitation" : "(Philip Ross &amp; Tincher 2004, pp.40\u201341)", "previouslyFormattedCitation" : "(Philip Ross &amp; Tincher 2004, pp.40\u201341)" }, "properties" : { "noteIndex" : 0 }, "schema" : "https://github.com/citation-style-language/schema/raw/master/csl-citation.json" }</w:instrText>
      </w:r>
      <w:r>
        <w:fldChar w:fldCharType="separate"/>
      </w:r>
      <w:r w:rsidR="00875DEE" w:rsidRPr="00875DEE">
        <w:rPr>
          <w:noProof/>
        </w:rPr>
        <w:t>(Philip Ross &amp; Tincher 2004, pp.40–41)</w:t>
      </w:r>
      <w:r>
        <w:fldChar w:fldCharType="end"/>
      </w:r>
      <w:r>
        <w:t xml:space="preserve">. Also, since glass is now a relatively low value per unit volume product, it is now not worth transporting container glass for example in Europe, more than 500 km </w:t>
      </w:r>
      <w:r>
        <w:fldChar w:fldCharType="begin" w:fldLock="1"/>
      </w:r>
      <w:r w:rsidR="00875DEE">
        <w:instrText>ADDIN CSL_CITATION { "citationItems" : [ { "id" : "ITEM-1", "itemData" : { "DOI" : "10.2791/69502", "ISBN" : "9789279282843", "ISSN" : "00104361", "author" : [ { "dropping-particle" : "", "family" : "European Commission", "given" : "", "non-dropping-particle" : "", "parse-names" : false, "suffix" : "" } ], "container-title" : "Joint Research Centre Reference Report", "editor" : [ { "dropping-particle" : "", "family" : "Scalet", "given" : "Bianca Maria", "non-dropping-particle" : "", "parse-names" : false, "suffix" : "" }, { "dropping-particle" : "", "family" : "Garcia Mu\u00f1oz", "given" : "Marcos", "non-dropping-particle" : "", "parse-names" : false, "suffix" : "" }, { "dropping-particle" : "", "family" : "Sissa Aivi", "given" : "Querol", "non-dropping-particle" : "", "parse-names" : false, "suffix" : "" }, { "dropping-particle" : "", "family" : "Roudier", "given" : "Serge", "non-dropping-particle" : "", "parse-names" : false, "suffix" : "" }, { "dropping-particle" : "", "family" : "Luis", "given" : "Delgado Sancho", "non-dropping-particle" : "", "parse-names" : false, "suffix" : "" } ], "id" : "ITEM-1", "issued" : { "date-parts" : [ [ "2013" ] ] }, "title" : "Best Available Techniques (BAT) Reference Document for the Manufacture of Glass", "type" : "book" }, "uris" : [ "http://www.mendeley.com/documents/?uuid=af2be950-2231-48b0-ab57-dd45a955155b" ] } ], "mendeley" : { "formattedCitation" : "(European Commission 2013)", "plainTextFormattedCitation" : "(European Commission 2013)", "previouslyFormattedCitation" : "(European Commission 2013)" }, "properties" : { "noteIndex" : 0 }, "schema" : "https://github.com/citation-style-language/schema/raw/master/csl-citation.json" }</w:instrText>
      </w:r>
      <w:r>
        <w:fldChar w:fldCharType="separate"/>
      </w:r>
      <w:r w:rsidR="00875DEE" w:rsidRPr="00875DEE">
        <w:rPr>
          <w:noProof/>
        </w:rPr>
        <w:t>(European Commission 2013)</w:t>
      </w:r>
      <w:r>
        <w:fldChar w:fldCharType="end"/>
      </w:r>
      <w:r>
        <w:t xml:space="preserve"> from producer to consumer. Due to the great scale of conventional glass tanks they are extremely required great initial capital investment </w:t>
      </w:r>
      <w:r>
        <w:fldChar w:fldCharType="begin" w:fldLock="1"/>
      </w:r>
      <w:r w:rsidR="00875DEE">
        <w:instrText>ADDIN CSL_CITATION { "citationItems" : [ { "id" : "ITEM-1", "itemData" : { "DOI" : "10.2791/69502", "ISBN" : "9789279282843", "ISSN" : "00104361", "author" : [ { "dropping-particle" : "", "family" : "European Commission", "given" : "", "non-dropping-particle" : "", "parse-names" : false, "suffix" : "" } ], "container-title" : "Joint Research Centre Reference Report", "editor" : [ { "dropping-particle" : "", "family" : "Scalet", "given" : "Bianca Maria", "non-dropping-particle" : "", "parse-names" : false, "suffix" : "" }, { "dropping-particle" : "", "family" : "Garcia Mu\u00f1oz", "given" : "Marcos", "non-dropping-particle" : "", "parse-names" : false, "suffix" : "" }, { "dropping-particle" : "", "family" : "Sissa Aivi", "given" : "Querol", "non-dropping-particle" : "", "parse-names" : false, "suffix" : "" }, { "dropping-particle" : "", "family" : "Roudier", "given" : "Serge", "non-dropping-particle" : "", "parse-names" : false, "suffix" : "" }, { "dropping-particle" : "", "family" : "Luis", "given" : "Delgado Sancho", "non-dropping-particle" : "", "parse-names" : false, "suffix" : "" } ], "id" : "ITEM-1", "issued" : { "date-parts" : [ [ "2013" ] ] }, "title" : "Best Available Techniques (BAT) Reference Document for the Manufacture of Glass", "type" : "book" }, "uris" : [ "http://www.mendeley.com/documents/?uuid=af2be950-2231-48b0-ab57-dd45a955155b" ] } ], "mendeley" : { "formattedCitation" : "(European Commission 2013)", "plainTextFormattedCitation" : "(European Commission 2013)", "previouslyFormattedCitation" : "(European Commission 2013)" }, "properties" : { "noteIndex" : 0 }, "schema" : "https://github.com/citation-style-language/schema/raw/master/csl-citation.json" }</w:instrText>
      </w:r>
      <w:r>
        <w:fldChar w:fldCharType="separate"/>
      </w:r>
      <w:r w:rsidR="00875DEE" w:rsidRPr="00875DEE">
        <w:rPr>
          <w:noProof/>
        </w:rPr>
        <w:t>(European Commission 2013)</w:t>
      </w:r>
      <w:r>
        <w:fldChar w:fldCharType="end"/>
      </w:r>
      <w:r>
        <w:t xml:space="preserve"> and so to get a go</w:t>
      </w:r>
      <w:r w:rsidR="00E31BD0">
        <w:t>o</w:t>
      </w:r>
      <w:r>
        <w:t>d return on investment they must be built in a location within the range at which it is economical to transport the glass to consumers, there is sufficient demand to take up the huge production rates of these glass furnaces which are typically in the order of hundreds of tonnes per day. Therefore, the locations of these conventional glass furnaces are primarily concentrated in the most industrialised regions of the world with highest population densities and/or low cost energy available from locally available fossil fuels, as shown by the distribution of container glass furnaces (</w:t>
      </w:r>
      <w:r w:rsidR="00415170">
        <w:t>see appendix ID10</w:t>
      </w:r>
      <w:r>
        <w:t xml:space="preserve">).The price of glass </w:t>
      </w:r>
      <w:r>
        <w:lastRenderedPageBreak/>
        <w:t xml:space="preserve">would be expected to be higher than the global commodity market value in locations where which are not served by conventional glass manufacturing facilities due to aforementioned geographical range limit. Day tanks are relatively smaller glass furnaces which than conventional tanks, which are designed to for operation in such markets, where there is insufficient demand to justify investment in conventional glass production. Day tanks operate periodically, with most of </w:t>
      </w:r>
      <w:r w:rsidR="00415170">
        <w:t>the glass production occurring</w:t>
      </w:r>
      <w:r w:rsidR="00415170" w:rsidDel="00415170">
        <w:t xml:space="preserve"> </w:t>
      </w:r>
      <w:r>
        <w:t>during a single working shift during the day and then an overnight hold, similar to the envisaged solar-heated glass furnace. Also, the area</w:t>
      </w:r>
      <w:r w:rsidR="00415170">
        <w:t xml:space="preserve"> </w:t>
      </w:r>
      <w:r>
        <w:t xml:space="preserve">specific melting rate and efficiency of day tanks are similar to that of the current solar-heated glass furnace (see section 5.7). Therefore, assuming it possible to </w:t>
      </w:r>
      <w:r w:rsidR="00415170">
        <w:t xml:space="preserve">produce </w:t>
      </w:r>
      <w:r>
        <w:t xml:space="preserve">a sufficient quality of glass as required to meet the demands of local consumers otherwise supplied by a fossil fuel fired day tank, then it would be valid to estimate the payback period on the investment of a solar powered glass furnace to replace use of fossil fuels for a day tank. </w:t>
      </w:r>
    </w:p>
    <w:p w14:paraId="7AA7B3F0" w14:textId="34959F64" w:rsidR="002773D5" w:rsidRPr="002773D5" w:rsidRDefault="00452FE4" w:rsidP="002773D5">
      <w:pPr>
        <w:pStyle w:val="Quote"/>
      </w:pPr>
      <w:r>
        <w:t xml:space="preserve">For this estimation, </w:t>
      </w:r>
      <w:r w:rsidR="00745849">
        <w:t xml:space="preserve">an empirical equation for the melting area </w:t>
      </w:r>
      <w:r w:rsidR="00BB5E76">
        <w:t xml:space="preserve"> </w:t>
      </w:r>
      <w:r w:rsidR="00745849">
        <w:t>specific</w:t>
      </w:r>
      <w:r>
        <w:t xml:space="preserve"> fuel oil consumption</w:t>
      </w:r>
      <w:r w:rsidR="00745849">
        <w:t xml:space="preserve"> of day tanks (</w:t>
      </w:r>
      <w:r w:rsidR="00745849">
        <w:fldChar w:fldCharType="begin"/>
      </w:r>
      <w:r w:rsidR="00745849">
        <w:instrText xml:space="preserve"> REF _Ref451277735 \h </w:instrText>
      </w:r>
      <w:r w:rsidR="00745849">
        <w:fldChar w:fldCharType="separate"/>
      </w:r>
      <w:r w:rsidR="00820EB1" w:rsidRPr="00333A58">
        <w:t xml:space="preserve">Equation </w:t>
      </w:r>
      <w:r w:rsidR="00820EB1">
        <w:rPr>
          <w:noProof/>
        </w:rPr>
        <w:t>31</w:t>
      </w:r>
      <w:r w:rsidR="00745849">
        <w:fldChar w:fldCharType="end"/>
      </w:r>
      <w:r w:rsidR="00745849">
        <w:t xml:space="preserve">, </w:t>
      </w:r>
      <w:r w:rsidR="00745849">
        <w:fldChar w:fldCharType="begin" w:fldLock="1"/>
      </w:r>
      <w:r w:rsidR="00D8633E">
        <w:instrText>ADDIN CSL_CITATION { "citationItems" : [ { "id" : "ITEM-1", "itemData" : { "author" : [ { "dropping-particle" : "", "family" : "Trier", "given" : "Wolfgang", "non-dropping-particle" : "", "parse-names" : false, "suffix" : "" } ], "chapter-number" : "9", "container-title" : "Glass Furnaces: Design Construction and Operation", "id" : "ITEM-1", "issued" : { "date-parts" : [ [ "1987" ] ] }, "page" : "226-228", "publisher" : "Society of Glass Technology", "publisher-place" : "Sheffield", "title" : "Day Tanks", "type" : "chapter" }, "uris" : [ "http://www.mendeley.com/documents/?uuid=eead97f5-d906-43e8-a9eb-dbc0a5c16fd4" ] } ], "mendeley" : { "formattedCitation" : "(Trier 1987a)", "plainTextFormattedCitation" : "(Trier 1987a)", "previouslyFormattedCitation" : "(Trier 1987a)" }, "properties" : { "noteIndex" : 0 }, "schema" : "https://github.com/citation-style-language/schema/raw/master/csl-citation.json" }</w:instrText>
      </w:r>
      <w:r w:rsidR="00745849">
        <w:fldChar w:fldCharType="separate"/>
      </w:r>
      <w:r w:rsidR="00745849" w:rsidRPr="00745849">
        <w:rPr>
          <w:noProof/>
        </w:rPr>
        <w:t>(Trier 1987a)</w:t>
      </w:r>
      <w:r w:rsidR="00745849">
        <w:fldChar w:fldCharType="end"/>
      </w:r>
      <w:r w:rsidR="00745849">
        <w:t>)</w:t>
      </w:r>
      <w:r w:rsidR="005F2241">
        <w:t xml:space="preserve"> </w:t>
      </w:r>
      <w:r w:rsidR="0087062B">
        <w:t xml:space="preserve">is used. From this, the fuel consumption of the equivalent </w:t>
      </w:r>
      <w:r>
        <w:t xml:space="preserve">day tanks </w:t>
      </w:r>
      <w:r w:rsidR="0087062B">
        <w:t xml:space="preserve">which would be required </w:t>
      </w:r>
      <w:r>
        <w:t xml:space="preserve">to produce the same quantities of glass </w:t>
      </w:r>
      <w:r w:rsidR="0087062B">
        <w:t>corresponding to each of</w:t>
      </w:r>
      <w:r>
        <w:t xml:space="preserve"> the</w:t>
      </w:r>
      <w:r w:rsidR="0087062B">
        <w:t xml:space="preserve"> envisaged</w:t>
      </w:r>
      <w:r>
        <w:t xml:space="preserve"> </w:t>
      </w:r>
      <w:r w:rsidR="0087062B">
        <w:t xml:space="preserve">solar heated glass production </w:t>
      </w:r>
      <w:r>
        <w:t>scale-up scenarios</w:t>
      </w:r>
      <w:r w:rsidR="0087062B">
        <w:t xml:space="preserve"> (see section 6.5.1.5)</w:t>
      </w:r>
      <w:r>
        <w:t xml:space="preserve"> </w:t>
      </w:r>
      <w:r w:rsidR="0087062B">
        <w:t xml:space="preserve">is given by </w:t>
      </w:r>
      <w:r w:rsidR="0087062B">
        <w:fldChar w:fldCharType="begin"/>
      </w:r>
      <w:r w:rsidR="0087062B">
        <w:instrText xml:space="preserve"> REF _Ref451272210 \h </w:instrText>
      </w:r>
      <w:r w:rsidR="0087062B">
        <w:fldChar w:fldCharType="separate"/>
      </w:r>
      <w:r w:rsidR="00820EB1" w:rsidRPr="00333A58">
        <w:t xml:space="preserve">Equation </w:t>
      </w:r>
      <w:r w:rsidR="00820EB1">
        <w:rPr>
          <w:noProof/>
        </w:rPr>
        <w:t>30</w:t>
      </w:r>
      <w:r w:rsidR="0087062B">
        <w:fldChar w:fldCharType="end"/>
      </w:r>
      <w:r w:rsidR="005F2241">
        <w:t xml:space="preserve"> </w:t>
      </w:r>
      <w:r w:rsidR="0087062B">
        <w:t xml:space="preserve">and </w:t>
      </w:r>
      <w:r w:rsidR="0087062B">
        <w:fldChar w:fldCharType="begin"/>
      </w:r>
      <w:r w:rsidR="0087062B">
        <w:instrText xml:space="preserve"> REF _Ref451277735 \h </w:instrText>
      </w:r>
      <w:r w:rsidR="0087062B">
        <w:fldChar w:fldCharType="separate"/>
      </w:r>
      <w:r w:rsidR="00820EB1" w:rsidRPr="00333A58">
        <w:t xml:space="preserve">Equation </w:t>
      </w:r>
      <w:r w:rsidR="00820EB1">
        <w:rPr>
          <w:noProof/>
        </w:rPr>
        <w:t>31</w:t>
      </w:r>
      <w:r w:rsidR="0087062B">
        <w:fldChar w:fldCharType="end"/>
      </w:r>
      <w:r w:rsidR="0087062B">
        <w:t xml:space="preserve">. Then, </w:t>
      </w:r>
      <w:r w:rsidR="005F2241">
        <w:t>t</w:t>
      </w:r>
      <w:r w:rsidR="00BB5E76">
        <w:t xml:space="preserve">he corresponding fuel savings annual fuel savings and PBTs </w:t>
      </w:r>
      <w:r w:rsidR="0087062B">
        <w:t xml:space="preserve">associated with using a solar heat than fossil fuels </w:t>
      </w:r>
      <w:r w:rsidR="00415170">
        <w:t xml:space="preserve">are </w:t>
      </w:r>
      <w:r w:rsidR="0087062B">
        <w:t xml:space="preserve">given by </w:t>
      </w:r>
      <w:r w:rsidR="0087062B">
        <w:fldChar w:fldCharType="begin"/>
      </w:r>
      <w:r w:rsidR="0087062B">
        <w:instrText xml:space="preserve"> REF _Ref451279460 \h </w:instrText>
      </w:r>
      <w:r w:rsidR="0087062B">
        <w:fldChar w:fldCharType="separate"/>
      </w:r>
      <w:r w:rsidR="00820EB1" w:rsidRPr="00333A58">
        <w:t xml:space="preserve">Equation </w:t>
      </w:r>
      <w:r w:rsidR="00820EB1">
        <w:rPr>
          <w:noProof/>
        </w:rPr>
        <w:t>32</w:t>
      </w:r>
      <w:r w:rsidR="0087062B">
        <w:fldChar w:fldCharType="end"/>
      </w:r>
      <w:r w:rsidR="0087062B">
        <w:t xml:space="preserve"> and </w:t>
      </w:r>
      <w:r w:rsidR="0087062B">
        <w:fldChar w:fldCharType="begin"/>
      </w:r>
      <w:r w:rsidR="0087062B">
        <w:instrText xml:space="preserve"> REF _Ref451277741 \h </w:instrText>
      </w:r>
      <w:r w:rsidR="0087062B">
        <w:fldChar w:fldCharType="separate"/>
      </w:r>
      <w:r w:rsidR="00820EB1" w:rsidRPr="00333A58">
        <w:t xml:space="preserve">Equation </w:t>
      </w:r>
      <w:r w:rsidR="00820EB1">
        <w:rPr>
          <w:noProof/>
        </w:rPr>
        <w:t>33</w:t>
      </w:r>
      <w:r w:rsidR="0087062B">
        <w:fldChar w:fldCharType="end"/>
      </w:r>
      <w:r w:rsidR="0087062B">
        <w:t xml:space="preserve"> respectively.</w:t>
      </w:r>
      <w:r>
        <w:t xml:space="preserve"> </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5"/>
        <w:gridCol w:w="1239"/>
        <w:gridCol w:w="1526"/>
      </w:tblGrid>
      <w:tr w:rsidR="002773D5" w:rsidRPr="00333A58" w14:paraId="183E8A34" w14:textId="77777777" w:rsidTr="00964927">
        <w:trPr>
          <w:trHeight w:val="261"/>
        </w:trPr>
        <w:tc>
          <w:tcPr>
            <w:tcW w:w="5445" w:type="dxa"/>
            <w:vAlign w:val="center"/>
          </w:tcPr>
          <w:p w14:paraId="3068653C" w14:textId="6FCE5F47" w:rsidR="002773D5" w:rsidRPr="00333A58" w:rsidRDefault="00A47317" w:rsidP="00964927">
            <m:oMathPara>
              <m:oMath>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m</m:t>
                    </m:r>
                  </m:sub>
                </m:sSub>
                <m:r>
                  <w:rPr>
                    <w:rFonts w:ascii="Cambria Math" w:hAnsi="Cambria Math"/>
                    <w:lang w:val="en-US"/>
                  </w:rPr>
                  <m:t>=</m:t>
                </m:r>
                <m:f>
                  <m:fPr>
                    <m:ctrlPr>
                      <w:rPr>
                        <w:rFonts w:ascii="Cambria Math" w:hAnsi="Cambria Math"/>
                        <w:i/>
                        <w:lang w:val="en-US"/>
                      </w:rPr>
                    </m:ctrlPr>
                  </m:fPr>
                  <m:num>
                    <m:sSubSup>
                      <m:sSubSupPr>
                        <m:ctrlPr>
                          <w:rPr>
                            <w:rFonts w:ascii="Cambria Math" w:hAnsi="Cambria Math"/>
                          </w:rPr>
                        </m:ctrlPr>
                      </m:sSubSupPr>
                      <m:e>
                        <m:r>
                          <w:rPr>
                            <w:rFonts w:ascii="Cambria Math" w:hAnsi="Cambria Math"/>
                          </w:rPr>
                          <m:t>m</m:t>
                        </m:r>
                      </m:e>
                      <m:sub>
                        <m:r>
                          <w:rPr>
                            <w:rFonts w:ascii="Cambria Math" w:hAnsi="Cambria Math"/>
                          </w:rPr>
                          <m:t>glass</m:t>
                        </m:r>
                        <m:r>
                          <m:rPr>
                            <m:sty m:val="p"/>
                          </m:rPr>
                          <w:rPr>
                            <w:rFonts w:ascii="Cambria Math" w:hAnsi="Cambria Math"/>
                          </w:rPr>
                          <m:t>,</m:t>
                        </m:r>
                        <m:r>
                          <w:rPr>
                            <w:rFonts w:ascii="Cambria Math" w:hAnsi="Cambria Math"/>
                          </w:rPr>
                          <m:t>SU</m:t>
                        </m:r>
                      </m:sub>
                      <m:sup>
                        <m:r>
                          <w:rPr>
                            <w:rFonts w:ascii="Cambria Math" w:hAnsi="Cambria Math"/>
                          </w:rPr>
                          <m:t>day</m:t>
                        </m:r>
                      </m:sup>
                    </m:sSubSup>
                  </m:num>
                  <m:den>
                    <m:r>
                      <w:rPr>
                        <w:rFonts w:ascii="Cambria Math" w:hAnsi="Cambria Math"/>
                        <w:lang w:val="en-US"/>
                      </w:rPr>
                      <m:t>τ</m:t>
                    </m:r>
                  </m:den>
                </m:f>
              </m:oMath>
            </m:oMathPara>
          </w:p>
        </w:tc>
        <w:tc>
          <w:tcPr>
            <w:tcW w:w="1239" w:type="dxa"/>
            <w:vAlign w:val="center"/>
          </w:tcPr>
          <w:p w14:paraId="30006CFD" w14:textId="77777777" w:rsidR="002773D5" w:rsidRPr="00333A58" w:rsidRDefault="002773D5" w:rsidP="002773D5">
            <w:pPr>
              <w:jc w:val="right"/>
            </w:pPr>
            <w:r>
              <w:t>…</w:t>
            </w:r>
          </w:p>
        </w:tc>
        <w:tc>
          <w:tcPr>
            <w:tcW w:w="1526" w:type="dxa"/>
            <w:vAlign w:val="center"/>
          </w:tcPr>
          <w:p w14:paraId="1B61F69C" w14:textId="6B108C5A" w:rsidR="002773D5" w:rsidRPr="00333A58" w:rsidRDefault="002773D5" w:rsidP="002773D5">
            <w:pPr>
              <w:ind w:firstLine="0"/>
            </w:pPr>
            <w:bookmarkStart w:id="243" w:name="_Ref451272210"/>
            <w:r w:rsidRPr="00333A58">
              <w:t xml:space="preserve">Equation </w:t>
            </w:r>
            <w:r w:rsidR="00A47317">
              <w:fldChar w:fldCharType="begin"/>
            </w:r>
            <w:r w:rsidR="00A47317">
              <w:instrText xml:space="preserve"> SEQ Equation \* ARABIC </w:instrText>
            </w:r>
            <w:r w:rsidR="00A47317">
              <w:fldChar w:fldCharType="separate"/>
            </w:r>
            <w:r w:rsidR="00820EB1">
              <w:rPr>
                <w:noProof/>
              </w:rPr>
              <w:t>30</w:t>
            </w:r>
            <w:r w:rsidR="00A47317">
              <w:rPr>
                <w:noProof/>
              </w:rPr>
              <w:fldChar w:fldCharType="end"/>
            </w:r>
            <w:bookmarkEnd w:id="243"/>
          </w:p>
        </w:tc>
      </w:tr>
      <w:tr w:rsidR="00BB5E76" w:rsidRPr="00333A58" w14:paraId="56E43F69" w14:textId="77777777" w:rsidTr="00964927">
        <w:trPr>
          <w:trHeight w:val="261"/>
        </w:trPr>
        <w:tc>
          <w:tcPr>
            <w:tcW w:w="5445" w:type="dxa"/>
            <w:vAlign w:val="center"/>
          </w:tcPr>
          <w:p w14:paraId="120BE031" w14:textId="0EF8F0B2" w:rsidR="00BB5E76" w:rsidRDefault="00BB5E76" w:rsidP="002773D5">
            <w:pPr>
              <w:rPr>
                <w:rFonts w:eastAsia="SimSun" w:cs="Arial"/>
                <w:lang w:val="en-US"/>
              </w:rPr>
            </w:pPr>
            <m:oMathPara>
              <m:oMath>
                <m:r>
                  <w:rPr>
                    <w:rFonts w:ascii="Cambria Math" w:hAnsi="Cambria Math" w:cs="Times New Roman"/>
                    <w:lang w:val="en-US"/>
                  </w:rPr>
                  <m:t>G=</m:t>
                </m:r>
                <m:r>
                  <m:rPr>
                    <m:sty m:val="p"/>
                  </m:rPr>
                  <w:rPr>
                    <w:rFonts w:ascii="Cambria Math" w:hAnsi="Cambria Math"/>
                    <w:lang w:val="en-US"/>
                  </w:rPr>
                  <m:t>700</m:t>
                </m:r>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m</m:t>
                    </m:r>
                  </m:sub>
                </m:sSub>
                <m:r>
                  <m:rPr>
                    <m:sty m:val="p"/>
                  </m:rPr>
                  <w:rPr>
                    <w:rFonts w:ascii="Cambria Math" w:hAnsi="Cambria Math"/>
                    <w:lang w:val="en-US"/>
                  </w:rPr>
                  <m:t>-58</m:t>
                </m:r>
                <m:sSubSup>
                  <m:sSubSupPr>
                    <m:ctrlPr>
                      <w:rPr>
                        <w:rFonts w:ascii="Cambria Math" w:hAnsi="Cambria Math"/>
                        <w:lang w:val="en-US"/>
                      </w:rPr>
                    </m:ctrlPr>
                  </m:sSubSupPr>
                  <m:e>
                    <m:r>
                      <w:rPr>
                        <w:rFonts w:ascii="Cambria Math" w:hAnsi="Cambria Math"/>
                        <w:lang w:val="en-US"/>
                      </w:rPr>
                      <m:t>A</m:t>
                    </m:r>
                  </m:e>
                  <m:sub>
                    <m:r>
                      <w:rPr>
                        <w:rFonts w:ascii="Cambria Math" w:hAnsi="Cambria Math"/>
                        <w:lang w:val="en-US"/>
                      </w:rPr>
                      <m:t>m</m:t>
                    </m:r>
                  </m:sub>
                  <m:sup>
                    <m:r>
                      <w:rPr>
                        <w:rFonts w:ascii="Cambria Math" w:hAnsi="Cambria Math"/>
                        <w:lang w:val="en-US"/>
                      </w:rPr>
                      <m:t>2</m:t>
                    </m:r>
                  </m:sup>
                </m:sSubSup>
              </m:oMath>
            </m:oMathPara>
          </w:p>
        </w:tc>
        <w:tc>
          <w:tcPr>
            <w:tcW w:w="1239" w:type="dxa"/>
            <w:vAlign w:val="center"/>
          </w:tcPr>
          <w:p w14:paraId="6CA484D3" w14:textId="0F915D81" w:rsidR="00BB5E76" w:rsidRDefault="00BB5E76" w:rsidP="002773D5">
            <w:pPr>
              <w:jc w:val="right"/>
            </w:pPr>
            <w:r>
              <w:t>…</w:t>
            </w:r>
          </w:p>
        </w:tc>
        <w:tc>
          <w:tcPr>
            <w:tcW w:w="1526" w:type="dxa"/>
            <w:vAlign w:val="center"/>
          </w:tcPr>
          <w:p w14:paraId="7E88885C" w14:textId="74E54E68" w:rsidR="00BB5E76" w:rsidRPr="00333A58" w:rsidRDefault="00BB5E76" w:rsidP="002773D5">
            <w:pPr>
              <w:ind w:firstLine="0"/>
            </w:pPr>
            <w:bookmarkStart w:id="244" w:name="_Ref451277735"/>
            <w:r w:rsidRPr="00333A58">
              <w:t xml:space="preserve">Equation </w:t>
            </w:r>
            <w:r w:rsidR="00A47317">
              <w:fldChar w:fldCharType="begin"/>
            </w:r>
            <w:r w:rsidR="00A47317">
              <w:instrText xml:space="preserve"> SEQ Equation \* ARABIC </w:instrText>
            </w:r>
            <w:r w:rsidR="00A47317">
              <w:fldChar w:fldCharType="separate"/>
            </w:r>
            <w:r w:rsidR="00820EB1">
              <w:rPr>
                <w:noProof/>
              </w:rPr>
              <w:t>31</w:t>
            </w:r>
            <w:r w:rsidR="00A47317">
              <w:rPr>
                <w:noProof/>
              </w:rPr>
              <w:fldChar w:fldCharType="end"/>
            </w:r>
            <w:bookmarkEnd w:id="244"/>
          </w:p>
        </w:tc>
      </w:tr>
      <w:tr w:rsidR="00FC1E33" w:rsidRPr="00333A58" w14:paraId="22C950ED" w14:textId="77777777" w:rsidTr="00964927">
        <w:trPr>
          <w:trHeight w:val="261"/>
        </w:trPr>
        <w:tc>
          <w:tcPr>
            <w:tcW w:w="5445" w:type="dxa"/>
            <w:vAlign w:val="center"/>
          </w:tcPr>
          <w:p w14:paraId="3FD228ED" w14:textId="62032157" w:rsidR="00FC1E33" w:rsidRDefault="00A47317" w:rsidP="00745849">
            <w:pPr>
              <w:rPr>
                <w:rFonts w:eastAsia="SimSun" w:cs="Arial"/>
                <w:lang w:val="en-US"/>
              </w:rPr>
            </w:pPr>
            <m:oMathPara>
              <m:oMath>
                <m:sSubSup>
                  <m:sSubSupPr>
                    <m:ctrlPr>
                      <w:rPr>
                        <w:rFonts w:ascii="Cambria Math" w:hAnsi="Cambria Math"/>
                      </w:rPr>
                    </m:ctrlPr>
                  </m:sSubSupPr>
                  <m:e>
                    <m:r>
                      <m:rPr>
                        <m:sty m:val="p"/>
                      </m:rPr>
                      <w:rPr>
                        <w:rFonts w:ascii="Cambria Math" w:hAnsi="Cambria Math"/>
                      </w:rPr>
                      <m:t>$</m:t>
                    </m:r>
                  </m:e>
                  <m:sub>
                    <m:r>
                      <w:rPr>
                        <w:rFonts w:ascii="Cambria Math" w:hAnsi="Cambria Math"/>
                      </w:rPr>
                      <m:t>fuel</m:t>
                    </m:r>
                  </m:sub>
                  <m:sup>
                    <m:r>
                      <w:rPr>
                        <w:rFonts w:ascii="Cambria Math" w:hAnsi="Cambria Math"/>
                      </w:rPr>
                      <m:t>yr</m:t>
                    </m:r>
                  </m:sup>
                </m:sSubSup>
                <m:r>
                  <w:rPr>
                    <w:rFonts w:ascii="Cambria Math" w:hAnsi="Cambria Math"/>
                  </w:rPr>
                  <m:t>=×</m:t>
                </m:r>
                <m:f>
                  <m:fPr>
                    <m:ctrlPr>
                      <w:rPr>
                        <w:rFonts w:ascii="Cambria Math" w:hAnsi="Cambria Math"/>
                        <w:i/>
                      </w:rPr>
                    </m:ctrlPr>
                  </m:fPr>
                  <m:num>
                    <m:r>
                      <w:rPr>
                        <w:rFonts w:ascii="Cambria Math" w:hAnsi="Cambria Math" w:cs="Times New Roman"/>
                        <w:lang w:val="en-US"/>
                      </w:rPr>
                      <m:t xml:space="preserve">G </m:t>
                    </m:r>
                    <m:f>
                      <m:fPr>
                        <m:ctrlPr>
                          <w:rPr>
                            <w:rFonts w:ascii="Cambria Math" w:hAnsi="Cambria Math" w:cs="Times New Roman"/>
                            <w:i/>
                            <w:lang w:val="en-US"/>
                          </w:rPr>
                        </m:ctrlPr>
                      </m:fPr>
                      <m:num>
                        <m:r>
                          <w:rPr>
                            <w:rFonts w:ascii="Cambria Math" w:hAnsi="Cambria Math" w:cs="Times New Roman"/>
                            <w:lang w:val="en-US"/>
                          </w:rPr>
                          <m:t>kg</m:t>
                        </m:r>
                      </m:num>
                      <m:den>
                        <m:r>
                          <w:rPr>
                            <w:rFonts w:ascii="Cambria Math" w:hAnsi="Cambria Math" w:cs="Times New Roman"/>
                            <w:lang w:val="en-US"/>
                          </w:rPr>
                          <m:t>m^2.d</m:t>
                        </m:r>
                      </m:den>
                    </m:f>
                    <m:r>
                      <w:rPr>
                        <w:rFonts w:ascii="Cambria Math" w:eastAsia="SimSun" w:hAnsi="Cambria Math" w:cs="Arial"/>
                        <w:lang w:val="en-US"/>
                      </w:rPr>
                      <m:t>×</m:t>
                    </m:r>
                    <m:sSub>
                      <m:sSubPr>
                        <m:ctrlPr>
                          <w:rPr>
                            <w:rFonts w:ascii="Cambria Math" w:hAnsi="Cambria Math"/>
                            <w:lang w:val="en-US"/>
                          </w:rPr>
                        </m:ctrlPr>
                      </m:sSubPr>
                      <m:e>
                        <m:r>
                          <w:rPr>
                            <w:rFonts w:ascii="Cambria Math" w:hAnsi="Cambria Math"/>
                            <w:lang w:val="en-US"/>
                          </w:rPr>
                          <m:t>A</m:t>
                        </m:r>
                      </m:e>
                      <m:sub>
                        <m:r>
                          <w:rPr>
                            <w:rFonts w:ascii="Cambria Math" w:hAnsi="Cambria Math"/>
                            <w:lang w:val="en-US"/>
                          </w:rPr>
                          <m:t>m</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m</m:t>
                        </m:r>
                      </m:e>
                      <m:sup>
                        <m:r>
                          <w:rPr>
                            <w:rFonts w:ascii="Cambria Math" w:hAnsi="Cambria Math"/>
                            <w:lang w:val="en-US"/>
                          </w:rPr>
                          <m:t>2</m:t>
                        </m:r>
                      </m:sup>
                    </m:sSup>
                    <m:r>
                      <w:rPr>
                        <w:rFonts w:ascii="Cambria Math" w:hAnsi="Cambria Math"/>
                        <w:lang w:val="en-US"/>
                      </w:rPr>
                      <m:t>)×</m:t>
                    </m:r>
                    <m:sSubSup>
                      <m:sSubSupPr>
                        <m:ctrlPr>
                          <w:rPr>
                            <w:rFonts w:ascii="Cambria Math" w:hAnsi="Cambria Math"/>
                          </w:rPr>
                        </m:ctrlPr>
                      </m:sSubSupPr>
                      <m:e>
                        <m:r>
                          <w:rPr>
                            <w:rFonts w:ascii="Cambria Math" w:hAnsi="Cambria Math"/>
                          </w:rPr>
                          <m:t>D</m:t>
                        </m:r>
                      </m:e>
                      <m:sub>
                        <m:r>
                          <w:rPr>
                            <w:rFonts w:ascii="Cambria Math" w:hAnsi="Cambria Math"/>
                          </w:rPr>
                          <m:t>op</m:t>
                        </m:r>
                      </m:sub>
                      <m:sup>
                        <m:r>
                          <w:rPr>
                            <w:rFonts w:ascii="Cambria Math" w:hAnsi="Cambria Math"/>
                          </w:rPr>
                          <m:t>yr</m:t>
                        </m:r>
                      </m:sup>
                    </m:sSubSup>
                    <m:r>
                      <w:rPr>
                        <w:rFonts w:ascii="Cambria Math" w:hAnsi="Cambria Math"/>
                      </w:rPr>
                      <m:t xml:space="preserve">(d) </m:t>
                    </m:r>
                  </m:num>
                  <m:den>
                    <m:r>
                      <w:rPr>
                        <w:rFonts w:ascii="Cambria Math" w:hAnsi="Cambria Math"/>
                      </w:rPr>
                      <m:t xml:space="preserve">1000 </m:t>
                    </m:r>
                    <m:f>
                      <m:fPr>
                        <m:ctrlPr>
                          <w:rPr>
                            <w:rFonts w:ascii="Cambria Math" w:hAnsi="Cambria Math"/>
                            <w:i/>
                          </w:rPr>
                        </m:ctrlPr>
                      </m:fPr>
                      <m:num>
                        <m:r>
                          <w:rPr>
                            <w:rFonts w:ascii="Cambria Math" w:hAnsi="Cambria Math"/>
                          </w:rPr>
                          <m:t>kg</m:t>
                        </m:r>
                      </m:num>
                      <m:den>
                        <m:r>
                          <w:rPr>
                            <w:rFonts w:ascii="Cambria Math" w:hAnsi="Cambria Math"/>
                          </w:rPr>
                          <m:t>t</m:t>
                        </m:r>
                      </m:den>
                    </m:f>
                    <m:r>
                      <w:rPr>
                        <w:rFonts w:ascii="Cambria Math" w:hAnsi="Cambria Math"/>
                      </w:rPr>
                      <m:t>×7.33</m:t>
                    </m:r>
                    <m:f>
                      <m:fPr>
                        <m:ctrlPr>
                          <w:rPr>
                            <w:rFonts w:ascii="Cambria Math" w:hAnsi="Cambria Math"/>
                            <w:i/>
                          </w:rPr>
                        </m:ctrlPr>
                      </m:fPr>
                      <m:num>
                        <m:r>
                          <w:rPr>
                            <w:rFonts w:ascii="Cambria Math" w:hAnsi="Cambria Math"/>
                          </w:rPr>
                          <m:t>barrels</m:t>
                        </m:r>
                      </m:num>
                      <m:den>
                        <m:r>
                          <w:rPr>
                            <w:rFonts w:ascii="Cambria Math" w:hAnsi="Cambria Math"/>
                          </w:rPr>
                          <m:t>t</m:t>
                        </m:r>
                      </m:den>
                    </m:f>
                    <m:r>
                      <w:rPr>
                        <w:rFonts w:ascii="Cambria Math" w:hAnsi="Cambria Math"/>
                      </w:rPr>
                      <m:t xml:space="preserve"> </m:t>
                    </m:r>
                  </m:den>
                </m:f>
              </m:oMath>
            </m:oMathPara>
          </w:p>
        </w:tc>
        <w:tc>
          <w:tcPr>
            <w:tcW w:w="1239" w:type="dxa"/>
            <w:vAlign w:val="center"/>
          </w:tcPr>
          <w:p w14:paraId="7C78D261" w14:textId="444E451A" w:rsidR="00FC1E33" w:rsidRDefault="0087062B" w:rsidP="002773D5">
            <w:pPr>
              <w:jc w:val="right"/>
            </w:pPr>
            <w:r>
              <w:t>…</w:t>
            </w:r>
          </w:p>
        </w:tc>
        <w:tc>
          <w:tcPr>
            <w:tcW w:w="1526" w:type="dxa"/>
            <w:vAlign w:val="center"/>
          </w:tcPr>
          <w:p w14:paraId="422BBB9D" w14:textId="1BFDD369" w:rsidR="00FC1E33" w:rsidRPr="00333A58" w:rsidRDefault="0087062B" w:rsidP="002773D5">
            <w:pPr>
              <w:ind w:firstLine="0"/>
            </w:pPr>
            <w:bookmarkStart w:id="245" w:name="_Ref451279460"/>
            <w:r w:rsidRPr="00333A58">
              <w:t xml:space="preserve">Equation </w:t>
            </w:r>
            <w:r w:rsidR="00A47317">
              <w:fldChar w:fldCharType="begin"/>
            </w:r>
            <w:r w:rsidR="00A47317">
              <w:instrText xml:space="preserve"> SEQ Equation \* ARABIC </w:instrText>
            </w:r>
            <w:r w:rsidR="00A47317">
              <w:fldChar w:fldCharType="separate"/>
            </w:r>
            <w:r w:rsidR="00820EB1">
              <w:rPr>
                <w:noProof/>
              </w:rPr>
              <w:t>32</w:t>
            </w:r>
            <w:r w:rsidR="00A47317">
              <w:rPr>
                <w:noProof/>
              </w:rPr>
              <w:fldChar w:fldCharType="end"/>
            </w:r>
            <w:bookmarkEnd w:id="245"/>
          </w:p>
        </w:tc>
      </w:tr>
      <w:tr w:rsidR="00BB5E76" w:rsidRPr="00333A58" w14:paraId="479DF9BD" w14:textId="77777777" w:rsidTr="00964927">
        <w:trPr>
          <w:trHeight w:val="261"/>
        </w:trPr>
        <w:tc>
          <w:tcPr>
            <w:tcW w:w="5445" w:type="dxa"/>
            <w:vAlign w:val="center"/>
          </w:tcPr>
          <w:p w14:paraId="2B7F4E7F" w14:textId="33702D1D" w:rsidR="00BB5E76" w:rsidRDefault="00BB5E76" w:rsidP="002773D5">
            <w:pPr>
              <w:rPr>
                <w:rFonts w:eastAsia="SimSun" w:cs="Arial"/>
                <w:lang w:val="en-US"/>
              </w:rPr>
            </w:pPr>
            <m:oMathPara>
              <m:oMath>
                <m:r>
                  <w:rPr>
                    <w:rFonts w:ascii="Cambria Math" w:hAnsi="Cambria Math"/>
                  </w:rPr>
                  <m:t>PBT</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t>
                        </m:r>
                      </m:e>
                      <m:sub>
                        <m:r>
                          <w:rPr>
                            <w:rFonts w:ascii="Cambria Math" w:hAnsi="Cambria Math"/>
                          </w:rPr>
                          <m:t xml:space="preserve"> solar startup</m:t>
                        </m:r>
                      </m:sub>
                    </m:sSub>
                  </m:num>
                  <m:den>
                    <m:sSubSup>
                      <m:sSubSupPr>
                        <m:ctrlPr>
                          <w:rPr>
                            <w:rFonts w:ascii="Cambria Math" w:hAnsi="Cambria Math"/>
                          </w:rPr>
                        </m:ctrlPr>
                      </m:sSubSupPr>
                      <m:e>
                        <m:r>
                          <m:rPr>
                            <m:sty m:val="p"/>
                          </m:rPr>
                          <w:rPr>
                            <w:rFonts w:ascii="Cambria Math" w:hAnsi="Cambria Math"/>
                          </w:rPr>
                          <m:t>$</m:t>
                        </m:r>
                      </m:e>
                      <m:sub>
                        <m:r>
                          <w:rPr>
                            <w:rFonts w:ascii="Cambria Math" w:hAnsi="Cambria Math"/>
                          </w:rPr>
                          <m:t>fuel</m:t>
                        </m:r>
                      </m:sub>
                      <m:sup>
                        <m:r>
                          <w:rPr>
                            <w:rFonts w:ascii="Cambria Math" w:hAnsi="Cambria Math"/>
                          </w:rPr>
                          <m:t>yr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m:t>
                        </m:r>
                      </m:e>
                      <m:sub>
                        <m:r>
                          <w:rPr>
                            <w:rFonts w:ascii="Cambria Math" w:hAnsi="Cambria Math"/>
                          </w:rPr>
                          <m:t>solar running</m:t>
                        </m:r>
                      </m:sub>
                      <m:sup>
                        <m:r>
                          <w:rPr>
                            <w:rFonts w:ascii="Cambria Math" w:hAnsi="Cambria Math"/>
                          </w:rPr>
                          <m:t>yr</m:t>
                        </m:r>
                      </m:sup>
                    </m:sSubSup>
                  </m:den>
                </m:f>
              </m:oMath>
            </m:oMathPara>
          </w:p>
        </w:tc>
        <w:tc>
          <w:tcPr>
            <w:tcW w:w="1239" w:type="dxa"/>
            <w:vAlign w:val="center"/>
          </w:tcPr>
          <w:p w14:paraId="4DF33427" w14:textId="4BB3825E" w:rsidR="00BB5E76" w:rsidRDefault="00BB5E76" w:rsidP="002773D5">
            <w:pPr>
              <w:jc w:val="right"/>
            </w:pPr>
            <w:r>
              <w:t>…</w:t>
            </w:r>
          </w:p>
        </w:tc>
        <w:tc>
          <w:tcPr>
            <w:tcW w:w="1526" w:type="dxa"/>
            <w:vAlign w:val="center"/>
          </w:tcPr>
          <w:p w14:paraId="0624AA17" w14:textId="73A41EB6" w:rsidR="00BB5E76" w:rsidRPr="00333A58" w:rsidRDefault="00BB5E76" w:rsidP="002773D5">
            <w:pPr>
              <w:ind w:firstLine="0"/>
            </w:pPr>
            <w:bookmarkStart w:id="246" w:name="_Ref451277741"/>
            <w:r w:rsidRPr="00333A58">
              <w:t xml:space="preserve">Equation </w:t>
            </w:r>
            <w:r w:rsidR="00A47317">
              <w:fldChar w:fldCharType="begin"/>
            </w:r>
            <w:r w:rsidR="00A47317">
              <w:instrText xml:space="preserve"> SEQ Equation \* ARABIC </w:instrText>
            </w:r>
            <w:r w:rsidR="00A47317">
              <w:fldChar w:fldCharType="separate"/>
            </w:r>
            <w:r w:rsidR="00820EB1">
              <w:rPr>
                <w:noProof/>
              </w:rPr>
              <w:t>33</w:t>
            </w:r>
            <w:r w:rsidR="00A47317">
              <w:rPr>
                <w:noProof/>
              </w:rPr>
              <w:fldChar w:fldCharType="end"/>
            </w:r>
            <w:bookmarkEnd w:id="246"/>
          </w:p>
        </w:tc>
      </w:tr>
    </w:tbl>
    <w:p w14:paraId="0B8C4A26" w14:textId="01EB6A54" w:rsidR="00BE245C" w:rsidRDefault="002773D5" w:rsidP="00875DEE">
      <w:pPr>
        <w:spacing w:before="240"/>
        <w:ind w:firstLine="0"/>
      </w:pPr>
      <w:r>
        <w:rPr>
          <w:lang w:val="en-US"/>
        </w:rPr>
        <w:t>Where</w:t>
      </w:r>
      <w:r w:rsidR="00FC1E33">
        <w:rPr>
          <w:lang w:val="en-US"/>
        </w:rPr>
        <w:t xml:space="preserve"> A</w:t>
      </w:r>
      <w:r w:rsidR="00FC1E33">
        <w:rPr>
          <w:vertAlign w:val="subscript"/>
          <w:lang w:val="en-US"/>
        </w:rPr>
        <w:t>m</w:t>
      </w:r>
      <w:r w:rsidR="00FC1E33">
        <w:rPr>
          <w:lang w:val="en-US"/>
        </w:rPr>
        <w:t xml:space="preserve"> is the melting area of the equivalent day tank; </w:t>
      </w:r>
      <m:oMath>
        <m:sSubSup>
          <m:sSubSupPr>
            <m:ctrlPr>
              <w:rPr>
                <w:rFonts w:ascii="Cambria Math" w:hAnsi="Cambria Math"/>
              </w:rPr>
            </m:ctrlPr>
          </m:sSubSupPr>
          <m:e>
            <m:r>
              <w:rPr>
                <w:rFonts w:ascii="Cambria Math" w:hAnsi="Cambria Math"/>
              </w:rPr>
              <m:t>m</m:t>
            </m:r>
          </m:e>
          <m:sub>
            <m:r>
              <w:rPr>
                <w:rFonts w:ascii="Cambria Math" w:hAnsi="Cambria Math"/>
              </w:rPr>
              <m:t>glass</m:t>
            </m:r>
            <m:r>
              <m:rPr>
                <m:sty m:val="p"/>
              </m:rPr>
              <w:rPr>
                <w:rFonts w:ascii="Cambria Math" w:hAnsi="Cambria Math"/>
              </w:rPr>
              <m:t>,</m:t>
            </m:r>
            <m:r>
              <w:rPr>
                <w:rFonts w:ascii="Cambria Math" w:hAnsi="Cambria Math"/>
              </w:rPr>
              <m:t>SU</m:t>
            </m:r>
          </m:sub>
          <m:sup>
            <m:r>
              <w:rPr>
                <w:rFonts w:ascii="Cambria Math" w:hAnsi="Cambria Math"/>
              </w:rPr>
              <m:t>day</m:t>
            </m:r>
          </m:sup>
        </m:sSubSup>
      </m:oMath>
      <w:r w:rsidR="00FC1E33">
        <w:t xml:space="preserve"> (from </w:t>
      </w:r>
      <w:r w:rsidR="00FC1E33">
        <w:fldChar w:fldCharType="begin"/>
      </w:r>
      <w:r w:rsidR="00FC1E33">
        <w:instrText xml:space="preserve"> REF _Ref444604512 \h </w:instrText>
      </w:r>
      <w:r w:rsidR="00FC1E33">
        <w:fldChar w:fldCharType="separate"/>
      </w:r>
      <w:r w:rsidR="00820EB1" w:rsidRPr="00333A58">
        <w:t xml:space="preserve">Equation </w:t>
      </w:r>
      <w:r w:rsidR="00820EB1">
        <w:rPr>
          <w:noProof/>
        </w:rPr>
        <w:t>29</w:t>
      </w:r>
      <w:r w:rsidR="00FC1E33">
        <w:fldChar w:fldCharType="end"/>
      </w:r>
      <w:r w:rsidR="00415170">
        <w:t>)</w:t>
      </w:r>
      <w:r w:rsidR="00FC1E33">
        <w:t xml:space="preserve"> is the daily glass production rate for each of the</w:t>
      </w:r>
      <w:r w:rsidR="0087062B">
        <w:t xml:space="preserve"> solar-heated glass production</w:t>
      </w:r>
      <w:r w:rsidR="00FC1E33">
        <w:t xml:space="preserve"> scale up scenarios; </w:t>
      </w:r>
      <w:r w:rsidR="00FC1E33">
        <w:rPr>
          <w:lang w:val="en-US"/>
        </w:rPr>
        <w:t xml:space="preserve"> </w:t>
      </w:r>
      <m:oMath>
        <m:r>
          <w:rPr>
            <w:rFonts w:ascii="Cambria Math" w:hAnsi="Cambria Math"/>
            <w:lang w:val="en-US"/>
          </w:rPr>
          <m:t>τ</m:t>
        </m:r>
      </m:oMath>
      <w:r w:rsidR="00FC1E33">
        <w:rPr>
          <w:lang w:val="en-US"/>
        </w:rPr>
        <w:t xml:space="preserve"> is</w:t>
      </w:r>
      <w:r w:rsidR="0087062B">
        <w:rPr>
          <w:lang w:val="en-US"/>
        </w:rPr>
        <w:t xml:space="preserve"> the typical melting area </w:t>
      </w:r>
      <w:r w:rsidR="00FC1E33">
        <w:rPr>
          <w:lang w:val="en-US"/>
        </w:rPr>
        <w:t>spec</w:t>
      </w:r>
      <w:r w:rsidR="0087062B">
        <w:rPr>
          <w:lang w:val="en-US"/>
        </w:rPr>
        <w:t>ific glass production rate (</w:t>
      </w:r>
      <w:r w:rsidR="00D8633E">
        <w:rPr>
          <w:lang w:val="en-US"/>
        </w:rPr>
        <w:t>600 kg m</w:t>
      </w:r>
      <w:r w:rsidR="00D8633E">
        <w:rPr>
          <w:vertAlign w:val="superscript"/>
          <w:lang w:val="en-US"/>
        </w:rPr>
        <w:t>-2</w:t>
      </w:r>
      <w:r w:rsidR="00D8633E">
        <w:rPr>
          <w:lang w:val="en-US"/>
        </w:rPr>
        <w:t xml:space="preserve"> d</w:t>
      </w:r>
      <w:r w:rsidR="00D8633E">
        <w:rPr>
          <w:vertAlign w:val="superscript"/>
          <w:lang w:val="en-US"/>
        </w:rPr>
        <w:t>-1</w:t>
      </w:r>
      <w:r w:rsidR="00D8633E">
        <w:rPr>
          <w:lang w:val="en-US"/>
        </w:rPr>
        <w:t xml:space="preserve"> </w:t>
      </w:r>
      <w:r w:rsidR="00D8633E">
        <w:rPr>
          <w:lang w:val="en-US"/>
        </w:rPr>
        <w:fldChar w:fldCharType="begin" w:fldLock="1"/>
      </w:r>
      <w:r w:rsidR="00270BFB">
        <w:rPr>
          <w:lang w:val="en-US"/>
        </w:rPr>
        <w:instrText>ADDIN CSL_CITATION { "citationItems" : [ { "id" : "ITEM-1", "itemData" : { "author" : [ { "dropping-particle" : "", "family" : "Trier", "given" : "Wolfgang", "non-dropping-particle" : "", "parse-names" : false, "suffix" : "" } ], "chapter-number" : "9", "container-title" : "Glass Furnaces: Design Construction and Operation", "id" : "ITEM-1", "issued" : { "date-parts" : [ [ "1987" ] ] }, "page" : "226-228", "publisher" : "Society of Glass Technology", "publisher-place" : "Sheffield", "title" : "Day Tanks", "type" : "chapter" }, "uris" : [ "http://www.mendeley.com/documents/?uuid=eead97f5-d906-43e8-a9eb-dbc0a5c16fd4" ] } ], "mendeley" : { "formattedCitation" : "(Trier 1987a)", "plainTextFormattedCitation" : "(Trier 1987a)", "previouslyFormattedCitation" : "(Trier 1987a)" }, "properties" : { "noteIndex" : 0 }, "schema" : "https://github.com/citation-style-language/schema/raw/master/csl-citation.json" }</w:instrText>
      </w:r>
      <w:r w:rsidR="00D8633E">
        <w:rPr>
          <w:lang w:val="en-US"/>
        </w:rPr>
        <w:fldChar w:fldCharType="separate"/>
      </w:r>
      <w:r w:rsidR="00D8633E" w:rsidRPr="00D8633E">
        <w:rPr>
          <w:noProof/>
          <w:lang w:val="en-US"/>
        </w:rPr>
        <w:t>(Trier 1987a)</w:t>
      </w:r>
      <w:r w:rsidR="00D8633E">
        <w:rPr>
          <w:lang w:val="en-US"/>
        </w:rPr>
        <w:fldChar w:fldCharType="end"/>
      </w:r>
      <w:r w:rsidR="00D8633E">
        <w:rPr>
          <w:lang w:val="en-US"/>
        </w:rPr>
        <w:t>)</w:t>
      </w:r>
      <w:r w:rsidR="0087062B">
        <w:rPr>
          <w:lang w:val="en-US"/>
        </w:rPr>
        <w:t xml:space="preserve"> of the equivalent oil fired day tanks</w:t>
      </w:r>
      <w:r w:rsidR="00D8633E">
        <w:rPr>
          <w:lang w:val="en-US"/>
        </w:rPr>
        <w:t>;</w:t>
      </w:r>
      <w:r w:rsidR="0087062B">
        <w:rPr>
          <w:lang w:val="en-US"/>
        </w:rPr>
        <w:t xml:space="preserve"> </w:t>
      </w:r>
      <w:r w:rsidR="00D8633E" w:rsidRPr="009C2B7B">
        <w:rPr>
          <w:i/>
          <w:lang w:val="en-US"/>
        </w:rPr>
        <w:t>G</w:t>
      </w:r>
      <w:r w:rsidR="00D8633E">
        <w:rPr>
          <w:lang w:val="en-US"/>
        </w:rPr>
        <w:t xml:space="preserve"> (kg </w:t>
      </w:r>
      <w:r w:rsidR="00D8633E" w:rsidRPr="00CC5701">
        <w:rPr>
          <w:lang w:val="en-US"/>
        </w:rPr>
        <w:t>m</w:t>
      </w:r>
      <w:r w:rsidR="00D8633E">
        <w:rPr>
          <w:vertAlign w:val="superscript"/>
          <w:lang w:val="en-US"/>
        </w:rPr>
        <w:t>–2</w:t>
      </w:r>
      <w:r w:rsidR="00D8633E">
        <w:rPr>
          <w:lang w:val="en-US"/>
        </w:rPr>
        <w:t xml:space="preserve"> d</w:t>
      </w:r>
      <w:r w:rsidR="00D8633E">
        <w:rPr>
          <w:vertAlign w:val="superscript"/>
          <w:lang w:val="en-US"/>
        </w:rPr>
        <w:t>–1</w:t>
      </w:r>
      <w:r w:rsidR="00D8633E">
        <w:rPr>
          <w:lang w:val="en-US"/>
        </w:rPr>
        <w:t>) are the glass melting rates and A</w:t>
      </w:r>
      <w:r w:rsidR="00D8633E">
        <w:rPr>
          <w:vertAlign w:val="subscript"/>
          <w:lang w:val="en-US"/>
        </w:rPr>
        <w:t>m</w:t>
      </w:r>
      <w:r w:rsidR="00D8633E">
        <w:rPr>
          <w:lang w:val="en-US"/>
        </w:rPr>
        <w:t xml:space="preserve"> are the melting areas of the equivalent day tanks;</w:t>
      </w:r>
      <m:oMath>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m:t>
            </m:r>
          </m:e>
          <m:sub>
            <m:r>
              <w:rPr>
                <w:rFonts w:ascii="Cambria Math" w:hAnsi="Cambria Math"/>
              </w:rPr>
              <m:t>fuel</m:t>
            </m:r>
          </m:sub>
          <m:sup>
            <m:r>
              <w:rPr>
                <w:rFonts w:ascii="Cambria Math" w:hAnsi="Cambria Math"/>
              </w:rPr>
              <m:t>yr</m:t>
            </m:r>
          </m:sup>
        </m:sSubSup>
      </m:oMath>
      <w:r w:rsidR="00D8633E">
        <w:t xml:space="preserve">are the annual fuel savings associated with using solar energy instead of </w:t>
      </w:r>
      <w:r w:rsidR="00415170">
        <w:t>oil</w:t>
      </w:r>
      <w:r w:rsidR="000263E6">
        <w:t xml:space="preserve"> (assuming an average fuel oil price of $60/barrel (see </w:t>
      </w:r>
      <w:r w:rsidR="000263E6">
        <w:fldChar w:fldCharType="begin" w:fldLock="1"/>
      </w:r>
      <w:r w:rsidR="000263E6">
        <w:instrText>ADDIN CSL_CITATION { "citationItems" : [ { "id" : "ITEM-1", "itemData" : { "URL" : "http://www.eia.gov/dnav/pet/hist/LeafHandler.ashx?n=PET&amp;s=RWTC&amp;f=A", "accessed" : { "date-parts" : [ [ "2016", "5", "17" ] ] }, "author" : [ { "dropping-particle" : "", "family" : "US EIA", "given" : "", "non-dropping-particle" : "", "parse-names" : false, "suffix" : "" } ], "container-title" : "Petroleum &amp; Other Products", "id" : "ITEM-1", "issued" : { "date-parts" : [ [ "2016" ] ] }, "title" : "Cushing, OK WTI spot Price FOB", "type" : "webpage" }, "uris" : [ "http://www.mendeley.com/documents/?uuid=62fd2d8c-e2d3-4fe2-91cb-2ab58e394a77" ] } ], "mendeley" : { "formattedCitation" : "(US EIA 2016)", "manualFormatting" : "US EIA (2016))", "plainTextFormattedCitation" : "(US EIA 2016)", "previouslyFormattedCitation" : "(US EIA 2016)" }, "properties" : { "noteIndex" : 0 }, "schema" : "https://github.com/citation-style-language/schema/raw/master/csl-citation.json" }</w:instrText>
      </w:r>
      <w:r w:rsidR="000263E6">
        <w:fldChar w:fldCharType="separate"/>
      </w:r>
      <w:r w:rsidR="000263E6" w:rsidRPr="0031187F">
        <w:rPr>
          <w:noProof/>
        </w:rPr>
        <w:t xml:space="preserve">US EIA </w:t>
      </w:r>
      <w:r w:rsidR="000263E6">
        <w:rPr>
          <w:noProof/>
        </w:rPr>
        <w:t>(</w:t>
      </w:r>
      <w:r w:rsidR="000263E6" w:rsidRPr="0031187F">
        <w:rPr>
          <w:noProof/>
        </w:rPr>
        <w:t>2016</w:t>
      </w:r>
      <w:r w:rsidR="000263E6">
        <w:rPr>
          <w:noProof/>
        </w:rPr>
        <w:t>)</w:t>
      </w:r>
      <w:r w:rsidR="000263E6" w:rsidRPr="0031187F">
        <w:rPr>
          <w:noProof/>
        </w:rPr>
        <w:t>)</w:t>
      </w:r>
      <w:r w:rsidR="000263E6">
        <w:fldChar w:fldCharType="end"/>
      </w:r>
      <w:r w:rsidR="00D8633E">
        <w:t>;</w:t>
      </w:r>
      <w:r w:rsidR="00D8633E">
        <w:rPr>
          <w:lang w:val="en-US"/>
        </w:rPr>
        <w:t xml:space="preserve"> </w:t>
      </w:r>
      <m:oMath>
        <m:sSub>
          <m:sSubPr>
            <m:ctrlPr>
              <w:rPr>
                <w:rFonts w:ascii="Cambria Math" w:hAnsi="Cambria Math"/>
              </w:rPr>
            </m:ctrlPr>
          </m:sSubPr>
          <m:e>
            <m:r>
              <w:rPr>
                <w:rFonts w:ascii="Cambria Math" w:hAnsi="Cambria Math"/>
              </w:rPr>
              <m:t>$</m:t>
            </m:r>
          </m:e>
          <m:sub>
            <m:r>
              <w:rPr>
                <w:rFonts w:ascii="Cambria Math" w:hAnsi="Cambria Math"/>
              </w:rPr>
              <m:t xml:space="preserve"> solar startup</m:t>
            </m:r>
          </m:sub>
        </m:sSub>
      </m:oMath>
      <w:r w:rsidR="00D8633E">
        <w:t xml:space="preserve"> and </w:t>
      </w:r>
      <m:oMath>
        <m:sSubSup>
          <m:sSubSupPr>
            <m:ctrlPr>
              <w:rPr>
                <w:rFonts w:ascii="Cambria Math" w:hAnsi="Cambria Math"/>
              </w:rPr>
            </m:ctrlPr>
          </m:sSubSupPr>
          <m:e>
            <m:r>
              <m:rPr>
                <m:sty m:val="p"/>
              </m:rPr>
              <w:rPr>
                <w:rFonts w:ascii="Cambria Math" w:hAnsi="Cambria Math"/>
              </w:rPr>
              <m:t>$</m:t>
            </m:r>
          </m:e>
          <m:sub>
            <m:r>
              <w:rPr>
                <w:rFonts w:ascii="Cambria Math" w:hAnsi="Cambria Math"/>
              </w:rPr>
              <m:t>solar running</m:t>
            </m:r>
          </m:sub>
          <m:sup>
            <m:r>
              <w:rPr>
                <w:rFonts w:ascii="Cambria Math" w:hAnsi="Cambria Math"/>
              </w:rPr>
              <m:t>yr</m:t>
            </m:r>
          </m:sup>
        </m:sSubSup>
        <m:r>
          <w:rPr>
            <w:rFonts w:ascii="Cambria Math" w:hAnsi="Cambria Math"/>
          </w:rPr>
          <m:t xml:space="preserve"> </m:t>
        </m:r>
      </m:oMath>
      <w:r w:rsidR="00D8633E">
        <w:t>are the total initial capital investments and running costs required for the solar power systems for each of the scale-up scenarios.</w:t>
      </w:r>
      <w:r w:rsidR="00415170">
        <w:t xml:space="preserve"> </w:t>
      </w:r>
      <w:r w:rsidR="000263E6">
        <w:fldChar w:fldCharType="begin"/>
      </w:r>
      <w:r w:rsidR="000263E6">
        <w:instrText xml:space="preserve"> REF _Ref451277735 \h </w:instrText>
      </w:r>
      <w:r w:rsidR="000263E6">
        <w:fldChar w:fldCharType="separate"/>
      </w:r>
      <w:r w:rsidR="00820EB1" w:rsidRPr="00333A58">
        <w:t xml:space="preserve">Equation </w:t>
      </w:r>
      <w:r w:rsidR="00820EB1">
        <w:rPr>
          <w:noProof/>
        </w:rPr>
        <w:t>31</w:t>
      </w:r>
      <w:r w:rsidR="000263E6">
        <w:fldChar w:fldCharType="end"/>
      </w:r>
      <w:r w:rsidR="00452FE4">
        <w:t xml:space="preserve"> is only valid for small to medium </w:t>
      </w:r>
      <w:r w:rsidR="00452FE4">
        <w:lastRenderedPageBreak/>
        <w:t>size glass production</w:t>
      </w:r>
      <w:r>
        <w:t xml:space="preserve"> (for values of </w:t>
      </w:r>
      <w:r w:rsidR="00875DEE">
        <w:t>A</w:t>
      </w:r>
      <w:r w:rsidR="00875DEE">
        <w:rPr>
          <w:vertAlign w:val="subscript"/>
        </w:rPr>
        <w:t>m</w:t>
      </w:r>
      <w:r w:rsidR="00875DEE">
        <w:t xml:space="preserve"> &gt; 12 </w:t>
      </w:r>
      <w:r>
        <w:t>m</w:t>
      </w:r>
      <w:r>
        <w:rPr>
          <w:vertAlign w:val="superscript"/>
        </w:rPr>
        <w:t>2</w:t>
      </w:r>
      <w:r>
        <w:t>, G becomes negative)</w:t>
      </w:r>
      <w:r w:rsidR="00452FE4">
        <w:t xml:space="preserve"> so can only be used to estimate the fuel consumptions for scale-up scenarios 1a to 2b</w:t>
      </w:r>
      <w:r w:rsidR="000263E6">
        <w:t xml:space="preserve"> (see section 6.5.1.6)</w:t>
      </w:r>
      <w:r w:rsidR="00452FE4">
        <w:t xml:space="preserve">. Therefore, the following financial calculations are only made for these scenarios. </w:t>
      </w:r>
    </w:p>
    <w:p w14:paraId="63ADFC79" w14:textId="1BAF25AA" w:rsidR="00452FE4" w:rsidRDefault="00452FE4" w:rsidP="00EA4BBA">
      <w:pPr>
        <w:ind w:firstLine="720"/>
      </w:pPr>
      <w:r>
        <w:t xml:space="preserve">The </w:t>
      </w:r>
      <w:r w:rsidRPr="004C00B3">
        <w:rPr>
          <w:i/>
        </w:rPr>
        <w:t>Net Present Value (NPV)</w:t>
      </w:r>
      <w:r>
        <w:t xml:space="preserve"> is another method for evaluating whether a capital investment is worthwhile. NPV is defined as the present </w:t>
      </w:r>
      <w:r w:rsidRPr="00663393">
        <w:t>value of the flow of net incomes minus the present va</w:t>
      </w:r>
      <w:r>
        <w:t xml:space="preserve">lue of the flow of investments. For solar-heated glass production the present value of investments is simply the initial capital costs because this is assumed to be incurred at the start of the project. The present value of net incomes is the anticipated fuel savings less the cost of running the solar power system, but since this is expected </w:t>
      </w:r>
      <w:r w:rsidR="00415170">
        <w:t xml:space="preserve">to occur </w:t>
      </w:r>
      <w:r>
        <w:t xml:space="preserve">over the economic life of the solar power system, assumed to be around 25 years </w:t>
      </w:r>
      <w:r>
        <w:fldChar w:fldCharType="begin" w:fldLock="1"/>
      </w:r>
      <w:r w:rsidR="00875DEE">
        <w:instrText>ADDIN CSL_CITATION { "citationItems" : [ { "id" : "ITEM-1", "itemData" : { "author" : [ { "dropping-particle" : "", "family" : "Epstein", "given" : "M", "non-dropping-particle" : "", "parse-names" : false, "suffix" : "" }, { "dropping-particle" : "", "family" : "Yogev", "given" : "A", "non-dropping-particle" : "", "parse-names" : false, "suffix" : "" }, { "dropping-particle" : "", "family" : "Hodara", "given" : "I", "non-dropping-particle" : "", "parse-names" : false, "suffix" : "" }, { "dropping-particle" : "", "family" : "Segal", "given" : "A", "non-dropping-particle" : "", "parse-names" : false, "suffix" : "" } ], "container-title" : "Sun Day Symposium", "id" : "ITEM-1", "issued" : { "date-parts" : [ [ "1996" ] ] }, "publisher" : "Weizmann Institute of Science", "publisher-place" : "Rehovot, Israel", "title" : "Results of a feasibility study on the possible use of the solar tower technology at the Dead Sea Works", "type" : "paper-conference" }, "uris" : [ "http://www.mendeley.com/documents/?uuid=7313f11b-517f-4fc5-8fd4-b9716d8a71e2" ] } ], "mendeley" : { "formattedCitation" : "(Epstein et al. 1996)", "plainTextFormattedCitation" : "(Epstein et al. 1996)", "previouslyFormattedCitation" : "(Epstein et al. 1996)" }, "properties" : { "noteIndex" : 0 }, "schema" : "https://github.com/citation-style-language/schema/raw/master/csl-citation.json" }</w:instrText>
      </w:r>
      <w:r>
        <w:fldChar w:fldCharType="separate"/>
      </w:r>
      <w:r w:rsidR="00875DEE" w:rsidRPr="00875DEE">
        <w:rPr>
          <w:noProof/>
        </w:rPr>
        <w:t>(Epstein et al. 1996)</w:t>
      </w:r>
      <w:r>
        <w:fldChar w:fldCharType="end"/>
      </w:r>
      <w:r>
        <w:t xml:space="preserve">, </w:t>
      </w:r>
      <w:r>
        <w:fldChar w:fldCharType="begin" w:fldLock="1"/>
      </w:r>
      <w:r w:rsidR="00875DEE">
        <w:instrText>ADDIN CSL_CITATION { "citationItems" : [ { "id" : "ITEM-1", "itemData" : { "author" : [ { "dropping-particle" : "", "family" : "Broesamle", "given" : "H", "non-dropping-particle" : "", "parse-names" : false, "suffix" : "" }, { "dropping-particle" : "", "family" : "Mannstein", "given" : "H", "non-dropping-particle" : "", "parse-names" : false, "suffix" : "" }, { "dropping-particle" : "", "family" : "Schillings", "given" : "C", "non-dropping-particle" : "", "parse-names" : false, "suffix" : "" }, { "dropping-particle" : "", "family" : "Trieb", "given" : "F", "non-dropping-particle" : "", "parse-names" : false, "suffix" : "" } ], "container-title" : "Solar Energy", "id" : "ITEM-1", "issued" : { "date-parts" : [ [ "2001" ] ] }, "page" : "1-12", "title" : "Assessment of solar electricity potentials in North Africa based on satellite data and a geographic information system", "type" : "article-journal", "volume" : "70" }, "uris" : [ "http://www.mendeley.com/documents/?uuid=1bf825f6-4411-4b28-8ce4-c8d631aa600d" ] } ], "mendeley" : { "formattedCitation" : "(Broesamle et al. 2001)", "plainTextFormattedCitation" : "(Broesamle et al. 2001)", "previouslyFormattedCitation" : "(Broesamle et al. 2001)" }, "properties" : { "noteIndex" : 0 }, "schema" : "https://github.com/citation-style-language/schema/raw/master/csl-citation.json" }</w:instrText>
      </w:r>
      <w:r>
        <w:fldChar w:fldCharType="separate"/>
      </w:r>
      <w:r w:rsidR="00875DEE" w:rsidRPr="00875DEE">
        <w:rPr>
          <w:noProof/>
        </w:rPr>
        <w:t>(Broesamle et al. 2001)</w:t>
      </w:r>
      <w:r>
        <w:fldChar w:fldCharType="end"/>
      </w:r>
      <w:r>
        <w:t xml:space="preserve"> so the present value is given by discounting this ‘income’ over 25 years at an annual discount rate of </w:t>
      </w:r>
      <m:oMath>
        <m:r>
          <w:rPr>
            <w:rFonts w:ascii="Cambria Math" w:hAnsi="Cambria Math"/>
          </w:rPr>
          <m:t>i=15%</m:t>
        </m:r>
      </m:oMath>
      <w:r>
        <w:t xml:space="preserve"> </w:t>
      </w:r>
      <w:r>
        <w:fldChar w:fldCharType="begin" w:fldLock="1"/>
      </w:r>
      <w:r w:rsidR="00875DEE">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fldChar w:fldCharType="separate"/>
      </w:r>
      <w:r w:rsidR="00875DEE" w:rsidRPr="00875DEE">
        <w:rPr>
          <w:noProof/>
        </w:rPr>
        <w:t>(Meier et al. 2005)</w:t>
      </w:r>
      <w:r>
        <w:fldChar w:fldCharType="end"/>
      </w:r>
      <w:r>
        <w:t xml:space="preserve"> which takes into account the time value of money and risk associated with the investment. Therefore, the NPV is given by </w:t>
      </w:r>
      <w:r>
        <w:fldChar w:fldCharType="begin"/>
      </w:r>
      <w:r>
        <w:instrText xml:space="preserve"> REF _Ref446440968 \h </w:instrText>
      </w:r>
      <w:r>
        <w:fldChar w:fldCharType="separate"/>
      </w:r>
      <w:r w:rsidR="00820EB1" w:rsidRPr="00333A58">
        <w:t xml:space="preserve">Equation </w:t>
      </w:r>
      <w:r w:rsidR="00820EB1">
        <w:rPr>
          <w:noProof/>
        </w:rPr>
        <w:t>34</w:t>
      </w:r>
      <w:r>
        <w:fldChar w:fldCharType="end"/>
      </w:r>
      <w:r>
        <w:t xml:space="preserve">. </w:t>
      </w: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10"/>
        <w:gridCol w:w="1067"/>
        <w:gridCol w:w="1443"/>
      </w:tblGrid>
      <w:tr w:rsidR="00452FE4" w:rsidRPr="00333A58" w14:paraId="312E7C27" w14:textId="77777777" w:rsidTr="00EA4BBA">
        <w:trPr>
          <w:trHeight w:val="261"/>
        </w:trPr>
        <w:tc>
          <w:tcPr>
            <w:tcW w:w="6061" w:type="dxa"/>
            <w:vAlign w:val="center"/>
          </w:tcPr>
          <w:p w14:paraId="24BB9729" w14:textId="77777777" w:rsidR="00452FE4" w:rsidRPr="00333A58" w:rsidRDefault="00452FE4" w:rsidP="00EA4BBA">
            <m:oMathPara>
              <m:oMath>
                <m:r>
                  <w:rPr>
                    <w:rFonts w:ascii="Cambria Math" w:hAnsi="Cambria Math"/>
                  </w:rPr>
                  <m:t>NPV</m:t>
                </m:r>
                <m:r>
                  <m:rPr>
                    <m:sty m:val="p"/>
                  </m:rPr>
                  <w:rPr>
                    <w:rFonts w:ascii="Cambria Math" w:hAnsi="Cambria Math"/>
                  </w:rPr>
                  <m:t>=</m:t>
                </m:r>
                <m:nary>
                  <m:naryPr>
                    <m:chr m:val="∑"/>
                    <m:limLoc m:val="undOvr"/>
                    <m:ctrlPr>
                      <w:rPr>
                        <w:rFonts w:ascii="Cambria Math" w:hAnsi="Cambria Math"/>
                        <w:i/>
                      </w:rPr>
                    </m:ctrlPr>
                  </m:naryPr>
                  <m:sub>
                    <m:r>
                      <w:rPr>
                        <w:rFonts w:ascii="Cambria Math" w:hAnsi="Cambria Math"/>
                      </w:rPr>
                      <m:t>t=1</m:t>
                    </m:r>
                  </m:sub>
                  <m:sup>
                    <m:r>
                      <w:rPr>
                        <w:rFonts w:ascii="Cambria Math" w:hAnsi="Cambria Math"/>
                      </w:rPr>
                      <m:t>25 yr</m:t>
                    </m:r>
                  </m:sup>
                  <m:e>
                    <m:f>
                      <m:fPr>
                        <m:ctrlPr>
                          <w:rPr>
                            <w:rFonts w:ascii="Cambria Math" w:hAnsi="Cambria Math"/>
                            <w:i/>
                          </w:rPr>
                        </m:ctrlPr>
                      </m:fPr>
                      <m:num>
                        <m:sSubSup>
                          <m:sSubSupPr>
                            <m:ctrlPr>
                              <w:rPr>
                                <w:rFonts w:ascii="Cambria Math" w:hAnsi="Cambria Math"/>
                              </w:rPr>
                            </m:ctrlPr>
                          </m:sSubSupPr>
                          <m:e>
                            <m:r>
                              <m:rPr>
                                <m:sty m:val="p"/>
                              </m:rPr>
                              <w:rPr>
                                <w:rFonts w:ascii="Cambria Math" w:hAnsi="Cambria Math"/>
                              </w:rPr>
                              <m:t>$</m:t>
                            </m:r>
                          </m:e>
                          <m:sub>
                            <m:r>
                              <w:rPr>
                                <w:rFonts w:ascii="Cambria Math" w:hAnsi="Cambria Math"/>
                              </w:rPr>
                              <m:t>fuel</m:t>
                            </m:r>
                          </m:sub>
                          <m:sup>
                            <m:r>
                              <w:rPr>
                                <w:rFonts w:ascii="Cambria Math" w:hAnsi="Cambria Math"/>
                              </w:rPr>
                              <m:t>yr</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m:t>
                            </m:r>
                          </m:e>
                          <m:sub>
                            <m:r>
                              <w:rPr>
                                <w:rFonts w:ascii="Cambria Math" w:hAnsi="Cambria Math"/>
                              </w:rPr>
                              <m:t>solar running</m:t>
                            </m:r>
                          </m:sub>
                          <m:sup>
                            <m:r>
                              <w:rPr>
                                <w:rFonts w:ascii="Cambria Math" w:hAnsi="Cambria Math"/>
                              </w:rPr>
                              <m:t>yr</m:t>
                            </m:r>
                          </m:sup>
                        </m:sSubSup>
                      </m:num>
                      <m:den>
                        <m:sSup>
                          <m:sSupPr>
                            <m:ctrlPr>
                              <w:rPr>
                                <w:rFonts w:ascii="Cambria Math" w:hAnsi="Cambria Math"/>
                                <w:i/>
                              </w:rPr>
                            </m:ctrlPr>
                          </m:sSupPr>
                          <m:e>
                            <m:r>
                              <w:rPr>
                                <w:rFonts w:ascii="Cambria Math" w:hAnsi="Cambria Math"/>
                              </w:rPr>
                              <m:t>(1-i)</m:t>
                            </m:r>
                          </m:e>
                          <m:sup>
                            <m:r>
                              <w:rPr>
                                <w:rFonts w:ascii="Cambria Math" w:hAnsi="Cambria Math"/>
                              </w:rPr>
                              <m:t>t</m:t>
                            </m:r>
                          </m:sup>
                        </m:sSup>
                      </m:den>
                    </m:f>
                    <m:sSub>
                      <m:sSubPr>
                        <m:ctrlPr>
                          <w:rPr>
                            <w:rFonts w:ascii="Cambria Math" w:hAnsi="Cambria Math"/>
                          </w:rPr>
                        </m:ctrlPr>
                      </m:sSubPr>
                      <m:e>
                        <m:r>
                          <w:rPr>
                            <w:rFonts w:ascii="Cambria Math" w:hAnsi="Cambria Math"/>
                          </w:rPr>
                          <m:t>-$</m:t>
                        </m:r>
                      </m:e>
                      <m:sub>
                        <m:r>
                          <w:rPr>
                            <w:rFonts w:ascii="Cambria Math" w:hAnsi="Cambria Math"/>
                          </w:rPr>
                          <m:t xml:space="preserve"> solar startup</m:t>
                        </m:r>
                      </m:sub>
                    </m:sSub>
                  </m:e>
                </m:nary>
              </m:oMath>
            </m:oMathPara>
          </w:p>
        </w:tc>
        <w:tc>
          <w:tcPr>
            <w:tcW w:w="1133" w:type="dxa"/>
            <w:vAlign w:val="center"/>
          </w:tcPr>
          <w:p w14:paraId="4BA2B445" w14:textId="77777777" w:rsidR="00452FE4" w:rsidRPr="00333A58" w:rsidRDefault="00452FE4" w:rsidP="00EA4BBA">
            <w:pPr>
              <w:jc w:val="right"/>
            </w:pPr>
            <w:r>
              <w:t>…</w:t>
            </w:r>
          </w:p>
        </w:tc>
        <w:tc>
          <w:tcPr>
            <w:tcW w:w="1548" w:type="dxa"/>
            <w:vAlign w:val="center"/>
          </w:tcPr>
          <w:p w14:paraId="3BEA93A2" w14:textId="29449B3D" w:rsidR="00452FE4" w:rsidRPr="00333A58" w:rsidRDefault="00452FE4" w:rsidP="00EA4BBA">
            <w:pPr>
              <w:ind w:firstLine="0"/>
              <w:jc w:val="left"/>
            </w:pPr>
            <w:bookmarkStart w:id="247" w:name="_Ref446440968"/>
            <w:r w:rsidRPr="00333A58">
              <w:t xml:space="preserve">Equation </w:t>
            </w:r>
            <w:r w:rsidR="00A47317">
              <w:fldChar w:fldCharType="begin"/>
            </w:r>
            <w:r w:rsidR="00A47317">
              <w:instrText xml:space="preserve"> SEQ Equation \* ARABIC </w:instrText>
            </w:r>
            <w:r w:rsidR="00A47317">
              <w:fldChar w:fldCharType="separate"/>
            </w:r>
            <w:r w:rsidR="00820EB1">
              <w:rPr>
                <w:noProof/>
              </w:rPr>
              <w:t>34</w:t>
            </w:r>
            <w:r w:rsidR="00A47317">
              <w:rPr>
                <w:noProof/>
              </w:rPr>
              <w:fldChar w:fldCharType="end"/>
            </w:r>
            <w:bookmarkEnd w:id="247"/>
          </w:p>
        </w:tc>
      </w:tr>
    </w:tbl>
    <w:p w14:paraId="5F5DB6E3" w14:textId="0AD59158" w:rsidR="00452FE4" w:rsidRDefault="00452FE4" w:rsidP="00EA4BBA">
      <w:pPr>
        <w:ind w:firstLine="0"/>
      </w:pPr>
      <w:r>
        <w:t>If NPV &gt; 0, then the</w:t>
      </w:r>
      <w:r w:rsidRPr="00663393">
        <w:t xml:space="preserve"> investment </w:t>
      </w:r>
      <w:r>
        <w:t>is considered</w:t>
      </w:r>
      <w:r w:rsidRPr="00663393">
        <w:t xml:space="preserve"> </w:t>
      </w:r>
      <w:r>
        <w:t>worthwhile i.e. the present value of incomes is greater than the present value of investments</w:t>
      </w:r>
      <w:r w:rsidRPr="00592C33">
        <w:t xml:space="preserve"> </w:t>
      </w:r>
      <w:r>
        <w:t xml:space="preserve">at the assumed discount rate. For the case of solar-heated lime production discussed, </w:t>
      </w:r>
      <w:r>
        <w:fldChar w:fldCharType="begin" w:fldLock="1"/>
      </w:r>
      <w:r w:rsidR="00875DEE">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"manualFormatting" : "Meier et al., (2005)", "plainTextFormattedCitation" : "(Meier et al. 2005)", "previouslyFormattedCitation" : "(Meier et al. 2005)" }, "properties" : { "noteIndex" : 0 }, "schema" : "https://github.com/citation-style-language/schema/raw/master/csl-citation.json" }</w:instrText>
      </w:r>
      <w:r>
        <w:fldChar w:fldCharType="separate"/>
      </w:r>
      <w:r w:rsidRPr="00D009E5">
        <w:rPr>
          <w:noProof/>
        </w:rPr>
        <w:t xml:space="preserve">Meier et al., </w:t>
      </w:r>
      <w:r>
        <w:rPr>
          <w:noProof/>
        </w:rPr>
        <w:t>(</w:t>
      </w:r>
      <w:r w:rsidRPr="00D009E5">
        <w:rPr>
          <w:noProof/>
        </w:rPr>
        <w:t>2005)</w:t>
      </w:r>
      <w:r>
        <w:fldChar w:fldCharType="end"/>
      </w:r>
      <w:r>
        <w:t xml:space="preserve"> concluded that the cost of heliostats would have to fall to below 100 $/m</w:t>
      </w:r>
      <w:r>
        <w:rPr>
          <w:vertAlign w:val="superscript"/>
        </w:rPr>
        <w:t>2</w:t>
      </w:r>
      <w:r>
        <w:t xml:space="preserve"> for NPV to be positive i.e. for the proposed capital investment required to replace fossil-fuels with the beam down solar concentrations system for lime production to be commercially viable. However, this great cost reduction coupled with the already optimistic assumptions of extremely high solar radiation availability and extra high value of lime produced was a found to be practically too difficult to realise so solar-heated lime production has not proved commercially viable yet. As discussed, the specifications of the solar-heated lime production were relatively more optimistic than the envisaged solar-heated glass production, so the results of a similar analysis for the latter, would also likely to conclude that the solar-heated process is uncompetitive compared to the equivalent fossil fuelled process. Therefore, for this analysis, we again consider the investment to be relative to Day Tanks </w:t>
      </w:r>
      <w:r w:rsidR="00415170">
        <w:t xml:space="preserve">and </w:t>
      </w:r>
      <w:r>
        <w:t xml:space="preserve">not to conventional continuously operated glass furnace. Accordingly, for the calculation of solar-heated glass production, the present value of investment is simply equal to the total capital cost of the solar power systems because this is assumed to be invested at the beginning of the project. The present value of the future profits (annual fuel savings minus the running cost of the solar power system) are discounted at a rate of 15% per annum over the assumed 25 years life of the solar power system as Meier et al (2005). The </w:t>
      </w:r>
      <w:r w:rsidRPr="00A775C8">
        <w:rPr>
          <w:i/>
        </w:rPr>
        <w:t>Internal Rate of Return</w:t>
      </w:r>
      <w:r>
        <w:t xml:space="preserve"> (</w:t>
      </w:r>
      <w:r w:rsidRPr="00A775C8">
        <w:rPr>
          <w:i/>
        </w:rPr>
        <w:t>IRR</w:t>
      </w:r>
      <w:r>
        <w:t xml:space="preserve">) was also calculated for the scale-up scenarios, defined as the discount rate at which NPV=0. Finally, the assumed unit price of fuel </w:t>
      </w:r>
      <w:r>
        <w:lastRenderedPageBreak/>
        <w:t xml:space="preserve">was varied to find the minimum value in dollar per barrel of oil required for the solar-heated glass melting investment to become viable i.e. at which </w:t>
      </w:r>
      <w:r w:rsidRPr="00F52EC2">
        <w:rPr>
          <w:i/>
        </w:rPr>
        <w:t>NPV</w:t>
      </w:r>
      <w:r>
        <w:t xml:space="preserve">=0 for </w:t>
      </w:r>
      <w:r w:rsidRPr="00F52EC2">
        <w:rPr>
          <w:i/>
        </w:rPr>
        <w:t>i</w:t>
      </w:r>
      <w:r>
        <w:t>=15%.</w:t>
      </w:r>
    </w:p>
    <w:p w14:paraId="293E10B0" w14:textId="77777777" w:rsidR="00452FE4" w:rsidRDefault="00452FE4" w:rsidP="00EA4BBA">
      <w:pPr>
        <w:pStyle w:val="Caption"/>
        <w:keepNext/>
      </w:pPr>
      <w:bookmarkStart w:id="248" w:name="_Ref451210616"/>
      <w:r>
        <w:t xml:space="preserve">Table </w:t>
      </w:r>
      <w:r w:rsidR="00A47317">
        <w:fldChar w:fldCharType="begin"/>
      </w:r>
      <w:r w:rsidR="00A47317">
        <w:instrText xml:space="preserve"> SEQ Table \* ARABIC </w:instrText>
      </w:r>
      <w:r w:rsidR="00A47317">
        <w:fldChar w:fldCharType="separate"/>
      </w:r>
      <w:r w:rsidR="00486837">
        <w:rPr>
          <w:noProof/>
        </w:rPr>
        <w:t>8</w:t>
      </w:r>
      <w:r w:rsidR="00A47317">
        <w:rPr>
          <w:noProof/>
        </w:rPr>
        <w:fldChar w:fldCharType="end"/>
      </w:r>
      <w:bookmarkEnd w:id="248"/>
      <w:r>
        <w:t xml:space="preserve">: </w:t>
      </w:r>
      <w:r w:rsidRPr="00EF75CE">
        <w:t>Parameters involved in the calculations to estimate the size of solar concentrating systems required to power a solar-heated glass melting furnace.</w:t>
      </w:r>
    </w:p>
    <w:tbl>
      <w:tblPr>
        <w:tblStyle w:val="TableGrid"/>
        <w:tblW w:w="8634" w:type="dxa"/>
        <w:jc w:val="center"/>
        <w:tblLayout w:type="fixed"/>
        <w:tblLook w:val="04A0" w:firstRow="1" w:lastRow="0" w:firstColumn="1" w:lastColumn="0" w:noHBand="0" w:noVBand="1"/>
      </w:tblPr>
      <w:tblGrid>
        <w:gridCol w:w="3028"/>
        <w:gridCol w:w="1078"/>
        <w:gridCol w:w="897"/>
        <w:gridCol w:w="1131"/>
        <w:gridCol w:w="2500"/>
      </w:tblGrid>
      <w:tr w:rsidR="00452FE4" w:rsidRPr="00333A58" w14:paraId="127235E1" w14:textId="77777777" w:rsidTr="00F52EC2">
        <w:trPr>
          <w:jc w:val="center"/>
        </w:trPr>
        <w:tc>
          <w:tcPr>
            <w:tcW w:w="3028" w:type="dxa"/>
            <w:vAlign w:val="center"/>
          </w:tcPr>
          <w:p w14:paraId="4D12EAD5" w14:textId="77777777" w:rsidR="00452FE4" w:rsidRPr="00333A58" w:rsidRDefault="00452FE4" w:rsidP="0066206C">
            <w:pPr>
              <w:pStyle w:val="Subtitle"/>
              <w:rPr>
                <w:rStyle w:val="SubtleEmphasis"/>
                <w:sz w:val="20"/>
              </w:rPr>
            </w:pPr>
            <w:r w:rsidRPr="00333A58">
              <w:rPr>
                <w:rStyle w:val="SubtleEmphasis"/>
                <w:sz w:val="20"/>
              </w:rPr>
              <w:t>Parameter</w:t>
            </w:r>
          </w:p>
        </w:tc>
        <w:tc>
          <w:tcPr>
            <w:tcW w:w="1078" w:type="dxa"/>
            <w:vAlign w:val="center"/>
          </w:tcPr>
          <w:p w14:paraId="69C7BE60" w14:textId="77777777" w:rsidR="00452FE4" w:rsidRPr="00333A58" w:rsidRDefault="00452FE4" w:rsidP="0066206C">
            <w:pPr>
              <w:pStyle w:val="Subtitle"/>
              <w:rPr>
                <w:rStyle w:val="SubtleEmphasis"/>
                <w:sz w:val="20"/>
              </w:rPr>
            </w:pPr>
            <w:r w:rsidRPr="00333A58">
              <w:rPr>
                <w:rStyle w:val="SubtleEmphasis"/>
                <w:sz w:val="20"/>
              </w:rPr>
              <w:t>Symbol</w:t>
            </w:r>
          </w:p>
        </w:tc>
        <w:tc>
          <w:tcPr>
            <w:tcW w:w="897" w:type="dxa"/>
            <w:vAlign w:val="center"/>
          </w:tcPr>
          <w:p w14:paraId="2EDF5047" w14:textId="77777777" w:rsidR="00452FE4" w:rsidRPr="00333A58" w:rsidRDefault="00452FE4" w:rsidP="0066206C">
            <w:pPr>
              <w:pStyle w:val="Subtitle"/>
              <w:rPr>
                <w:rStyle w:val="SubtleEmphasis"/>
                <w:sz w:val="20"/>
              </w:rPr>
            </w:pPr>
            <w:r w:rsidRPr="00333A58">
              <w:rPr>
                <w:rStyle w:val="SubtleEmphasis"/>
                <w:sz w:val="20"/>
              </w:rPr>
              <w:t>Value</w:t>
            </w:r>
          </w:p>
        </w:tc>
        <w:tc>
          <w:tcPr>
            <w:tcW w:w="1131" w:type="dxa"/>
            <w:vAlign w:val="center"/>
          </w:tcPr>
          <w:p w14:paraId="481780BF" w14:textId="77777777" w:rsidR="00452FE4" w:rsidRPr="00333A58" w:rsidRDefault="00452FE4" w:rsidP="0066206C">
            <w:pPr>
              <w:pStyle w:val="Subtitle"/>
              <w:rPr>
                <w:rStyle w:val="SubtleEmphasis"/>
                <w:sz w:val="20"/>
              </w:rPr>
            </w:pPr>
            <w:r>
              <w:rPr>
                <w:rStyle w:val="SubtleEmphasis"/>
                <w:sz w:val="20"/>
              </w:rPr>
              <w:t>Unit</w:t>
            </w:r>
          </w:p>
        </w:tc>
        <w:tc>
          <w:tcPr>
            <w:tcW w:w="2500" w:type="dxa"/>
            <w:vAlign w:val="center"/>
          </w:tcPr>
          <w:p w14:paraId="48B2E7C4" w14:textId="77777777" w:rsidR="00452FE4" w:rsidRPr="00333A58" w:rsidRDefault="00452FE4" w:rsidP="0066206C">
            <w:pPr>
              <w:pStyle w:val="Subtitle"/>
              <w:rPr>
                <w:rStyle w:val="SubtleEmphasis"/>
                <w:sz w:val="20"/>
              </w:rPr>
            </w:pPr>
            <w:r w:rsidRPr="00333A58">
              <w:rPr>
                <w:rStyle w:val="SubtleEmphasis"/>
                <w:sz w:val="20"/>
              </w:rPr>
              <w:t>Source</w:t>
            </w:r>
          </w:p>
        </w:tc>
      </w:tr>
      <w:tr w:rsidR="00452FE4" w:rsidRPr="00333A58" w14:paraId="21432215" w14:textId="77777777" w:rsidTr="00F52EC2">
        <w:trPr>
          <w:jc w:val="center"/>
        </w:trPr>
        <w:tc>
          <w:tcPr>
            <w:tcW w:w="3028" w:type="dxa"/>
            <w:vAlign w:val="center"/>
          </w:tcPr>
          <w:p w14:paraId="4289ACE3" w14:textId="77777777" w:rsidR="00452FE4" w:rsidRPr="00333A58" w:rsidRDefault="00452FE4" w:rsidP="0066206C">
            <w:pPr>
              <w:pStyle w:val="Subtitle"/>
              <w:rPr>
                <w:rStyle w:val="SubtleEmphasis"/>
                <w:sz w:val="20"/>
              </w:rPr>
            </w:pPr>
            <w:r>
              <w:rPr>
                <w:rStyle w:val="SubtleEmphasis"/>
                <w:sz w:val="20"/>
              </w:rPr>
              <w:t>Experimental g</w:t>
            </w:r>
            <w:r w:rsidRPr="00333A58">
              <w:rPr>
                <w:rStyle w:val="SubtleEmphasis"/>
                <w:sz w:val="20"/>
              </w:rPr>
              <w:t>lass melting rate</w:t>
            </w:r>
            <w:r>
              <w:rPr>
                <w:rStyle w:val="SubtleEmphasis"/>
                <w:sz w:val="20"/>
              </w:rPr>
              <w:t xml:space="preserve"> using simulated beam</w:t>
            </w:r>
          </w:p>
        </w:tc>
        <w:tc>
          <w:tcPr>
            <w:tcW w:w="1078" w:type="dxa"/>
            <w:vAlign w:val="center"/>
          </w:tcPr>
          <w:p w14:paraId="36BA6A7D"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acc>
                      <m:accPr>
                        <m:chr m:val="̇"/>
                        <m:ctrlPr>
                          <w:rPr>
                            <w:rStyle w:val="SubtleEmphasis"/>
                            <w:rFonts w:ascii="Cambria Math" w:hAnsi="Cambria Math"/>
                            <w:sz w:val="20"/>
                          </w:rPr>
                        </m:ctrlPr>
                      </m:accPr>
                      <m:e>
                        <m:r>
                          <w:rPr>
                            <w:rStyle w:val="SubtleEmphasis"/>
                            <w:rFonts w:ascii="Cambria Math" w:hAnsi="Cambria Math"/>
                            <w:sz w:val="20"/>
                          </w:rPr>
                          <m:t>m</m:t>
                        </m:r>
                      </m:e>
                    </m:acc>
                  </m:e>
                  <m:sub>
                    <m:r>
                      <w:rPr>
                        <w:rStyle w:val="SubtleEmphasis"/>
                        <w:rFonts w:ascii="Cambria Math" w:hAnsi="Cambria Math"/>
                        <w:sz w:val="20"/>
                      </w:rPr>
                      <m:t xml:space="preserve">sim </m:t>
                    </m:r>
                  </m:sub>
                </m:sSub>
              </m:oMath>
            </m:oMathPara>
          </w:p>
        </w:tc>
        <w:tc>
          <w:tcPr>
            <w:tcW w:w="897" w:type="dxa"/>
            <w:vAlign w:val="center"/>
          </w:tcPr>
          <w:p w14:paraId="28941813" w14:textId="77777777" w:rsidR="00452FE4" w:rsidRPr="00333A58" w:rsidRDefault="00452FE4" w:rsidP="0066206C">
            <w:pPr>
              <w:pStyle w:val="Subtitle"/>
              <w:rPr>
                <w:rStyle w:val="SubtleEmphasis"/>
                <w:sz w:val="20"/>
              </w:rPr>
            </w:pPr>
            <w:r w:rsidRPr="00333A58">
              <w:rPr>
                <w:rStyle w:val="SubtleEmphasis"/>
                <w:sz w:val="20"/>
              </w:rPr>
              <w:t xml:space="preserve">0.251 </w:t>
            </w:r>
          </w:p>
        </w:tc>
        <w:tc>
          <w:tcPr>
            <w:tcW w:w="1131" w:type="dxa"/>
            <w:vAlign w:val="center"/>
          </w:tcPr>
          <w:p w14:paraId="546C6280" w14:textId="77777777" w:rsidR="00452FE4" w:rsidRPr="00333A58" w:rsidRDefault="00452FE4" w:rsidP="0066206C">
            <w:pPr>
              <w:pStyle w:val="Subtitle"/>
              <w:rPr>
                <w:rStyle w:val="SubtleEmphasis"/>
                <w:sz w:val="20"/>
              </w:rPr>
            </w:pPr>
            <w:r w:rsidRPr="00333A58">
              <w:rPr>
                <w:rStyle w:val="SubtleEmphasis"/>
                <w:sz w:val="20"/>
              </w:rPr>
              <w:t>g/s</w:t>
            </w:r>
          </w:p>
        </w:tc>
        <w:tc>
          <w:tcPr>
            <w:tcW w:w="2500" w:type="dxa"/>
            <w:vAlign w:val="center"/>
          </w:tcPr>
          <w:p w14:paraId="5D0B9AEB" w14:textId="77777777" w:rsidR="00452FE4" w:rsidRPr="00333A58" w:rsidRDefault="00452FE4" w:rsidP="0066206C">
            <w:pPr>
              <w:pStyle w:val="Subtitle"/>
              <w:rPr>
                <w:rStyle w:val="SubtleEmphasis"/>
                <w:sz w:val="20"/>
              </w:rPr>
            </w:pPr>
            <w:r w:rsidRPr="00333A58">
              <w:rPr>
                <w:rStyle w:val="SubtleEmphasis"/>
                <w:sz w:val="20"/>
              </w:rPr>
              <w:t xml:space="preserve">Experiment D4 </w:t>
            </w:r>
          </w:p>
        </w:tc>
      </w:tr>
      <w:tr w:rsidR="00452FE4" w:rsidRPr="00333A58" w14:paraId="266D784F" w14:textId="77777777" w:rsidTr="00F52EC2">
        <w:trPr>
          <w:jc w:val="center"/>
        </w:trPr>
        <w:tc>
          <w:tcPr>
            <w:tcW w:w="3028" w:type="dxa"/>
            <w:vAlign w:val="center"/>
          </w:tcPr>
          <w:p w14:paraId="277F4B02" w14:textId="77777777" w:rsidR="00452FE4" w:rsidRDefault="00452FE4" w:rsidP="0066206C">
            <w:pPr>
              <w:pStyle w:val="Subtitle"/>
              <w:rPr>
                <w:rStyle w:val="SubtleEmphasis"/>
                <w:sz w:val="20"/>
              </w:rPr>
            </w:pPr>
            <w:r>
              <w:rPr>
                <w:rStyle w:val="SubtleEmphasis"/>
                <w:sz w:val="20"/>
              </w:rPr>
              <w:t>Intensity of simulated beam at inlet aperture during experiment.</w:t>
            </w:r>
          </w:p>
        </w:tc>
        <w:tc>
          <w:tcPr>
            <w:tcW w:w="1078" w:type="dxa"/>
            <w:vAlign w:val="center"/>
          </w:tcPr>
          <w:p w14:paraId="596D5B39" w14:textId="77777777" w:rsidR="00452FE4" w:rsidRPr="00404E12" w:rsidRDefault="00A47317" w:rsidP="0066206C">
            <w:pPr>
              <w:pStyle w:val="Subtitle"/>
              <w:rPr>
                <w:rStyle w:val="SubtleEmphasis"/>
                <w:rFonts w:eastAsia="Times New Roman"/>
                <w:sz w:val="20"/>
              </w:rPr>
            </w:pPr>
            <m:oMathPara>
              <m:oMath>
                <m:sSub>
                  <m:sSubPr>
                    <m:ctrlPr>
                      <w:rPr>
                        <w:rFonts w:ascii="Cambria Math" w:hAnsi="Cambria Math"/>
                        <w:i/>
                      </w:rPr>
                    </m:ctrlPr>
                  </m:sSubPr>
                  <m:e>
                    <m:r>
                      <w:rPr>
                        <w:rFonts w:ascii="Cambria Math" w:hAnsi="Cambria Math"/>
                      </w:rPr>
                      <m:t>q</m:t>
                    </m:r>
                  </m:e>
                  <m:sub>
                    <m:r>
                      <w:rPr>
                        <w:rFonts w:ascii="Cambria Math" w:hAnsi="Cambria Math"/>
                      </w:rPr>
                      <m:t>sim</m:t>
                    </m:r>
                  </m:sub>
                </m:sSub>
              </m:oMath>
            </m:oMathPara>
          </w:p>
        </w:tc>
        <w:tc>
          <w:tcPr>
            <w:tcW w:w="897" w:type="dxa"/>
            <w:vAlign w:val="center"/>
          </w:tcPr>
          <w:p w14:paraId="53518F32" w14:textId="77777777" w:rsidR="00452FE4" w:rsidRPr="00323F42" w:rsidRDefault="00452FE4" w:rsidP="0066206C">
            <w:pPr>
              <w:pStyle w:val="Subtitle"/>
              <w:rPr>
                <w:rStyle w:val="SubtleEmphasis"/>
                <w:sz w:val="20"/>
                <w:vertAlign w:val="superscript"/>
              </w:rPr>
            </w:pPr>
            <w:r w:rsidRPr="00403AC3">
              <w:rPr>
                <w:rStyle w:val="SubtleEmphasis"/>
                <w:sz w:val="20"/>
              </w:rPr>
              <w:t>1.86E+06</w:t>
            </w:r>
          </w:p>
        </w:tc>
        <w:tc>
          <w:tcPr>
            <w:tcW w:w="1131" w:type="dxa"/>
            <w:vAlign w:val="center"/>
          </w:tcPr>
          <w:p w14:paraId="7AEF43CF" w14:textId="77777777" w:rsidR="00452FE4" w:rsidRPr="00333A58" w:rsidRDefault="00452FE4" w:rsidP="0066206C">
            <w:pPr>
              <w:pStyle w:val="Subtitle"/>
              <w:rPr>
                <w:rStyle w:val="SubtleEmphasis"/>
                <w:sz w:val="20"/>
              </w:rPr>
            </w:pPr>
            <w:r>
              <w:rPr>
                <w:rStyle w:val="SubtleEmphasis"/>
                <w:sz w:val="20"/>
              </w:rPr>
              <w:t>W/m</w:t>
            </w:r>
            <w:r>
              <w:rPr>
                <w:rStyle w:val="SubtleEmphasis"/>
                <w:sz w:val="20"/>
                <w:vertAlign w:val="superscript"/>
              </w:rPr>
              <w:t>2</w:t>
            </w:r>
          </w:p>
        </w:tc>
        <w:tc>
          <w:tcPr>
            <w:tcW w:w="2500" w:type="dxa"/>
            <w:vAlign w:val="center"/>
          </w:tcPr>
          <w:p w14:paraId="48094373" w14:textId="77777777" w:rsidR="00452FE4" w:rsidRPr="00333A58" w:rsidRDefault="00452FE4" w:rsidP="0066206C">
            <w:pPr>
              <w:pStyle w:val="Subtitle"/>
              <w:rPr>
                <w:rStyle w:val="SubtleEmphasis"/>
                <w:sz w:val="20"/>
              </w:rPr>
            </w:pPr>
            <w:r w:rsidRPr="00333A58">
              <w:rPr>
                <w:rStyle w:val="SubtleEmphasis"/>
                <w:sz w:val="20"/>
              </w:rPr>
              <w:t xml:space="preserve">Experiment D4 </w:t>
            </w:r>
          </w:p>
        </w:tc>
      </w:tr>
      <w:tr w:rsidR="00452FE4" w:rsidRPr="00333A58" w14:paraId="2B7E1BC6" w14:textId="77777777" w:rsidTr="00F52EC2">
        <w:trPr>
          <w:jc w:val="center"/>
        </w:trPr>
        <w:tc>
          <w:tcPr>
            <w:tcW w:w="3028" w:type="dxa"/>
            <w:vAlign w:val="center"/>
          </w:tcPr>
          <w:p w14:paraId="50AD26E5" w14:textId="77777777" w:rsidR="00452FE4" w:rsidRDefault="00452FE4" w:rsidP="0066206C">
            <w:pPr>
              <w:pStyle w:val="Subtitle"/>
              <w:rPr>
                <w:rStyle w:val="SubtleEmphasis"/>
                <w:sz w:val="20"/>
              </w:rPr>
            </w:pPr>
            <w:r>
              <w:rPr>
                <w:rStyle w:val="SubtleEmphasis"/>
                <w:sz w:val="20"/>
              </w:rPr>
              <w:t>Solar concentration ratio</w:t>
            </w:r>
          </w:p>
        </w:tc>
        <w:tc>
          <w:tcPr>
            <w:tcW w:w="1078" w:type="dxa"/>
            <w:vAlign w:val="center"/>
          </w:tcPr>
          <w:p w14:paraId="1DBA01E0" w14:textId="77777777" w:rsidR="00452FE4" w:rsidRPr="00F52EC2" w:rsidRDefault="00452FE4" w:rsidP="0066206C">
            <w:pPr>
              <w:pStyle w:val="Subtitle"/>
              <w:rPr>
                <w:rFonts w:eastAsia="Times New Roman"/>
                <w:i/>
              </w:rPr>
            </w:pPr>
            <w:r w:rsidRPr="00F52EC2">
              <w:rPr>
                <w:rFonts w:eastAsia="Times New Roman"/>
                <w:i/>
              </w:rPr>
              <w:t>C</w:t>
            </w:r>
          </w:p>
        </w:tc>
        <w:tc>
          <w:tcPr>
            <w:tcW w:w="897" w:type="dxa"/>
            <w:vAlign w:val="center"/>
          </w:tcPr>
          <w:p w14:paraId="03E6AA52" w14:textId="77777777" w:rsidR="00452FE4" w:rsidRDefault="00452FE4" w:rsidP="0066206C">
            <w:pPr>
              <w:pStyle w:val="Subtitle"/>
              <w:rPr>
                <w:rStyle w:val="SubtleEmphasis"/>
                <w:sz w:val="20"/>
              </w:rPr>
            </w:pPr>
            <w:r>
              <w:rPr>
                <w:rStyle w:val="SubtleEmphasis"/>
                <w:sz w:val="20"/>
              </w:rPr>
              <w:t>2000</w:t>
            </w:r>
          </w:p>
        </w:tc>
        <w:tc>
          <w:tcPr>
            <w:tcW w:w="1131" w:type="dxa"/>
            <w:vAlign w:val="center"/>
          </w:tcPr>
          <w:p w14:paraId="4320CB41" w14:textId="77777777" w:rsidR="00452FE4" w:rsidRDefault="00452FE4" w:rsidP="0066206C">
            <w:pPr>
              <w:pStyle w:val="Subtitle"/>
              <w:rPr>
                <w:rStyle w:val="SubtleEmphasis"/>
                <w:sz w:val="20"/>
              </w:rPr>
            </w:pPr>
          </w:p>
        </w:tc>
        <w:tc>
          <w:tcPr>
            <w:tcW w:w="2500" w:type="dxa"/>
            <w:vAlign w:val="center"/>
          </w:tcPr>
          <w:p w14:paraId="5C2250AE" w14:textId="27734AA1" w:rsidR="00452FE4" w:rsidRPr="00333A58" w:rsidRDefault="00452FE4" w:rsidP="0066206C">
            <w:pPr>
              <w:pStyle w:val="Subtitle"/>
              <w:rPr>
                <w:rStyle w:val="SubtleEmphasis"/>
                <w:sz w:val="20"/>
              </w:rPr>
            </w:pPr>
            <w:r>
              <w:fldChar w:fldCharType="begin" w:fldLock="1"/>
            </w:r>
            <w:r w:rsidR="00875DEE">
              <w:instrText>ADDIN CSL_CITATION { "citationItems" : [ { "id" : "ITEM-1", "itemData" : { "author" : [ { "dropping-particle" : "", "family" : "Winston", "given" : "Roland", "non-dropping-particle" : "", "parse-names" : false, "suffix" : "" }, { "dropping-particle" : "", "family" : "Welford", "given" : "W. T.", "non-dropping-particle" : "", "parse-names" : false, "suffix" : "" }, { "dropping-particle" : "", "family" : "Beni\u0301tez", "given" : "Pablo", "non-dropping-particle" : "", "parse-names" : false, "suffix" : "" }, { "dropping-particle" : "", "family" : "Min\u0303ano", "given" : "Juan C.", "non-dropping-particle" : "", "parse-names" : false, "suffix" : "" } ], "id" : "ITEM-1", "issued" : { "date-parts" : [ [ "2005" ] ] }, "publisher" : "Academic Press", "publisher-place" : "Burlington, Mass", "title" : "Nonimaging Optics", "type" : "book" }, "uris" : [ "http://www.mendeley.com/documents/?uuid=1f26b3de-dd3b-484e-a268-aa957f0c9938" ] } ], "mendeley" : { "formattedCitation" : "(Winston et al. 2005)", "manualFormatting" : "(Winston et al., 2005)", "plainTextFormattedCitation" : "(Winston et al. 2005)", "previouslyFormattedCitation" : "(Winston et al. 2005)" }, "properties" : { "noteIndex" : 0 }, "schema" : "https://github.com/citation-style-language/schema/raw/master/csl-citation.json" }</w:instrText>
            </w:r>
            <w:r>
              <w:fldChar w:fldCharType="separate"/>
            </w:r>
            <w:r>
              <w:rPr>
                <w:noProof/>
              </w:rPr>
              <w:t xml:space="preserve">(Winston et al., </w:t>
            </w:r>
            <w:r w:rsidRPr="007C26EB">
              <w:rPr>
                <w:noProof/>
              </w:rPr>
              <w:t>2005)</w:t>
            </w:r>
            <w:r>
              <w:fldChar w:fldCharType="end"/>
            </w:r>
          </w:p>
        </w:tc>
      </w:tr>
      <w:tr w:rsidR="00452FE4" w:rsidRPr="00333A58" w14:paraId="3BB80DD8" w14:textId="77777777" w:rsidTr="00F52EC2">
        <w:trPr>
          <w:jc w:val="center"/>
        </w:trPr>
        <w:tc>
          <w:tcPr>
            <w:tcW w:w="3028" w:type="dxa"/>
            <w:vAlign w:val="center"/>
          </w:tcPr>
          <w:p w14:paraId="1FFC3860" w14:textId="77777777" w:rsidR="00452FE4" w:rsidRPr="00333A58" w:rsidRDefault="00452FE4" w:rsidP="0066206C">
            <w:pPr>
              <w:pStyle w:val="Subtitle"/>
              <w:rPr>
                <w:rStyle w:val="SubtleEmphasis"/>
                <w:sz w:val="20"/>
              </w:rPr>
            </w:pPr>
            <w:r w:rsidRPr="00333A58">
              <w:rPr>
                <w:rStyle w:val="SubtleEmphasis"/>
                <w:sz w:val="20"/>
              </w:rPr>
              <w:t>Solar-heated glass melting efficiency</w:t>
            </w:r>
          </w:p>
        </w:tc>
        <w:tc>
          <w:tcPr>
            <w:tcW w:w="1078" w:type="dxa"/>
            <w:vAlign w:val="center"/>
          </w:tcPr>
          <w:p w14:paraId="2A0B6C41"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r>
                      <w:rPr>
                        <w:rStyle w:val="SubtleEmphasis"/>
                        <w:rFonts w:ascii="Cambria Math" w:hAnsi="Cambria Math"/>
                        <w:sz w:val="20"/>
                      </w:rPr>
                      <m:t>η</m:t>
                    </m:r>
                  </m:e>
                  <m:sub>
                    <m:r>
                      <w:rPr>
                        <w:rStyle w:val="SubtleEmphasis"/>
                        <w:rFonts w:ascii="Cambria Math" w:hAnsi="Cambria Math"/>
                        <w:sz w:val="20"/>
                      </w:rPr>
                      <m:t>gf</m:t>
                    </m:r>
                  </m:sub>
                </m:sSub>
              </m:oMath>
            </m:oMathPara>
          </w:p>
        </w:tc>
        <w:tc>
          <w:tcPr>
            <w:tcW w:w="897" w:type="dxa"/>
            <w:vAlign w:val="center"/>
          </w:tcPr>
          <w:p w14:paraId="1344C7FE" w14:textId="77777777" w:rsidR="00452FE4" w:rsidRPr="00333A58" w:rsidRDefault="00452FE4" w:rsidP="0066206C">
            <w:pPr>
              <w:pStyle w:val="Subtitle"/>
              <w:rPr>
                <w:rStyle w:val="SubtleEmphasis"/>
                <w:sz w:val="20"/>
              </w:rPr>
            </w:pPr>
            <w:r>
              <w:rPr>
                <w:rStyle w:val="SubtleEmphasis"/>
                <w:sz w:val="20"/>
              </w:rPr>
              <w:t>16</w:t>
            </w:r>
            <w:r w:rsidRPr="00333A58">
              <w:rPr>
                <w:rStyle w:val="SubtleEmphasis"/>
                <w:sz w:val="20"/>
              </w:rPr>
              <w:t xml:space="preserve"> </w:t>
            </w:r>
          </w:p>
        </w:tc>
        <w:tc>
          <w:tcPr>
            <w:tcW w:w="1131" w:type="dxa"/>
            <w:vAlign w:val="center"/>
          </w:tcPr>
          <w:p w14:paraId="50B90E99" w14:textId="77777777" w:rsidR="00452FE4" w:rsidRPr="00333A58" w:rsidRDefault="00452FE4" w:rsidP="0066206C">
            <w:pPr>
              <w:pStyle w:val="Subtitle"/>
              <w:rPr>
                <w:rStyle w:val="SubtleEmphasis"/>
                <w:sz w:val="20"/>
              </w:rPr>
            </w:pPr>
            <w:r w:rsidRPr="00333A58">
              <w:rPr>
                <w:rStyle w:val="SubtleEmphasis"/>
                <w:sz w:val="20"/>
              </w:rPr>
              <w:t>%</w:t>
            </w:r>
          </w:p>
        </w:tc>
        <w:tc>
          <w:tcPr>
            <w:tcW w:w="2500" w:type="dxa"/>
            <w:vAlign w:val="center"/>
          </w:tcPr>
          <w:p w14:paraId="6671EDAE" w14:textId="77777777" w:rsidR="00452FE4" w:rsidRPr="00333A58" w:rsidRDefault="00452FE4" w:rsidP="0066206C">
            <w:pPr>
              <w:pStyle w:val="Subtitle"/>
              <w:rPr>
                <w:rStyle w:val="SubtleEmphasis"/>
                <w:sz w:val="20"/>
              </w:rPr>
            </w:pPr>
            <w:r w:rsidRPr="00333A58">
              <w:rPr>
                <w:rStyle w:val="SubtleEmphasis"/>
                <w:sz w:val="20"/>
              </w:rPr>
              <w:t xml:space="preserve">Experiment D4 </w:t>
            </w:r>
          </w:p>
        </w:tc>
      </w:tr>
      <w:tr w:rsidR="00452FE4" w:rsidRPr="00333A58" w14:paraId="06E53F95" w14:textId="77777777" w:rsidTr="00F52EC2">
        <w:trPr>
          <w:jc w:val="center"/>
        </w:trPr>
        <w:tc>
          <w:tcPr>
            <w:tcW w:w="3028" w:type="dxa"/>
            <w:vAlign w:val="center"/>
          </w:tcPr>
          <w:p w14:paraId="1EF7E4F2" w14:textId="77777777" w:rsidR="00452FE4" w:rsidRPr="00333A58" w:rsidRDefault="00452FE4" w:rsidP="0066206C">
            <w:pPr>
              <w:pStyle w:val="Subtitle"/>
              <w:rPr>
                <w:rStyle w:val="SubtleEmphasis"/>
                <w:sz w:val="20"/>
              </w:rPr>
            </w:pPr>
            <w:r w:rsidRPr="00333A58">
              <w:rPr>
                <w:rStyle w:val="SubtleEmphasis"/>
                <w:sz w:val="20"/>
              </w:rPr>
              <w:t>Average operating solar insolation</w:t>
            </w:r>
          </w:p>
        </w:tc>
        <w:tc>
          <w:tcPr>
            <w:tcW w:w="1078" w:type="dxa"/>
            <w:vAlign w:val="center"/>
          </w:tcPr>
          <w:p w14:paraId="2716EAB6" w14:textId="77777777" w:rsidR="00452FE4" w:rsidRPr="00333A58" w:rsidRDefault="00A47317" w:rsidP="0066206C">
            <w:pPr>
              <w:pStyle w:val="Subtitle"/>
              <w:rPr>
                <w:rStyle w:val="SubtleEmphasis"/>
                <w:rFonts w:ascii="Calibri" w:hAnsi="Calibri"/>
                <w:sz w:val="20"/>
              </w:rPr>
            </w:pPr>
            <m:oMathPara>
              <m:oMath>
                <m:sSubSup>
                  <m:sSubSupPr>
                    <m:ctrlPr>
                      <w:rPr>
                        <w:rFonts w:ascii="Cambria Math" w:hAnsi="Cambria Math"/>
                      </w:rPr>
                    </m:ctrlPr>
                  </m:sSubSupPr>
                  <m:e>
                    <m:r>
                      <w:rPr>
                        <w:rFonts w:ascii="Cambria Math" w:hAnsi="Cambria Math"/>
                      </w:rPr>
                      <m:t>q</m:t>
                    </m:r>
                  </m:e>
                  <m:sub>
                    <m:r>
                      <w:rPr>
                        <w:rFonts w:ascii="Cambria Math" w:hAnsi="Cambria Math"/>
                      </w:rPr>
                      <m:t>sol</m:t>
                    </m:r>
                  </m:sub>
                  <m:sup>
                    <m:r>
                      <w:rPr>
                        <w:rFonts w:ascii="Cambria Math" w:hAnsi="Cambria Math"/>
                      </w:rPr>
                      <m:t>yr</m:t>
                    </m:r>
                  </m:sup>
                </m:sSubSup>
              </m:oMath>
            </m:oMathPara>
          </w:p>
        </w:tc>
        <w:tc>
          <w:tcPr>
            <w:tcW w:w="897" w:type="dxa"/>
            <w:vAlign w:val="center"/>
          </w:tcPr>
          <w:p w14:paraId="353716F1" w14:textId="77777777" w:rsidR="00452FE4" w:rsidRPr="00333A58" w:rsidRDefault="00452FE4" w:rsidP="0066206C">
            <w:pPr>
              <w:pStyle w:val="Subtitle"/>
              <w:rPr>
                <w:rStyle w:val="SubtleEmphasis"/>
                <w:sz w:val="20"/>
              </w:rPr>
            </w:pPr>
            <w:r w:rsidRPr="00333A58">
              <w:rPr>
                <w:rStyle w:val="SubtleEmphasis"/>
                <w:sz w:val="20"/>
              </w:rPr>
              <w:t xml:space="preserve">2133 </w:t>
            </w:r>
          </w:p>
        </w:tc>
        <w:tc>
          <w:tcPr>
            <w:tcW w:w="1131" w:type="dxa"/>
            <w:vAlign w:val="center"/>
          </w:tcPr>
          <w:p w14:paraId="1D77F8B0" w14:textId="48043AA4" w:rsidR="00452FE4" w:rsidRPr="00CF615B" w:rsidRDefault="00A47317" w:rsidP="00CF615B">
            <w:pPr>
              <w:pStyle w:val="Subtitle"/>
              <w:rPr>
                <w:rStyle w:val="SubtleEmphasis"/>
                <w:sz w:val="20"/>
              </w:rPr>
            </w:pPr>
            <m:oMathPara>
              <m:oMath>
                <m:f>
                  <m:fPr>
                    <m:type m:val="lin"/>
                    <m:ctrlPr>
                      <w:rPr>
                        <w:rFonts w:ascii="Cambria Math" w:hAnsi="Cambria Math"/>
                        <w:sz w:val="18"/>
                      </w:rPr>
                    </m:ctrlPr>
                  </m:fPr>
                  <m:num>
                    <m:r>
                      <m:rPr>
                        <m:sty m:val="p"/>
                      </m:rPr>
                      <w:rPr>
                        <w:rFonts w:ascii="Cambria Math" w:hAnsi="Cambria Math"/>
                        <w:sz w:val="18"/>
                      </w:rPr>
                      <m:t>kWh</m:t>
                    </m:r>
                  </m:num>
                  <m:den>
                    <m:sSup>
                      <m:sSupPr>
                        <m:ctrlPr>
                          <w:rPr>
                            <w:rFonts w:ascii="Cambria Math" w:hAnsi="Cambria Math"/>
                            <w:sz w:val="18"/>
                          </w:rPr>
                        </m:ctrlPr>
                      </m:sSupPr>
                      <m:e>
                        <m:r>
                          <m:rPr>
                            <m:sty m:val="p"/>
                          </m:rPr>
                          <w:rPr>
                            <w:rFonts w:ascii="Cambria Math" w:hAnsi="Cambria Math"/>
                            <w:sz w:val="18"/>
                          </w:rPr>
                          <m:t>m</m:t>
                        </m:r>
                      </m:e>
                      <m:sup>
                        <m:r>
                          <m:rPr>
                            <m:sty m:val="p"/>
                          </m:rPr>
                          <w:rPr>
                            <w:rFonts w:ascii="Cambria Math" w:hAnsi="Cambria Math"/>
                            <w:sz w:val="18"/>
                          </w:rPr>
                          <m:t>2</m:t>
                        </m:r>
                      </m:sup>
                    </m:sSup>
                    <m:r>
                      <m:rPr>
                        <m:sty m:val="p"/>
                      </m:rPr>
                      <w:rPr>
                        <w:rFonts w:ascii="Cambria Math" w:hAnsi="Cambria Math"/>
                        <w:sz w:val="18"/>
                      </w:rPr>
                      <m:t>y</m:t>
                    </m:r>
                  </m:den>
                </m:f>
              </m:oMath>
            </m:oMathPara>
          </w:p>
        </w:tc>
        <w:tc>
          <w:tcPr>
            <w:tcW w:w="2500" w:type="dxa"/>
            <w:vAlign w:val="center"/>
          </w:tcPr>
          <w:p w14:paraId="1E8C4950" w14:textId="08598B28"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4943F76B" w14:textId="77777777" w:rsidTr="00F52EC2">
        <w:trPr>
          <w:jc w:val="center"/>
        </w:trPr>
        <w:tc>
          <w:tcPr>
            <w:tcW w:w="3028" w:type="dxa"/>
            <w:vAlign w:val="center"/>
          </w:tcPr>
          <w:p w14:paraId="23C4EF7A" w14:textId="77777777" w:rsidR="00452FE4" w:rsidRPr="00333A58" w:rsidRDefault="00452FE4" w:rsidP="0066206C">
            <w:pPr>
              <w:pStyle w:val="Subtitle"/>
              <w:rPr>
                <w:rStyle w:val="SubtleEmphasis"/>
                <w:sz w:val="20"/>
              </w:rPr>
            </w:pPr>
            <w:r w:rsidRPr="00333A58">
              <w:rPr>
                <w:rStyle w:val="SubtleEmphasis"/>
                <w:sz w:val="20"/>
              </w:rPr>
              <w:t>Number of operating days per year</w:t>
            </w:r>
          </w:p>
        </w:tc>
        <w:tc>
          <w:tcPr>
            <w:tcW w:w="1078" w:type="dxa"/>
            <w:vAlign w:val="center"/>
          </w:tcPr>
          <w:p w14:paraId="5523E593" w14:textId="77777777" w:rsidR="00452FE4" w:rsidRPr="00333A58" w:rsidRDefault="00A47317" w:rsidP="0066206C">
            <w:pPr>
              <w:pStyle w:val="Subtitle"/>
              <w:rPr>
                <w:rStyle w:val="SubtleEmphasis"/>
                <w:sz w:val="20"/>
              </w:rPr>
            </w:pPr>
            <m:oMathPara>
              <m:oMath>
                <m:sSubSup>
                  <m:sSubSupPr>
                    <m:ctrlPr>
                      <w:rPr>
                        <w:rStyle w:val="SubtleEmphasis"/>
                        <w:rFonts w:ascii="Cambria Math" w:hAnsi="Cambria Math"/>
                        <w:i/>
                        <w:sz w:val="20"/>
                      </w:rPr>
                    </m:ctrlPr>
                  </m:sSubSupPr>
                  <m:e>
                    <m:r>
                      <w:rPr>
                        <w:rStyle w:val="SubtleEmphasis"/>
                        <w:rFonts w:ascii="Cambria Math" w:hAnsi="Cambria Math"/>
                        <w:sz w:val="20"/>
                      </w:rPr>
                      <m:t>D</m:t>
                    </m:r>
                  </m:e>
                  <m:sub>
                    <m:r>
                      <w:rPr>
                        <w:rStyle w:val="SubtleEmphasis"/>
                        <w:rFonts w:ascii="Cambria Math" w:hAnsi="Cambria Math"/>
                        <w:sz w:val="20"/>
                      </w:rPr>
                      <m:t>op</m:t>
                    </m:r>
                  </m:sub>
                  <m:sup>
                    <m:r>
                      <w:rPr>
                        <w:rStyle w:val="SubtleEmphasis"/>
                        <w:rFonts w:ascii="Cambria Math" w:hAnsi="Cambria Math"/>
                        <w:sz w:val="20"/>
                      </w:rPr>
                      <m:t>yr</m:t>
                    </m:r>
                  </m:sup>
                </m:sSubSup>
              </m:oMath>
            </m:oMathPara>
          </w:p>
        </w:tc>
        <w:tc>
          <w:tcPr>
            <w:tcW w:w="897" w:type="dxa"/>
            <w:vAlign w:val="center"/>
          </w:tcPr>
          <w:p w14:paraId="5D2B1277" w14:textId="77777777" w:rsidR="00452FE4" w:rsidRPr="00333A58" w:rsidRDefault="00452FE4" w:rsidP="0066206C">
            <w:pPr>
              <w:pStyle w:val="Subtitle"/>
              <w:rPr>
                <w:rStyle w:val="SubtleEmphasis"/>
                <w:sz w:val="20"/>
              </w:rPr>
            </w:pPr>
            <w:r w:rsidRPr="00333A58">
              <w:rPr>
                <w:rStyle w:val="SubtleEmphasis"/>
                <w:sz w:val="20"/>
              </w:rPr>
              <w:t xml:space="preserve">358 </w:t>
            </w:r>
          </w:p>
        </w:tc>
        <w:tc>
          <w:tcPr>
            <w:tcW w:w="1131" w:type="dxa"/>
            <w:vAlign w:val="center"/>
          </w:tcPr>
          <w:p w14:paraId="587045CE" w14:textId="77777777" w:rsidR="00452FE4" w:rsidRPr="00333A58" w:rsidRDefault="00452FE4" w:rsidP="0066206C">
            <w:pPr>
              <w:pStyle w:val="Subtitle"/>
              <w:rPr>
                <w:rStyle w:val="SubtleEmphasis"/>
                <w:sz w:val="20"/>
              </w:rPr>
            </w:pPr>
            <w:r w:rsidRPr="00333A58">
              <w:rPr>
                <w:rStyle w:val="SubtleEmphasis"/>
                <w:sz w:val="20"/>
              </w:rPr>
              <w:t>d/</w:t>
            </w:r>
            <w:r>
              <w:rPr>
                <w:rStyle w:val="SubtleEmphasis"/>
                <w:sz w:val="20"/>
              </w:rPr>
              <w:t>y</w:t>
            </w:r>
          </w:p>
        </w:tc>
        <w:tc>
          <w:tcPr>
            <w:tcW w:w="2500" w:type="dxa"/>
            <w:vAlign w:val="center"/>
          </w:tcPr>
          <w:p w14:paraId="6632E339" w14:textId="27FE27A0"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6FB8725F" w14:textId="77777777" w:rsidTr="00F52EC2">
        <w:trPr>
          <w:jc w:val="center"/>
        </w:trPr>
        <w:tc>
          <w:tcPr>
            <w:tcW w:w="3028" w:type="dxa"/>
            <w:vAlign w:val="center"/>
          </w:tcPr>
          <w:p w14:paraId="4F77AB6C" w14:textId="77777777" w:rsidR="00452FE4" w:rsidRPr="00333A58" w:rsidRDefault="00452FE4" w:rsidP="0066206C">
            <w:pPr>
              <w:pStyle w:val="Subtitle"/>
              <w:rPr>
                <w:rStyle w:val="SubtleEmphasis"/>
                <w:sz w:val="20"/>
              </w:rPr>
            </w:pPr>
            <w:r w:rsidRPr="00333A58">
              <w:rPr>
                <w:rStyle w:val="SubtleEmphasis"/>
                <w:sz w:val="20"/>
              </w:rPr>
              <w:t>Minimum solar insolation threshold</w:t>
            </w:r>
          </w:p>
        </w:tc>
        <w:tc>
          <w:tcPr>
            <w:tcW w:w="1078" w:type="dxa"/>
            <w:vAlign w:val="center"/>
          </w:tcPr>
          <w:p w14:paraId="3CF8291F"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r>
                      <w:rPr>
                        <w:rStyle w:val="SubtleEmphasis"/>
                        <w:rFonts w:ascii="Cambria Math" w:hAnsi="Cambria Math"/>
                        <w:sz w:val="20"/>
                      </w:rPr>
                      <m:t>I</m:t>
                    </m:r>
                  </m:e>
                  <m:sub>
                    <m:r>
                      <w:rPr>
                        <w:rStyle w:val="SubtleEmphasis"/>
                        <w:rFonts w:ascii="Cambria Math" w:hAnsi="Cambria Math"/>
                        <w:sz w:val="20"/>
                      </w:rPr>
                      <m:t>min</m:t>
                    </m:r>
                  </m:sub>
                </m:sSub>
              </m:oMath>
            </m:oMathPara>
          </w:p>
        </w:tc>
        <w:tc>
          <w:tcPr>
            <w:tcW w:w="897" w:type="dxa"/>
            <w:vAlign w:val="center"/>
          </w:tcPr>
          <w:p w14:paraId="174E70C4" w14:textId="77777777" w:rsidR="00452FE4" w:rsidRPr="00323F42" w:rsidRDefault="00452FE4" w:rsidP="0066206C">
            <w:pPr>
              <w:pStyle w:val="Subtitle"/>
              <w:rPr>
                <w:rStyle w:val="SubtleEmphasis"/>
                <w:sz w:val="20"/>
                <w:vertAlign w:val="superscript"/>
              </w:rPr>
            </w:pPr>
            <w:r>
              <w:rPr>
                <w:rStyle w:val="SubtleEmphasis"/>
                <w:sz w:val="20"/>
              </w:rPr>
              <w:t xml:space="preserve">500 </w:t>
            </w:r>
          </w:p>
        </w:tc>
        <w:tc>
          <w:tcPr>
            <w:tcW w:w="1131" w:type="dxa"/>
            <w:vAlign w:val="center"/>
          </w:tcPr>
          <w:p w14:paraId="3748D543" w14:textId="77777777" w:rsidR="00452FE4" w:rsidRPr="00333A58" w:rsidRDefault="00452FE4" w:rsidP="0066206C">
            <w:pPr>
              <w:pStyle w:val="Subtitle"/>
              <w:rPr>
                <w:rStyle w:val="SubtleEmphasis"/>
                <w:sz w:val="20"/>
              </w:rPr>
            </w:pPr>
            <w:r>
              <w:rPr>
                <w:rStyle w:val="SubtleEmphasis"/>
                <w:sz w:val="20"/>
              </w:rPr>
              <w:t>w/m</w:t>
            </w:r>
            <w:r>
              <w:rPr>
                <w:rStyle w:val="SubtleEmphasis"/>
                <w:sz w:val="20"/>
                <w:vertAlign w:val="superscript"/>
              </w:rPr>
              <w:t>2</w:t>
            </w:r>
          </w:p>
        </w:tc>
        <w:tc>
          <w:tcPr>
            <w:tcW w:w="2500" w:type="dxa"/>
            <w:vAlign w:val="center"/>
          </w:tcPr>
          <w:p w14:paraId="002A3ED0" w14:textId="616DBBA2"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46BAFC7E" w14:textId="77777777" w:rsidTr="00F52EC2">
        <w:trPr>
          <w:jc w:val="center"/>
        </w:trPr>
        <w:tc>
          <w:tcPr>
            <w:tcW w:w="3028" w:type="dxa"/>
            <w:vAlign w:val="center"/>
          </w:tcPr>
          <w:p w14:paraId="1208AB4A" w14:textId="77777777" w:rsidR="00452FE4" w:rsidRPr="00333A58" w:rsidRDefault="00452FE4" w:rsidP="0066206C">
            <w:pPr>
              <w:pStyle w:val="Subtitle"/>
              <w:rPr>
                <w:rStyle w:val="SubtleEmphasis"/>
                <w:sz w:val="20"/>
              </w:rPr>
            </w:pPr>
            <w:r w:rsidRPr="00333A58">
              <w:rPr>
                <w:rStyle w:val="SubtleEmphasis"/>
                <w:sz w:val="20"/>
              </w:rPr>
              <w:t>Theoretical energy of batch to glass conversion</w:t>
            </w:r>
          </w:p>
        </w:tc>
        <w:tc>
          <w:tcPr>
            <w:tcW w:w="1078" w:type="dxa"/>
            <w:vAlign w:val="center"/>
          </w:tcPr>
          <w:p w14:paraId="719FF2A6" w14:textId="77777777" w:rsidR="00452FE4" w:rsidRPr="00333A58" w:rsidRDefault="00452FE4" w:rsidP="0066206C">
            <w:pPr>
              <w:pStyle w:val="Subtitle"/>
              <w:rPr>
                <w:rStyle w:val="SubtleEmphasis"/>
                <w:rFonts w:ascii="Calibri" w:hAnsi="Calibri"/>
                <w:sz w:val="20"/>
              </w:rPr>
            </w:pPr>
            <m:oMathPara>
              <m:oMath>
                <m:r>
                  <w:rPr>
                    <w:rStyle w:val="SubtleEmphasis"/>
                    <w:rFonts w:ascii="Cambria Math" w:hAnsi="Cambria Math"/>
                    <w:sz w:val="20"/>
                  </w:rPr>
                  <m:t>γ</m:t>
                </m:r>
              </m:oMath>
            </m:oMathPara>
          </w:p>
        </w:tc>
        <w:tc>
          <w:tcPr>
            <w:tcW w:w="897" w:type="dxa"/>
            <w:vAlign w:val="center"/>
          </w:tcPr>
          <w:p w14:paraId="202CB00F" w14:textId="77777777" w:rsidR="00452FE4" w:rsidRPr="00333A58" w:rsidRDefault="00452FE4" w:rsidP="0066206C">
            <w:pPr>
              <w:pStyle w:val="Subtitle"/>
              <w:rPr>
                <w:rStyle w:val="SubtleEmphasis"/>
                <w:sz w:val="20"/>
              </w:rPr>
            </w:pPr>
            <w:r w:rsidRPr="00333A58">
              <w:rPr>
                <w:rStyle w:val="SubtleEmphasis"/>
                <w:sz w:val="20"/>
              </w:rPr>
              <w:t xml:space="preserve">2671 </w:t>
            </w:r>
          </w:p>
        </w:tc>
        <w:tc>
          <w:tcPr>
            <w:tcW w:w="1131" w:type="dxa"/>
            <w:vAlign w:val="center"/>
          </w:tcPr>
          <w:p w14:paraId="6D6AFCB3" w14:textId="77777777" w:rsidR="00452FE4" w:rsidRPr="00333A58" w:rsidRDefault="00452FE4" w:rsidP="0066206C">
            <w:pPr>
              <w:pStyle w:val="Subtitle"/>
              <w:rPr>
                <w:rStyle w:val="SubtleEmphasis"/>
                <w:sz w:val="20"/>
              </w:rPr>
            </w:pPr>
            <w:r w:rsidRPr="00333A58">
              <w:rPr>
                <w:rStyle w:val="SubtleEmphasis"/>
                <w:sz w:val="20"/>
              </w:rPr>
              <w:t>J/g</w:t>
            </w:r>
          </w:p>
        </w:tc>
        <w:tc>
          <w:tcPr>
            <w:tcW w:w="2500" w:type="dxa"/>
            <w:vAlign w:val="center"/>
          </w:tcPr>
          <w:p w14:paraId="3C6D4348" w14:textId="07ABC5BF"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"author" : [ { "dropping-particle" : "", "family" : "Trier", "given" : "Wolfgang", "non-dropping-particle" : "", "parse-names" : false, "suffix" : "" } ], "chapter-number" : "5", "container-title" : "Glass Furnace: Design Construction and Operation", "id" : "ITEM-1", "issued" : { "date-parts" : [ [ "1987" ] ] }, "page" : "80", "publisher" : "Society of Glass Technology", "publisher-place" : "Sheffield", "title" : "Heat consumption", "type" : "chapter" }, "uris" : [ "http://www.mendeley.com/documents/?uuid=e566a87c-b43d-4880-8c5e-67114fe13bc2" ] } ], "mendeley" : { "formattedCitation" : "(Trier 1987b)", "plainTextFormattedCitation" : "(Trier 1987b)", "previouslyFormattedCitation" : "(Trier 1987b)"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(Trier 1987b)</w:t>
            </w:r>
            <w:r w:rsidRPr="00333A58">
              <w:rPr>
                <w:rStyle w:val="SubtleEmphasis"/>
                <w:sz w:val="20"/>
              </w:rPr>
              <w:fldChar w:fldCharType="end"/>
            </w:r>
          </w:p>
        </w:tc>
      </w:tr>
      <w:tr w:rsidR="00452FE4" w:rsidRPr="00333A58" w14:paraId="381EBE3D" w14:textId="77777777" w:rsidTr="00F52EC2">
        <w:trPr>
          <w:jc w:val="center"/>
        </w:trPr>
        <w:tc>
          <w:tcPr>
            <w:tcW w:w="3028" w:type="dxa"/>
            <w:vAlign w:val="center"/>
          </w:tcPr>
          <w:p w14:paraId="0E7557BA" w14:textId="77777777" w:rsidR="00452FE4" w:rsidRPr="00333A58" w:rsidRDefault="00452FE4" w:rsidP="0066206C">
            <w:pPr>
              <w:pStyle w:val="Subtitle"/>
              <w:rPr>
                <w:rStyle w:val="SubtleEmphasis"/>
                <w:sz w:val="20"/>
              </w:rPr>
            </w:pPr>
            <w:r>
              <w:rPr>
                <w:rStyle w:val="SubtleEmphasis"/>
                <w:sz w:val="20"/>
              </w:rPr>
              <w:t>Overall e</w:t>
            </w:r>
            <w:r w:rsidRPr="00333A58">
              <w:rPr>
                <w:rStyle w:val="SubtleEmphasis"/>
                <w:sz w:val="20"/>
              </w:rPr>
              <w:t>fficiency of solar concentrating system</w:t>
            </w:r>
          </w:p>
        </w:tc>
        <w:tc>
          <w:tcPr>
            <w:tcW w:w="1078" w:type="dxa"/>
            <w:vAlign w:val="center"/>
          </w:tcPr>
          <w:p w14:paraId="46B327E7" w14:textId="77777777" w:rsidR="00452FE4" w:rsidRPr="00333A58" w:rsidRDefault="00A47317" w:rsidP="0066206C">
            <w:pPr>
              <w:pStyle w:val="Subtitle"/>
              <w:rPr>
                <w:rStyle w:val="SubtleEmphasis"/>
                <w:rFonts w:ascii="Calibri" w:hAnsi="Calibri"/>
                <w:sz w:val="20"/>
              </w:rPr>
            </w:pPr>
            <m:oMathPara>
              <m:oMath>
                <m:sSub>
                  <m:sSubPr>
                    <m:ctrlPr>
                      <w:rPr>
                        <w:rFonts w:ascii="Cambria Math" w:hAnsi="Cambria Math"/>
                      </w:rPr>
                    </m:ctrlPr>
                  </m:sSubPr>
                  <m:e>
                    <m:r>
                      <w:rPr>
                        <w:rFonts w:ascii="Cambria Math" w:hAnsi="Cambria Math"/>
                      </w:rPr>
                      <m:t>η</m:t>
                    </m:r>
                  </m:e>
                  <m:sub>
                    <m:r>
                      <w:rPr>
                        <w:rFonts w:ascii="Cambria Math" w:hAnsi="Cambria Math"/>
                      </w:rPr>
                      <m:t>solar</m:t>
                    </m:r>
                    <m:r>
                      <m:rPr>
                        <m:sty m:val="p"/>
                      </m:rPr>
                      <w:rPr>
                        <w:rFonts w:ascii="Cambria Math" w:hAnsi="Cambria Math"/>
                      </w:rPr>
                      <m:t xml:space="preserve"> </m:t>
                    </m:r>
                    <m:r>
                      <w:rPr>
                        <w:rFonts w:ascii="Cambria Math" w:hAnsi="Cambria Math"/>
                      </w:rPr>
                      <m:t>conc</m:t>
                    </m:r>
                  </m:sub>
                </m:sSub>
              </m:oMath>
            </m:oMathPara>
          </w:p>
        </w:tc>
        <w:tc>
          <w:tcPr>
            <w:tcW w:w="897" w:type="dxa"/>
            <w:vAlign w:val="center"/>
          </w:tcPr>
          <w:p w14:paraId="620E9EA2" w14:textId="77777777" w:rsidR="00452FE4" w:rsidRPr="00333A58" w:rsidRDefault="00452FE4" w:rsidP="0066206C">
            <w:pPr>
              <w:pStyle w:val="Subtitle"/>
              <w:rPr>
                <w:rStyle w:val="SubtleEmphasis"/>
                <w:sz w:val="20"/>
              </w:rPr>
            </w:pPr>
            <w:r w:rsidRPr="00333A58">
              <w:rPr>
                <w:rStyle w:val="SubtleEmphasis"/>
                <w:sz w:val="20"/>
              </w:rPr>
              <w:t>52</w:t>
            </w:r>
          </w:p>
        </w:tc>
        <w:tc>
          <w:tcPr>
            <w:tcW w:w="1131" w:type="dxa"/>
            <w:vAlign w:val="center"/>
          </w:tcPr>
          <w:p w14:paraId="65E8A542" w14:textId="77777777" w:rsidR="00452FE4" w:rsidRPr="00333A58" w:rsidRDefault="00452FE4" w:rsidP="0066206C">
            <w:pPr>
              <w:pStyle w:val="Subtitle"/>
              <w:rPr>
                <w:rStyle w:val="SubtleEmphasis"/>
                <w:sz w:val="20"/>
              </w:rPr>
            </w:pPr>
            <w:r w:rsidRPr="00333A58">
              <w:rPr>
                <w:rStyle w:val="SubtleEmphasis"/>
                <w:sz w:val="20"/>
              </w:rPr>
              <w:t>%</w:t>
            </w:r>
          </w:p>
        </w:tc>
        <w:tc>
          <w:tcPr>
            <w:tcW w:w="2500" w:type="dxa"/>
            <w:vAlign w:val="center"/>
          </w:tcPr>
          <w:p w14:paraId="2918D136" w14:textId="30CFB7DD"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4D840F41" w14:textId="77777777" w:rsidTr="00F52EC2">
        <w:trPr>
          <w:jc w:val="center"/>
        </w:trPr>
        <w:tc>
          <w:tcPr>
            <w:tcW w:w="3028" w:type="dxa"/>
            <w:vAlign w:val="center"/>
          </w:tcPr>
          <w:p w14:paraId="0E74F7CA" w14:textId="77777777" w:rsidR="00452FE4" w:rsidRPr="00333A58" w:rsidRDefault="00452FE4" w:rsidP="0066206C">
            <w:pPr>
              <w:pStyle w:val="Subtitle"/>
              <w:rPr>
                <w:rStyle w:val="SubtleEmphasis"/>
                <w:sz w:val="20"/>
              </w:rPr>
            </w:pPr>
            <w:r w:rsidRPr="00333A58">
              <w:rPr>
                <w:rStyle w:val="SubtleEmphasis"/>
                <w:sz w:val="20"/>
              </w:rPr>
              <w:t>Availability of heliostat mirrors</w:t>
            </w:r>
          </w:p>
        </w:tc>
        <w:tc>
          <w:tcPr>
            <w:tcW w:w="1078" w:type="dxa"/>
            <w:vAlign w:val="center"/>
          </w:tcPr>
          <w:p w14:paraId="3852BAC1"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r>
                      <m:rPr>
                        <m:sty m:val="p"/>
                      </m:rPr>
                      <w:rPr>
                        <w:rStyle w:val="SubtleEmphasis"/>
                        <w:rFonts w:ascii="Cambria Math" w:hAnsi="Cambria Math"/>
                        <w:sz w:val="20"/>
                      </w:rPr>
                      <m:t>α</m:t>
                    </m:r>
                  </m:e>
                  <m:sub>
                    <m:r>
                      <w:rPr>
                        <w:rStyle w:val="SubtleEmphasis"/>
                        <w:rFonts w:ascii="Cambria Math" w:hAnsi="Cambria Math"/>
                        <w:sz w:val="20"/>
                      </w:rPr>
                      <m:t>heliostats</m:t>
                    </m:r>
                  </m:sub>
                </m:sSub>
              </m:oMath>
            </m:oMathPara>
          </w:p>
        </w:tc>
        <w:tc>
          <w:tcPr>
            <w:tcW w:w="897" w:type="dxa"/>
            <w:vAlign w:val="center"/>
          </w:tcPr>
          <w:p w14:paraId="58D344B2" w14:textId="77777777" w:rsidR="00452FE4" w:rsidRPr="00333A58" w:rsidRDefault="00452FE4" w:rsidP="0066206C">
            <w:pPr>
              <w:pStyle w:val="Subtitle"/>
              <w:rPr>
                <w:rStyle w:val="SubtleEmphasis"/>
                <w:sz w:val="20"/>
              </w:rPr>
            </w:pPr>
            <w:r w:rsidRPr="00333A58">
              <w:rPr>
                <w:rStyle w:val="SubtleEmphasis"/>
                <w:sz w:val="20"/>
              </w:rPr>
              <w:t>98.3</w:t>
            </w:r>
          </w:p>
        </w:tc>
        <w:tc>
          <w:tcPr>
            <w:tcW w:w="1131" w:type="dxa"/>
            <w:vAlign w:val="center"/>
          </w:tcPr>
          <w:p w14:paraId="3BFF3E8D" w14:textId="77777777" w:rsidR="00452FE4" w:rsidRPr="00333A58" w:rsidRDefault="00452FE4" w:rsidP="0066206C">
            <w:pPr>
              <w:pStyle w:val="Subtitle"/>
              <w:rPr>
                <w:rStyle w:val="SubtleEmphasis"/>
                <w:sz w:val="20"/>
              </w:rPr>
            </w:pPr>
            <w:r w:rsidRPr="00333A58">
              <w:rPr>
                <w:rStyle w:val="SubtleEmphasis"/>
                <w:sz w:val="20"/>
              </w:rPr>
              <w:t>%</w:t>
            </w:r>
          </w:p>
        </w:tc>
        <w:tc>
          <w:tcPr>
            <w:tcW w:w="2500" w:type="dxa"/>
            <w:vAlign w:val="center"/>
          </w:tcPr>
          <w:p w14:paraId="4A0F718D" w14:textId="1097F7B4"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1C5CE0A3" w14:textId="77777777" w:rsidTr="00F52EC2">
        <w:trPr>
          <w:jc w:val="center"/>
        </w:trPr>
        <w:tc>
          <w:tcPr>
            <w:tcW w:w="3028" w:type="dxa"/>
            <w:vAlign w:val="center"/>
          </w:tcPr>
          <w:p w14:paraId="5E4A1311" w14:textId="77777777" w:rsidR="00452FE4" w:rsidRPr="00333A58" w:rsidRDefault="00452FE4" w:rsidP="0066206C">
            <w:pPr>
              <w:pStyle w:val="Subtitle"/>
              <w:rPr>
                <w:rStyle w:val="SubtleEmphasis"/>
                <w:sz w:val="20"/>
              </w:rPr>
            </w:pPr>
            <w:r w:rsidRPr="00333A58">
              <w:t>Fraction of land covered by heliostat mirrors</w:t>
            </w:r>
          </w:p>
        </w:tc>
        <w:tc>
          <w:tcPr>
            <w:tcW w:w="1078" w:type="dxa"/>
            <w:vAlign w:val="center"/>
          </w:tcPr>
          <w:p w14:paraId="5ACA66F0" w14:textId="77777777" w:rsidR="00452FE4" w:rsidRPr="00333A58" w:rsidRDefault="00A47317" w:rsidP="0066206C">
            <w:pPr>
              <w:pStyle w:val="Subtitle"/>
              <w:rPr>
                <w:rStyle w:val="SubtleEmphasis"/>
                <w:rFonts w:ascii="Calibri" w:hAnsi="Calibri"/>
                <w:sz w:val="20"/>
              </w:rPr>
            </w:pPr>
            <m:oMathPara>
              <m:oMath>
                <m:sSub>
                  <m:sSubPr>
                    <m:ctrlPr>
                      <w:rPr>
                        <w:rFonts w:ascii="Cambria Math" w:hAnsi="Cambria Math"/>
                      </w:rPr>
                    </m:ctrlPr>
                  </m:sSubPr>
                  <m:e>
                    <m:r>
                      <w:rPr>
                        <w:rFonts w:ascii="Cambria Math" w:hAnsi="Cambria Math"/>
                      </w:rPr>
                      <m:t>η</m:t>
                    </m:r>
                  </m:e>
                  <m:sub>
                    <m:r>
                      <w:rPr>
                        <w:rFonts w:ascii="Cambria Math" w:hAnsi="Cambria Math"/>
                      </w:rPr>
                      <m:t>land</m:t>
                    </m:r>
                  </m:sub>
                </m:sSub>
              </m:oMath>
            </m:oMathPara>
          </w:p>
        </w:tc>
        <w:tc>
          <w:tcPr>
            <w:tcW w:w="897" w:type="dxa"/>
            <w:vAlign w:val="center"/>
          </w:tcPr>
          <w:p w14:paraId="21DBF761" w14:textId="77777777" w:rsidR="00452FE4" w:rsidRPr="00333A58" w:rsidRDefault="00452FE4" w:rsidP="0066206C">
            <w:pPr>
              <w:pStyle w:val="Subtitle"/>
              <w:rPr>
                <w:rStyle w:val="SubtleEmphasis"/>
                <w:sz w:val="20"/>
              </w:rPr>
            </w:pPr>
            <w:r w:rsidRPr="00333A58">
              <w:rPr>
                <w:rStyle w:val="SubtleEmphasis"/>
                <w:sz w:val="20"/>
              </w:rPr>
              <w:t xml:space="preserve">35 </w:t>
            </w:r>
          </w:p>
        </w:tc>
        <w:tc>
          <w:tcPr>
            <w:tcW w:w="1131" w:type="dxa"/>
            <w:vAlign w:val="center"/>
          </w:tcPr>
          <w:p w14:paraId="0EAE1730" w14:textId="77777777" w:rsidR="00452FE4" w:rsidRPr="00333A58" w:rsidRDefault="00452FE4" w:rsidP="0066206C">
            <w:pPr>
              <w:pStyle w:val="Subtitle"/>
              <w:rPr>
                <w:rStyle w:val="SubtleEmphasis"/>
                <w:sz w:val="20"/>
              </w:rPr>
            </w:pPr>
            <w:r w:rsidRPr="00333A58">
              <w:rPr>
                <w:rStyle w:val="SubtleEmphasis"/>
                <w:sz w:val="20"/>
              </w:rPr>
              <w:t>%</w:t>
            </w:r>
          </w:p>
        </w:tc>
        <w:tc>
          <w:tcPr>
            <w:tcW w:w="2500" w:type="dxa"/>
            <w:vAlign w:val="center"/>
          </w:tcPr>
          <w:p w14:paraId="47BC42D6" w14:textId="2994984E"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0F0ACD63" w14:textId="77777777" w:rsidTr="00F52EC2">
        <w:trPr>
          <w:jc w:val="center"/>
        </w:trPr>
        <w:tc>
          <w:tcPr>
            <w:tcW w:w="3028" w:type="dxa"/>
            <w:vAlign w:val="center"/>
          </w:tcPr>
          <w:p w14:paraId="32229F56" w14:textId="77777777" w:rsidR="00452FE4" w:rsidRPr="00333A58" w:rsidRDefault="00452FE4" w:rsidP="0066206C">
            <w:pPr>
              <w:pStyle w:val="Subtitle"/>
              <w:rPr>
                <w:rStyle w:val="SubtleEmphasis"/>
                <w:sz w:val="20"/>
              </w:rPr>
            </w:pPr>
            <w:r w:rsidRPr="00333A58">
              <w:rPr>
                <w:rStyle w:val="SubtleEmphasis"/>
                <w:sz w:val="20"/>
              </w:rPr>
              <w:t>Number of operating hours per year</w:t>
            </w:r>
          </w:p>
        </w:tc>
        <w:tc>
          <w:tcPr>
            <w:tcW w:w="1078" w:type="dxa"/>
            <w:vAlign w:val="center"/>
          </w:tcPr>
          <w:p w14:paraId="75478313" w14:textId="77777777" w:rsidR="00452FE4" w:rsidRPr="00333A58" w:rsidRDefault="00A47317" w:rsidP="0066206C">
            <w:pPr>
              <w:pStyle w:val="Subtitle"/>
              <w:rPr>
                <w:rStyle w:val="SubtleEmphasis"/>
                <w:sz w:val="20"/>
              </w:rPr>
            </w:pPr>
            <m:oMathPara>
              <m:oMath>
                <m:sSubSup>
                  <m:sSubSupPr>
                    <m:ctrlPr>
                      <w:rPr>
                        <w:rStyle w:val="SubtleEmphasis"/>
                        <w:rFonts w:ascii="Cambria Math" w:hAnsi="Cambria Math"/>
                        <w:sz w:val="20"/>
                      </w:rPr>
                    </m:ctrlPr>
                  </m:sSubSupPr>
                  <m:e>
                    <m:r>
                      <w:rPr>
                        <w:rStyle w:val="SubtleEmphasis"/>
                        <w:rFonts w:ascii="Cambria Math" w:hAnsi="Cambria Math"/>
                        <w:sz w:val="20"/>
                      </w:rPr>
                      <m:t xml:space="preserve">H </m:t>
                    </m:r>
                  </m:e>
                  <m:sub>
                    <m:r>
                      <w:rPr>
                        <w:rStyle w:val="SubtleEmphasis"/>
                        <w:rFonts w:ascii="Cambria Math" w:hAnsi="Cambria Math"/>
                        <w:sz w:val="20"/>
                      </w:rPr>
                      <m:t>op</m:t>
                    </m:r>
                  </m:sub>
                  <m:sup>
                    <m:r>
                      <w:rPr>
                        <w:rStyle w:val="SubtleEmphasis"/>
                        <w:rFonts w:ascii="Cambria Math" w:hAnsi="Cambria Math"/>
                        <w:sz w:val="20"/>
                      </w:rPr>
                      <m:t>yr</m:t>
                    </m:r>
                  </m:sup>
                </m:sSubSup>
              </m:oMath>
            </m:oMathPara>
          </w:p>
        </w:tc>
        <w:tc>
          <w:tcPr>
            <w:tcW w:w="897" w:type="dxa"/>
            <w:vAlign w:val="center"/>
          </w:tcPr>
          <w:p w14:paraId="537C7220" w14:textId="77777777" w:rsidR="00452FE4" w:rsidRPr="00333A58" w:rsidRDefault="00452FE4" w:rsidP="0066206C">
            <w:pPr>
              <w:pStyle w:val="Subtitle"/>
              <w:rPr>
                <w:rStyle w:val="SubtleEmphasis"/>
                <w:sz w:val="20"/>
              </w:rPr>
            </w:pPr>
            <w:r w:rsidRPr="00333A58">
              <w:rPr>
                <w:rStyle w:val="SubtleEmphasis"/>
                <w:sz w:val="20"/>
              </w:rPr>
              <w:t>2677</w:t>
            </w:r>
          </w:p>
        </w:tc>
        <w:tc>
          <w:tcPr>
            <w:tcW w:w="1131" w:type="dxa"/>
            <w:vAlign w:val="center"/>
          </w:tcPr>
          <w:p w14:paraId="68332A23" w14:textId="77777777" w:rsidR="00452FE4" w:rsidRPr="00333A58" w:rsidRDefault="00452FE4" w:rsidP="0066206C">
            <w:pPr>
              <w:pStyle w:val="Subtitle"/>
              <w:rPr>
                <w:rStyle w:val="SubtleEmphasis"/>
                <w:sz w:val="20"/>
              </w:rPr>
            </w:pPr>
            <w:r w:rsidRPr="00333A58">
              <w:rPr>
                <w:rStyle w:val="SubtleEmphasis"/>
                <w:sz w:val="20"/>
              </w:rPr>
              <w:t>h/</w:t>
            </w:r>
            <w:r>
              <w:rPr>
                <w:rStyle w:val="SubtleEmphasis"/>
                <w:sz w:val="20"/>
              </w:rPr>
              <w:t>y</w:t>
            </w:r>
          </w:p>
        </w:tc>
        <w:tc>
          <w:tcPr>
            <w:tcW w:w="2500" w:type="dxa"/>
            <w:vAlign w:val="center"/>
          </w:tcPr>
          <w:p w14:paraId="0DE46BDE" w14:textId="054197D7" w:rsidR="00452FE4" w:rsidRPr="00333A58" w:rsidRDefault="00452FE4" w:rsidP="0066206C">
            <w:pPr>
              <w:pStyle w:val="Subtitle"/>
              <w:rPr>
                <w:rStyle w:val="SubtleEmphasis"/>
                <w:sz w:val="20"/>
              </w:rPr>
            </w:pPr>
            <w:r w:rsidRPr="00333A58">
              <w:rPr>
                <w:rStyle w:val="SubtleEmphasis"/>
                <w:sz w:val="20"/>
              </w:rPr>
              <w:fldChar w:fldCharType="begin" w:fldLock="1"/>
            </w:r>
            <w:r w:rsidR="00875DEE">
              <w:rPr>
                <w:rStyle w:val="SubtleEmphasis"/>
                <w:sz w:val="20"/>
              </w:rPr>
              <w:instrText>ADDIN CSL_CITATION { "citationItems" : [ { "id" : "ITEM-1", "itemData" : { "DOI" : "10.1016/j.enconman.2004.06.005", "ISSN" : "01968904", "abstract" : "The use of concentrated solar energy in place of fossil fuels for driving the endothermic calcination reaction CaCO3\u2192CaO+CO2 at above 1300 K has the potential of reducing CO2 emissions by 20% in a state-of-the-art lime plant and up to 40% in a conventional cement plant. An economic assessment for an industrial solar calcination plant with 25 MWth solar input indicates that the cost of solar produced lime ranges between 128 and 157 $/t, about twice the current selling price of conventional lime. The solar production of high purity lime for special sectors in the chemical and pharmaceutical industry might be competitive with conventional fossil fuel based calcination processes at current fuel prices.", "author" : [ { "dropping-particle" : "", "family" : "Meier", "given" : "Anton", "non-dropping-particle" : "", "parse-names" : false, "suffix" : "" }, { "dropping-particle" : "", "family" : "Gremaud", "given" : "Nicolas", "non-dropping-particle" : "", "parse-names" : false, "suffix" : "" }, { "dropping-particle" : "", "family" : "Steinfeld", "given" : "Aldo", "non-dropping-particle" : "", "parse-names" : false, "suffix" : "" } ], "container-title" : "Energy Conversion and Management", "id" : "ITEM-1", "issue" : "6", "issued" : { "date-parts" : [ [ "2005", "4" ] ] }, "page" : "905-926", "title" : "Economic evaluation of the industrial solar production of lime", "type" : "article-journal", "volume" : "46" }, "uris" : [ "http://www.mendeley.com/documents/?uuid=c65be710-61f1-48d6-b7be-f79db1a341b8" ] } ], "mendeley" : { "formattedCitation" : "(Meier et al. 2005)", "plainTextFormattedCitation" : "(Meier et al. 2005)", "previouslyFormattedCitation" : "(Meier et al. 2005)" }, "properties" : { "noteIndex" : 0 }, "schema" : "https://github.com/citation-style-language/schema/raw/master/csl-citation.json" }</w:instrText>
            </w:r>
            <w:r w:rsidRPr="00333A58">
              <w:rPr>
                <w:rStyle w:val="SubtleEmphasis"/>
                <w:sz w:val="20"/>
              </w:rPr>
              <w:fldChar w:fldCharType="separate"/>
            </w:r>
            <w:r w:rsidR="00875DEE" w:rsidRPr="00875DEE">
              <w:rPr>
                <w:rStyle w:val="SubtleEmphasis"/>
                <w:noProof/>
                <w:sz w:val="20"/>
              </w:rPr>
              <w:t>(Meier et al. 2005)</w:t>
            </w:r>
            <w:r w:rsidRPr="00333A58">
              <w:rPr>
                <w:rStyle w:val="SubtleEmphasis"/>
                <w:sz w:val="20"/>
              </w:rPr>
              <w:fldChar w:fldCharType="end"/>
            </w:r>
          </w:p>
        </w:tc>
      </w:tr>
      <w:tr w:rsidR="00452FE4" w:rsidRPr="00333A58" w14:paraId="35C2764B" w14:textId="77777777" w:rsidTr="00F52EC2">
        <w:trPr>
          <w:jc w:val="center"/>
        </w:trPr>
        <w:tc>
          <w:tcPr>
            <w:tcW w:w="3028" w:type="dxa"/>
            <w:vAlign w:val="center"/>
          </w:tcPr>
          <w:p w14:paraId="2C76091C" w14:textId="77777777" w:rsidR="00452FE4" w:rsidRPr="00333A58" w:rsidRDefault="00452FE4" w:rsidP="0066206C">
            <w:pPr>
              <w:pStyle w:val="Subtitle"/>
              <w:rPr>
                <w:rStyle w:val="SubtleEmphasis"/>
                <w:sz w:val="20"/>
              </w:rPr>
            </w:pPr>
            <w:r w:rsidRPr="00333A58">
              <w:rPr>
                <w:rStyle w:val="SubtleEmphasis"/>
                <w:sz w:val="20"/>
              </w:rPr>
              <w:t>Hours required for fining per day</w:t>
            </w:r>
          </w:p>
        </w:tc>
        <w:tc>
          <w:tcPr>
            <w:tcW w:w="1078" w:type="dxa"/>
            <w:vAlign w:val="center"/>
          </w:tcPr>
          <w:p w14:paraId="47484F36" w14:textId="77777777" w:rsidR="00452FE4" w:rsidRPr="00333A58" w:rsidRDefault="00A47317" w:rsidP="0066206C">
            <w:pPr>
              <w:pStyle w:val="Subtitle"/>
              <w:rPr>
                <w:rStyle w:val="SubtleEmphasis"/>
                <w:sz w:val="20"/>
              </w:rPr>
            </w:pPr>
            <m:oMathPara>
              <m:oMath>
                <m:sSubSup>
                  <m:sSubSupPr>
                    <m:ctrlPr>
                      <w:rPr>
                        <w:rStyle w:val="SubtleEmphasis"/>
                        <w:rFonts w:ascii="Cambria Math" w:hAnsi="Cambria Math"/>
                        <w:sz w:val="20"/>
                      </w:rPr>
                    </m:ctrlPr>
                  </m:sSubSupPr>
                  <m:e>
                    <m:r>
                      <w:rPr>
                        <w:rStyle w:val="SubtleEmphasis"/>
                        <w:rFonts w:ascii="Cambria Math" w:hAnsi="Cambria Math"/>
                        <w:sz w:val="20"/>
                      </w:rPr>
                      <m:t>H</m:t>
                    </m:r>
                  </m:e>
                  <m:sub>
                    <m:r>
                      <w:rPr>
                        <w:rStyle w:val="SubtleEmphasis"/>
                        <w:rFonts w:ascii="Cambria Math" w:hAnsi="Cambria Math"/>
                        <w:sz w:val="20"/>
                      </w:rPr>
                      <m:t>fining</m:t>
                    </m:r>
                  </m:sub>
                  <m:sup>
                    <m:r>
                      <w:rPr>
                        <w:rStyle w:val="SubtleEmphasis"/>
                        <w:rFonts w:ascii="Cambria Math" w:hAnsi="Cambria Math"/>
                        <w:sz w:val="20"/>
                      </w:rPr>
                      <m:t>day</m:t>
                    </m:r>
                  </m:sup>
                </m:sSubSup>
              </m:oMath>
            </m:oMathPara>
          </w:p>
        </w:tc>
        <w:tc>
          <w:tcPr>
            <w:tcW w:w="897" w:type="dxa"/>
            <w:vAlign w:val="center"/>
          </w:tcPr>
          <w:p w14:paraId="3C13B4DE" w14:textId="77777777" w:rsidR="00452FE4" w:rsidRPr="00333A58" w:rsidRDefault="00452FE4" w:rsidP="0066206C">
            <w:pPr>
              <w:pStyle w:val="Subtitle"/>
              <w:rPr>
                <w:rStyle w:val="SubtleEmphasis"/>
                <w:sz w:val="20"/>
              </w:rPr>
            </w:pPr>
            <w:r w:rsidRPr="00333A58">
              <w:rPr>
                <w:rStyle w:val="SubtleEmphasis"/>
                <w:sz w:val="20"/>
              </w:rPr>
              <w:t xml:space="preserve">1 </w:t>
            </w:r>
          </w:p>
        </w:tc>
        <w:tc>
          <w:tcPr>
            <w:tcW w:w="1131" w:type="dxa"/>
            <w:vAlign w:val="center"/>
          </w:tcPr>
          <w:p w14:paraId="5B0E71DA" w14:textId="77777777" w:rsidR="00452FE4" w:rsidRPr="00333A58" w:rsidRDefault="00452FE4" w:rsidP="0066206C">
            <w:pPr>
              <w:pStyle w:val="Subtitle"/>
              <w:rPr>
                <w:rStyle w:val="SubtleEmphasis"/>
                <w:sz w:val="20"/>
              </w:rPr>
            </w:pPr>
            <w:r w:rsidRPr="00333A58">
              <w:rPr>
                <w:rStyle w:val="SubtleEmphasis"/>
                <w:sz w:val="20"/>
              </w:rPr>
              <w:t>h/d</w:t>
            </w:r>
          </w:p>
        </w:tc>
        <w:tc>
          <w:tcPr>
            <w:tcW w:w="2500" w:type="dxa"/>
            <w:vAlign w:val="center"/>
          </w:tcPr>
          <w:p w14:paraId="5432A3CB" w14:textId="77777777" w:rsidR="00452FE4" w:rsidRPr="00333A58" w:rsidRDefault="00452FE4" w:rsidP="0066206C">
            <w:pPr>
              <w:pStyle w:val="Subtitle"/>
              <w:rPr>
                <w:rStyle w:val="SubtleEmphasis"/>
                <w:sz w:val="20"/>
              </w:rPr>
            </w:pPr>
            <w:r w:rsidRPr="00333A58">
              <w:rPr>
                <w:rStyle w:val="SubtleEmphasis"/>
                <w:sz w:val="20"/>
              </w:rPr>
              <w:t>Experiment D3-4</w:t>
            </w:r>
          </w:p>
        </w:tc>
      </w:tr>
      <w:tr w:rsidR="00452FE4" w:rsidRPr="00333A58" w14:paraId="04FC50CD" w14:textId="77777777" w:rsidTr="00F52EC2">
        <w:trPr>
          <w:jc w:val="center"/>
        </w:trPr>
        <w:tc>
          <w:tcPr>
            <w:tcW w:w="3028" w:type="dxa"/>
            <w:vAlign w:val="center"/>
          </w:tcPr>
          <w:p w14:paraId="0040E308" w14:textId="77777777" w:rsidR="00452FE4" w:rsidRPr="00333A58" w:rsidRDefault="00452FE4" w:rsidP="0066206C">
            <w:pPr>
              <w:pStyle w:val="Subtitle"/>
              <w:rPr>
                <w:rStyle w:val="SubtleEmphasis"/>
                <w:sz w:val="20"/>
              </w:rPr>
            </w:pPr>
            <w:r w:rsidRPr="00333A58">
              <w:rPr>
                <w:rStyle w:val="SubtleEmphasis"/>
                <w:sz w:val="20"/>
              </w:rPr>
              <w:t>Hours per day for heat up</w:t>
            </w:r>
          </w:p>
        </w:tc>
        <w:tc>
          <w:tcPr>
            <w:tcW w:w="1078" w:type="dxa"/>
            <w:vAlign w:val="center"/>
          </w:tcPr>
          <w:p w14:paraId="54525DD5" w14:textId="77777777" w:rsidR="00452FE4" w:rsidRPr="00333A58" w:rsidRDefault="00A47317" w:rsidP="0066206C">
            <w:pPr>
              <w:pStyle w:val="Subtitle"/>
              <w:rPr>
                <w:rStyle w:val="SubtleEmphasis"/>
                <w:sz w:val="20"/>
              </w:rPr>
            </w:pPr>
            <m:oMathPara>
              <m:oMath>
                <m:sSubSup>
                  <m:sSubSupPr>
                    <m:ctrlPr>
                      <w:rPr>
                        <w:rStyle w:val="SubtleEmphasis"/>
                        <w:rFonts w:ascii="Cambria Math" w:hAnsi="Cambria Math"/>
                        <w:sz w:val="20"/>
                      </w:rPr>
                    </m:ctrlPr>
                  </m:sSubSupPr>
                  <m:e>
                    <m:r>
                      <w:rPr>
                        <w:rStyle w:val="SubtleEmphasis"/>
                        <w:rFonts w:ascii="Cambria Math" w:hAnsi="Cambria Math"/>
                        <w:sz w:val="20"/>
                      </w:rPr>
                      <m:t>H</m:t>
                    </m:r>
                  </m:e>
                  <m:sub>
                    <m:r>
                      <w:rPr>
                        <w:rStyle w:val="SubtleEmphasis"/>
                        <w:rFonts w:ascii="Cambria Math" w:hAnsi="Cambria Math"/>
                        <w:sz w:val="20"/>
                      </w:rPr>
                      <m:t>heat up</m:t>
                    </m:r>
                  </m:sub>
                  <m:sup>
                    <m:r>
                      <w:rPr>
                        <w:rStyle w:val="SubtleEmphasis"/>
                        <w:rFonts w:ascii="Cambria Math" w:hAnsi="Cambria Math"/>
                        <w:sz w:val="20"/>
                      </w:rPr>
                      <m:t>day</m:t>
                    </m:r>
                  </m:sup>
                </m:sSubSup>
              </m:oMath>
            </m:oMathPara>
          </w:p>
        </w:tc>
        <w:tc>
          <w:tcPr>
            <w:tcW w:w="897" w:type="dxa"/>
            <w:vAlign w:val="center"/>
          </w:tcPr>
          <w:p w14:paraId="76E6897F" w14:textId="77777777" w:rsidR="00452FE4" w:rsidRPr="00333A58" w:rsidRDefault="00452FE4" w:rsidP="0066206C">
            <w:pPr>
              <w:pStyle w:val="Subtitle"/>
              <w:rPr>
                <w:rStyle w:val="SubtleEmphasis"/>
                <w:sz w:val="20"/>
              </w:rPr>
            </w:pPr>
            <w:r w:rsidRPr="00333A58">
              <w:rPr>
                <w:rStyle w:val="SubtleEmphasis"/>
                <w:sz w:val="20"/>
              </w:rPr>
              <w:t xml:space="preserve">0.3 </w:t>
            </w:r>
          </w:p>
        </w:tc>
        <w:tc>
          <w:tcPr>
            <w:tcW w:w="1131" w:type="dxa"/>
            <w:vAlign w:val="center"/>
          </w:tcPr>
          <w:p w14:paraId="0535C28E" w14:textId="77777777" w:rsidR="00452FE4" w:rsidRPr="00333A58" w:rsidRDefault="00452FE4" w:rsidP="0066206C">
            <w:pPr>
              <w:pStyle w:val="Subtitle"/>
              <w:rPr>
                <w:rStyle w:val="SubtleEmphasis"/>
                <w:sz w:val="20"/>
              </w:rPr>
            </w:pPr>
            <w:r w:rsidRPr="00333A58">
              <w:rPr>
                <w:rStyle w:val="SubtleEmphasis"/>
                <w:sz w:val="20"/>
              </w:rPr>
              <w:t>h/d</w:t>
            </w:r>
          </w:p>
        </w:tc>
        <w:tc>
          <w:tcPr>
            <w:tcW w:w="2500" w:type="dxa"/>
            <w:vAlign w:val="center"/>
          </w:tcPr>
          <w:p w14:paraId="7A7566F9" w14:textId="77777777" w:rsidR="00452FE4" w:rsidRPr="00333A58" w:rsidRDefault="00452FE4" w:rsidP="0066206C">
            <w:pPr>
              <w:pStyle w:val="Subtitle"/>
              <w:rPr>
                <w:rStyle w:val="SubtleEmphasis"/>
                <w:sz w:val="20"/>
              </w:rPr>
            </w:pPr>
            <w:r w:rsidRPr="00333A58">
              <w:rPr>
                <w:rStyle w:val="SubtleEmphasis"/>
                <w:sz w:val="20"/>
              </w:rPr>
              <w:t>Experiment D3-4</w:t>
            </w:r>
          </w:p>
        </w:tc>
      </w:tr>
      <w:tr w:rsidR="00452FE4" w:rsidRPr="00333A58" w14:paraId="1C28B508" w14:textId="77777777" w:rsidTr="00F52EC2">
        <w:trPr>
          <w:jc w:val="center"/>
        </w:trPr>
        <w:tc>
          <w:tcPr>
            <w:tcW w:w="3028" w:type="dxa"/>
            <w:vAlign w:val="center"/>
          </w:tcPr>
          <w:p w14:paraId="413281AD" w14:textId="77777777" w:rsidR="00452FE4" w:rsidRPr="00333A58" w:rsidRDefault="00452FE4" w:rsidP="0066206C">
            <w:pPr>
              <w:pStyle w:val="Subtitle"/>
              <w:rPr>
                <w:rStyle w:val="SubtleEmphasis"/>
                <w:sz w:val="20"/>
              </w:rPr>
            </w:pPr>
            <w:r>
              <w:rPr>
                <w:rStyle w:val="SubtleEmphasis"/>
                <w:sz w:val="20"/>
              </w:rPr>
              <w:t xml:space="preserve">Daily </w:t>
            </w:r>
            <w:r w:rsidRPr="00333A58">
              <w:rPr>
                <w:rStyle w:val="SubtleEmphasis"/>
                <w:sz w:val="20"/>
              </w:rPr>
              <w:t xml:space="preserve">Global Horizontal Irradiance </w:t>
            </w:r>
          </w:p>
        </w:tc>
        <w:tc>
          <w:tcPr>
            <w:tcW w:w="1078" w:type="dxa"/>
            <w:vAlign w:val="center"/>
          </w:tcPr>
          <w:p w14:paraId="49A597D9" w14:textId="77777777" w:rsidR="00452FE4" w:rsidRPr="00333A58" w:rsidRDefault="00A47317" w:rsidP="0066206C">
            <w:pPr>
              <w:pStyle w:val="Subtitle"/>
              <w:rPr>
                <w:rStyle w:val="SubtleEmphasis"/>
                <w:rFonts w:ascii="Calibri" w:hAnsi="Calibri"/>
                <w:sz w:val="20"/>
              </w:rPr>
            </w:pPr>
            <m:oMathPara>
              <m:oMath>
                <m:sSubSup>
                  <m:sSubSupPr>
                    <m:ctrlPr>
                      <w:rPr>
                        <w:rStyle w:val="SubtleEmphasis"/>
                        <w:rFonts w:ascii="Cambria Math" w:hAnsi="Cambria Math"/>
                        <w:i/>
                        <w:sz w:val="20"/>
                      </w:rPr>
                    </m:ctrlPr>
                  </m:sSubSupPr>
                  <m:e>
                    <m:r>
                      <w:rPr>
                        <w:rStyle w:val="SubtleEmphasis"/>
                        <w:rFonts w:ascii="Cambria Math" w:hAnsi="Cambria Math"/>
                        <w:sz w:val="20"/>
                      </w:rPr>
                      <m:t>q</m:t>
                    </m:r>
                  </m:e>
                  <m:sub>
                    <m:r>
                      <w:rPr>
                        <w:rStyle w:val="SubtleEmphasis"/>
                        <w:rFonts w:ascii="Cambria Math" w:hAnsi="Cambria Math"/>
                        <w:sz w:val="20"/>
                      </w:rPr>
                      <m:t>GHI</m:t>
                    </m:r>
                  </m:sub>
                  <m:sup>
                    <m:r>
                      <w:rPr>
                        <w:rStyle w:val="SubtleEmphasis"/>
                        <w:rFonts w:ascii="Cambria Math" w:hAnsi="Cambria Math"/>
                        <w:sz w:val="20"/>
                      </w:rPr>
                      <m:t>day</m:t>
                    </m:r>
                  </m:sup>
                </m:sSubSup>
              </m:oMath>
            </m:oMathPara>
          </w:p>
        </w:tc>
        <w:tc>
          <w:tcPr>
            <w:tcW w:w="897" w:type="dxa"/>
            <w:vAlign w:val="center"/>
          </w:tcPr>
          <w:p w14:paraId="70BF3D0A" w14:textId="77777777" w:rsidR="00452FE4" w:rsidRPr="00A768E4" w:rsidRDefault="00452FE4" w:rsidP="0066206C">
            <w:pPr>
              <w:pStyle w:val="Subtitle"/>
              <w:rPr>
                <w:rStyle w:val="SubtleEmphasis"/>
                <w:sz w:val="20"/>
              </w:rPr>
            </w:pPr>
            <w:r>
              <w:rPr>
                <w:rStyle w:val="SubtleEmphasis"/>
                <w:sz w:val="20"/>
              </w:rPr>
              <w:t xml:space="preserve">5.5 </w:t>
            </w:r>
          </w:p>
        </w:tc>
        <w:tc>
          <w:tcPr>
            <w:tcW w:w="1131" w:type="dxa"/>
            <w:vAlign w:val="center"/>
          </w:tcPr>
          <w:p w14:paraId="7395A755" w14:textId="19B10BA8" w:rsidR="00452FE4" w:rsidRPr="00CF615B" w:rsidRDefault="00A47317" w:rsidP="0066206C">
            <w:pPr>
              <w:pStyle w:val="Subtitle"/>
              <w:rPr>
                <w:rStyle w:val="SubtleEmphasis"/>
                <w:sz w:val="20"/>
              </w:rPr>
            </w:pPr>
            <m:oMathPara>
              <m:oMath>
                <m:f>
                  <m:fPr>
                    <m:type m:val="lin"/>
                    <m:ctrlPr>
                      <w:rPr>
                        <w:rFonts w:ascii="Cambria Math" w:hAnsi="Cambria Math"/>
                        <w:sz w:val="18"/>
                      </w:rPr>
                    </m:ctrlPr>
                  </m:fPr>
                  <m:num>
                    <m:r>
                      <m:rPr>
                        <m:sty m:val="p"/>
                      </m:rPr>
                      <w:rPr>
                        <w:rFonts w:ascii="Cambria Math" w:hAnsi="Cambria Math"/>
                        <w:sz w:val="18"/>
                      </w:rPr>
                      <m:t>kWh</m:t>
                    </m:r>
                  </m:num>
                  <m:den>
                    <m:sSup>
                      <m:sSupPr>
                        <m:ctrlPr>
                          <w:rPr>
                            <w:rFonts w:ascii="Cambria Math" w:hAnsi="Cambria Math"/>
                            <w:sz w:val="18"/>
                          </w:rPr>
                        </m:ctrlPr>
                      </m:sSupPr>
                      <m:e>
                        <m:r>
                          <m:rPr>
                            <m:sty m:val="p"/>
                          </m:rPr>
                          <w:rPr>
                            <w:rFonts w:ascii="Cambria Math" w:hAnsi="Cambria Math"/>
                            <w:sz w:val="18"/>
                          </w:rPr>
                          <m:t>m</m:t>
                        </m:r>
                      </m:e>
                      <m:sup>
                        <m:r>
                          <m:rPr>
                            <m:sty m:val="p"/>
                          </m:rPr>
                          <w:rPr>
                            <w:rFonts w:ascii="Cambria Math" w:hAnsi="Cambria Math"/>
                            <w:sz w:val="18"/>
                          </w:rPr>
                          <m:t>2</m:t>
                        </m:r>
                      </m:sup>
                    </m:sSup>
                    <m:r>
                      <m:rPr>
                        <m:sty m:val="p"/>
                      </m:rPr>
                      <w:rPr>
                        <w:rFonts w:ascii="Cambria Math" w:hAnsi="Cambria Math"/>
                        <w:sz w:val="18"/>
                      </w:rPr>
                      <m:t>d</m:t>
                    </m:r>
                  </m:den>
                </m:f>
              </m:oMath>
            </m:oMathPara>
          </w:p>
        </w:tc>
        <w:tc>
          <w:tcPr>
            <w:tcW w:w="2500" w:type="dxa"/>
            <w:vAlign w:val="center"/>
          </w:tcPr>
          <w:p w14:paraId="4F416E13" w14:textId="582C150E" w:rsidR="00452FE4" w:rsidRPr="00333A58" w:rsidRDefault="00452FE4" w:rsidP="0066206C">
            <w:pPr>
              <w:pStyle w:val="Subtitle"/>
              <w:rPr>
                <w:rStyle w:val="SubtleEmphasis"/>
                <w:sz w:val="20"/>
              </w:rPr>
            </w:pPr>
            <w:r>
              <w:rPr>
                <w:rStyle w:val="SubtleEmphasis"/>
                <w:sz w:val="20"/>
              </w:rPr>
              <w:fldChar w:fldCharType="begin" w:fldLock="1"/>
            </w:r>
            <w:r w:rsidR="00875DEE">
              <w:rPr>
                <w:rStyle w:val="SubtleEmphasis"/>
                <w:sz w:val="20"/>
              </w:rPr>
              <w:instrText>ADDIN CSL_CITATION { "citationItems" : [ { "id" : "ITEM-1", "itemData" : { "URL" : "http://solargis.info/doc/_pics/freemaps/1000px/ghi/SolarGIS-Solar-map-World-map-en.png", "accessed" : { "date-parts" : [ [ "2016", "3", "23" ] ] }, "author" : [ { "dropping-particle" : "", "family" : "Solar GIS", "given" : "", "non-dropping-particle" : "", "parse-names" : false, "suffix" : "" } ], "id" : "ITEM-1", "issued" : { "date-parts" : [ [ "2016" ] ] }, "title" : "Global Horizontal Irradiance (GHI) World Map", "type" : "webpage" }, "uris" : [ "http://www.mendeley.com/documents/?uuid=021edb1a-9cb9-43ad-a942-9da9daac56ad" ] } ], "mendeley" : { "formattedCitation" : "(Solar GIS 2016b)", "manualFormatting" : "(Solar GIS, 2016b)", "plainTextFormattedCitation" : "(Solar GIS 2016b)", "previouslyFormattedCitation" : "(Solar GIS 2016b)" }, "properties" : { "noteIndex" : 0 }, "schema" : "https://github.com/citation-style-language/schema/raw/master/csl-citation.json" }</w:instrText>
            </w:r>
            <w:r>
              <w:rPr>
                <w:rStyle w:val="SubtleEmphasis"/>
                <w:sz w:val="20"/>
              </w:rPr>
              <w:fldChar w:fldCharType="separate"/>
            </w:r>
            <w:r>
              <w:rPr>
                <w:rStyle w:val="SubtleEmphasis"/>
                <w:noProof/>
                <w:sz w:val="20"/>
              </w:rPr>
              <w:t>(Solar GIS, 2016b</w:t>
            </w:r>
            <w:r w:rsidRPr="00AA5C2C">
              <w:rPr>
                <w:rStyle w:val="SubtleEmphasis"/>
                <w:noProof/>
                <w:sz w:val="20"/>
              </w:rPr>
              <w:t>)</w:t>
            </w:r>
            <w:r>
              <w:rPr>
                <w:rStyle w:val="SubtleEmphasis"/>
                <w:sz w:val="20"/>
              </w:rPr>
              <w:fldChar w:fldCharType="end"/>
            </w:r>
          </w:p>
        </w:tc>
      </w:tr>
      <w:tr w:rsidR="00452FE4" w:rsidRPr="00333A58" w14:paraId="60E6FC48" w14:textId="77777777" w:rsidTr="00F52EC2">
        <w:trPr>
          <w:jc w:val="center"/>
        </w:trPr>
        <w:tc>
          <w:tcPr>
            <w:tcW w:w="3028" w:type="dxa"/>
            <w:vAlign w:val="center"/>
          </w:tcPr>
          <w:p w14:paraId="60B5BD7C" w14:textId="77777777" w:rsidR="00452FE4" w:rsidRPr="00333A58" w:rsidRDefault="00452FE4" w:rsidP="0066206C">
            <w:pPr>
              <w:pStyle w:val="Subtitle"/>
              <w:rPr>
                <w:rStyle w:val="SubtleEmphasis"/>
                <w:sz w:val="20"/>
              </w:rPr>
            </w:pPr>
            <w:r w:rsidRPr="00333A58">
              <w:rPr>
                <w:rStyle w:val="SubtleEmphasis"/>
                <w:sz w:val="20"/>
              </w:rPr>
              <w:t>Efficiency of solar PV system</w:t>
            </w:r>
          </w:p>
        </w:tc>
        <w:tc>
          <w:tcPr>
            <w:tcW w:w="1078" w:type="dxa"/>
            <w:vAlign w:val="center"/>
          </w:tcPr>
          <w:p w14:paraId="37332620"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r>
                      <w:rPr>
                        <w:rStyle w:val="SubtleEmphasis"/>
                        <w:rFonts w:ascii="Cambria Math" w:hAnsi="Cambria Math"/>
                        <w:sz w:val="20"/>
                      </w:rPr>
                      <m:t>η</m:t>
                    </m:r>
                  </m:e>
                  <m:sub>
                    <m:r>
                      <w:rPr>
                        <w:rStyle w:val="SubtleEmphasis"/>
                        <w:rFonts w:ascii="Cambria Math" w:hAnsi="Cambria Math"/>
                        <w:sz w:val="20"/>
                      </w:rPr>
                      <m:t>PV</m:t>
                    </m:r>
                    <m:r>
                      <m:rPr>
                        <m:sty m:val="p"/>
                      </m:rPr>
                      <w:rPr>
                        <w:rStyle w:val="SubtleEmphasis"/>
                        <w:rFonts w:ascii="Cambria Math" w:hAnsi="Cambria Math"/>
                        <w:sz w:val="20"/>
                      </w:rPr>
                      <m:t xml:space="preserve">  </m:t>
                    </m:r>
                  </m:sub>
                </m:sSub>
              </m:oMath>
            </m:oMathPara>
          </w:p>
        </w:tc>
        <w:tc>
          <w:tcPr>
            <w:tcW w:w="897" w:type="dxa"/>
            <w:vAlign w:val="center"/>
          </w:tcPr>
          <w:p w14:paraId="404A5891" w14:textId="77777777" w:rsidR="00452FE4" w:rsidRPr="00333A58" w:rsidRDefault="00452FE4" w:rsidP="0066206C">
            <w:pPr>
              <w:pStyle w:val="Subtitle"/>
              <w:rPr>
                <w:rStyle w:val="SubtleEmphasis"/>
                <w:sz w:val="20"/>
              </w:rPr>
            </w:pPr>
            <w:r w:rsidRPr="00333A58">
              <w:rPr>
                <w:rStyle w:val="SubtleEmphasis"/>
                <w:sz w:val="20"/>
              </w:rPr>
              <w:t>1</w:t>
            </w:r>
            <w:r>
              <w:rPr>
                <w:rStyle w:val="SubtleEmphasis"/>
                <w:sz w:val="20"/>
              </w:rPr>
              <w:t>4</w:t>
            </w:r>
          </w:p>
        </w:tc>
        <w:tc>
          <w:tcPr>
            <w:tcW w:w="1131" w:type="dxa"/>
            <w:vAlign w:val="center"/>
          </w:tcPr>
          <w:p w14:paraId="7F347C54" w14:textId="77777777" w:rsidR="00452FE4" w:rsidRDefault="00452FE4" w:rsidP="0066206C">
            <w:pPr>
              <w:pStyle w:val="Subtitle"/>
            </w:pPr>
            <w:r w:rsidRPr="00333A58">
              <w:rPr>
                <w:rStyle w:val="SubtleEmphasis"/>
                <w:sz w:val="20"/>
              </w:rPr>
              <w:t>%</w:t>
            </w:r>
          </w:p>
        </w:tc>
        <w:tc>
          <w:tcPr>
            <w:tcW w:w="2500" w:type="dxa"/>
            <w:vAlign w:val="center"/>
          </w:tcPr>
          <w:p w14:paraId="1B929190" w14:textId="18157727" w:rsidR="00452FE4" w:rsidRPr="00333A58" w:rsidRDefault="00452FE4" w:rsidP="0066206C">
            <w:pPr>
              <w:pStyle w:val="Subtitle"/>
              <w:rPr>
                <w:rStyle w:val="SubtleEmphasis"/>
                <w:sz w:val="20"/>
              </w:rPr>
            </w:pPr>
            <w:r>
              <w:fldChar w:fldCharType="begin" w:fldLock="1"/>
            </w:r>
            <w:r w:rsidR="00875DEE">
              <w:instrText>ADDIN CSL_CITATION { "citationItems" : [ { "id" : "ITEM-1", "itemData" : { "author" : [ { "dropping-particle" : "", "family" : "IRENA", "given" : "", "non-dropping-particle" : "", "parse-names" : false, "suffix" : "" } ], "id" : "ITEM-1", "issued" : { "date-parts" : [ [ "2012" ] ] }, "number-of-pages" : "10", "publisher-place" : "Abu Dhabi", "title" : "Renewable Enegy Technologies: Cost Analysis Series. Solar Photovoltaics", "type" : "report" }, "uris" : [ "http://www.mendeley.com/documents/?uuid=1fdc9312-f76b-452c-8b69-a1ad8d7f800e" ] } ], "mendeley" : { "formattedCitation" : "(IRENA 2012)", "plainTextFormattedCitation" : "(IRENA 2012)", "previouslyFormattedCitation" : "(IRENA 2012)" }, "properties" : { "noteIndex" : 0 }, "schema" : "https://github.com/citation-style-language/schema/raw/master/csl-citation.json" }</w:instrText>
            </w:r>
            <w:r>
              <w:fldChar w:fldCharType="separate"/>
            </w:r>
            <w:r w:rsidR="00875DEE" w:rsidRPr="00875DEE">
              <w:rPr>
                <w:noProof/>
              </w:rPr>
              <w:t>(IRENA 2012)</w:t>
            </w:r>
            <w:r>
              <w:fldChar w:fldCharType="end"/>
            </w:r>
          </w:p>
        </w:tc>
      </w:tr>
      <w:tr w:rsidR="00452FE4" w:rsidRPr="00333A58" w14:paraId="02521F6C" w14:textId="77777777" w:rsidTr="00F52EC2">
        <w:trPr>
          <w:jc w:val="center"/>
        </w:trPr>
        <w:tc>
          <w:tcPr>
            <w:tcW w:w="3028" w:type="dxa"/>
            <w:vAlign w:val="center"/>
          </w:tcPr>
          <w:p w14:paraId="18692E20" w14:textId="77777777" w:rsidR="00452FE4" w:rsidRPr="00333A58" w:rsidRDefault="00452FE4" w:rsidP="0066206C">
            <w:pPr>
              <w:pStyle w:val="Subtitle"/>
              <w:rPr>
                <w:rStyle w:val="SubtleEmphasis"/>
                <w:sz w:val="20"/>
              </w:rPr>
            </w:pPr>
            <w:r w:rsidRPr="00333A58">
              <w:rPr>
                <w:rStyle w:val="SubtleEmphasis"/>
                <w:sz w:val="20"/>
              </w:rPr>
              <w:t>Efficiency of energy storage system</w:t>
            </w:r>
          </w:p>
        </w:tc>
        <w:tc>
          <w:tcPr>
            <w:tcW w:w="1078" w:type="dxa"/>
            <w:vAlign w:val="center"/>
          </w:tcPr>
          <w:p w14:paraId="161B3E8B" w14:textId="77777777" w:rsidR="00452FE4" w:rsidRPr="00333A58" w:rsidRDefault="00A47317" w:rsidP="0066206C">
            <w:pPr>
              <w:pStyle w:val="Subtitle"/>
              <w:rPr>
                <w:rStyle w:val="SubtleEmphasis"/>
                <w:sz w:val="20"/>
              </w:rPr>
            </w:pPr>
            <m:oMathPara>
              <m:oMath>
                <m:sSub>
                  <m:sSubPr>
                    <m:ctrlPr>
                      <w:rPr>
                        <w:rStyle w:val="SubtleEmphasis"/>
                        <w:rFonts w:ascii="Cambria Math" w:hAnsi="Cambria Math"/>
                        <w:sz w:val="20"/>
                      </w:rPr>
                    </m:ctrlPr>
                  </m:sSubPr>
                  <m:e>
                    <m:r>
                      <w:rPr>
                        <w:rStyle w:val="SubtleEmphasis"/>
                        <w:rFonts w:ascii="Cambria Math" w:hAnsi="Cambria Math"/>
                        <w:sz w:val="20"/>
                      </w:rPr>
                      <m:t>η</m:t>
                    </m:r>
                  </m:e>
                  <m:sub>
                    <m:r>
                      <w:rPr>
                        <w:rStyle w:val="SubtleEmphasis"/>
                        <w:rFonts w:ascii="Cambria Math" w:hAnsi="Cambria Math"/>
                        <w:sz w:val="20"/>
                      </w:rPr>
                      <m:t>stor</m:t>
                    </m:r>
                    <m:r>
                      <m:rPr>
                        <m:sty m:val="p"/>
                      </m:rPr>
                      <w:rPr>
                        <w:rStyle w:val="SubtleEmphasis"/>
                        <w:rFonts w:ascii="Cambria Math" w:hAnsi="Cambria Math"/>
                        <w:sz w:val="20"/>
                      </w:rPr>
                      <m:t xml:space="preserve"> </m:t>
                    </m:r>
                  </m:sub>
                </m:sSub>
              </m:oMath>
            </m:oMathPara>
          </w:p>
        </w:tc>
        <w:tc>
          <w:tcPr>
            <w:tcW w:w="897" w:type="dxa"/>
            <w:vAlign w:val="center"/>
          </w:tcPr>
          <w:p w14:paraId="2E3B27D3" w14:textId="77777777" w:rsidR="00452FE4" w:rsidRPr="00333A58" w:rsidRDefault="00452FE4" w:rsidP="0066206C">
            <w:pPr>
              <w:pStyle w:val="Subtitle"/>
              <w:rPr>
                <w:rStyle w:val="SubtleEmphasis"/>
                <w:sz w:val="20"/>
              </w:rPr>
            </w:pPr>
            <w:r w:rsidRPr="00333A58">
              <w:rPr>
                <w:rStyle w:val="SubtleEmphasis"/>
                <w:sz w:val="20"/>
              </w:rPr>
              <w:t>75</w:t>
            </w:r>
          </w:p>
        </w:tc>
        <w:tc>
          <w:tcPr>
            <w:tcW w:w="1131" w:type="dxa"/>
            <w:vAlign w:val="center"/>
          </w:tcPr>
          <w:p w14:paraId="2E738E83" w14:textId="77777777" w:rsidR="00452FE4" w:rsidRDefault="00452FE4" w:rsidP="0066206C">
            <w:pPr>
              <w:pStyle w:val="Subtitle"/>
              <w:rPr>
                <w:rStyle w:val="SubtleEmphasis"/>
                <w:sz w:val="20"/>
              </w:rPr>
            </w:pPr>
            <w:r w:rsidRPr="00333A58">
              <w:rPr>
                <w:rStyle w:val="SubtleEmphasis"/>
                <w:sz w:val="20"/>
              </w:rPr>
              <w:t>%</w:t>
            </w:r>
          </w:p>
        </w:tc>
        <w:tc>
          <w:tcPr>
            <w:tcW w:w="2500" w:type="dxa"/>
            <w:vAlign w:val="center"/>
          </w:tcPr>
          <w:p w14:paraId="222F0EA9" w14:textId="25F80C82" w:rsidR="00452FE4" w:rsidRPr="00333A58" w:rsidRDefault="00452FE4" w:rsidP="0066206C">
            <w:pPr>
              <w:pStyle w:val="Subtitle"/>
              <w:rPr>
                <w:rStyle w:val="SubtleEmphasis"/>
                <w:sz w:val="20"/>
              </w:rPr>
            </w:pPr>
            <w:r>
              <w:rPr>
                <w:rStyle w:val="SubtleEmphasis"/>
                <w:sz w:val="20"/>
              </w:rPr>
              <w:fldChar w:fldCharType="begin" w:fldLock="1"/>
            </w:r>
            <w:r w:rsidR="00875DEE">
              <w:rPr>
                <w:rStyle w:val="SubtleEmphasis"/>
                <w:sz w:val="20"/>
              </w:rPr>
              <w:instrText>ADDIN CSL_CITATION { "citationItems" : [ { "id" : "ITEM-1", "itemData" : { "author" : [ { "dropping-particle" : "", "family" : "U.S. Department of Energy", "given" : "", "non-dropping-particle" : "", "parse-names" : false, "suffix" : "" } ], "id" : "ITEM-1", "issued" : { "date-parts" : [ [ "2013" ] ] }, "number-of-pages" : "33", "publisher-place" : "Washington", "title" : "Grid Energy Storage", "type" : "report" }, "uris" : [ "http://www.mendeley.com/documents/?uuid=cb7fa732-2e3d-485c-b866-65484eaa50fb" ] } ], "mendeley" : { "formattedCitation" : "(U.S. Department of Energy 2013)", "plainTextFormattedCitation" : "(U.S. Department of Energy 2013)", "previouslyFormattedCitation" : "(U.S. Department of Energy 2013)" }, "properties" : { "noteIndex" : 0 }, "schema" : "https://github.com/citation-style-language/schema/raw/master/csl-citation.json" }</w:instrText>
            </w:r>
            <w:r>
              <w:rPr>
                <w:rStyle w:val="SubtleEmphasis"/>
                <w:sz w:val="20"/>
              </w:rPr>
              <w:fldChar w:fldCharType="separate"/>
            </w:r>
            <w:r w:rsidR="00875DEE" w:rsidRPr="00875DEE">
              <w:rPr>
                <w:rStyle w:val="SubtleEmphasis"/>
                <w:noProof/>
                <w:sz w:val="20"/>
              </w:rPr>
              <w:t>(U.S. Department of Energy 2013)</w:t>
            </w:r>
            <w:r>
              <w:rPr>
                <w:rStyle w:val="SubtleEmphasis"/>
                <w:sz w:val="20"/>
              </w:rPr>
              <w:fldChar w:fldCharType="end"/>
            </w:r>
          </w:p>
        </w:tc>
      </w:tr>
    </w:tbl>
    <w:p w14:paraId="63415B56" w14:textId="77777777" w:rsidR="0066206C" w:rsidRDefault="0066206C">
      <w:pPr>
        <w:spacing w:line="276" w:lineRule="auto"/>
        <w:ind w:firstLine="0"/>
        <w:contextualSpacing w:val="0"/>
        <w:jc w:val="left"/>
        <w:rPr>
          <w:rFonts w:asciiTheme="majorHAnsi" w:eastAsiaTheme="majorEastAsia" w:hAnsiTheme="majorHAnsi" w:cstheme="majorBidi"/>
          <w:b/>
          <w:bCs/>
          <w:szCs w:val="26"/>
          <w:lang w:val="en-US" w:eastAsia="en-US"/>
        </w:rPr>
      </w:pPr>
      <w:bookmarkStart w:id="249" w:name="_Ref446526908"/>
      <w:r>
        <w:br w:type="page"/>
      </w:r>
    </w:p>
    <w:p w14:paraId="238C244A" w14:textId="0D49CCC5" w:rsidR="00452FE4" w:rsidRPr="0051537D" w:rsidRDefault="00452FE4" w:rsidP="00F3524F">
      <w:pPr>
        <w:pStyle w:val="Heading3"/>
        <w:keepNext w:val="0"/>
        <w:keepLines w:val="0"/>
        <w:numPr>
          <w:ilvl w:val="2"/>
          <w:numId w:val="23"/>
        </w:numPr>
        <w:spacing w:before="0" w:after="160"/>
      </w:pPr>
      <w:r w:rsidRPr="0051537D">
        <w:lastRenderedPageBreak/>
        <w:t>Results and discussion</w:t>
      </w:r>
      <w:bookmarkEnd w:id="249"/>
    </w:p>
    <w:p w14:paraId="5258EB3F" w14:textId="2122A046" w:rsidR="00452FE4" w:rsidRPr="00F52F2B" w:rsidRDefault="00452FE4" w:rsidP="00EA4BBA">
      <w:pPr>
        <w:pStyle w:val="Caption"/>
      </w:pPr>
      <w:bookmarkStart w:id="250" w:name="_Ref451099133"/>
      <w:bookmarkStart w:id="251" w:name="_Ref444792135"/>
      <w:r w:rsidRPr="00F52F2B">
        <w:t xml:space="preserve">Table </w:t>
      </w:r>
      <w:r w:rsidR="00A47317">
        <w:fldChar w:fldCharType="begin"/>
      </w:r>
      <w:r w:rsidR="00A47317">
        <w:instrText xml:space="preserve"> SEQ Table \* ARABIC </w:instrText>
      </w:r>
      <w:r w:rsidR="00A47317">
        <w:fldChar w:fldCharType="separate"/>
      </w:r>
      <w:r w:rsidR="00486837">
        <w:rPr>
          <w:noProof/>
        </w:rPr>
        <w:t>9</w:t>
      </w:r>
      <w:r w:rsidR="00A47317">
        <w:rPr>
          <w:noProof/>
        </w:rPr>
        <w:fldChar w:fldCharType="end"/>
      </w:r>
      <w:bookmarkEnd w:id="250"/>
      <w:r w:rsidRPr="00F52F2B">
        <w:t>: Results of analysis for scale-up scenarios of solar-heated glass production. Where cells are marked as ‘N/A’, the required commercial values were not available. The cost of a CSP system was not available for the experimental solar-heated glass furnace because it was below the minimum size commercially available. The fuel savings for scenarios 2c to 3c were not available because their glass production rates were greater than the maximum li</w:t>
      </w:r>
      <w:r w:rsidR="004E2EA9">
        <w:t>mit for day tanks (see section 6.5.1.6</w:t>
      </w:r>
      <w:r w:rsidRPr="00F52F2B">
        <w:t>) for which the investment evaluations are based.</w:t>
      </w:r>
    </w:p>
    <w:p w14:paraId="3845C1DA" w14:textId="654A8A5B" w:rsidR="00452FE4" w:rsidRDefault="007D56FD" w:rsidP="0066206C">
      <w:pPr>
        <w:ind w:firstLine="0"/>
      </w:pPr>
      <w:r w:rsidRPr="007D56FD">
        <w:rPr>
          <w:noProof/>
        </w:rPr>
        <w:drawing>
          <wp:inline distT="0" distB="0" distL="0" distR="0" wp14:anchorId="546B20D5" wp14:editId="5630D59C">
            <wp:extent cx="5400040" cy="4828966"/>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4828966"/>
                    </a:xfrm>
                    <a:prstGeom prst="rect">
                      <a:avLst/>
                    </a:prstGeom>
                    <a:noFill/>
                    <a:ln>
                      <a:noFill/>
                    </a:ln>
                  </pic:spPr>
                </pic:pic>
              </a:graphicData>
            </a:graphic>
          </wp:inline>
        </w:drawing>
      </w:r>
    </w:p>
    <w:bookmarkEnd w:id="251"/>
    <w:p w14:paraId="672AAC99" w14:textId="47053299" w:rsidR="00452FE4" w:rsidRDefault="009A4ECB" w:rsidP="00EA4BBA">
      <w:r>
        <w:t>The results in Table 7</w:t>
      </w:r>
      <w:r w:rsidR="00452FE4">
        <w:t xml:space="preserve"> suggest the solar-heated glass production might be a viable alternative to an intermediate scale (~</w:t>
      </w:r>
      <w:r w:rsidR="006D33CC">
        <w:t xml:space="preserve">4 </w:t>
      </w:r>
      <w:r w:rsidR="00452FE4">
        <w:t>tpd) fossil fuelled day tank on, if the efficiency of the furnace could be improved from the current 16% to 30% (scenario 2b) and oil prices were at least around $</w:t>
      </w:r>
      <w:r w:rsidR="007D56FD">
        <w:t>5</w:t>
      </w:r>
      <w:r w:rsidR="00452FE4">
        <w:t>0-</w:t>
      </w:r>
      <w:r w:rsidR="007D56FD">
        <w:t>6</w:t>
      </w:r>
      <w:r w:rsidR="00452FE4">
        <w:t>0 per barrel. The solar power system for such a scheme would require a total initial capital investment of $1</w:t>
      </w:r>
      <w:r w:rsidR="006D33CC">
        <w:t>3</w:t>
      </w:r>
      <w:r w:rsidR="007D56FD">
        <w:t xml:space="preserve"> </w:t>
      </w:r>
      <w:r w:rsidR="006D33CC">
        <w:t xml:space="preserve">M </w:t>
      </w:r>
      <w:r w:rsidR="00452FE4">
        <w:t xml:space="preserve">and land area of 2 hectares (ha).  To put these numbers into perspective: the gross floor area of one of the largest glass bottle manufacturing facilities in Europe is around 14 ha </w:t>
      </w:r>
      <w:r w:rsidR="00452FE4">
        <w:fldChar w:fldCharType="begin" w:fldLock="1"/>
      </w:r>
      <w:r w:rsidR="00875DEE">
        <w:instrText>ADDIN CSL_CITATION { "citationItems" : [ { "id" : "ITEM-1", "itemData" : { "URL" : "http://www.packaging-gateway.com/projects/quinn/", "accessed" : { "date-parts" : [ [ "2016", "5", "11" ] ] }, "author" : [ { "dropping-particle" : "", "family" : "Packaging-Gateway", "given" : "", "non-dropping-particle" : "", "parse-names" : false, "suffix" : "" } ], "id" : "ITEM-1", "issued" : { "date-parts" : [ [ "2003" ] ] }, "title" : "Quinn Glass Bottle Production Facility, Elton, United Kingdom", "type" : "webpage" }, "uris" : [ "http://www.mendeley.com/documents/?uuid=a3a00349-b690-4218-b869-1e00f22f0112" ] } ], "mendeley" : { "formattedCitation" : "(Packaging-Gateway 2003)", "manualFormatting" : "(Packaging Gateway, 2003)", "plainTextFormattedCitation" : "(Packaging-Gateway 2003)", "previouslyFormattedCitation" : "(Packaging-Gateway 2003)" }, "properties" : { "noteIndex" : 0 }, "schema" : "https://github.com/citation-style-language/schema/raw/master/csl-citation.json" }</w:instrText>
      </w:r>
      <w:r w:rsidR="00452FE4">
        <w:fldChar w:fldCharType="separate"/>
      </w:r>
      <w:r w:rsidR="00452FE4">
        <w:rPr>
          <w:noProof/>
        </w:rPr>
        <w:t xml:space="preserve">(Packaging </w:t>
      </w:r>
      <w:r w:rsidR="00452FE4" w:rsidRPr="00AA5C2C">
        <w:rPr>
          <w:noProof/>
        </w:rPr>
        <w:t>Gateway, 2003)</w:t>
      </w:r>
      <w:r w:rsidR="00452FE4">
        <w:fldChar w:fldCharType="end"/>
      </w:r>
      <w:r w:rsidR="00452FE4">
        <w:t xml:space="preserve">; the area of the world’s largest field of heliostats for concentrated solar power generation is 1420 ha </w:t>
      </w:r>
      <w:r w:rsidR="00452FE4">
        <w:fldChar w:fldCharType="begin" w:fldLock="1"/>
      </w:r>
      <w:r w:rsidR="00875DEE">
        <w:instrText>ADDIN CSL_CITATION { "citationItems" : [ { "id" : "ITEM-1", "itemData" : { "URL" : "http://www.nrel.gov/csp/solarpaces/project_detail.cfm/projectID=62", "accessed" : { "date-parts" : [ [ "2016", "5", "12" ] ] }, "author" : [ { "dropping-particle" : "", "family" : "NREL", "given" : "", "non-dropping-particle" : "", "parse-names" : false, "suffix" : "" } ], "id" : "ITEM-1", "issued" : { "date-parts" : [ [ "2014" ] ] }, "title" : "Ivanpah Solar Electric Generating System", "type" : "webpage" }, "uris" : [ "http://www.mendeley.com/documents/?uuid=cb9d1905-62cd-43b6-bc52-14633a03d82a" ] } ], "mendeley" : { "formattedCitation" : "(NREL 2014)", "plainTextFormattedCitation" : "(NREL 2014)", "previouslyFormattedCitation" : "(NREL 2014)" }, "properties" : { "noteIndex" : 0 }, "schema" : "https://github.com/citation-style-language/schema/raw/master/csl-citation.json" }</w:instrText>
      </w:r>
      <w:r w:rsidR="00452FE4">
        <w:fldChar w:fldCharType="separate"/>
      </w:r>
      <w:r w:rsidR="00875DEE" w:rsidRPr="00875DEE">
        <w:rPr>
          <w:noProof/>
        </w:rPr>
        <w:t>(NREL 2014)</w:t>
      </w:r>
      <w:r w:rsidR="00452FE4">
        <w:fldChar w:fldCharType="end"/>
      </w:r>
      <w:r w:rsidR="00452FE4">
        <w:t xml:space="preserve">; and a typical cost for the construction of 250 tpd container glass furnace in Europe is </w:t>
      </w:r>
      <w:r w:rsidR="00452FE4">
        <w:rPr>
          <w:rFonts w:cs="Times New Roman"/>
        </w:rPr>
        <w:t>€</w:t>
      </w:r>
      <w:r w:rsidR="00452FE4">
        <w:t xml:space="preserve">40-50m </w:t>
      </w:r>
      <w:r w:rsidR="00452FE4">
        <w:fldChar w:fldCharType="begin" w:fldLock="1"/>
      </w:r>
      <w:r w:rsidR="00875DEE">
        <w:instrText>ADDIN CSL_CITATION { "citationItems" : [ { "id" : "ITEM-1", "itemData" : { "DOI" : "10.2791/69502", "ISBN" : "9789279282843", "ISSN" : "00104361", "author" : [ { "dropping-particle" : "", "family" : "European Commission", "given" : "", "non-dropping-particle" : "", "parse-names" : false, "suffix" : "" } ], "container-title" : "Joint Research Centre Reference Report", "editor" : [ { "dropping-particle" : "", "family" : "Scalet", "given" : "Bianca Maria", "non-dropping-particle" : "", "parse-names" : false, "suffix" : "" }, { "dropping-particle" : "", "family" : "Garcia Mu\u00f1oz", "given" : "Marcos", "non-dropping-particle" : "", "parse-names" : false, "suffix" : "" }, { "dropping-particle" : "", "family" : "Sissa Aivi", "given" : "Querol", "non-dropping-particle" : "", "parse-names" : false, "suffix" : "" }, { "dropping-particle" : "", "family" : "Roudier", "given" : "Serge", "non-dropping-particle" : "", "parse-names" : false, "suffix" : "" }, { "dropping-particle" : "", "family" : "Luis", "given" : "Delgado Sancho", "non-dropping-particle" : "", "parse-names" : false, "suffix" : "" } ], "id" : "ITEM-1", "issued" : { "date-parts" : [ [ "2013" ] ] }, "title" : "Best Available Techniques (BAT) Reference Document for the Manufacture of Glass", "type" : "book" }, "uris" : [ "http://www.mendeley.com/documents/?uuid=af2be950-2231-48b0-ab57-dd45a955155b" ] } ], "mendeley" : { "formattedCitation" : "(European Commission 2013)", "plainTextFormattedCitation" : "(European Commission 2013)", "previouslyFormattedCitation" : "(European Commission 2013)" }, "properties" : { "noteIndex" : 0 }, "schema" : "https://github.com/citation-style-language/schema/raw/master/csl-citation.json" }</w:instrText>
      </w:r>
      <w:r w:rsidR="00452FE4">
        <w:fldChar w:fldCharType="separate"/>
      </w:r>
      <w:r w:rsidR="00875DEE" w:rsidRPr="00875DEE">
        <w:rPr>
          <w:noProof/>
        </w:rPr>
        <w:t>(European Commission 2013)</w:t>
      </w:r>
      <w:r w:rsidR="00452FE4">
        <w:fldChar w:fldCharType="end"/>
      </w:r>
      <w:r w:rsidR="00452FE4">
        <w:t xml:space="preserve"> </w:t>
      </w:r>
      <w:r w:rsidR="00452FE4">
        <w:rPr>
          <w:rFonts w:cs="Times New Roman"/>
        </w:rPr>
        <w:t>≈</w:t>
      </w:r>
      <w:r w:rsidR="00452FE4">
        <w:t xml:space="preserve"> $45-56m.</w:t>
      </w:r>
    </w:p>
    <w:p w14:paraId="6B2C52B4" w14:textId="77777777" w:rsidR="00452FE4" w:rsidRDefault="00452FE4" w:rsidP="00EA4BBA">
      <w:r>
        <w:lastRenderedPageBreak/>
        <w:t xml:space="preserve">For smaller scales (&lt; 1 tpd glass production) the fuel savings are too small so the initial capital investment and running costs for the solar field are difficult to justify. The maximum scale-up, is limited by the local demand as if this is too large it would come into direct competition from conventional continuously operated glass furnaces which operate at much greater efficiencies, so as discussed it appears infeasible to compete in such scenarios. </w:t>
      </w:r>
    </w:p>
    <w:p w14:paraId="1E6DBD87" w14:textId="77777777" w:rsidR="00452FE4" w:rsidRPr="00F52EC2" w:rsidRDefault="00452FE4" w:rsidP="00415170">
      <w:pPr>
        <w:pStyle w:val="Heading3"/>
        <w:keepNext w:val="0"/>
        <w:keepLines w:val="0"/>
        <w:numPr>
          <w:ilvl w:val="2"/>
          <w:numId w:val="23"/>
        </w:numPr>
        <w:spacing w:before="0" w:after="160"/>
      </w:pPr>
      <w:r w:rsidRPr="00F52EC2">
        <w:t>Opportunities for future improvements</w:t>
      </w:r>
    </w:p>
    <w:p w14:paraId="730C9A83" w14:textId="6AF7C9A5" w:rsidR="00452FE4" w:rsidRDefault="00452FE4" w:rsidP="00EA4BBA">
      <w:r>
        <w:t xml:space="preserve">In the following sections, factors </w:t>
      </w:r>
      <w:r w:rsidR="00857514">
        <w:t>a</w:t>
      </w:r>
      <w:r>
        <w:t xml:space="preserve">ffecting the viability of future solar-heated glass production are discussed. In order for solar-heated glass production to be commercially viable in the future, there would need to be significant improvements both of the solar concentration technology and the solar-heated glass furnace itself. The exact extent to which these improvements are necessary for solar-heated glass production to become commercially viable is not determined quantitatively due to the issues discussed in section </w:t>
      </w:r>
      <w:r>
        <w:fldChar w:fldCharType="begin"/>
      </w:r>
      <w:r>
        <w:instrText xml:space="preserve"> REF _Ref451099956 \n \h </w:instrText>
      </w:r>
      <w:r>
        <w:fldChar w:fldCharType="separate"/>
      </w:r>
      <w:r w:rsidR="00820EB1">
        <w:t>6.5.4</w:t>
      </w:r>
      <w:r>
        <w:fldChar w:fldCharType="end"/>
      </w:r>
      <w:r>
        <w:t xml:space="preserve"> so they are discussed only qualitatively as follows. </w:t>
      </w:r>
    </w:p>
    <w:p w14:paraId="459095D1" w14:textId="77777777" w:rsidR="00452FE4" w:rsidRPr="0051537D" w:rsidRDefault="00452FE4" w:rsidP="00F3524F">
      <w:pPr>
        <w:pStyle w:val="Heading4"/>
        <w:keepNext w:val="0"/>
        <w:keepLines w:val="0"/>
        <w:numPr>
          <w:ilvl w:val="3"/>
          <w:numId w:val="23"/>
        </w:numPr>
        <w:spacing w:before="0" w:after="160"/>
        <w:ind w:left="1728"/>
      </w:pPr>
      <w:r w:rsidRPr="0051537D">
        <w:t>Intermittent heating</w:t>
      </w:r>
    </w:p>
    <w:p w14:paraId="56D04113" w14:textId="1B2EEF44" w:rsidR="00452FE4" w:rsidRDefault="00452FE4" w:rsidP="00EA4BBA">
      <w:r w:rsidRPr="00737BA0">
        <w:rPr>
          <w:i/>
        </w:rPr>
        <w:t xml:space="preserve"> </w:t>
      </w:r>
      <w:r>
        <w:t xml:space="preserve">The main waste of energy for the current solar-heated glass making process is associated with the need to hold the glass at around </w:t>
      </w:r>
      <w:r w:rsidR="009A4ECB">
        <w:t>1000-1100</w:t>
      </w:r>
      <w:r w:rsidR="009A4ECB">
        <w:rPr>
          <w:vertAlign w:val="superscript"/>
        </w:rPr>
        <w:t>o</w:t>
      </w:r>
      <w:r w:rsidR="009A4ECB">
        <w:t>C</w:t>
      </w:r>
      <w:r>
        <w:t xml:space="preserve"> when there is no solar radiation available, during which time no new glass can be produced. This has particularly great negative effect on the commercial viability of the process because the cost of storing solar energy is very expensive.  This could be partially addressed by using thicker, insulation walls with lower thermal conductivity to minimise the power demand over this period. However, degree to which insulation could be improved insulation is limited by cost. Also, for the currently proposed mode of operation, it is necessary to allow the glass temperature to cool every day from the fining temperature of 1500</w:t>
      </w:r>
      <w:r>
        <w:rPr>
          <w:vertAlign w:val="superscript"/>
        </w:rPr>
        <w:t>o</w:t>
      </w:r>
      <w:r>
        <w:t>C to 1200</w:t>
      </w:r>
      <w:r>
        <w:rPr>
          <w:vertAlign w:val="superscript"/>
        </w:rPr>
        <w:t>o</w:t>
      </w:r>
      <w:r>
        <w:t>C in order for the glass to be at the correct viscosity to undergo the subsequent forming processes. Then, it must be reheated to 1500</w:t>
      </w:r>
      <w:r>
        <w:rPr>
          <w:vertAlign w:val="superscript"/>
        </w:rPr>
        <w:t>o</w:t>
      </w:r>
      <w:r>
        <w:t xml:space="preserve">C again before restarting melting again. So, there is an associated necessary waste of heat for this cyclical mode of operation which limits the degree to which increasing insulation can be used to improve the overall efficiency. So, this problem could be addressed in the future by developing a new type of glass furnace which would be operated intermittently. </w:t>
      </w:r>
    </w:p>
    <w:p w14:paraId="0E5D610E" w14:textId="71385BFA" w:rsidR="00D72920" w:rsidRDefault="00452FE4" w:rsidP="00F3524F">
      <w:pPr>
        <w:pStyle w:val="Heading4"/>
        <w:keepNext w:val="0"/>
        <w:keepLines w:val="0"/>
        <w:numPr>
          <w:ilvl w:val="3"/>
          <w:numId w:val="23"/>
        </w:numPr>
        <w:spacing w:before="0" w:after="160"/>
        <w:ind w:left="1728"/>
      </w:pPr>
      <w:bookmarkStart w:id="252" w:name="_Ref446720130"/>
      <w:r w:rsidRPr="0051537D">
        <w:t>Alternative solar concentrating system</w:t>
      </w:r>
      <w:bookmarkEnd w:id="252"/>
      <w:r w:rsidRPr="0051537D">
        <w:t xml:space="preserve"> </w:t>
      </w:r>
    </w:p>
    <w:p w14:paraId="2F60FFD3" w14:textId="2841291C" w:rsidR="00452FE4" w:rsidRPr="006D302C" w:rsidRDefault="00452FE4" w:rsidP="00EA4BBA">
      <w:pPr>
        <w:rPr>
          <w:i/>
        </w:rPr>
      </w:pPr>
      <w:r w:rsidRPr="00333A58">
        <w:t>Recently</w:t>
      </w:r>
      <w:r>
        <w:t>,</w:t>
      </w:r>
      <w:r w:rsidRPr="00333A58">
        <w:t xml:space="preserve"> an alternative beam-down </w:t>
      </w:r>
      <w:r>
        <w:t xml:space="preserve">solar concentration system </w:t>
      </w:r>
      <w:r w:rsidRPr="00333A58">
        <w:t xml:space="preserve">design has been described </w:t>
      </w:r>
      <w:r>
        <w:t xml:space="preserve">by </w:t>
      </w:r>
      <w:r w:rsidRPr="00333A58">
        <w:fldChar w:fldCharType="begin" w:fldLock="1"/>
      </w:r>
      <w:r w:rsidR="00875DEE">
        <w:instrText>ADDIN CSL_CITATION { "citationItems" : [ { "id" : "ITEM-1", "itemData" : { "author" : [ { "dropping-particle" : "", "family" : "Siegel", "given" : "Nathan P", "non-dropping-particle" : "", "parse-names" : false, "suffix" : "" }, { "dropping-particle" : "", "family" : "Ermanoski", "given" : "Ivan", "non-dropping-particle" : "", "parse-names" : false, "suffix" : "" } ], "container-title" : "ASME Solar Conference", "id" : "ITEM-1", "issued" : { "date-parts" : [ [ "2013" ] ] }, "publisher-place" : "Minneapolis", "title" : "A Beam-Down Central Receiver for Solar Thermochemical Hydrogen Production", "type" : "paper-conference" }, "uris" : [ "http://www.mendeley.com/documents/?uuid=fc52f807-9b04-4653-9d5d-5cbc4f54a276", "http://www.mendeley.com/documents/?uuid=3cca1012-da55-49f0-bbbf-6f17ba4de422" ] } ], "mendeley" : { "formattedCitation" : "(Siegel &amp; Ermanoski 2013)", "manualFormatting" : "Siegel &amp; Ermanoski (2013)", "plainTextFormattedCitation" : "(Siegel &amp; Ermanoski 2013)", "previouslyFormattedCitation" : "(Siegel &amp; Ermanoski 2013)" }, "properties" : { "noteIndex" : 0 }, "schema" : "https://github.com/citation-style-language/schema/raw/master/csl-citation.json" }</w:instrText>
      </w:r>
      <w:r w:rsidRPr="00333A58">
        <w:fldChar w:fldCharType="separate"/>
      </w:r>
      <w:r>
        <w:rPr>
          <w:noProof/>
        </w:rPr>
        <w:t>Siegel &amp; Ermanoski</w:t>
      </w:r>
      <w:r w:rsidRPr="00333A58">
        <w:rPr>
          <w:noProof/>
        </w:rPr>
        <w:t xml:space="preserve"> </w:t>
      </w:r>
      <w:r>
        <w:rPr>
          <w:noProof/>
        </w:rPr>
        <w:t>(</w:t>
      </w:r>
      <w:r w:rsidRPr="00333A58">
        <w:rPr>
          <w:noProof/>
        </w:rPr>
        <w:t>2013)</w:t>
      </w:r>
      <w:r w:rsidRPr="00333A58">
        <w:fldChar w:fldCharType="end"/>
      </w:r>
      <w:r>
        <w:t xml:space="preserve"> which</w:t>
      </w:r>
      <w:r w:rsidRPr="00333A58">
        <w:t xml:space="preserve"> uses a horizontal flat mirror close to the focal point of the heliostats instead of the hyperbolic mirror, avoiding the need of a secondary concentration by placing the solar reactor/receiver near the top of the tower.</w:t>
      </w:r>
      <w:r>
        <w:t xml:space="preserve"> This</w:t>
      </w:r>
      <w:r w:rsidRPr="00A41C69">
        <w:t xml:space="preserve"> </w:t>
      </w:r>
      <w:r>
        <w:t>system</w:t>
      </w:r>
      <w:r w:rsidRPr="00A41C69">
        <w:t xml:space="preserve"> was designed </w:t>
      </w:r>
      <w:r>
        <w:t xml:space="preserve">to deliver a vertical beam into a </w:t>
      </w:r>
      <w:r w:rsidRPr="00A41C69">
        <w:t xml:space="preserve">solar thermo-chemical </w:t>
      </w:r>
      <w:r>
        <w:t>receiver-reactor operating</w:t>
      </w:r>
      <w:r w:rsidRPr="00A41C69">
        <w:t xml:space="preserve"> at</w:t>
      </w:r>
      <w:r>
        <w:t xml:space="preserve"> a process temperature of</w:t>
      </w:r>
      <w:r w:rsidRPr="00A41C69">
        <w:t xml:space="preserve"> 1500</w:t>
      </w:r>
      <w:r w:rsidRPr="00A41C69">
        <w:rPr>
          <w:vertAlign w:val="superscript"/>
        </w:rPr>
        <w:t>o</w:t>
      </w:r>
      <w:r w:rsidRPr="00A41C69">
        <w:t>C</w:t>
      </w:r>
      <w:r>
        <w:t>, similar to a solar-heated glass furnace.</w:t>
      </w:r>
      <w:r w:rsidRPr="00A41C69">
        <w:t xml:space="preserve"> </w:t>
      </w:r>
      <w:r>
        <w:t xml:space="preserve">The use of a concentric tubular heat exchanger </w:t>
      </w:r>
      <w:r>
        <w:lastRenderedPageBreak/>
        <w:t xml:space="preserve">around the focal spot of the beam was proposed to capture the lower intensity radiation around the focal spot of the beam to </w:t>
      </w:r>
      <w:r w:rsidRPr="00A41C69">
        <w:t>gene</w:t>
      </w:r>
      <w:r>
        <w:t>rate</w:t>
      </w:r>
      <w:r w:rsidRPr="00A41C69">
        <w:t xml:space="preserve"> </w:t>
      </w:r>
      <w:r>
        <w:t>800</w:t>
      </w:r>
      <w:r>
        <w:rPr>
          <w:vertAlign w:val="superscript"/>
        </w:rPr>
        <w:t>o</w:t>
      </w:r>
      <w:r>
        <w:t>C</w:t>
      </w:r>
      <w:r w:rsidRPr="00A41C69">
        <w:t xml:space="preserve"> steam to drive </w:t>
      </w:r>
      <w:r>
        <w:t xml:space="preserve">a </w:t>
      </w:r>
      <w:r w:rsidRPr="00A41C69">
        <w:t>thermochemical</w:t>
      </w:r>
      <w:r>
        <w:t xml:space="preserve"> reaction</w:t>
      </w:r>
      <w:r w:rsidRPr="00A41C69">
        <w:t xml:space="preserve"> for the generation of hydrogen</w:t>
      </w:r>
      <w:r>
        <w:t xml:space="preserve">, while </w:t>
      </w:r>
      <w:r w:rsidRPr="00A41C69">
        <w:t xml:space="preserve">leaving the highest </w:t>
      </w:r>
      <w:r>
        <w:t xml:space="preserve">intensity radiation, nearest the centre of the focal spot of the beam, at an average of concentration ratio of C=3000 </w:t>
      </w:r>
      <w:r w:rsidRPr="00A41C69">
        <w:t xml:space="preserve">to enter </w:t>
      </w:r>
      <w:r>
        <w:t>a</w:t>
      </w:r>
      <w:r w:rsidRPr="00A41C69">
        <w:t xml:space="preserve"> reactor</w:t>
      </w:r>
      <w:r w:rsidR="009A4ECB">
        <w:t xml:space="preserve"> </w:t>
      </w:r>
      <w:r w:rsidRPr="00A41C69">
        <w:t>aperture.</w:t>
      </w:r>
      <w:r>
        <w:t xml:space="preserve"> This proposed use of a heat exchanger around the beam inlet aperture which capture</w:t>
      </w:r>
      <w:r w:rsidR="009A4ECB">
        <w:t>d</w:t>
      </w:r>
      <w:r>
        <w:t xml:space="preserve"> the otherwise spilt radiation around the beam inlet aperture to generate fuels raises a particularly interesting option for efficiently meeting the overnight heat requirements for the proposed solar-heated glass production as discussed in section </w:t>
      </w:r>
      <w:r>
        <w:fldChar w:fldCharType="begin"/>
      </w:r>
      <w:r>
        <w:instrText xml:space="preserve"> REF _Ref446597325 \n \h </w:instrText>
      </w:r>
      <w:r>
        <w:fldChar w:fldCharType="separate"/>
      </w:r>
      <w:r w:rsidR="00820EB1">
        <w:t>6.5.1.3</w:t>
      </w:r>
      <w:r>
        <w:fldChar w:fldCharType="end"/>
      </w:r>
      <w:r>
        <w:t>. Also, the high beam intensity at the beam inlet aperture could enable significantly improved glass melting efficiencies as illustrated by setting C</w:t>
      </w:r>
      <w:r>
        <w:rPr>
          <w:vertAlign w:val="subscript"/>
        </w:rPr>
        <w:t xml:space="preserve"> </w:t>
      </w:r>
      <w:r>
        <w:t xml:space="preserve">=3000 in </w:t>
      </w:r>
      <w:r>
        <w:fldChar w:fldCharType="begin"/>
      </w:r>
      <w:r>
        <w:instrText xml:space="preserve"> REF _Ref444622774 \h </w:instrText>
      </w:r>
      <w:r>
        <w:fldChar w:fldCharType="separate"/>
      </w:r>
      <w:r w:rsidR="00820EB1" w:rsidRPr="00333A58">
        <w:t xml:space="preserve">Equation </w:t>
      </w:r>
      <w:r w:rsidR="00820EB1">
        <w:rPr>
          <w:noProof/>
        </w:rPr>
        <w:t>28</w:t>
      </w:r>
      <w:r>
        <w:fldChar w:fldCharType="end"/>
      </w:r>
      <w:r>
        <w:t xml:space="preserve">, which gives an increased </w:t>
      </w:r>
      <w:r w:rsidRPr="00762CD1">
        <w:rPr>
          <w:i/>
        </w:rPr>
        <w:t>ideal</w:t>
      </w:r>
      <w:r>
        <w:t xml:space="preserve"> efficiency of the solar-heated glass furnace of </w:t>
      </w:r>
      <m:oMath>
        <m:sSub>
          <m:sSubPr>
            <m:ctrlPr>
              <w:rPr>
                <w:rFonts w:ascii="Cambria Math" w:hAnsi="Cambria Math"/>
                <w:i/>
              </w:rPr>
            </m:ctrlPr>
          </m:sSubPr>
          <m:e>
            <m:r>
              <w:rPr>
                <w:rFonts w:ascii="Cambria Math" w:hAnsi="Cambria Math"/>
              </w:rPr>
              <m:t>η</m:t>
            </m:r>
          </m:e>
          <m:sub>
            <m:r>
              <w:rPr>
                <w:rFonts w:ascii="Cambria Math" w:hAnsi="Cambria Math"/>
              </w:rPr>
              <m:t>gf ideal</m:t>
            </m:r>
          </m:sub>
        </m:sSub>
        <m:r>
          <w:rPr>
            <w:rFonts w:ascii="Cambria Math" w:hAnsi="Cambria Math"/>
          </w:rPr>
          <m:t>= 64%</m:t>
        </m:r>
      </m:oMath>
      <w:r>
        <w:t xml:space="preserve">. Also, the potential avoidance of a CPC secondary concentrator at the beam inlet would also be advantageous for a solar-heated glass melting furnace as it would avoid any potential issues related to the degradation of the CPC which could be expected due its otherwise necessary location near the harsh environment of the glass melting furnace. However, a disadvantage of this system compared to the conventional beam down systems, is the need to elevate the solar-heated glass furnace to a point close the mirror at the top of a tower as this would incur significant cost and operational difficulties compared to locating the furnace at ground level. </w:t>
      </w:r>
    </w:p>
    <w:p w14:paraId="3742FBCC" w14:textId="77777777" w:rsidR="00452FE4" w:rsidRPr="0051537D" w:rsidRDefault="00452FE4" w:rsidP="00F3524F">
      <w:pPr>
        <w:pStyle w:val="Heading4"/>
        <w:keepNext w:val="0"/>
        <w:keepLines w:val="0"/>
        <w:numPr>
          <w:ilvl w:val="3"/>
          <w:numId w:val="23"/>
        </w:numPr>
        <w:spacing w:before="0" w:after="160"/>
        <w:ind w:left="1728"/>
      </w:pPr>
      <w:r w:rsidRPr="0051537D">
        <w:t xml:space="preserve">Heliostats </w:t>
      </w:r>
    </w:p>
    <w:p w14:paraId="1FC29927" w14:textId="4209A51D" w:rsidR="00452FE4" w:rsidRDefault="00452FE4" w:rsidP="00EA4BBA">
      <w:r>
        <w:t xml:space="preserve">The main cost of any beam-down solar concentration systems is the heliostat field, so reducing the cost of the heliostats would have a significant impact on the overall cost of solar-heated glass production. Usually, heliostat are fixed structures which require substantial concrete foundations and rigid steel frames in order to ensure they maintain their exactly position under wind loads. The great number of heliostats required and the precision necessary to provide the high optical quality over such a large area makes them expensive. However, a new type of heliostat technology is currently being developed, called </w:t>
      </w:r>
      <w:r>
        <w:rPr>
          <w:i/>
        </w:rPr>
        <w:t>Helio</w:t>
      </w:r>
      <w:r w:rsidRPr="00443989">
        <w:rPr>
          <w:i/>
        </w:rPr>
        <w:t>100</w:t>
      </w:r>
      <w:r>
        <w:rPr>
          <w:i/>
        </w:rPr>
        <w:t xml:space="preserve"> </w:t>
      </w:r>
      <w:r>
        <w:rPr>
          <w:i/>
        </w:rPr>
        <w:fldChar w:fldCharType="begin" w:fldLock="1"/>
      </w:r>
      <w:r w:rsidR="00875DEE">
        <w:rPr>
          <w:i/>
        </w:rPr>
        <w:instrText>ADDIN CSL_CITATION { "citationItems" : [ { "id" : "ITEM-1", "itemData" : { "author" : [ { "dropping-particle" : "", "family" : "Hess", "given" : "Stefan", "non-dropping-particle" : "", "parse-names" : false, "suffix" : "" } ], "container-title" : "IAE, SHC Task 49, 8th Expert Meeting", "id" : "ITEM-1", "issued" : { "date-parts" : [ [ "2015" ] ] }, "publisher-place" : "Montpellier, France", "title" : "Helio 100", "type" : "paper-conference" }, "uris" : [ "http://www.mendeley.com/documents/?uuid=2f5075ff-a44b-4623-938c-0adb29782137" ] } ], "mendeley" : { "formattedCitation" : "(Hess 2015)", "plainTextFormattedCitation" : "(Hess 2015)", "previouslyFormattedCitation" : "(Hess 2015)" }, "properties" : { "noteIndex" : 0 }, "schema" : "https://github.com/citation-style-language/schema/raw/master/csl-citation.json" }</w:instrText>
      </w:r>
      <w:r>
        <w:rPr>
          <w:i/>
        </w:rPr>
        <w:fldChar w:fldCharType="separate"/>
      </w:r>
      <w:r w:rsidR="00875DEE" w:rsidRPr="00875DEE">
        <w:rPr>
          <w:noProof/>
        </w:rPr>
        <w:t>(Hess 2015)</w:t>
      </w:r>
      <w:r>
        <w:rPr>
          <w:i/>
        </w:rPr>
        <w:fldChar w:fldCharType="end"/>
      </w:r>
      <w:r>
        <w:rPr>
          <w:i/>
        </w:rPr>
        <w:t xml:space="preserve">, </w:t>
      </w:r>
      <w:r>
        <w:rPr>
          <w:i/>
        </w:rPr>
        <w:fldChar w:fldCharType="begin" w:fldLock="1"/>
      </w:r>
      <w:r w:rsidR="00875DEE">
        <w:rPr>
          <w:i/>
        </w:rPr>
        <w:instrText>ADDIN CSL_CITATION { "citationItems" : [ { "id" : "ITEM-1", "itemData" : { "URL" : "http://www.sun.ac.za/english/Lists/news/DispForm.aspx?ID=2863", "accessed" : { "date-parts" : [ [ "2016", "3", "12" ] ] }, "author" : [ { "dropping-particle" : "", "family" : "Bemarking", "given" : "Korporatiewe", "non-dropping-particle" : "", "parse-names" : false, "suffix" : "" } ], "container-title" : "Stellenbosch University Website", "id" : "ITEM-1", "issued" : { "date-parts" : [ [ "2015" ] ] }, "title" : "Helio100 promises cost-effective solar power breakthrough", "type" : "webpage" }, "uris" : [ "http://www.mendeley.com/documents/?uuid=f41e40df-0a92-4b16-ab38-35dbd1b97dba" ] } ], "mendeley" : { "formattedCitation" : "(Bemarking 2015)", "plainTextFormattedCitation" : "(Bemarking 2015)", "previouslyFormattedCitation" : "(Bemarking 2015)" }, "properties" : { "noteIndex" : 0 }, "schema" : "https://github.com/citation-style-language/schema/raw/master/csl-citation.json" }</w:instrText>
      </w:r>
      <w:r>
        <w:rPr>
          <w:i/>
        </w:rPr>
        <w:fldChar w:fldCharType="separate"/>
      </w:r>
      <w:r w:rsidR="00875DEE" w:rsidRPr="00875DEE">
        <w:rPr>
          <w:noProof/>
        </w:rPr>
        <w:t>(Bemarking 2015)</w:t>
      </w:r>
      <w:r>
        <w:rPr>
          <w:i/>
        </w:rPr>
        <w:fldChar w:fldCharType="end"/>
      </w:r>
      <w:r>
        <w:t xml:space="preserve">, which is a new type of heliostat technology whereby the heliostat mirror is mounted on a lightweight, portable frame which is specially designed so that each heliostat can be easily lifted and placed in the field. Then, the heliostat uses a GPS system to automatically decide what angle it should face its mirror based on its relative position to the focal point. </w:t>
      </w:r>
      <w:r w:rsidR="00415170">
        <w:t>It is claimed that this will</w:t>
      </w:r>
      <w:r w:rsidR="00415170" w:rsidDel="00415170">
        <w:t xml:space="preserve"> </w:t>
      </w:r>
      <w:r>
        <w:t xml:space="preserve">dramatically reduce the setup costs for the instalment of the heliostat field and especially beneficial for small scale solar concentration systems as envisaged for the solar-heated glass furnace. </w:t>
      </w:r>
    </w:p>
    <w:p w14:paraId="077A310F" w14:textId="77777777" w:rsidR="00452FE4" w:rsidRPr="0051537D" w:rsidRDefault="00452FE4" w:rsidP="00F3524F">
      <w:pPr>
        <w:pStyle w:val="Heading4"/>
        <w:keepNext w:val="0"/>
        <w:keepLines w:val="0"/>
        <w:numPr>
          <w:ilvl w:val="3"/>
          <w:numId w:val="23"/>
        </w:numPr>
        <w:spacing w:before="0" w:after="160"/>
        <w:ind w:left="1728"/>
      </w:pPr>
      <w:r w:rsidRPr="0051537D">
        <w:t xml:space="preserve">Alternative solutions for overnight heat provision </w:t>
      </w:r>
    </w:p>
    <w:p w14:paraId="75B8AF4A" w14:textId="5B4CDDE6" w:rsidR="00452FE4" w:rsidRPr="007F23B5" w:rsidRDefault="00415170" w:rsidP="00EA4BBA">
      <w:pPr>
        <w:rPr>
          <w:i/>
        </w:rPr>
      </w:pPr>
      <w:r>
        <w:t>As explained</w:t>
      </w:r>
      <w:r w:rsidR="00452FE4">
        <w:t xml:space="preserve"> in section</w:t>
      </w:r>
      <w:r>
        <w:t xml:space="preserve"> </w:t>
      </w:r>
      <w:r w:rsidR="00E26268">
        <w:fldChar w:fldCharType="begin"/>
      </w:r>
      <w:r w:rsidR="00E26268">
        <w:instrText xml:space="preserve"> REF _Ref457072334 \n \h </w:instrText>
      </w:r>
      <w:r w:rsidR="00E26268">
        <w:fldChar w:fldCharType="separate"/>
      </w:r>
      <w:r w:rsidR="00820EB1">
        <w:t>6.5.1</w:t>
      </w:r>
      <w:r w:rsidR="00E26268">
        <w:fldChar w:fldCharType="end"/>
      </w:r>
      <w:r w:rsidR="00452FE4">
        <w:t xml:space="preserve">, the heat required during periods where direct solar radiation would be unavailable, was assumed to be provided by a field of solar photovoltaic panels which </w:t>
      </w:r>
      <w:r w:rsidR="00452FE4">
        <w:lastRenderedPageBreak/>
        <w:t xml:space="preserve">capture excess solar energy and store it in batteries while it is available. This scenario was selected in order to satisfy the original design </w:t>
      </w:r>
      <w:r w:rsidR="00E26268">
        <w:t xml:space="preserve">concept </w:t>
      </w:r>
      <w:r w:rsidR="00452FE4">
        <w:t>of a ‘solar powered’ glass furnace</w:t>
      </w:r>
      <w:r w:rsidR="00E26268">
        <w:t xml:space="preserve">. Also, it was convenient because large scale </w:t>
      </w:r>
      <w:r w:rsidR="00452FE4">
        <w:t xml:space="preserve">photovoltaics and battery energy storage </w:t>
      </w:r>
      <w:r w:rsidR="00E26268">
        <w:t xml:space="preserve">systems </w:t>
      </w:r>
      <w:r w:rsidR="00452FE4">
        <w:t>are</w:t>
      </w:r>
      <w:r w:rsidR="00E26268">
        <w:t xml:space="preserve"> already</w:t>
      </w:r>
      <w:r w:rsidR="00452FE4">
        <w:t xml:space="preserve"> commercially available</w:t>
      </w:r>
      <w:r w:rsidR="00E26268">
        <w:t xml:space="preserve"> and so</w:t>
      </w:r>
      <w:r w:rsidR="00452FE4">
        <w:t xml:space="preserve"> the relevant parameters for the analysis were</w:t>
      </w:r>
      <w:r w:rsidR="00E26268">
        <w:t xml:space="preserve"> readily</w:t>
      </w:r>
      <w:r w:rsidR="00452FE4">
        <w:t xml:space="preserve"> </w:t>
      </w:r>
      <w:r w:rsidR="00E26268">
        <w:t xml:space="preserve">available </w:t>
      </w:r>
      <w:r w:rsidR="00452FE4">
        <w:t xml:space="preserve">from the </w:t>
      </w:r>
      <w:r w:rsidR="00E26268">
        <w:t>literature</w:t>
      </w:r>
      <w:r w:rsidR="00452FE4">
        <w:t>. However, if these constraints were allowed to be relaxed, the following alternative options for provision of heat demand during periods of solar radiation unavailability could be considered.</w:t>
      </w:r>
    </w:p>
    <w:p w14:paraId="4929957B" w14:textId="37D0D12E" w:rsidR="00452FE4" w:rsidRPr="003B72C9" w:rsidRDefault="00452FE4" w:rsidP="00EA4BBA">
      <w:r>
        <w:rPr>
          <w:i/>
        </w:rPr>
        <w:t xml:space="preserve">Thermal Energy Storage (TES): </w:t>
      </w:r>
      <w:r>
        <w:t xml:space="preserve">While solar radiation is available, it could be concentrated and absorbed either directly or indirectly (see section 2.3.3) into a material, which is well insulated to either increase in temperature and/or changes phase thereby storing the solar radiation in the form of sensible or latent heat respectively. </w:t>
      </w:r>
      <w:r>
        <w:fldChar w:fldCharType="begin" w:fldLock="1"/>
      </w:r>
      <w:r w:rsidR="00875DEE">
        <w:instrText>ADDIN CSL_CITATION { "citationItems" : [ { "id" : "ITEM-1", "itemData" : { "DOI" : "10.1016/j.rser.2015.09.026", "ISSN" : "1364-0321", "author" : [ { "dropping-particle" : "", "family" : "Liu", "given" : "Ming", "non-dropping-particle" : "", "parse-names" : false, "suffix" : "" }, { "dropping-particle" : "", "family" : "Tay", "given" : "N H Steven", "non-dropping-particle" : "", "parse-names" : false, "suffix" : "" }, { "dropping-particle" : "", "family" : "Bell", "given" : "Stuart", "non-dropping-particle" : "", "parse-names" : false, "suffix" : "" }, { "dropping-particle" : "", "family" : "Belusko", "given" : "Martin", "non-dropping-particle" : "", "parse-names" : false, "suffix" : "" }, { "dropping-particle" : "", "family" : "Jacob", "given" : "Rhys", "non-dropping-particle" : "", "parse-names" : false, "suffix" : "" }, { "dropping-particle" : "", "family" : "Will", "given" : "Geoffrey", "non-dropping-particle" : "", "parse-names" : false, "suffix" : "" }, { "dropping-particle" : "", "family" : "Saman", "given" : "Wasim", "non-dropping-particle" : "", "parse-names" : false, "suffix" : "" }, { "dropping-particle" : "", "family" : "Bruno", "given" : "Frank", "non-dropping-particle" : "", "parse-names" : false, "suffix" : "" } ], "container-title" : "Renewable and Sustainable Energy Reviews", "id" : "ITEM-1", "issued" : { "date-parts" : [ [ "2016" ] ] }, "page" : "1411-1432", "publisher" : "Elsevier", "title" : "Review on concentrating solar power plants and new developments in high temperature thermal energy storage technologies", "type" : "article-journal", "volume" : "53" }, "uris" : [ "http://www.mendeley.com/documents/?uuid=2646ab3e-09f0-4298-ab41-a066dcdc27a4" ] } ], "mendeley" : { "formattedCitation" : "(Liu et al. 2016)", "manualFormatting" : "Liu et al (2016)", "plainTextFormattedCitation" : "(Liu et al. 2016)", "previouslyFormattedCitation" : "(Liu et al. 2016)" }, "properties" : { "noteIndex" : 0 }, "schema" : "https://github.com/citation-style-language/schema/raw/master/csl-citation.json" }</w:instrText>
      </w:r>
      <w:r>
        <w:fldChar w:fldCharType="separate"/>
      </w:r>
      <w:r w:rsidRPr="003B72C9">
        <w:rPr>
          <w:noProof/>
        </w:rPr>
        <w:t xml:space="preserve">Liu </w:t>
      </w:r>
      <w:r>
        <w:rPr>
          <w:noProof/>
        </w:rPr>
        <w:t>et al</w:t>
      </w:r>
      <w:r w:rsidRPr="003B72C9">
        <w:rPr>
          <w:noProof/>
        </w:rPr>
        <w:t xml:space="preserve"> </w:t>
      </w:r>
      <w:r>
        <w:rPr>
          <w:noProof/>
        </w:rPr>
        <w:t>(</w:t>
      </w:r>
      <w:r w:rsidRPr="003B72C9">
        <w:rPr>
          <w:noProof/>
        </w:rPr>
        <w:t>2016)</w:t>
      </w:r>
      <w:r>
        <w:fldChar w:fldCharType="end"/>
      </w:r>
      <w:r>
        <w:t xml:space="preserve"> provides a review of TES systems for storing concentrated solar energy. In theory, this would be ideal solution to meet the backup power demand of a solar-heated glass furnace as it involves minimal energy conversions from solar radiation to the heat required. However, in practise, storing the high temperature of heat required for a glass furnace is difficult and so no such commercially available systems exist yet.</w:t>
      </w:r>
    </w:p>
    <w:p w14:paraId="5B58633A" w14:textId="2EE9A3C3" w:rsidR="00452FE4" w:rsidRDefault="00452FE4" w:rsidP="00EA4BBA">
      <w:r w:rsidRPr="0074326B">
        <w:rPr>
          <w:i/>
        </w:rPr>
        <w:t>Solar fuels</w:t>
      </w:r>
      <w:r>
        <w:t>: Alternatively, solar energy could be stored in the form of chemical potential energy while it is available by using the heat from concentrated solar radiation to effect a thermo-chemical reactions to generate combustible fuels such as hydrogen via two-step water-splitting reactions (</w:t>
      </w:r>
      <w:r w:rsidR="00751BE9">
        <w:t xml:space="preserve">e.g. see </w:t>
      </w:r>
      <w:r w:rsidR="00751BE9">
        <w:fldChar w:fldCharType="begin" w:fldLock="1"/>
      </w:r>
      <w:r w:rsidR="00F534DE">
        <w:instrText>ADDIN CSL_CITATION { "citationItems" : [ { "id" : "ITEM-1", "itemData" : { "DOI" : "10.1016/S0360-1285(03)00059-5", "ISBN" : "8125262733", "ISSN" : "03601285", "author" : [ { "dropping-particle" : "", "family" : "Kodama", "given" : "T.", "non-dropping-particle" : "", "parse-names" : false, "suffix" : "" } ], "container-title" : "Progress in Energy and Combustion Science", "id" : "ITEM-1", "issue" : "6", "issued" : { "date-parts" : [ [ "2003", "1" ] ] }, "number-of-pages" : "567-597", "title" : "High-temperature solar chemistry for converting solar heat to chemical fuels", "type" : "book", "volume" : "29" }, "uris" : [ "http://www.mendeley.com/documents/?uuid=572ae611-5a3b-4df9-bf9d-14ab4341b8f6" ] } ], "mendeley" : { "formattedCitation" : "(Kodama 2003)", "plainTextFormattedCitation" : "(Kodama 2003)", "previouslyFormattedCitation" : "(Kodama 2003)" }, "properties" : { "noteIndex" : 0 }, "schema" : "https://github.com/citation-style-language/schema/raw/master/csl-citation.json" }</w:instrText>
      </w:r>
      <w:r w:rsidR="00751BE9">
        <w:fldChar w:fldCharType="separate"/>
      </w:r>
      <w:r w:rsidR="00751BE9" w:rsidRPr="00751BE9">
        <w:rPr>
          <w:noProof/>
        </w:rPr>
        <w:t>(Kodama 2003)</w:t>
      </w:r>
      <w:r w:rsidR="00751BE9">
        <w:fldChar w:fldCharType="end"/>
      </w:r>
      <w:r>
        <w:t xml:space="preserve">) and the heat required when solar radiation is unavailable could be provided by ordinary combustion of these </w:t>
      </w:r>
      <w:r>
        <w:rPr>
          <w:i/>
        </w:rPr>
        <w:t xml:space="preserve">solar </w:t>
      </w:r>
      <w:r w:rsidRPr="00D54350">
        <w:rPr>
          <w:i/>
        </w:rPr>
        <w:t>fuels</w:t>
      </w:r>
      <w:r>
        <w:rPr>
          <w:i/>
          <w:vertAlign w:val="superscript"/>
        </w:rPr>
        <w:t xml:space="preserve"> </w:t>
      </w:r>
      <w:r>
        <w:fldChar w:fldCharType="begin" w:fldLock="1"/>
      </w:r>
      <w:r w:rsidR="00875DEE">
        <w:instrText>ADDIN CSL_CITATION { "citationItems" : [ { "id" : "ITEM-1", "itemData" : { "author" : [ { "dropping-particle" : "", "family" : "Steinfeld", "given" : "Aldo", "non-dropping-particle" : "", "parse-names" : false, "suffix" : "" } ], "container-title" : "Solar Fuels and Materials", "id" : "ITEM-1", "issued" : { "date-parts" : [ [ "2004" ] ] }, "page" : "623-637", "title" : "Solar Fuels and Materials", "type" : "article-journal", "volume" : "5" }, "uris" : [ "http://www.mendeley.com/documents/?uuid=4d9c6e4d-2c6f-4f04-849c-c7de707c55be" ] } ], "mendeley" : { "formattedCitation" : "(Steinfeld 2004)", "plainTextFormattedCitation" : "(Steinfeld 2004)", "previouslyFormattedCitation" : "(Steinfeld 2004)" }, "properties" : { "noteIndex" : 0 }, "schema" : "https://github.com/citation-style-language/schema/raw/master/csl-citation.json" }</w:instrText>
      </w:r>
      <w:r>
        <w:fldChar w:fldCharType="separate"/>
      </w:r>
      <w:r w:rsidR="00875DEE" w:rsidRPr="00875DEE">
        <w:rPr>
          <w:noProof/>
        </w:rPr>
        <w:t>(Steinfeld 2004)</w:t>
      </w:r>
      <w:r>
        <w:fldChar w:fldCharType="end"/>
      </w:r>
      <w:r>
        <w:t>. One advantage of using solar fuels over TES is that the energy density of solar fuels are generally much higher than that of materials for TES. Also, the heat losses associated with storage at high temperature can be avoided by use of solar fuels instead of TES.  Furthermore, the high temperatures required for the glass furnace can be much more easily achieved by combustion of solar fuels. In fact, not only could the minimal temperature of 1200</w:t>
      </w:r>
      <w:r>
        <w:rPr>
          <w:vertAlign w:val="superscript"/>
        </w:rPr>
        <w:t>o</w:t>
      </w:r>
      <w:r>
        <w:t>C required for sustaining the safe operating temperature in a glass furnace could be sustained but by combustion of solar fuels the primary energy required for glass melting and fining at 1500</w:t>
      </w:r>
      <w:r>
        <w:rPr>
          <w:vertAlign w:val="superscript"/>
        </w:rPr>
        <w:t>o</w:t>
      </w:r>
      <w:r>
        <w:t xml:space="preserve">C could also be delivered. However, currently the energy conversion efficiency from solar radiation to solar fuels is low so even for the best solar concentration technology it is not yet competitive when compared to use of conventional PV with storage </w:t>
      </w:r>
      <w:r>
        <w:fldChar w:fldCharType="begin" w:fldLock="1"/>
      </w:r>
      <w:r w:rsidR="00875DEE">
        <w:instrText>ADDIN CSL_CITATION { "citationItems" : [ { "id" : "ITEM-1", "itemData" : { "author" : [ { "dropping-particle" : "", "family" : "Siegel", "given" : "Nathan P", "non-dropping-particle" : "", "parse-names" : false, "suffix" : "" }, { "dropping-particle" : "", "family" : "Ermanoski", "given" : "Ivan", "non-dropping-particle" : "", "parse-names" : false, "suffix" : "" } ], "container-title" : "ASME Solar Conference", "id" : "ITEM-1", "issued" : { "date-parts" : [ [ "2013" ] ] }, "publisher-place" : "Minneapolis", "title" : "A Beam-Down Central Receiver for Solar Thermochemical Hydrogen Production", "type" : "paper-conference" }, "uris" : [ "http://www.mendeley.com/documents/?uuid=fc52f807-9b04-4653-9d5d-5cbc4f54a276" ] } ], "mendeley" : { "formattedCitation" : "(Siegel &amp; Ermanoski 2013)", "plainTextFormattedCitation" : "(Siegel &amp; Ermanoski 2013)", "previouslyFormattedCitation" : "(Siegel &amp; Ermanoski 2013)" }, "properties" : { "noteIndex" : 0 }, "schema" : "https://github.com/citation-style-language/schema/raw/master/csl-citation.json" }</w:instrText>
      </w:r>
      <w:r>
        <w:fldChar w:fldCharType="separate"/>
      </w:r>
      <w:r w:rsidR="00875DEE" w:rsidRPr="00875DEE">
        <w:rPr>
          <w:noProof/>
        </w:rPr>
        <w:t>(Siegel &amp; Ermanoski 2013)</w:t>
      </w:r>
      <w:r>
        <w:fldChar w:fldCharType="end"/>
      </w:r>
      <w:r>
        <w:t>.</w:t>
      </w:r>
    </w:p>
    <w:p w14:paraId="68E39636" w14:textId="77777777" w:rsidR="00452FE4" w:rsidRDefault="00452FE4" w:rsidP="00EA4BBA">
      <w:r w:rsidRPr="0074326B">
        <w:rPr>
          <w:i/>
        </w:rPr>
        <w:t xml:space="preserve">Hybrid solar-fossil fuel </w:t>
      </w:r>
      <w:r>
        <w:rPr>
          <w:i/>
        </w:rPr>
        <w:t>operation:</w:t>
      </w:r>
      <w:r>
        <w:t xml:space="preserve"> Alternatively, during periods where direct solar radiation is unavailable, fossil fuels could be burnt to provide the required heat. In this case, the glass furnace would probably operate with continuous melting and fining like a conventional glass tank furnace, because the relatively low cost of fossil fuels compared to stored solar energy would mean that it could be more economical to produce glass all day rather than only melting and fining when direct sunlight is available and holding the furnace with minimal power for the rest of the </w:t>
      </w:r>
      <w:r>
        <w:lastRenderedPageBreak/>
        <w:t xml:space="preserve">time as originally proposed. However, this scenario falls outside the scope of this project, so is not discussed in any further detail here. </w:t>
      </w:r>
    </w:p>
    <w:p w14:paraId="7E069644" w14:textId="77777777" w:rsidR="00452FE4" w:rsidRPr="0051537D" w:rsidRDefault="00452FE4" w:rsidP="00F3524F">
      <w:pPr>
        <w:pStyle w:val="Heading3"/>
        <w:keepNext w:val="0"/>
        <w:keepLines w:val="0"/>
        <w:numPr>
          <w:ilvl w:val="2"/>
          <w:numId w:val="23"/>
        </w:numPr>
        <w:spacing w:before="0" w:after="160"/>
      </w:pPr>
      <w:bookmarkStart w:id="253" w:name="_Ref445307086"/>
      <w:bookmarkStart w:id="254" w:name="_Ref451099956"/>
      <w:r w:rsidRPr="0051537D">
        <w:t>Limitations</w:t>
      </w:r>
      <w:bookmarkEnd w:id="253"/>
      <w:r w:rsidRPr="0051537D">
        <w:t xml:space="preserve"> of scale-up implications analysis</w:t>
      </w:r>
      <w:bookmarkEnd w:id="254"/>
    </w:p>
    <w:p w14:paraId="5DBFAA2F" w14:textId="543C3632" w:rsidR="00452FE4" w:rsidRDefault="00452FE4">
      <w:r>
        <w:t xml:space="preserve">For the current scale-up implications analysis, the operation of the solar-heated glass furnace was essentially modelled as the following series of steady state periods: melting, fining, overnight hold and heat-up. In reality, these would be transient processes with significant variations in temperature, solar power availability, glass forming melt mass flows and chemical conversions </w:t>
      </w:r>
      <w:r w:rsidR="00751BE9">
        <w:t>throughout</w:t>
      </w:r>
      <w:r>
        <w:t xml:space="preserve">. This was simplified in the current model, by assuming averaged solar radiation intensity from existing analysis of real solar concentration systems, over the relevant operational periods and linearly extrapolating from experimental results, assuming the beam intensity to be directly proportional to the melting rate and the fining period to be equal to that of the experiments. This provides the best approximation of potential solar-heated glass production rates for the scale-up scenarios considered, that is currently possible from the available data. However, the aforementioned transient effects were ignored because modelling those dynamics was considered infeasible due to the current lack of required information.  Also, the current scale-up implications analysis assumes that the envisaged solar-heated glass furnaces in every scenario considered could produce glass of equal commercial value to their equivalent fossil fuel heated day tanks at rates corresponding to that of our experiments in which generally demonstrated removable bubbles and inhomogeneities from glass forming melts. However, we were not able to go as far as evaluating the suitability of the glass produced from the solar-heated furnace for particular glass articles according to the commercial demands in the location analysed. Furthermore, it is currently difficult to predict how the glass quality would vary for each of the scale-up scenarios due to the lack of experimental data and models required. </w:t>
      </w:r>
      <w:r w:rsidRPr="001A4F2F">
        <w:t xml:space="preserve">Therefore, </w:t>
      </w:r>
      <w:r>
        <w:t>current scale-up implications analysis</w:t>
      </w:r>
      <w:r w:rsidRPr="001A4F2F">
        <w:t xml:space="preserve"> </w:t>
      </w:r>
      <w:r>
        <w:t>can only provide</w:t>
      </w:r>
      <w:r w:rsidRPr="001A4F2F">
        <w:t xml:space="preserve"> first order approximations regarding </w:t>
      </w:r>
      <w:r>
        <w:t xml:space="preserve">the scale of commercial viability of solar-heated glass production. Further work (see section 7.7) is required for an improved model to provide the degree certainty with respect to accuracy of predictability of production rate and quality required for real capital investments. </w:t>
      </w:r>
    </w:p>
    <w:p w14:paraId="1CF0B41A" w14:textId="77777777" w:rsidR="00452FE4" w:rsidRDefault="00452FE4" w:rsidP="00F3524F">
      <w:pPr>
        <w:pStyle w:val="Heading2"/>
        <w:numPr>
          <w:ilvl w:val="1"/>
          <w:numId w:val="23"/>
        </w:numPr>
      </w:pPr>
      <w:bookmarkStart w:id="255" w:name="_Toc473995182"/>
      <w:r>
        <w:t>Perspectives from the glass industry</w:t>
      </w:r>
      <w:bookmarkEnd w:id="255"/>
    </w:p>
    <w:p w14:paraId="593A19EB" w14:textId="77777777" w:rsidR="00452FE4" w:rsidRPr="009374E2" w:rsidRDefault="00452FE4" w:rsidP="00EA4BBA">
      <w:r w:rsidRPr="009374E2">
        <w:t>Discussions at the European Society of Glass 2015 conference, where this work was presented, revealed that the use of solar energy for glass making was could be of interest for two reasons:</w:t>
      </w:r>
    </w:p>
    <w:p w14:paraId="2501295C" w14:textId="1DD32748" w:rsidR="00452FE4" w:rsidRPr="009374E2" w:rsidRDefault="00452FE4" w:rsidP="00EA4BBA">
      <w:r w:rsidRPr="009374E2">
        <w:t xml:space="preserve">First, the glass industry has a long investment horizon because the construction of a glass furnace is very expensive and the investment period is long since a glass furnace must operate continuously typically for 10-12 years and in some cases up to 20 years or more </w:t>
      </w:r>
      <w:r w:rsidRPr="009374E2">
        <w:fldChar w:fldCharType="begin" w:fldLock="1"/>
      </w:r>
      <w:r w:rsidR="00875DEE">
        <w:instrText>ADDIN CSL_CITATION { "citationItems" : [ { "id" : "ITEM-1", "itemData" : { "author" : [ { "dropping-particle" : "", "family" : "Scalet", "given" : "Bianca Maria", "non-dropping-particle" : "", "parse-names" : false, "suffix" : "" }, { "dropping-particle" : "", "family" : "Garcia Munoz", "given" : "Marcos", "non-dropping-particle" : "", "parse-names" : false, "suffix" : "" }, { "dropping-particle" : "", "family" : "Sisa", "given" : "Aiva Querol", "non-dropping-particle" : "", "parse-names" : false, "suffix" : "" }, { "dropping-particle" : "", "family" : "Roudier", "given" : "Serge", "non-dropping-particle" : "", "parse-names" : false, "suffix" : "" }, { "dropping-particle" : "", "family" : "Delgado Sancho", "given" : "Luis", "non-dropping-particle" : "", "parse-names" : false, "suffix" : "" } ], "id" : "ITEM-1", "issued" : { "date-parts" : [ [ "2013" ] ] }, "title" : "Best Available Techniques (BAT) Reference Document for the Manufacture of Glass", "type" : "report" }, "uris" : [ "http://www.mendeley.com/documents/?uuid=e4140784-6a08-4e50-b701-eeb2940543fd" ] } ], "mendeley" : { "formattedCitation" : "(Scalet et al. 2013)", "manualFormatting" : "(Scalet et al., 2013)", "plainTextFormattedCitation" : "(Scalet et al. 2013)", "previouslyFormattedCitation" : "(Scalet et al. 2013)" }, "properties" : { "noteIndex" : 0 }, "schema" : "https://github.com/citation-style-language/schema/raw/master/csl-citation.json" }</w:instrText>
      </w:r>
      <w:r w:rsidRPr="009374E2">
        <w:fldChar w:fldCharType="separate"/>
      </w:r>
      <w:r w:rsidRPr="009374E2">
        <w:rPr>
          <w:noProof/>
        </w:rPr>
        <w:t>(Scalet et al., 2013)</w:t>
      </w:r>
      <w:r w:rsidRPr="009374E2">
        <w:fldChar w:fldCharType="end"/>
      </w:r>
      <w:r w:rsidRPr="009374E2">
        <w:t xml:space="preserve">. During this time the accumulated cost of fuel is substantial. This matches well with the </w:t>
      </w:r>
      <w:r w:rsidRPr="009374E2">
        <w:lastRenderedPageBreak/>
        <w:t xml:space="preserve">business model for renewable energy investments such as the proposed use of concentrated solar energy for a glass furnace because although the initial capital cost of building the solar concentrating system is high, the best return on investment is achieved by operating it over similarly long periods as glass furnaces are usually operated because this results in substantial fuel cost savings over the lifetime of the project. This effect is particularly true for the glass industry because there is </w:t>
      </w:r>
      <w:r w:rsidR="00751BE9">
        <w:t>a</w:t>
      </w:r>
      <w:r w:rsidR="00751BE9" w:rsidRPr="009374E2">
        <w:t xml:space="preserve"> </w:t>
      </w:r>
      <w:r w:rsidRPr="009374E2">
        <w:t>high cost of prematurely shutting down a glass furnace because it results in the permanent deterioration of the refractories so the furnace must be rebuilt before it can be restarted again. Discussions at the International Energy Authority, Solar Heating and Cooling (IEA SHC) task 49/IV expert meeting, where this work was also presented also highlighted this issue as discussions there revealed that integration of solar heat for other industrial processes has been limited due the short investment horizons of the industries relative to the long payback periods of solar thermal investments.</w:t>
      </w:r>
    </w:p>
    <w:p w14:paraId="389C71DC" w14:textId="59AFFF6A" w:rsidR="00452FE4" w:rsidRPr="009374E2" w:rsidRDefault="00452FE4" w:rsidP="00EA4BBA">
      <w:r w:rsidRPr="009374E2">
        <w:t>Second, the modern glass industry is inflexible because in order to increase thermal efficiency due to the high cost of fuel, glass melting furnaces have followed a trend of increasing size in order to decrease the surface area to volume ratio of the glass melt and therefore increase thermal efficiency. This effect coupled with the fact that most glass production facilities are designed to produce only one kind of product make the process very inflexible. This is problematic for the glass industry as it makes it difficult to capture smaller niche markets as they appear. Also, since glass is generally a has a low value to weight ratio it is uneconomical to transport glass long distances from the site of manufacture to the point of sale, so a conventional glass furnace must be built in a location where there is sufficient demand in the local area to take up the large production of these increasingly large furnaces. However, since solar energy is essentially free, this relaxes the need to operate a very large furnace as a lower efficiency compared to conventional fossil fuelled furnaces could be acceptable. Therefore, it is envisaged that a potential role for solar glass furnaces could be to capture smaller niche markets in locations where there is sufficient direct solar radiation and where it would otherwise uneconomical or too risky to build conventional, large scale, fossil fuelled glass furnaces due to relatively</w:t>
      </w:r>
      <w:r w:rsidR="00751BE9">
        <w:t xml:space="preserve"> low</w:t>
      </w:r>
      <w:r w:rsidRPr="009374E2">
        <w:t xml:space="preserve"> local demand for glass.</w:t>
      </w:r>
    </w:p>
    <w:p w14:paraId="64C8CAAE" w14:textId="77777777" w:rsidR="00452FE4" w:rsidRPr="00A674CA" w:rsidRDefault="00452FE4" w:rsidP="00F3524F">
      <w:pPr>
        <w:pStyle w:val="Heading2"/>
        <w:numPr>
          <w:ilvl w:val="1"/>
          <w:numId w:val="23"/>
        </w:numPr>
      </w:pPr>
      <w:bookmarkStart w:id="256" w:name="_Toc473995183"/>
      <w:r w:rsidRPr="00A674CA">
        <w:t>Summary and conclusions</w:t>
      </w:r>
      <w:bookmarkEnd w:id="256"/>
    </w:p>
    <w:p w14:paraId="0614532D" w14:textId="3744876B" w:rsidR="00452FE4" w:rsidRDefault="00452FE4" w:rsidP="00EA4BBA">
      <w:r>
        <w:t xml:space="preserve">The experiments carried out during the course of this project have successfully developed a new area of research about glass melting by direct concentrated solar irradiation. We have demonstrated for the first time, the possibility </w:t>
      </w:r>
      <w:r w:rsidR="00751BE9">
        <w:t>of</w:t>
      </w:r>
      <w:r>
        <w:t xml:space="preserve"> produc</w:t>
      </w:r>
      <w:r w:rsidR="00751BE9">
        <w:t>ing</w:t>
      </w:r>
      <w:r>
        <w:t xml:space="preserve"> useful glass using process heat provided by a solar beam. Previous work related to melting refractory oxides using a solar beam was limited to methods not capable of producing most useful glass articles. We have developed a new type of solar furnace with integrated secondary electrical heating designed and tested to produce useful glass with a realistic variable solar beam intensity. Our experiments have provided data that proves that a realistic solar beam c</w:t>
      </w:r>
      <w:r w:rsidR="00751BE9">
        <w:t>an</w:t>
      </w:r>
      <w:r>
        <w:t xml:space="preserve"> be used not only to melt the raw materials for </w:t>
      </w:r>
      <w:r>
        <w:lastRenderedPageBreak/>
        <w:t xml:space="preserve">making glass at a thermal efficiency of 16%, but also refine the glass melt produced to rapidly remove bubbles and then generate a flow away from the focal point of the beam to be formed into useful products. </w:t>
      </w:r>
    </w:p>
    <w:p w14:paraId="54C79048" w14:textId="72BDF75A" w:rsidR="00452FE4" w:rsidRDefault="00452FE4" w:rsidP="00EA4BBA">
      <w:r>
        <w:t xml:space="preserve">Conventional, </w:t>
      </w:r>
      <w:r w:rsidRPr="00385F69">
        <w:t>la</w:t>
      </w:r>
      <w:r>
        <w:t xml:space="preserve">rge scale, continuously operated, </w:t>
      </w:r>
      <w:r w:rsidRPr="00385F69">
        <w:t>glass furnaces</w:t>
      </w:r>
      <w:r>
        <w:t xml:space="preserve"> heated by fossil fuel combustion </w:t>
      </w:r>
      <w:r w:rsidRPr="00385F69">
        <w:t>greatly outperform the current solar-heated glass furnace in terms of throughput, efficiency and the glass quality produced. This is partly because conventional glass tanks are much larger than the current solar-heated glass furnace so the surface area to volume ratio of the melt contained is much smaller, giving rise to better thermal effi</w:t>
      </w:r>
      <w:r>
        <w:t>ci</w:t>
      </w:r>
      <w:r w:rsidRPr="00385F69">
        <w:t>ency and melting rates despite the much longer residence times required. Also</w:t>
      </w:r>
      <w:r>
        <w:t>,</w:t>
      </w:r>
      <w:r w:rsidRPr="00385F69">
        <w:t xml:space="preserve"> since direct solar radiation is naturally only intermittently available, during periods of low availability, the melting rate is reduced and extra heating power is required to recover back to melting temper</w:t>
      </w:r>
      <w:r w:rsidR="00E64C49">
        <w:t>atures whereas these issues are</w:t>
      </w:r>
      <w:r w:rsidRPr="00385F69">
        <w:t xml:space="preserve"> completely avoided in the conventional, continuously operated glass furnaces as heat is provided by fossil fuels. </w:t>
      </w:r>
      <w:r>
        <w:t>However, the results of the analysis conducted in this chapter, suggest that solar heated glass production could be competitive with smaller scale glass production in remote locations with high solar radiation availability.</w:t>
      </w:r>
    </w:p>
    <w:p w14:paraId="21BE5CA0" w14:textId="7E28CF3B" w:rsidR="0066206C" w:rsidRDefault="0066206C">
      <w:pPr>
        <w:spacing w:line="276" w:lineRule="auto"/>
        <w:ind w:firstLine="0"/>
        <w:contextualSpacing w:val="0"/>
        <w:jc w:val="left"/>
      </w:pPr>
      <w:r>
        <w:br w:type="page"/>
      </w:r>
    </w:p>
    <w:p w14:paraId="4F265A16" w14:textId="7477479B" w:rsidR="0066206C" w:rsidRPr="00195D88" w:rsidRDefault="0066206C" w:rsidP="00195D88">
      <w:pPr>
        <w:pStyle w:val="Heading1"/>
      </w:pPr>
      <w:bookmarkStart w:id="257" w:name="_Toc473995184"/>
      <w:r w:rsidRPr="00195D88">
        <w:lastRenderedPageBreak/>
        <w:t>Conclusion</w:t>
      </w:r>
      <w:r w:rsidR="00751BE9">
        <w:t>s and suggestions for further work</w:t>
      </w:r>
      <w:bookmarkEnd w:id="257"/>
    </w:p>
    <w:p w14:paraId="0D5AE8D8" w14:textId="77777777" w:rsidR="0066206C" w:rsidRDefault="0066206C" w:rsidP="00F3524F">
      <w:pPr>
        <w:pStyle w:val="Heading2"/>
        <w:numPr>
          <w:ilvl w:val="1"/>
          <w:numId w:val="29"/>
        </w:numPr>
        <w:spacing w:before="100" w:after="100"/>
        <w:contextualSpacing w:val="0"/>
      </w:pPr>
      <w:bookmarkStart w:id="258" w:name="_Toc473995185"/>
      <w:r>
        <w:t>Introduction</w:t>
      </w:r>
      <w:bookmarkEnd w:id="258"/>
    </w:p>
    <w:p w14:paraId="73A35AB1" w14:textId="77777777" w:rsidR="0066206C" w:rsidRDefault="0066206C" w:rsidP="00EA4BBA">
      <w:r>
        <w:t xml:space="preserve">The main objective of the project described in this thesis was to address the key technical issues related to the direct utilisation of solar heat for glass production. In this chapter, the conclusions of this research project are explained. </w:t>
      </w:r>
    </w:p>
    <w:p w14:paraId="5CDB294B" w14:textId="40618C38" w:rsidR="0066206C" w:rsidRDefault="0066206C" w:rsidP="00EA4BBA">
      <w:r>
        <w:t>A review of literature (see cha</w:t>
      </w:r>
      <w:r w:rsidR="00E64C49">
        <w:t>pter 2) revealed that there was</w:t>
      </w:r>
      <w:r>
        <w:t xml:space="preserve"> insufficient existing data to provide any useful assessment of the feasibility of solar-heated glass melting </w:t>
      </w:r>
      <w:r w:rsidR="0013256C">
        <w:t>and t</w:t>
      </w:r>
      <w:r>
        <w:t>h</w:t>
      </w:r>
      <w:r w:rsidR="0013256C">
        <w:t>at</w:t>
      </w:r>
      <w:r>
        <w:t xml:space="preserve"> no system suitable for using concentrated solar radiation for glass melting or anything suitably similar had had ever been reported previously. </w:t>
      </w:r>
    </w:p>
    <w:p w14:paraId="5ECBF8C9" w14:textId="65764EDC" w:rsidR="0066206C" w:rsidRDefault="0066206C" w:rsidP="00EA4BBA">
      <w:r>
        <w:t>Therefore, a series of experiments were conducted during the course of this project, using a High Flux Solar Simulator (HFSS) beam to melt glass forming batches, incrementally leading to the development of a scalable solar-heated glass furnace in order to address the practical issues related to the use of concentrated radiation for solar powered glass production and assess the feasibility thereof. In the current chapter, conclusions are draw</w:t>
      </w:r>
      <w:r w:rsidR="0013256C">
        <w:t>n</w:t>
      </w:r>
      <w:r>
        <w:t xml:space="preserve"> from the results of the research conducted in this project. In particular, the following questions are addressed. </w:t>
      </w:r>
    </w:p>
    <w:p w14:paraId="52142F5B" w14:textId="35FD77C7" w:rsidR="0066206C" w:rsidRDefault="0066206C" w:rsidP="00EA4BBA">
      <w:r>
        <w:t>What kind of solar receiver-reactor and glass forming raw materials (</w:t>
      </w:r>
      <w:r w:rsidRPr="00EC60F0">
        <w:rPr>
          <w:i/>
        </w:rPr>
        <w:t>‘batch’</w:t>
      </w:r>
      <w:r>
        <w:t>) would best utilise concentrated solar radiation to generate the most useful glass forming melts (</w:t>
      </w:r>
      <w:r w:rsidR="0013256C">
        <w:t xml:space="preserve">section </w:t>
      </w:r>
      <w:r>
        <w:fldChar w:fldCharType="begin"/>
      </w:r>
      <w:r>
        <w:instrText xml:space="preserve"> REF _Ref447110877 \n \h </w:instrText>
      </w:r>
      <w:r>
        <w:fldChar w:fldCharType="separate"/>
      </w:r>
      <w:r w:rsidR="00820EB1">
        <w:t>7.2</w:t>
      </w:r>
      <w:r>
        <w:fldChar w:fldCharType="end"/>
      </w:r>
      <w:r>
        <w:t>)? How could a glass melting flow be sustained with concentrated solar radiation (</w:t>
      </w:r>
      <w:r w:rsidR="0013256C">
        <w:t xml:space="preserve">section </w:t>
      </w:r>
      <w:r>
        <w:fldChar w:fldCharType="begin"/>
      </w:r>
      <w:r>
        <w:instrText xml:space="preserve"> REF _Ref447110880 \n \h </w:instrText>
      </w:r>
      <w:r>
        <w:fldChar w:fldCharType="separate"/>
      </w:r>
      <w:r w:rsidR="00820EB1">
        <w:t>7.3</w:t>
      </w:r>
      <w:r>
        <w:fldChar w:fldCharType="end"/>
      </w:r>
      <w:r>
        <w:t>)? What quality and quantity of glass could be produced by a solar-heated glass furnace and how efficient could the process be (</w:t>
      </w:r>
      <w:r w:rsidR="0013256C">
        <w:t xml:space="preserve">section </w:t>
      </w:r>
      <w:r>
        <w:fldChar w:fldCharType="begin"/>
      </w:r>
      <w:r>
        <w:instrText xml:space="preserve"> REF _Ref447110895 \n \h </w:instrText>
      </w:r>
      <w:r>
        <w:fldChar w:fldCharType="separate"/>
      </w:r>
      <w:r w:rsidR="00820EB1">
        <w:t>7.4</w:t>
      </w:r>
      <w:r>
        <w:fldChar w:fldCharType="end"/>
      </w:r>
      <w:r>
        <w:t>)? How does solar-heated glass production compare to conventional glass production (</w:t>
      </w:r>
      <w:r w:rsidR="0013256C">
        <w:t xml:space="preserve">section </w:t>
      </w:r>
      <w:r>
        <w:fldChar w:fldCharType="begin"/>
      </w:r>
      <w:r>
        <w:instrText xml:space="preserve"> REF _Ref447110911 \n \h </w:instrText>
      </w:r>
      <w:r>
        <w:fldChar w:fldCharType="separate"/>
      </w:r>
      <w:r w:rsidR="00820EB1">
        <w:t>7.5</w:t>
      </w:r>
      <w:r>
        <w:fldChar w:fldCharType="end"/>
      </w:r>
      <w:r>
        <w:t>)? What are the future prospects for solar-heated glass production (</w:t>
      </w:r>
      <w:r w:rsidR="0013256C">
        <w:t xml:space="preserve">section </w:t>
      </w:r>
      <w:r>
        <w:fldChar w:fldCharType="begin"/>
      </w:r>
      <w:r>
        <w:instrText xml:space="preserve"> REF _Ref447111843 \n \h </w:instrText>
      </w:r>
      <w:r>
        <w:fldChar w:fldCharType="separate"/>
      </w:r>
      <w:r w:rsidR="00820EB1">
        <w:t>7.6</w:t>
      </w:r>
      <w:r>
        <w:fldChar w:fldCharType="end"/>
      </w:r>
      <w:r>
        <w:t xml:space="preserve">)? Finally, recommendations for further work </w:t>
      </w:r>
      <w:r w:rsidR="001D5DDB">
        <w:t xml:space="preserve">are provided in </w:t>
      </w:r>
      <w:r w:rsidR="0013256C">
        <w:t xml:space="preserve">section </w:t>
      </w:r>
      <w:r w:rsidR="0013256C">
        <w:fldChar w:fldCharType="begin"/>
      </w:r>
      <w:r w:rsidR="0013256C">
        <w:instrText xml:space="preserve"> REF _Ref457073896 \n \h </w:instrText>
      </w:r>
      <w:r w:rsidR="0013256C">
        <w:fldChar w:fldCharType="separate"/>
      </w:r>
      <w:r w:rsidR="00820EB1">
        <w:t>7.7</w:t>
      </w:r>
      <w:r w:rsidR="0013256C">
        <w:fldChar w:fldCharType="end"/>
      </w:r>
      <w:r w:rsidR="001D5DDB">
        <w:t>.</w:t>
      </w:r>
      <w:r>
        <w:t xml:space="preserve"> </w:t>
      </w:r>
    </w:p>
    <w:p w14:paraId="6B6984F5" w14:textId="77777777" w:rsidR="0066206C" w:rsidRPr="00300C69" w:rsidRDefault="0066206C" w:rsidP="00F3524F">
      <w:pPr>
        <w:pStyle w:val="Heading2"/>
        <w:numPr>
          <w:ilvl w:val="1"/>
          <w:numId w:val="29"/>
        </w:numPr>
        <w:spacing w:before="100" w:after="100"/>
        <w:contextualSpacing w:val="0"/>
      </w:pPr>
      <w:bookmarkStart w:id="259" w:name="_Ref447110877"/>
      <w:bookmarkStart w:id="260" w:name="_Toc473995186"/>
      <w:r>
        <w:t>G</w:t>
      </w:r>
      <w:r w:rsidRPr="00300C69">
        <w:t xml:space="preserve">enerating glass forming melts using concentrated solar </w:t>
      </w:r>
      <w:r>
        <w:t>heat</w:t>
      </w:r>
      <w:bookmarkEnd w:id="259"/>
      <w:bookmarkEnd w:id="260"/>
    </w:p>
    <w:p w14:paraId="4A1E8F1C" w14:textId="77777777" w:rsidR="0066206C" w:rsidRDefault="0066206C" w:rsidP="00EA4BBA">
      <w:r>
        <w:t>Initially, two methods were tested for generate glass forming melts using concentrated solar radiation.</w:t>
      </w:r>
      <w:r w:rsidRPr="00E748AF">
        <w:t xml:space="preserve"> </w:t>
      </w:r>
      <w:r>
        <w:t xml:space="preserve">One method involved irradiating a falling stream of the raw materials aiming to rapidly generate a melt ‘in-flight’. However, even with the highest attainable beam intensities, this method proved infeasible due to the insufficient residence time of the particles in the path of the beam and cold surroundings causing excessive heat losses. </w:t>
      </w:r>
    </w:p>
    <w:p w14:paraId="1164F26D" w14:textId="6D25EC6C" w:rsidR="0066206C" w:rsidRDefault="0066206C" w:rsidP="00EA4BBA">
      <w:r>
        <w:t xml:space="preserve">Another method tested, involved irradiating a static, glass forming batch, contained inside a conventional refractory crucible proved to be much more successful, with a series of complete glass melt pools generated using a realistic solar beam. Even, pure silica sand was fully melted to produce an x-ray amorphous glass but its practical use was limited due to the excessively high temperatures required to sustain a sufficiently low viscosity melt to allow entrained </w:t>
      </w:r>
      <w:r w:rsidR="00945C75">
        <w:t>gases</w:t>
      </w:r>
      <w:r>
        <w:t xml:space="preserve"> to evolve. However, a mixture of silica with sodium and calcium carbonates (soda-lime-silica) did form significantly fluid melts such that rapid removal of </w:t>
      </w:r>
      <w:r w:rsidR="00945C75">
        <w:t>gases</w:t>
      </w:r>
      <w:r>
        <w:t xml:space="preserve"> and homogenisation of the melt </w:t>
      </w:r>
      <w:r>
        <w:lastRenderedPageBreak/>
        <w:t>(</w:t>
      </w:r>
      <w:r w:rsidRPr="00984092">
        <w:rPr>
          <w:i/>
        </w:rPr>
        <w:t>fining</w:t>
      </w:r>
      <w:r>
        <w:t xml:space="preserve">) was demonstrated and completely transparent glasses were produced. This was of great practical significance because soda-lime-silica is the most common glass produced worldwide for a range of products most of which require transparent, homogenous glasses with minimal entrained </w:t>
      </w:r>
      <w:r w:rsidR="00945C75">
        <w:t>gases</w:t>
      </w:r>
      <w:r>
        <w:t>. So experiments</w:t>
      </w:r>
      <w:r w:rsidR="0013256C">
        <w:t xml:space="preserve"> A1-10</w:t>
      </w:r>
      <w:r>
        <w:t xml:space="preserve"> demonstrated for the first time that this important class of materials could be produced using process heat provided directly by concentrated solar irradiation. </w:t>
      </w:r>
    </w:p>
    <w:p w14:paraId="68B4FD7C" w14:textId="77777777" w:rsidR="0066206C" w:rsidRPr="0054553C" w:rsidRDefault="0066206C" w:rsidP="00F3524F">
      <w:pPr>
        <w:pStyle w:val="Heading2"/>
        <w:numPr>
          <w:ilvl w:val="1"/>
          <w:numId w:val="29"/>
        </w:numPr>
        <w:spacing w:before="100" w:after="100"/>
        <w:contextualSpacing w:val="0"/>
        <w:rPr>
          <w:b w:val="0"/>
        </w:rPr>
      </w:pPr>
      <w:bookmarkStart w:id="261" w:name="_Ref447110880"/>
      <w:bookmarkStart w:id="262" w:name="_Toc473995187"/>
      <w:r>
        <w:t xml:space="preserve">Sustaining a glass melting flow </w:t>
      </w:r>
      <w:r w:rsidRPr="00300C69">
        <w:t xml:space="preserve">using concentrated solar </w:t>
      </w:r>
      <w:r>
        <w:t>heat</w:t>
      </w:r>
      <w:bookmarkEnd w:id="261"/>
      <w:bookmarkEnd w:id="262"/>
    </w:p>
    <w:p w14:paraId="22CD9857" w14:textId="77777777" w:rsidR="0013256C" w:rsidRDefault="0066206C" w:rsidP="00EA4BBA">
      <w:r>
        <w:t xml:space="preserve">Next, in order to enable continuity of the solar powered glass melting process, experiments B1-6 (see chapter 4) aimed to sustain a flow of molten glass beyond the focal point of the beam. In order to enable any useful glass making process it is necessary to sustain a flow molten glass from the initial location where it is melted to a subsequent location where it could be formed into the required glass product. Although it was known from the previous experiments that the solar beam could sustain sufficiently high glass melt temperatures at its focal point, this heated area where the radiation intensity was greatest was very small and the surrounding areas were cold which meant it was not obvious whether sustaining any useful flow of glass beyond the focal point was feasible. </w:t>
      </w:r>
    </w:p>
    <w:p w14:paraId="026D7F9A" w14:textId="445A1287" w:rsidR="0066206C" w:rsidRDefault="0066206C" w:rsidP="00EA4BBA">
      <w:r>
        <w:t xml:space="preserve">In experiments B1-6, pelletised soda-lime-silica glass forming batch was periodically fed into a crucible which was continuously irradiated by the solar beam and had a lateral outlet to allow the glass produced to flow out. The initial experiments showed that it was not feasible to sustain any significant flow beyond the main body of the melt at the focal point of the beam without any secondary heating because the beam intensities that would be required to do so would be too great for the available glass containing refractories to survive. So, in subsequent experiments, secondary heating at </w:t>
      </w:r>
      <w:r w:rsidRPr="007F7BB3">
        <w:t>1200</w:t>
      </w:r>
      <w:r>
        <w:rPr>
          <w:vertAlign w:val="superscript"/>
        </w:rPr>
        <w:t>o</w:t>
      </w:r>
      <w:r>
        <w:t xml:space="preserve">C </w:t>
      </w:r>
      <w:r w:rsidRPr="007F7BB3">
        <w:t>and</w:t>
      </w:r>
      <w:r>
        <w:t xml:space="preserve"> insulation was provided around the outflowing glass and this lead to a successful demonstration of a consistent flow of the glass forming melt out of the crucible and into a secondary container. The average intensity at the focal point of the beam (</w:t>
      </w:r>
      <w:r w:rsidRPr="00480A1A">
        <w:t>99</w:t>
      </w:r>
      <w:r>
        <w:t>9</w:t>
      </w:r>
      <w:r w:rsidRPr="00480A1A">
        <w:t xml:space="preserve"> kW m</w:t>
      </w:r>
      <w:r w:rsidRPr="00EB5BAB">
        <w:rPr>
          <w:vertAlign w:val="superscript"/>
        </w:rPr>
        <w:t>‒2</w:t>
      </w:r>
      <w:r>
        <w:t>) required to sustain this glass melt flow was within the range that could be delivered by a realistic solar beam. However, the melting rate (1.3-1.9 g/min) of this semi-continuous glass melting process proved to be severely limited by the small area (28 cm</w:t>
      </w:r>
      <w:r>
        <w:rPr>
          <w:vertAlign w:val="superscript"/>
        </w:rPr>
        <w:t>2</w:t>
      </w:r>
      <w:r>
        <w:t xml:space="preserve">) of the focus of the beam. Also, the thermal efficiency (~4%) of this process was very poor, primarily due to the heat losses from the exposed melting surface which had to be left open in this experimental setup to allow access for the beam. Furthermore, some of the crucibles used in the initial experiments fractured under the significant thermal gradients induced by the concentrated solar radiation. However, over the course of these experiments, the crucible design, beam heating and batch feeding regime was incrementally optimised to enable a glass melt flow to be successfully sustained within conventional refractory materials. So, experiments B1-6 suggested that by judicious choice of the design of the glass containing refractories, and control of beam intensity (by limiting shutter </w:t>
      </w:r>
      <w:r>
        <w:lastRenderedPageBreak/>
        <w:t xml:space="preserve">opening between the solar concentrator and the glass forming melt), minimal secondary heating and insulation around the glass flow away from the focal point of the beam and preferably with the glass forming batch pre-homogenised (e.g. by pelletisation) a flow of soda-lime-silica glass forming melt could be sustained as required for a realistic process. Furthermore, these experiments provided useful inputs regarding the melting surface area, secondary heating temperatures and throughputs required for the design of the next stage of the development of the solar-heated glass making process.   </w:t>
      </w:r>
    </w:p>
    <w:p w14:paraId="3DC4EC98" w14:textId="4F344F12" w:rsidR="0066206C" w:rsidRPr="0054553C" w:rsidRDefault="0066206C" w:rsidP="00F3524F">
      <w:pPr>
        <w:pStyle w:val="Heading2"/>
        <w:numPr>
          <w:ilvl w:val="1"/>
          <w:numId w:val="29"/>
        </w:numPr>
        <w:spacing w:before="100" w:after="100"/>
        <w:contextualSpacing w:val="0"/>
        <w:rPr>
          <w:b w:val="0"/>
        </w:rPr>
      </w:pPr>
      <w:bookmarkStart w:id="263" w:name="_Ref447110895"/>
      <w:bookmarkStart w:id="264" w:name="_Toc473995188"/>
      <w:r>
        <w:t xml:space="preserve">Performance of a </w:t>
      </w:r>
      <w:r w:rsidR="00D72920">
        <w:t>scalable</w:t>
      </w:r>
      <w:r>
        <w:t xml:space="preserve"> </w:t>
      </w:r>
      <w:r w:rsidRPr="0054553C">
        <w:t>solar</w:t>
      </w:r>
      <w:r>
        <w:t>-heated</w:t>
      </w:r>
      <w:r w:rsidRPr="0054553C">
        <w:t xml:space="preserve"> glass furnace</w:t>
      </w:r>
      <w:bookmarkEnd w:id="263"/>
      <w:bookmarkEnd w:id="264"/>
    </w:p>
    <w:p w14:paraId="46B55F28" w14:textId="77777777" w:rsidR="0066206C" w:rsidRDefault="0066206C" w:rsidP="00EA4BBA">
      <w:r>
        <w:t>Finally, as described in Chapter 5, a complete solar-heated glass melting furnace with the following features was designed built and tested:</w:t>
      </w:r>
    </w:p>
    <w:p w14:paraId="37106D81" w14:textId="77777777" w:rsidR="0066206C" w:rsidRDefault="0066206C" w:rsidP="00F3524F">
      <w:pPr>
        <w:pStyle w:val="ListParagraph"/>
        <w:numPr>
          <w:ilvl w:val="0"/>
          <w:numId w:val="30"/>
        </w:numPr>
        <w:spacing w:after="160"/>
      </w:pPr>
      <w:r>
        <w:t>Scaled-up for improved thermal efficiency and throughput;</w:t>
      </w:r>
    </w:p>
    <w:p w14:paraId="0C45BDE4" w14:textId="77777777" w:rsidR="0066206C" w:rsidRDefault="0066206C" w:rsidP="00F3524F">
      <w:pPr>
        <w:pStyle w:val="ListParagraph"/>
        <w:numPr>
          <w:ilvl w:val="0"/>
          <w:numId w:val="30"/>
        </w:numPr>
        <w:spacing w:after="160"/>
      </w:pPr>
      <w:r>
        <w:t>Capability to sustain long term operation with variable, concentrated solar radiation availability;</w:t>
      </w:r>
    </w:p>
    <w:p w14:paraId="6A928700" w14:textId="62EBE84A" w:rsidR="0066206C" w:rsidRDefault="0066206C" w:rsidP="00F3524F">
      <w:pPr>
        <w:pStyle w:val="ListParagraph"/>
        <w:numPr>
          <w:ilvl w:val="0"/>
          <w:numId w:val="30"/>
        </w:numPr>
        <w:spacing w:after="160"/>
      </w:pPr>
      <w:r>
        <w:t xml:space="preserve">Flowrate control to enable </w:t>
      </w:r>
      <w:r w:rsidR="00EB5F44">
        <w:t>fining</w:t>
      </w:r>
      <w:r>
        <w:t xml:space="preserve"> to produce improved quality glass;</w:t>
      </w:r>
    </w:p>
    <w:p w14:paraId="12520D87" w14:textId="77777777" w:rsidR="0066206C" w:rsidRDefault="0066206C" w:rsidP="00F3524F">
      <w:pPr>
        <w:pStyle w:val="ListParagraph"/>
        <w:numPr>
          <w:ilvl w:val="0"/>
          <w:numId w:val="30"/>
        </w:numPr>
        <w:spacing w:after="160"/>
      </w:pPr>
      <w:r>
        <w:t>Accessibility of the output glass to demonstrate a complete glass making process including forming and annealing.</w:t>
      </w:r>
    </w:p>
    <w:p w14:paraId="70DDB78D" w14:textId="6EE79846" w:rsidR="0066206C" w:rsidRDefault="0066206C" w:rsidP="00EA4BBA">
      <w:r>
        <w:t>The scaled-up solar-heated glass furnace (</w:t>
      </w:r>
      <w:r w:rsidR="004547C6">
        <w:fldChar w:fldCharType="begin"/>
      </w:r>
      <w:r w:rsidR="004547C6">
        <w:instrText xml:space="preserve"> REF _Ref457074450 \h </w:instrText>
      </w:r>
      <w:r w:rsidR="004547C6">
        <w:fldChar w:fldCharType="separate"/>
      </w:r>
      <w:r w:rsidR="00820EB1">
        <w:t xml:space="preserve">Figure </w:t>
      </w:r>
      <w:r w:rsidR="00820EB1">
        <w:rPr>
          <w:noProof/>
        </w:rPr>
        <w:t>99</w:t>
      </w:r>
      <w:r w:rsidR="004547C6">
        <w:fldChar w:fldCharType="end"/>
      </w:r>
      <w:r>
        <w:t xml:space="preserve">) essentially consisted of an insulated box, which contained a crucible which in turn contained the glass forming melt. The vertical solar beam and glass forming batch inputs were fed into the furnace through a cut-out running through the roof of the insulated box. The size of the aperture at the inside surface of the box was equal to the size of the focal spot of the beam and they were aligned to coincide. There was a gap between the inlet aperture and the surface of the melt contained in the crucible which allowed for the beam to diverge after passing through the aperture, to spread over the surface of the melt in order to maximise the surface area available for melting while minimising heat losses as re-radiation could only escape out through the relatively smaller area of the inlet aperture. The crucible had an outlet tube extruding out of its base which passed through the bottom walls of the insulated box and was terminated by a freeze-thaw valve. Also there were electrically powered heating elements, inside the insulated cavity, surrounding the crucible, to provide secondary heating. </w:t>
      </w:r>
    </w:p>
    <w:p w14:paraId="04D78F51" w14:textId="002EB7C0" w:rsidR="0066206C" w:rsidRDefault="0066206C" w:rsidP="00EA4BBA">
      <w:r>
        <w:t>It was originally envisaged that secondary heating might be required to assist the direct solar heating to sustain the glass melt pool as in these experiments the size of the crucible was much larger than the focal spot of the beam. However, experiments</w:t>
      </w:r>
      <w:r w:rsidR="004547C6">
        <w:t xml:space="preserve"> C1-3 and D1-4</w:t>
      </w:r>
      <w:r>
        <w:t xml:space="preserve"> showed that direct solar heating of the glass was not so limited by the small area of the focal spot of the beam but rather a realistic solar beam could disperse through substantial volumes of glass forming melt so without any another heat input a large melt pool could be sustained at sufficient temperatures </w:t>
      </w:r>
      <w:r>
        <w:lastRenderedPageBreak/>
        <w:t xml:space="preserve">throughout to ensure all the raw materials contained were fully dissolved and a fining process could be effected to produce significant quantities of bubble free, homogenous glass. The secondary heating was only required during periods of solar radiation unavailability, corresponding to cloud cover and nights, to prevent the otherwise expected damage to the refractories associated with rapid cooling. By the use of this minimal secondary heating coupled with adequate thermal insulation and heat capacity of the materials surrounding the glass melt, </w:t>
      </w:r>
      <w:r w:rsidRPr="00AA227C">
        <w:t xml:space="preserve">the system </w:t>
      </w:r>
      <w:r w:rsidR="004547C6">
        <w:t>was successfully operated</w:t>
      </w:r>
      <w:r>
        <w:t xml:space="preserve"> over experimental periods in the order of days</w:t>
      </w:r>
      <w:r w:rsidRPr="00AA227C">
        <w:t xml:space="preserve"> while dealing with beam intensity variations simulating realistic solar radiation availability.</w:t>
      </w:r>
      <w:r>
        <w:t xml:space="preserve"> </w:t>
      </w:r>
      <w:r w:rsidR="00354C01">
        <w:t>Admittedly, s</w:t>
      </w:r>
      <w:r>
        <w:t xml:space="preserve">econdary heating </w:t>
      </w:r>
      <w:r w:rsidR="00354C01">
        <w:t>at 1000-1200</w:t>
      </w:r>
      <w:r w:rsidR="00354C01">
        <w:rPr>
          <w:vertAlign w:val="superscript"/>
        </w:rPr>
        <w:t>o</w:t>
      </w:r>
      <w:r w:rsidR="00354C01">
        <w:t>C  from</w:t>
      </w:r>
      <w:r>
        <w:t xml:space="preserve"> a non-solar, conventional electrical power supply,</w:t>
      </w:r>
      <w:r w:rsidR="00354C01">
        <w:t xml:space="preserve"> was required temporarily to sustain the refractories at safe temperature when the simulated solar radiation was unavailable. However, </w:t>
      </w:r>
      <w:r>
        <w:t>the most energy intensive process</w:t>
      </w:r>
      <w:r w:rsidR="00354C01">
        <w:t>es</w:t>
      </w:r>
      <w:r>
        <w:t xml:space="preserve"> </w:t>
      </w:r>
      <w:r w:rsidR="00354C01">
        <w:t>of</w:t>
      </w:r>
      <w:r>
        <w:t xml:space="preserve"> </w:t>
      </w:r>
      <w:r w:rsidR="00354C01">
        <w:t xml:space="preserve">glass </w:t>
      </w:r>
      <w:r>
        <w:t>melting</w:t>
      </w:r>
      <w:r w:rsidR="00354C01">
        <w:t xml:space="preserve"> and</w:t>
      </w:r>
      <w:r>
        <w:t xml:space="preserve"> </w:t>
      </w:r>
      <w:r w:rsidR="00EB5F44">
        <w:t>fining</w:t>
      </w:r>
      <w:r>
        <w:t xml:space="preserve"> at </w:t>
      </w:r>
      <w:r w:rsidR="00354C01">
        <w:t>~</w:t>
      </w:r>
      <w:r>
        <w:t>1500</w:t>
      </w:r>
      <w:r>
        <w:rPr>
          <w:vertAlign w:val="superscript"/>
        </w:rPr>
        <w:t>o</w:t>
      </w:r>
      <w:r>
        <w:t>C</w:t>
      </w:r>
      <w:r w:rsidR="00354C01">
        <w:t xml:space="preserve"> was solely provided by the concentrated solar simulated radiation during experiments D1-4</w:t>
      </w:r>
      <w:r>
        <w:t xml:space="preserve">. The relatively low temperature of the heat supply required by the secondary heating important for the commercial viability of future solar-heated glass furnace designs because it meant that cost of delivering this heat would be substantially lower than if heat at full melting temperatures was required. This is particularly important if, as envisaged for future developments the secondary heating would ultimately be derived from renewable sources because the lower temperature and power demand reduced the otherwise very high cost associated with storing and delivering more heat at higher temperatures. </w:t>
      </w:r>
    </w:p>
    <w:p w14:paraId="5CA1C9E6" w14:textId="4A109BD3" w:rsidR="0066206C" w:rsidRDefault="0066206C" w:rsidP="00EA4BBA">
      <w:r>
        <w:t>With 5.2</w:t>
      </w:r>
      <w:r w:rsidR="00354C01">
        <w:t>6</w:t>
      </w:r>
      <w:r>
        <w:t xml:space="preserve"> kW radiant power input from a High Flux Solar Simulator (HFSS) beam into the solar-heated glass furnace,  consistent, repeatable melting cycles were successfully demonstrated, with around 300 g of soda-lime-silica glass forming batch melted every 970 s, corresponding to a glass melting thermal efficiency of 16 %. This was an order of magnitude improvement on the previous experimental series (B1-6, see chapter 4) due to the decrease in surface area to volume ratio of the glass forming melt and encapsulation within an insulated box which reduced the heat losses, especially from the otherwise completely exposed top surface of the melt. </w:t>
      </w:r>
    </w:p>
    <w:p w14:paraId="45CB7497" w14:textId="7A36C29E" w:rsidR="0066206C" w:rsidRDefault="0066206C" w:rsidP="00F3524F">
      <w:pPr>
        <w:pStyle w:val="Heading2"/>
        <w:numPr>
          <w:ilvl w:val="1"/>
          <w:numId w:val="29"/>
        </w:numPr>
        <w:spacing w:before="100" w:after="100"/>
        <w:contextualSpacing w:val="0"/>
      </w:pPr>
      <w:bookmarkStart w:id="265" w:name="_Ref447110911"/>
      <w:bookmarkStart w:id="266" w:name="_Toc473995189"/>
      <w:r>
        <w:t>Solar v</w:t>
      </w:r>
      <w:r w:rsidR="00354C01">
        <w:t>ersus</w:t>
      </w:r>
      <w:r>
        <w:t xml:space="preserve"> fossil-fuel powered glass production</w:t>
      </w:r>
      <w:bookmarkEnd w:id="265"/>
      <w:bookmarkEnd w:id="266"/>
      <w:r>
        <w:t xml:space="preserve"> </w:t>
      </w:r>
    </w:p>
    <w:p w14:paraId="29449E3F" w14:textId="77777777" w:rsidR="0066206C" w:rsidRDefault="0066206C" w:rsidP="00EA4BBA">
      <w:r>
        <w:t>Currently, it is</w:t>
      </w:r>
      <w:r w:rsidRPr="00F60A9F">
        <w:t xml:space="preserve"> infeasible for solar-heated glass production to compete directly with conventional</w:t>
      </w:r>
      <w:r>
        <w:t>, centralised, large scale (hundreds of tonnes per day (tpd))</w:t>
      </w:r>
      <w:r w:rsidRPr="00F60A9F">
        <w:t xml:space="preserve"> fossil-fuelled glass </w:t>
      </w:r>
      <w:r>
        <w:t>production because the latter has</w:t>
      </w:r>
      <w:r w:rsidRPr="00F60A9F">
        <w:t xml:space="preserve"> the advantage</w:t>
      </w:r>
      <w:r>
        <w:t>s of economies of scale,</w:t>
      </w:r>
      <w:r w:rsidRPr="00F60A9F">
        <w:t xml:space="preserve"> being able to o</w:t>
      </w:r>
      <w:r>
        <w:t>perate continuously and the benefit</w:t>
      </w:r>
      <w:r w:rsidRPr="00F60A9F">
        <w:t xml:space="preserve"> from over a century head start of optimisation resulting in much higher efficiency, productivity and quality of glass producible than the former. </w:t>
      </w:r>
    </w:p>
    <w:p w14:paraId="4877A51D" w14:textId="6B1FD1E8" w:rsidR="0066206C" w:rsidRDefault="0066206C" w:rsidP="00EA4BBA">
      <w:r>
        <w:t xml:space="preserve">However, our experiments and subsequent analysis suggest that solar-heated glass production could be economically competitive with smaller scale, fossil-fuelled glass furnaces known as Day Tanks (see section 2.2.6.2), which are used where the demand may not be sufficient to make larger scale glass furnaces economical. Day tanks are operated on a daily basis rather than continuously, </w:t>
      </w:r>
      <w:r>
        <w:lastRenderedPageBreak/>
        <w:t>in a similar way to the envisaged solar-heated glass furnace. If the solar-heated glass furnace was scaled-up to ~</w:t>
      </w:r>
      <w:r w:rsidR="006D33CC">
        <w:t xml:space="preserve">4 </w:t>
      </w:r>
      <w:r>
        <w:t xml:space="preserve">tonnes per day (tpd) glass production and realistic increases in efficiency were made due to decreasing surface area to volume ratio with scale up and future optimisation, the solar-heated glass furnace could operate with a comparable performance to that of the equivalent fossil-fuelled day tanks (see section 6.5.2). This envisaged, </w:t>
      </w:r>
      <w:r w:rsidR="006D33CC">
        <w:t xml:space="preserve">4 </w:t>
      </w:r>
      <w:r>
        <w:t>tpd solar-heated glass furnace, would require a total land area of 2</w:t>
      </w:r>
      <w:r w:rsidR="006D33CC">
        <w:t xml:space="preserve"> </w:t>
      </w:r>
      <w:r>
        <w:t>hectares accommodate both a field the field of mirrors to provide for the primary direct concentrated solar radiation for glass melting and a solar photovoltaic system to provide the required secondary heating. The total capital investment required for such a solar system</w:t>
      </w:r>
      <w:r w:rsidR="006D33CC">
        <w:t>, including backup energy storage,</w:t>
      </w:r>
      <w:r>
        <w:t xml:space="preserve"> would be around $</w:t>
      </w:r>
      <w:r w:rsidR="00354C01">
        <w:t>1</w:t>
      </w:r>
      <w:r w:rsidR="006D33CC">
        <w:t>3</w:t>
      </w:r>
      <w:r w:rsidR="00354C01">
        <w:t>M</w:t>
      </w:r>
      <w:r>
        <w:t xml:space="preserve">, which would pay itself back in fuel savings, within the first </w:t>
      </w:r>
      <w:r w:rsidR="006D33CC">
        <w:t xml:space="preserve">7 </w:t>
      </w:r>
      <w:r>
        <w:t xml:space="preserve">years (see section 6.5.2, assuming </w:t>
      </w:r>
      <w:r w:rsidR="006D33CC">
        <w:t xml:space="preserve">an </w:t>
      </w:r>
      <w:r>
        <w:t xml:space="preserve">oil price of $60 /barrel) of its expected 20-25 year life. </w:t>
      </w:r>
    </w:p>
    <w:p w14:paraId="3106154A" w14:textId="77777777" w:rsidR="0066206C" w:rsidRDefault="0066206C" w:rsidP="00F3524F">
      <w:pPr>
        <w:pStyle w:val="Heading2"/>
        <w:numPr>
          <w:ilvl w:val="1"/>
          <w:numId w:val="29"/>
        </w:numPr>
        <w:spacing w:before="100" w:after="100"/>
        <w:contextualSpacing w:val="0"/>
      </w:pPr>
      <w:bookmarkStart w:id="267" w:name="_Ref447111843"/>
      <w:bookmarkStart w:id="268" w:name="_Toc473995190"/>
      <w:r>
        <w:t>Prospects</w:t>
      </w:r>
      <w:bookmarkEnd w:id="267"/>
      <w:bookmarkEnd w:id="268"/>
    </w:p>
    <w:p w14:paraId="516B83DC" w14:textId="77777777" w:rsidR="0066206C" w:rsidRDefault="0066206C" w:rsidP="00EA4BBA">
      <w:bookmarkStart w:id="269" w:name="_Ref447111982"/>
      <w:r>
        <w:t>In light of the results of the research described in this thesis and current economic trends, the following conclusions are drawn regarding the commercial prospects of solar-heated glass production in terms of the relative feasibility of using solar radiation compared to alternative sources of process heat to meet future glass production demands.</w:t>
      </w:r>
    </w:p>
    <w:p w14:paraId="24AE6FCE" w14:textId="77777777" w:rsidR="0066206C" w:rsidRDefault="0066206C" w:rsidP="00EA4BBA">
      <w:r>
        <w:t xml:space="preserve">Directly substituting the process heat currently provided by fossil fuel combustion in existing conventional large scale glass tank furnaces with solar-heating is infeasible because the payback period for the capital investment required for the solar power systems required would be far greater than the cumulative cost of fossil fuels over such a projects lifetime. Also, the area of land that would be required to capture sufficient solar energy to power a conventional large scale glass furnace, would be greater than the available space in the locations where such glass furnaces exist. </w:t>
      </w:r>
    </w:p>
    <w:p w14:paraId="5304065B" w14:textId="77777777" w:rsidR="0066206C" w:rsidRDefault="0066206C" w:rsidP="00EA4BBA">
      <w:r>
        <w:t>For locations where land and solar radiation is less limited such as desert regions, the cost of transport of the glass produced to customers is more limiting because in such regions the local demand for glass is relatively low. Since glass products generally have a low value per unit volume and economic operation of large scale glass furnaces require very high volumes of sales, locating a large scale solar-heated glass furnace in a desert regions, would be uneconomical because the local population densities are typically so low in desert regions that glass produced would have to be transported too far to be sold.</w:t>
      </w:r>
    </w:p>
    <w:p w14:paraId="5C74A6B3" w14:textId="77777777" w:rsidR="0066206C" w:rsidRDefault="0066206C" w:rsidP="00EA4BBA">
      <w:r>
        <w:t xml:space="preserve">Therefore, the only remaining opportunity where solar-heated glass production might be economically viable is in locations where there is currently insufficient local demand to justify the capital investments required for conventional large scale glass furnaces but sufficient demand exists for smaller scale glass productions. For such markets, smaller scale, intermittently operated glass furnaces called Day Tanks exist. These operate on a daily basis to accommodate a single day’s working shift. Such smaller scale furnaces have recently become more attractive for glass manufacturing companies due to their advantage of flexibility in meeting local business demands </w:t>
      </w:r>
      <w:r>
        <w:lastRenderedPageBreak/>
        <w:t xml:space="preserve">despite being less efficient </w:t>
      </w:r>
      <w:r>
        <w:fldChar w:fldCharType="begin" w:fldLock="1"/>
      </w:r>
      <w:r>
        <w:instrText>ADDIN CSL_CITATION { "citationItems" : [ { "id" : "ITEM-1", "itemData" : { "author" : [ { "dropping-particle" : "", "family" : "Philip Ross", "given" : "C.", "non-dropping-particle" : "", "parse-names" : false, "suffix" : "" }, { "dropping-particle" : "", "family" : "Tincher", "given" : "Gabe L.", "non-dropping-particle" : "", "parse-names" : false, "suffix" : "" } ], "id" : "ITEM-1", "issued" : { "date-parts" : [ [ "2004" ] ] }, "publisher-place" : "Westerville, Ohio", "title" : "Glass Melting Technology: A Technical and Economic Assessment", "type" : "report" }, "locator" : "40-41", "uris" : [ "http://www.mendeley.com/documents/?uuid=ee53de1b-7c5d-4e4d-93ed-be4419800e41" ] } ], "mendeley" : { "formattedCitation" : "(Philip Ross &amp; Tincher 2004, pp.40\u201341)", "plainTextFormattedCitation" : "(Philip Ross &amp; Tincher 2004, pp.40\u201341)", "previouslyFormattedCitation" : "(Philip Ross &amp; Tincher 2004, pp.40\u201341)" }, "properties" : { "noteIndex" : 0 }, "schema" : "https://github.com/citation-style-language/schema/raw/master/csl-citation.json" }</w:instrText>
      </w:r>
      <w:r>
        <w:fldChar w:fldCharType="separate"/>
      </w:r>
      <w:r w:rsidRPr="00696546">
        <w:rPr>
          <w:noProof/>
        </w:rPr>
        <w:t>(Philip Ross &amp; Tincher 2004, pp.40–41)</w:t>
      </w:r>
      <w:r>
        <w:fldChar w:fldCharType="end"/>
      </w:r>
      <w:r>
        <w:t xml:space="preserve">. Our analysis suggests that a solar-heated glass furnaces could be commercially competitive with such smaller scale fossil fuelled glass furnaces. However, this would still require significant but achievable increases in efficiency and would probably be limited, in the near term, to markets requiring products with less strict quality requirements than modern container and sheet glass, such as insulation fibres and low quality containers. </w:t>
      </w:r>
    </w:p>
    <w:p w14:paraId="022C1279" w14:textId="0DDF9FC2" w:rsidR="0066206C" w:rsidRDefault="0066206C" w:rsidP="00F3524F">
      <w:pPr>
        <w:pStyle w:val="Heading2"/>
        <w:numPr>
          <w:ilvl w:val="1"/>
          <w:numId w:val="29"/>
        </w:numPr>
        <w:spacing w:before="100" w:after="100"/>
        <w:contextualSpacing w:val="0"/>
      </w:pPr>
      <w:bookmarkStart w:id="270" w:name="_Ref457073896"/>
      <w:bookmarkStart w:id="271" w:name="_Toc473995191"/>
      <w:r>
        <w:t>Future work</w:t>
      </w:r>
      <w:bookmarkEnd w:id="269"/>
      <w:bookmarkEnd w:id="270"/>
      <w:bookmarkEnd w:id="271"/>
      <w:r>
        <w:t xml:space="preserve"> </w:t>
      </w:r>
    </w:p>
    <w:p w14:paraId="6FCD5F94" w14:textId="77777777" w:rsidR="0066206C" w:rsidRDefault="0066206C" w:rsidP="00EA4BBA">
      <w:r>
        <w:t>The following recommendations for further work are proposed to improve and evaluate the technical and commercial feasibility of solar-heated glass production.</w:t>
      </w:r>
    </w:p>
    <w:p w14:paraId="34D8B6BE" w14:textId="77777777" w:rsidR="0066206C" w:rsidRDefault="0066206C" w:rsidP="00F3524F">
      <w:pPr>
        <w:pStyle w:val="Heading3"/>
        <w:keepLines w:val="0"/>
        <w:numPr>
          <w:ilvl w:val="2"/>
          <w:numId w:val="29"/>
        </w:numPr>
        <w:spacing w:before="100" w:after="100"/>
        <w:contextualSpacing w:val="0"/>
      </w:pPr>
      <w:bookmarkStart w:id="272" w:name="_Ref447035959"/>
      <w:r>
        <w:t>Experimental</w:t>
      </w:r>
      <w:bookmarkEnd w:id="272"/>
    </w:p>
    <w:p w14:paraId="78E758E2" w14:textId="77777777" w:rsidR="0066206C" w:rsidRDefault="0066206C" w:rsidP="00EA4BBA">
      <w:r>
        <w:t xml:space="preserve">The existing scale-up solar-heated glass furnace experimental setup as described in chapter 5 should be modified as follows. </w:t>
      </w:r>
    </w:p>
    <w:p w14:paraId="5E49C957" w14:textId="224C26D8" w:rsidR="0066206C" w:rsidRDefault="006D33CC" w:rsidP="00EA4BBA">
      <w:r>
        <w:t>Second</w:t>
      </w:r>
      <w:r w:rsidR="0066206C">
        <w:t>, m</w:t>
      </w:r>
      <w:r w:rsidR="0066206C" w:rsidRPr="00E31E76">
        <w:t>any more simultaneous temperature measurements</w:t>
      </w:r>
      <w:r w:rsidR="0066206C">
        <w:t xml:space="preserve"> should be taken with accurately determined locations throughout the glass melt and batch bla</w:t>
      </w:r>
      <w:r>
        <w:t>n</w:t>
      </w:r>
      <w:r w:rsidR="0066206C">
        <w:t>ke</w:t>
      </w:r>
      <w:r>
        <w:t>t</w:t>
      </w:r>
      <w:r w:rsidR="0066206C">
        <w:t xml:space="preserve"> under solar irradiation in order to develop a better understanding of the heat transfer of solar radiation through the batch blanket and glass forming melt and validate the accuracy of any future models. The number of temperature measurements taken during the current experimental setup was severely limited for the reasons explained in section 5.8.1. An improved method for enabling multiple accurate temperature measurements capable of withstanding the severe conditions inside the glass forming melt under exposure to concentrated solar radiation is required. This could be realised by drilling holes for thermocouple inputs, laterally, through the side wall of the glass containing refractory (e.g. a fused silica crucible). The thermopile wires should be sheathed inside a tube made of the same material as the glass containing refractory walls, to prevent thermal expansion mismatch, and the outer diameter of this tube should fit tightly within the holes bored through the glass containing refractory walls.  The thermocouples should be positioned to take temperature measurements in the batch blanket and at incremental depths through the glass forming melt. These thermocouple inputs ports must be sealed, using a similar refractory, to prevent leakage of the melt. Care should be taken to minimise thermal resistance between the thermocouple junction and the glass melt while maximising the thermal resistance between the junction and surrounding crucible to ensure accurate measurement of the glass temperature at the point of measurement rather than the crucible that the temperature measurements accurately reflect those of the batch or melt rather than the surrounding crucible. Also, the thermocouples should be shielded from electrical interference from the electrical heating elements and radiation from a solar simulator, as this was a problem experienced with the existing experimental setup.</w:t>
      </w:r>
    </w:p>
    <w:p w14:paraId="2E5C4994" w14:textId="3D7CAE20" w:rsidR="00A3066B" w:rsidRDefault="006D33CC" w:rsidP="00EA4BBA">
      <w:r>
        <w:lastRenderedPageBreak/>
        <w:t>First</w:t>
      </w:r>
      <w:r w:rsidR="0066206C">
        <w:t xml:space="preserve">, an improved method is required for extracting the glass forming melt produced by solar irradiation in order to subsequently form useful glass articles whose quality could be analysed in order to determine their commercial value. The problem with the existing system was that the outlet tube in the bottom of the crucible was too narrow so the outlet stream of glass produced had such a high surface area to volume ratio that it cooled prematurely so it was difficult to consistently produce casting reflecting the quality of the glass forming melt. Therefore it is recommended that either the outlet tube be made of a greater diameter or an improved outlet flow system be developed to provide a better flow for casting. This could be achieved using plunger and automatic shears to reliably generate </w:t>
      </w:r>
      <w:r w:rsidR="00A3066B">
        <w:t>discrete</w:t>
      </w:r>
      <w:r w:rsidR="0066206C">
        <w:t xml:space="preserve"> units of molten glass (‘</w:t>
      </w:r>
      <w:r w:rsidR="0066206C" w:rsidRPr="00DC4D8B">
        <w:rPr>
          <w:i/>
        </w:rPr>
        <w:t>gobs</w:t>
      </w:r>
      <w:r w:rsidR="0066206C">
        <w:t xml:space="preserve">’) from the output flow. The current version of the solar-heated glass furnace did not include this partly due to budget constraints but also due to concerns about inference of the plunger in the path of the beam. However, </w:t>
      </w:r>
      <w:r w:rsidR="00A3066B">
        <w:t>for future work</w:t>
      </w:r>
      <w:r w:rsidR="0066206C">
        <w:t xml:space="preserve">, the plunger could be removed during solar-heated glass melting in the day and replaced overnight to extract the accumulated glass forming melt. For convenience the plunger could be integrated into the beam inlet aperture cover. Alternatively, the plunger could be accommodated inside a secondary chamber adjacent in which the glass produced from the existing solar-heated chamber accumulated such that it is not exposed to the direct solar irradiation as suggested in </w:t>
      </w:r>
      <w:r w:rsidR="00A3066B">
        <w:t xml:space="preserve">section </w:t>
      </w:r>
      <w:r w:rsidR="00A3066B">
        <w:fldChar w:fldCharType="begin"/>
      </w:r>
      <w:r w:rsidR="00A3066B">
        <w:instrText xml:space="preserve"> REF _Ref427054382 \n \h </w:instrText>
      </w:r>
      <w:r w:rsidR="00A3066B">
        <w:fldChar w:fldCharType="separate"/>
      </w:r>
      <w:r w:rsidR="00820EB1">
        <w:t>5.2.2</w:t>
      </w:r>
      <w:r w:rsidR="00A3066B">
        <w:fldChar w:fldCharType="end"/>
      </w:r>
      <w:r w:rsidR="0066206C">
        <w:t>. Alternatively, a door could be constructed in the side wall of the furnace to provide access for the glass to be manually cast</w:t>
      </w:r>
      <w:r w:rsidR="00A3066B">
        <w:t xml:space="preserve"> or blown</w:t>
      </w:r>
      <w:r w:rsidR="0066206C">
        <w:t xml:space="preserve">. Then, after annealing, sections could be cut from the castings and the number and sizes of defects could be measured to provide a consistent measure of the quality of glass produced. </w:t>
      </w:r>
    </w:p>
    <w:p w14:paraId="4FBDF688" w14:textId="257F8171" w:rsidR="0066206C" w:rsidRDefault="0066206C" w:rsidP="00EA4BBA">
      <w:r>
        <w:t xml:space="preserve">Alternatively, since the existing scale up solar glass melting furnace is already capable of generating an output stream of glass of quality potentially suitable for production of glass fibre insulation material, it could be modified to accommodate an outlet flow nozzle, followed by platinum bushings to generate the glass fibres and then use a conventional fibre spinning system to generate insulation wool. Further work would be required to investigate parameters required to generate a stream of sufficiently consistent molten glass with adequate surface tension from the solar glass furnace as required to efficiently spin fibreglass wool of required quality to satisfy commercial glass fibre insulation materials standards (e.g. see EN13162:2012+A1, </w:t>
      </w:r>
      <w:r>
        <w:fldChar w:fldCharType="begin" w:fldLock="1"/>
      </w:r>
      <w:r>
        <w:instrText>ADDIN CSL_CITATION { "citationItems" : [ { "id" : "ITEM-1", "itemData" : { "ISBN" : "5935522004", "author" : [ { "dropping-particle" : "", "family" : "British Standards Institution", "given" : "", "non-dropping-particle" : "", "parse-names" : false, "suffix" : "" } ], "id" : "ITEM-1", "issued" : { "date-parts" : [ [ "2015" ] ] }, "title" : "Thermal insulation products for buildings - Factory made mineral wool (MW) products - Specification", "type" : "report" }, "uris" : [ "http://www.mendeley.com/documents/?uuid=60be4cb6-db52-4599-8116-b6f9a68a4db9" ] } ], "mendeley" : { "formattedCitation" : "(British Standards Institution 2015)", "manualFormatting" : "British Standards Institution (2015))", "plainTextFormattedCitation" : "(British Standards Institution 2015)", "previouslyFormattedCitation" : "(British Standards Institution 2015)" }, "properties" : { "noteIndex" : 0 }, "schema" : "https://github.com/citation-style-language/schema/raw/master/csl-citation.json" }</w:instrText>
      </w:r>
      <w:r>
        <w:fldChar w:fldCharType="separate"/>
      </w:r>
      <w:r w:rsidRPr="006F3437">
        <w:rPr>
          <w:noProof/>
        </w:rPr>
        <w:t xml:space="preserve">British Standards Institution </w:t>
      </w:r>
      <w:r>
        <w:rPr>
          <w:noProof/>
        </w:rPr>
        <w:t>(</w:t>
      </w:r>
      <w:r w:rsidRPr="006F3437">
        <w:rPr>
          <w:noProof/>
        </w:rPr>
        <w:t>2015</w:t>
      </w:r>
      <w:r>
        <w:rPr>
          <w:noProof/>
        </w:rPr>
        <w:t>)</w:t>
      </w:r>
      <w:r w:rsidRPr="006F3437">
        <w:rPr>
          <w:noProof/>
        </w:rPr>
        <w:t>)</w:t>
      </w:r>
      <w:r>
        <w:fldChar w:fldCharType="end"/>
      </w:r>
      <w:r>
        <w:t>.</w:t>
      </w:r>
    </w:p>
    <w:p w14:paraId="494FFBD3" w14:textId="58EDFAD5" w:rsidR="0066206C" w:rsidRDefault="0066206C" w:rsidP="00EA4BBA">
      <w:r>
        <w:t xml:space="preserve">With this improved experimental setup, a series of experiments should be conducted, initially with the HFSS again used to provide a controllable beam power supply to systematically investigate the effect of beam power, batch blanket composition, coverage and thickness, feed intervals, melt depth and fining times on the melting rate, efficiency and quality of glass production. For common silicate glasses, the transition metal ions concentrations are expected to be the most important factor with respect to the effect of batch composition on the absorption of solar radiation </w:t>
      </w:r>
      <w:r>
        <w:fldChar w:fldCharType="begin" w:fldLock="1"/>
      </w:r>
      <w:r w:rsidR="009872B8">
        <w:instrText>ADDIN CSL_CITATION { "citationItems" : [ { "id" : "ITEM-1", "itemData" : { "author" : [ { "dropping-particle" : "", "family" : "Chaudhary", "given" : "M.K", "non-dropping-particle" : "", "parse-names" : false, "suffix" : "" }, { "dropping-particle" : "", "family" : "Potter", "given" : "R.M.", "non-dropping-particle" : "", "parse-names" : false, "suffix" : "" } ], "chapter-number" : "9", "container-title" : "Properties of glass forming melts", "editor" : [ { "dropping-particle" : "", "family" : "Pye", "given" : "L.David", "non-dropping-particle" : "", "parse-names" : false, "suffix" : "" }, { "dropping-particle" : "", "family" : "Montenero", "given" : "Angelo", "non-dropping-particle" : "", "parse-names" : false, "suffix" : "" }, { "dropping-particle" : "", "family" : "Joseph", "given" : "Innocent", "non-dropping-particle" : "", "parse-names" : false, "suffix" : "" } ], "id" : "ITEM-1", "issued" : { "date-parts" : [ [ "2005" ] ] }, "page" : "273", "publisher" : "Taylor &amp; Francis", "title" : "Heat Transfer in Glass-Forming Melts", "type" : "chapter" }, "uris" : [ "http://www.mendeley.com/documents/?uuid=61167498-fdda-43f6-828c-9164e653c1d9" ] } ], "mendeley" : { "formattedCitation" : "(Chaudhary &amp; Potter 2005)", "manualFormatting" : "(Choudhary &amp; Potter 2005)", "plainTextFormattedCitation" : "(Chaudhary &amp; Potter 2005)", "previouslyFormattedCitation" : "(Chaudhary &amp; Potter 2005)" }, "properties" : { "noteIndex" : 0 }, "schema" : "https://github.com/citation-style-language/schema/raw/master/csl-citation.json" }</w:instrText>
      </w:r>
      <w:r>
        <w:fldChar w:fldCharType="separate"/>
      </w:r>
      <w:r w:rsidRPr="00A87662">
        <w:rPr>
          <w:noProof/>
        </w:rPr>
        <w:t>(</w:t>
      </w:r>
      <w:r w:rsidR="00DB1956">
        <w:rPr>
          <w:noProof/>
        </w:rPr>
        <w:t>Choudhary</w:t>
      </w:r>
      <w:r w:rsidRPr="00A87662">
        <w:rPr>
          <w:noProof/>
        </w:rPr>
        <w:t xml:space="preserve"> &amp; Potter 2005)</w:t>
      </w:r>
      <w:r>
        <w:fldChar w:fldCharType="end"/>
      </w:r>
      <w:r>
        <w:t xml:space="preserve">. </w:t>
      </w:r>
    </w:p>
    <w:p w14:paraId="1C7CBBF3" w14:textId="77777777" w:rsidR="0066206C" w:rsidRDefault="0066206C" w:rsidP="00EA4BBA">
      <w:r>
        <w:lastRenderedPageBreak/>
        <w:t>Subsequently, a similar series of experiments could be repeated using a real concentrated solar beam. In this regard, the vertical axis solar furnace 5 (SF-5) at the Platforma Solar de Almeria (PSA) could provide a suitable solar beam for experiments on the current scale of solar-heated furnace, with capability to provide a 5 kW vertical beam at a peak concentration of over 6000 kW/m</w:t>
      </w:r>
      <w:r>
        <w:rPr>
          <w:vertAlign w:val="superscript"/>
        </w:rPr>
        <w:t xml:space="preserve">2 </w:t>
      </w:r>
      <w:r>
        <w:fldChar w:fldCharType="begin" w:fldLock="1"/>
      </w:r>
      <w:r>
        <w:instrText>ADDIN CSL_CITATION { "citationItems" : [ { "id" : "ITEM-1", "itemData" : { "DOI" : "10.1016/j.egypro.2014.03.160", "ISSN" : "18766102", "abstract" : "A new high-flux vertical axis solar furnace has been constructed and is fully operational at Plataforma Solar de Almer??a (PSA). This new system is able to deliver up to 5 kW power at peak concentration ratios exceeding 6000. It has been designed to perform tests that require high radiant flux, strong gradients and very high temperatures, and will be devoted for materials treatment at high temperature, under vacuum and controlled atmosphere conditions This new solar furnace operates in a vertical axis, i.e. parabolic concentrator and heliostat are vertically aligned on the optical axis of the paraboloid. The main advantage of vertical axis solar furnaces is that the samples are deposited, without the need of any fixation, on a horizontal plane where they can be treated directly in the focus or inside crucibles, avoiding problems of loss of material by gravity in those tests in which pre-deposited powders are used, or when the treatment requires surface melting of the specimens, and preventing the use of re-directional mirrors, with the loss of power involved. The SF5 main components and canting procedures (alignment) of heliostat and concentrator are described, as well as the flux measurement in the focal area. ?? 2013 The Authors.", "author" : [ { "dropping-particle" : "", "family" : "Rodriguez", "given" : "J.", "non-dropping-particle" : "", "parse-names" : false, "suffix" : "" }, { "dropping-particle" : "", "family" : "Canadas", "given" : "I.", "non-dropping-particle" : "", "parse-names" : false, "suffix" : "" }, { "dropping-particle" : "", "family" : "Zarza", "given" : "E.", "non-dropping-particle" : "", "parse-names" : false, "suffix" : "" } ], "container-title" : "Energy Procedia", "id" : "ITEM-1", "issued" : { "date-parts" : [ [ "2014" ] ] }, "page" : "1511-1522", "publisher" : "Elsevier B.V.", "title" : "PSA vertical axis solar furnace SF5", "type" : "article-journal", "volume" : "49" }, "uris" : [ "http://www.mendeley.com/documents/?uuid=69b8067a-823f-4d86-801c-4e3a91525cec" ] } ], "mendeley" : { "formattedCitation" : "(Rodriguez et al. 2014)", "plainTextFormattedCitation" : "(Rodriguez et al. 2014)", "previouslyFormattedCitation" : "(Rodriguez et al. 2014)" }, "properties" : { "noteIndex" : 0 }, "schema" : "https://github.com/citation-style-language/schema/raw/master/csl-citation.json" }</w:instrText>
      </w:r>
      <w:r>
        <w:fldChar w:fldCharType="separate"/>
      </w:r>
      <w:r w:rsidRPr="009E745E">
        <w:rPr>
          <w:noProof/>
        </w:rPr>
        <w:t>(Rodriguez et al. 2014)</w:t>
      </w:r>
      <w:r>
        <w:fldChar w:fldCharType="end"/>
      </w:r>
      <w:r>
        <w:t xml:space="preserve">. </w:t>
      </w:r>
    </w:p>
    <w:p w14:paraId="78431B23" w14:textId="37976E5E" w:rsidR="0066206C" w:rsidRDefault="0066206C" w:rsidP="00EA4BBA">
      <w:r>
        <w:t xml:space="preserve">Also, longer term studies are required to observe the effect of solar heating on the life of the furnace refractories as this has a significant bearing on the economics of glass production </w:t>
      </w:r>
      <w:r>
        <w:fldChar w:fldCharType="begin" w:fldLock="1"/>
      </w:r>
      <w:r w:rsidR="00875DEE">
        <w:instrText>ADDIN CSL_CITATION { "citationItems" : [ { "id" : "ITEM-1", "itemData" : { "ISBN" : "0 900682 20 5", "author" : [ { "dropping-particle" : "", "family" : "Trier", "given" : "Wolfgang", "non-dropping-particle" : "", "parse-names" : false, "suffix" : "" } ], "chapter-number" : "4", "container-title" : "Glass Furnaces: Design Construction and Operation", "id" : "ITEM-1", "issued" : { "date-parts" : [ [ "1987" ] ] }, "page" : "60", "publisher" : "Society of Glass Technology", "title" : "Selection and use of refractories in glass tanks", "type" : "chapter" }, "uris" : [ "http://www.mendeley.com/documents/?uuid=240e6285-d86f-4784-a4aa-d964f27d9589" ] } ], "mendeley" : { "formattedCitation" : "(Trier 1987e)", "plainTextFormattedCitation" : "(Trier 1987e)", "previouslyFormattedCitation" : "(Trier 1987e)" }, "properties" : { "noteIndex" : 0 }, "schema" : "https://github.com/citation-style-language/schema/raw/master/csl-citation.json" }</w:instrText>
      </w:r>
      <w:r>
        <w:fldChar w:fldCharType="separate"/>
      </w:r>
      <w:r w:rsidR="00875DEE" w:rsidRPr="00875DEE">
        <w:rPr>
          <w:noProof/>
        </w:rPr>
        <w:t>(Trier 1987e)</w:t>
      </w:r>
      <w:r>
        <w:fldChar w:fldCharType="end"/>
      </w:r>
      <w:r>
        <w:t>. The results of such experiments, would be of great benefit to the future development of a model for solar-heated glass production as discussed in the following section (</w:t>
      </w:r>
      <w:r>
        <w:fldChar w:fldCharType="begin"/>
      </w:r>
      <w:r>
        <w:instrText xml:space="preserve"> REF _Ref447066377 \n \h </w:instrText>
      </w:r>
      <w:r>
        <w:fldChar w:fldCharType="separate"/>
      </w:r>
      <w:r w:rsidR="00820EB1">
        <w:t>7.7.2</w:t>
      </w:r>
      <w:r>
        <w:fldChar w:fldCharType="end"/>
      </w:r>
      <w:r>
        <w:t>).</w:t>
      </w:r>
    </w:p>
    <w:p w14:paraId="417500F4" w14:textId="77777777" w:rsidR="0066206C" w:rsidRDefault="0066206C" w:rsidP="00F3524F">
      <w:pPr>
        <w:pStyle w:val="Heading3"/>
        <w:keepLines w:val="0"/>
        <w:numPr>
          <w:ilvl w:val="2"/>
          <w:numId w:val="29"/>
        </w:numPr>
        <w:spacing w:before="100" w:after="100"/>
        <w:contextualSpacing w:val="0"/>
      </w:pPr>
      <w:bookmarkStart w:id="273" w:name="_Ref447066377"/>
      <w:r>
        <w:t>Model</w:t>
      </w:r>
      <w:bookmarkEnd w:id="273"/>
    </w:p>
    <w:p w14:paraId="40B27891" w14:textId="2C4F5681" w:rsidR="0066206C" w:rsidRDefault="0066206C" w:rsidP="00EA4BBA">
      <w:r>
        <w:t xml:space="preserve">The experiments carried out in this project have provided the first insights regarding the realistic range of glass melting rates and quality practically achievable. However, further work is required to develop a model capable of predicting the performance of a scaled-up solar-heated glass production with sufficient accuracy to provide the confidence required for its commercialisation. Also, further modelling would be useful for </w:t>
      </w:r>
      <w:r w:rsidRPr="00314814">
        <w:t>optimisation an</w:t>
      </w:r>
      <w:r>
        <w:t>d control of the solar-heated glass melting process. The results of the implications of scale-up analysis (6.5.2) suggest ~</w:t>
      </w:r>
      <w:r w:rsidR="005B532E">
        <w:t>4</w:t>
      </w:r>
      <w:r>
        <w:t xml:space="preserve"> tpd solar-heated glass production scale is probably the most economically viable so the proposed models could assume a similar scale. The results of our experiments suggest the quality of glass producible should be sufficient for the manufacture of glass fibre insulation wool or low quality containers so the model could work according to the corresponding quality criteria for these products. Also, the existing experimental data suggests that the real process is always far from steady-state so </w:t>
      </w:r>
      <w:r w:rsidR="00A3066B">
        <w:t xml:space="preserve">a </w:t>
      </w:r>
      <w:r>
        <w:t xml:space="preserve">transient model might be required. The proposed model for a solar-heated glass melting furnace could be composed of three main sub-models. The first sub-model would deal with solar radiation input from the concentrator to evaluate the flux input to the batch blanket. The second sub-model would deal the melting of the batch blanket. Existing models for conventional glass furnaces usually assume the batch blanket is a perfect insulator to the melt below and the new melt develops from the top surface of the batch blanket by what is essentially a diffusion process. However, the observations of the much thinner than usual batch blankets melted under solar simulated irradiation in our experiments suggest this conventional approach is only partially true </w:t>
      </w:r>
      <w:r w:rsidR="00A3066B">
        <w:t xml:space="preserve">here </w:t>
      </w:r>
      <w:r>
        <w:t xml:space="preserve">but the development of the melt through the batch is significantly encouraged by the effect of the melt from below spilling over the batch blanket as </w:t>
      </w:r>
      <w:r w:rsidR="00945C75">
        <w:t>gases</w:t>
      </w:r>
      <w:r>
        <w:t xml:space="preserve"> are evolved and burst on the batch/melt surface so the proposed batch blanket sub model should take this effect into account as well. The third sub-model would be a CFD model, solving the mass, momentum and energy equations of the glass forming melt, tracking trajectories to evaluate temperature profiles and residence time distributions to ultimately predict the quality of the glass </w:t>
      </w:r>
      <w:r>
        <w:lastRenderedPageBreak/>
        <w:t xml:space="preserve">forming melt for a given solar concentrator in a given geographical location as a function of the process parameters over time. </w:t>
      </w:r>
    </w:p>
    <w:p w14:paraId="19C82A0B" w14:textId="77777777" w:rsidR="0066206C" w:rsidRDefault="0066206C" w:rsidP="00EA4BBA">
      <w:r>
        <w:t>A</w:t>
      </w:r>
      <w:r w:rsidRPr="002D42EC">
        <w:t xml:space="preserve"> </w:t>
      </w:r>
      <w:r>
        <w:t xml:space="preserve">model of solar-heated glass melting </w:t>
      </w:r>
      <w:r w:rsidRPr="002D42EC">
        <w:t>would require a combination of glass melt spectroscopy data in the 0.5-2.5 micron region (corresponding to the majority of solar radiation) as a function temperature for batch compositions corresponding to the desired product. Combining this data with empirical relations between the beam intensity, glass temperatures profiles and batch meting rates obtained from solar-heated glass melting experiments would be required to optimise the batch composition and glass furnace design to maximise and predict thermal efficiency, productivity and glass quality for a commercial scale solar-heated glass melting furnace.</w:t>
      </w:r>
    </w:p>
    <w:p w14:paraId="2F01B9E5" w14:textId="77777777" w:rsidR="0066206C" w:rsidRPr="00DC4D8B" w:rsidRDefault="0066206C" w:rsidP="00F3524F">
      <w:pPr>
        <w:pStyle w:val="Heading3"/>
        <w:keepLines w:val="0"/>
        <w:numPr>
          <w:ilvl w:val="2"/>
          <w:numId w:val="29"/>
        </w:numPr>
        <w:spacing w:before="100" w:after="100"/>
        <w:contextualSpacing w:val="0"/>
      </w:pPr>
      <w:r w:rsidRPr="00DC4D8B">
        <w:t xml:space="preserve">Evaluation of commercial feasibility </w:t>
      </w:r>
    </w:p>
    <w:p w14:paraId="70454E1F" w14:textId="7AB66B6D" w:rsidR="0066206C" w:rsidRPr="004F7BF5" w:rsidRDefault="0066206C" w:rsidP="00EA4BBA">
      <w:r>
        <w:t xml:space="preserve">As discussed in section 6.5.1.6, it is clearly infeasible for solar-heated glass production to compete directly with conventional, large scale, fossil fuel glass production. The only opportunity for the near term economic viability for solar-heated glass production would be to exploit the niche market where there is sufficient demand to take up around </w:t>
      </w:r>
      <w:r w:rsidR="005B532E">
        <w:t>4</w:t>
      </w:r>
      <w:r>
        <w:t xml:space="preserve"> tpd of insulation glass fibre or glass containers with a tolerance for some bubbles and inhomogeneities but insufficient local demand to justify, much larger scale conventional production (~300 tpd high quality glass). Also, there must be very high solar radiation availability (DNI over 2000 kWh/m</w:t>
      </w:r>
      <w:r>
        <w:rPr>
          <w:vertAlign w:val="superscript"/>
        </w:rPr>
        <w:t>2</w:t>
      </w:r>
      <w:r>
        <w:t>) for solar-heated glass production to be viable. In such a location, the local value of these glass products should be surveyed. The cost of investment required solar-heated glass production for the location considered, could be estimated following a similar method set out in section 6.5.1 with modifications to the glass melting rate according to the result of the further experiments and models set out in section 7.7.1 and 7.7.2 respectively.</w:t>
      </w:r>
    </w:p>
    <w:p w14:paraId="4BAA8193" w14:textId="77777777" w:rsidR="004548F5" w:rsidRDefault="004548F5">
      <w:pPr>
        <w:spacing w:line="276" w:lineRule="auto"/>
        <w:ind w:firstLine="0"/>
        <w:contextualSpacing w:val="0"/>
        <w:jc w:val="left"/>
        <w:rPr>
          <w:rFonts w:eastAsiaTheme="minorHAnsi"/>
          <w:b/>
          <w:sz w:val="32"/>
          <w:lang w:eastAsia="en-US"/>
        </w:rPr>
      </w:pPr>
      <w:bookmarkStart w:id="274" w:name="_Ref447111988"/>
      <w:r>
        <w:br w:type="page"/>
      </w:r>
    </w:p>
    <w:p w14:paraId="118079D5" w14:textId="3721269B" w:rsidR="00270BFB" w:rsidRDefault="00270BFB" w:rsidP="00270BFB">
      <w:pPr>
        <w:pStyle w:val="Heading1"/>
        <w:numPr>
          <w:ilvl w:val="0"/>
          <w:numId w:val="0"/>
        </w:numPr>
      </w:pPr>
      <w:bookmarkStart w:id="275" w:name="_Toc473995192"/>
      <w:bookmarkEnd w:id="274"/>
      <w:r>
        <w:lastRenderedPageBreak/>
        <w:t>References</w:t>
      </w:r>
      <w:bookmarkEnd w:id="275"/>
    </w:p>
    <w:p w14:paraId="43878420" w14:textId="1A13F863" w:rsidR="003D40B5" w:rsidRPr="003D40B5" w:rsidRDefault="00270BFB" w:rsidP="003D40B5">
      <w:pPr>
        <w:widowControl w:val="0"/>
        <w:autoSpaceDE w:val="0"/>
        <w:autoSpaceDN w:val="0"/>
        <w:adjustRightInd w:val="0"/>
        <w:spacing w:line="240" w:lineRule="auto"/>
        <w:ind w:left="480" w:hanging="480"/>
        <w:rPr>
          <w:rFonts w:cs="Times New Roman"/>
          <w:noProof/>
          <w:szCs w:val="24"/>
        </w:rPr>
      </w:pPr>
      <w:r>
        <w:fldChar w:fldCharType="begin" w:fldLock="1"/>
      </w:r>
      <w:r>
        <w:instrText xml:space="preserve">ADDIN Mendeley Bibliography CSL_BIBLIOGRAPHY </w:instrText>
      </w:r>
      <w:r>
        <w:fldChar w:fldCharType="separate"/>
      </w:r>
      <w:r w:rsidR="003D40B5" w:rsidRPr="003D40B5">
        <w:rPr>
          <w:rFonts w:cs="Times New Roman"/>
          <w:noProof/>
          <w:szCs w:val="24"/>
        </w:rPr>
        <w:t xml:space="preserve">Abdelrahman, M., 1979. Study of solid-gas-suspensions used for direct absorption of concentrated solar radiation. </w:t>
      </w:r>
      <w:r w:rsidR="003D40B5" w:rsidRPr="003D40B5">
        <w:rPr>
          <w:rFonts w:cs="Times New Roman"/>
          <w:i/>
          <w:iCs/>
          <w:noProof/>
          <w:szCs w:val="24"/>
        </w:rPr>
        <w:t>Solar Energy</w:t>
      </w:r>
      <w:r w:rsidR="003D40B5" w:rsidRPr="003D40B5">
        <w:rPr>
          <w:rFonts w:cs="Times New Roman"/>
          <w:noProof/>
          <w:szCs w:val="24"/>
        </w:rPr>
        <w:t>, 22, pp.45–48.</w:t>
      </w:r>
    </w:p>
    <w:p w14:paraId="40E4A8E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Al-Dabbas, M.., 2013. Solar sintering of Jordanian silica sand. In </w:t>
      </w:r>
      <w:r w:rsidRPr="003D40B5">
        <w:rPr>
          <w:rFonts w:cs="Times New Roman"/>
          <w:i/>
          <w:iCs/>
          <w:noProof/>
          <w:szCs w:val="24"/>
        </w:rPr>
        <w:t>Applications of Information Technology to Renewable Energy Processes and Systems (IT-DREPS)</w:t>
      </w:r>
      <w:r w:rsidRPr="003D40B5">
        <w:rPr>
          <w:rFonts w:cs="Times New Roman"/>
          <w:noProof/>
          <w:szCs w:val="24"/>
        </w:rPr>
        <w:t>. Amman: IEEE, pp. 49 – 54.</w:t>
      </w:r>
    </w:p>
    <w:p w14:paraId="1F306143"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Alxneit, I. &amp; Schmit, H., 2012. Spectral Characterization of PSI’s High-Flux Solar Simulator. </w:t>
      </w:r>
      <w:r w:rsidRPr="003D40B5">
        <w:rPr>
          <w:rFonts w:cs="Times New Roman"/>
          <w:i/>
          <w:iCs/>
          <w:noProof/>
          <w:szCs w:val="24"/>
        </w:rPr>
        <w:t>Journal of Solar Energy Engineering</w:t>
      </w:r>
      <w:r w:rsidRPr="003D40B5">
        <w:rPr>
          <w:rFonts w:cs="Times New Roman"/>
          <w:noProof/>
          <w:szCs w:val="24"/>
        </w:rPr>
        <w:t>, 134(1), p.011013. Available at: http://solarenergyengineering.asmedigitalcollection.asme.org/article.aspx?articleid=1456338 [Accessed February 3, 2014].</w:t>
      </w:r>
    </w:p>
    <w:p w14:paraId="1E101BC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Anikeev, V.I. &amp; Kirillov, V. a., 1991. Basic design principles and some methods of investigation of catalytic reactors-receivers of solar radiation. </w:t>
      </w:r>
      <w:r w:rsidRPr="003D40B5">
        <w:rPr>
          <w:rFonts w:cs="Times New Roman"/>
          <w:i/>
          <w:iCs/>
          <w:noProof/>
          <w:szCs w:val="24"/>
        </w:rPr>
        <w:t>Solar Energy Materials</w:t>
      </w:r>
      <w:r w:rsidRPr="003D40B5">
        <w:rPr>
          <w:rFonts w:cs="Times New Roman"/>
          <w:noProof/>
          <w:szCs w:val="24"/>
        </w:rPr>
        <w:t>, 24(1-4), pp.633–646. Available at: http://linkinghub.elsevier.com/retrieve/pii/0165163391900975.</w:t>
      </w:r>
    </w:p>
    <w:p w14:paraId="6B06BCB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Auner, N., 2013. Exploiting the Solar Potential of Deserts: From Sunlight and Sand to PV and Hydrogen Storage Materials. In </w:t>
      </w:r>
      <w:r w:rsidRPr="003D40B5">
        <w:rPr>
          <w:rFonts w:cs="Times New Roman"/>
          <w:i/>
          <w:iCs/>
          <w:noProof/>
          <w:szCs w:val="24"/>
        </w:rPr>
        <w:t>E-Futures Seminar Series</w:t>
      </w:r>
      <w:r w:rsidRPr="003D40B5">
        <w:rPr>
          <w:rFonts w:cs="Times New Roman"/>
          <w:noProof/>
          <w:szCs w:val="24"/>
        </w:rPr>
        <w:t>. Sheffield, UK.</w:t>
      </w:r>
    </w:p>
    <w:p w14:paraId="7C81C7D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Auner, N. &amp; Holl, S., 2006. Silicon as energy carrier — Facts and perspectives. </w:t>
      </w:r>
      <w:r w:rsidRPr="003D40B5">
        <w:rPr>
          <w:rFonts w:cs="Times New Roman"/>
          <w:i/>
          <w:iCs/>
          <w:noProof/>
          <w:szCs w:val="24"/>
        </w:rPr>
        <w:t>Energy</w:t>
      </w:r>
      <w:r w:rsidRPr="003D40B5">
        <w:rPr>
          <w:rFonts w:cs="Times New Roman"/>
          <w:noProof/>
          <w:szCs w:val="24"/>
        </w:rPr>
        <w:t>, 31, pp.1395–1402.</w:t>
      </w:r>
    </w:p>
    <w:p w14:paraId="19DD42FA"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Beerkens, R.G.C., 2002. Melting and Fining. In H. Loch &amp; D. Kraus, eds. </w:t>
      </w:r>
      <w:r w:rsidRPr="003D40B5">
        <w:rPr>
          <w:rFonts w:cs="Times New Roman"/>
          <w:i/>
          <w:iCs/>
          <w:noProof/>
          <w:szCs w:val="24"/>
        </w:rPr>
        <w:t>Mathematical Simulation in Glass Technology</w:t>
      </w:r>
      <w:r w:rsidRPr="003D40B5">
        <w:rPr>
          <w:rFonts w:cs="Times New Roman"/>
          <w:noProof/>
          <w:szCs w:val="24"/>
        </w:rPr>
        <w:t>. Berlin: Springer-Verlag.</w:t>
      </w:r>
    </w:p>
    <w:p w14:paraId="585F34A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Bemarking, K., 2015. Helio100 promises cost-effective solar power breakthrough. </w:t>
      </w:r>
      <w:r w:rsidRPr="003D40B5">
        <w:rPr>
          <w:rFonts w:cs="Times New Roman"/>
          <w:i/>
          <w:iCs/>
          <w:noProof/>
          <w:szCs w:val="24"/>
        </w:rPr>
        <w:t>Stellenbosch University Website</w:t>
      </w:r>
      <w:r w:rsidRPr="003D40B5">
        <w:rPr>
          <w:rFonts w:cs="Times New Roman"/>
          <w:noProof/>
          <w:szCs w:val="24"/>
        </w:rPr>
        <w:t>. Available at: http://www.sun.ac.za/english/Lists/news/DispForm.aspx?ID=2863 [Accessed March 12, 2016].</w:t>
      </w:r>
    </w:p>
    <w:p w14:paraId="5772ED1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British Standards Institution, 2015. </w:t>
      </w:r>
      <w:r w:rsidRPr="003D40B5">
        <w:rPr>
          <w:rFonts w:cs="Times New Roman"/>
          <w:i/>
          <w:iCs/>
          <w:noProof/>
          <w:szCs w:val="24"/>
        </w:rPr>
        <w:t>Thermal insulation products for buildings - Factory made mineral wool (MW) products - Specification</w:t>
      </w:r>
      <w:r w:rsidRPr="003D40B5">
        <w:rPr>
          <w:rFonts w:cs="Times New Roman"/>
          <w:noProof/>
          <w:szCs w:val="24"/>
        </w:rPr>
        <w:t>,</w:t>
      </w:r>
    </w:p>
    <w:p w14:paraId="6EFE54B5"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Broesamle, H., Mannstein, H., Schillings, C. &amp; Trieb, F., 2001. Assessment of solar electricity potentials in North Africa based on satellite data and a geographic information system. </w:t>
      </w:r>
      <w:r w:rsidRPr="003D40B5">
        <w:rPr>
          <w:rFonts w:cs="Times New Roman"/>
          <w:i/>
          <w:iCs/>
          <w:noProof/>
          <w:szCs w:val="24"/>
        </w:rPr>
        <w:t>Solar Energy</w:t>
      </w:r>
      <w:r w:rsidRPr="003D40B5">
        <w:rPr>
          <w:rFonts w:cs="Times New Roman"/>
          <w:noProof/>
          <w:szCs w:val="24"/>
        </w:rPr>
        <w:t>, 70, pp.1–12.</w:t>
      </w:r>
    </w:p>
    <w:p w14:paraId="2E049D4A"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Brown, C.J. &amp; R, I.., 1980. Processing glass grade sand from dune sand. In </w:t>
      </w:r>
      <w:r w:rsidRPr="003D40B5">
        <w:rPr>
          <w:rFonts w:cs="Times New Roman"/>
          <w:i/>
          <w:iCs/>
          <w:noProof/>
          <w:szCs w:val="24"/>
        </w:rPr>
        <w:t>Fourth Industrial Minerals International Congress</w:t>
      </w:r>
      <w:r w:rsidRPr="003D40B5">
        <w:rPr>
          <w:rFonts w:cs="Times New Roman"/>
          <w:noProof/>
          <w:szCs w:val="24"/>
        </w:rPr>
        <w:t>. Atlanta.</w:t>
      </w:r>
    </w:p>
    <w:p w14:paraId="0212EB57"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Carvalho, M. de O.M., 1998. Calculation of the Theoretical Energy Requirement for Melting Technical Silicate Glasses. </w:t>
      </w:r>
      <w:r w:rsidRPr="003D40B5">
        <w:rPr>
          <w:rFonts w:cs="Times New Roman"/>
          <w:i/>
          <w:iCs/>
          <w:noProof/>
          <w:szCs w:val="24"/>
        </w:rPr>
        <w:t>Journal of the American Ceramic Society</w:t>
      </w:r>
      <w:r w:rsidRPr="003D40B5">
        <w:rPr>
          <w:rFonts w:cs="Times New Roman"/>
          <w:noProof/>
          <w:szCs w:val="24"/>
        </w:rPr>
        <w:t>, 81, pp.3300–3306.</w:t>
      </w:r>
    </w:p>
    <w:p w14:paraId="2ADB18B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Chaudhary, M., 1985. Three-dimentional mathematical model for flow and heat transfer in electric glass furnace. </w:t>
      </w:r>
      <w:r w:rsidRPr="003D40B5">
        <w:rPr>
          <w:rFonts w:cs="Times New Roman"/>
          <w:i/>
          <w:iCs/>
          <w:noProof/>
          <w:szCs w:val="24"/>
        </w:rPr>
        <w:t>Heat Transfer Engineering</w:t>
      </w:r>
      <w:r w:rsidRPr="003D40B5">
        <w:rPr>
          <w:rFonts w:cs="Times New Roman"/>
          <w:noProof/>
          <w:szCs w:val="24"/>
        </w:rPr>
        <w:t>, 6, pp.55–65.</w:t>
      </w:r>
    </w:p>
    <w:p w14:paraId="324FC920"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Chaudhary, M.. &amp; Potter, R.M., 2005. Heat Transfer in Glass-Forming Melts. In L. D. Pye, A. Montenero, &amp; I. Joseph, eds. </w:t>
      </w:r>
      <w:r w:rsidRPr="003D40B5">
        <w:rPr>
          <w:rFonts w:cs="Times New Roman"/>
          <w:i/>
          <w:iCs/>
          <w:noProof/>
          <w:szCs w:val="24"/>
        </w:rPr>
        <w:t>Properties of glass forming melts</w:t>
      </w:r>
      <w:r w:rsidRPr="003D40B5">
        <w:rPr>
          <w:rFonts w:cs="Times New Roman"/>
          <w:noProof/>
          <w:szCs w:val="24"/>
        </w:rPr>
        <w:t>. Taylor &amp; Francis, p. 273.</w:t>
      </w:r>
    </w:p>
    <w:p w14:paraId="39E3944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Conradt, R., 2010. Thermodynamics of Glass Melting. In F. Wallenberger &amp; P. Bingham, eds. </w:t>
      </w:r>
      <w:r w:rsidRPr="003D40B5">
        <w:rPr>
          <w:rFonts w:cs="Times New Roman"/>
          <w:i/>
          <w:iCs/>
          <w:noProof/>
          <w:szCs w:val="24"/>
        </w:rPr>
        <w:t>Fiberglass and glass technology</w:t>
      </w:r>
      <w:r w:rsidRPr="003D40B5">
        <w:rPr>
          <w:rFonts w:cs="Times New Roman"/>
          <w:noProof/>
          <w:szCs w:val="24"/>
        </w:rPr>
        <w:t>. Springer.</w:t>
      </w:r>
    </w:p>
    <w:p w14:paraId="6ABC8F2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David Pye, L., 2005. Glass-forming melts. In </w:t>
      </w:r>
      <w:r w:rsidRPr="003D40B5">
        <w:rPr>
          <w:rFonts w:cs="Times New Roman"/>
          <w:i/>
          <w:iCs/>
          <w:noProof/>
          <w:szCs w:val="24"/>
        </w:rPr>
        <w:t>Properties of glass forming melts</w:t>
      </w:r>
      <w:r w:rsidRPr="003D40B5">
        <w:rPr>
          <w:rFonts w:cs="Times New Roman"/>
          <w:noProof/>
          <w:szCs w:val="24"/>
        </w:rPr>
        <w:t>. Taylor &amp; Francis, pp. 1–9.</w:t>
      </w:r>
    </w:p>
    <w:p w14:paraId="5ECDCFA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Díaz-Ibarra, O., Abad, P. &amp; Molina, A., 2013. Design of a day tank glass furnace using a transient model and steady-state computation fluid dynamics. </w:t>
      </w:r>
      <w:r w:rsidRPr="003D40B5">
        <w:rPr>
          <w:rFonts w:cs="Times New Roman"/>
          <w:i/>
          <w:iCs/>
          <w:noProof/>
          <w:szCs w:val="24"/>
        </w:rPr>
        <w:t>Applied Thermal Engineering</w:t>
      </w:r>
      <w:r w:rsidRPr="003D40B5">
        <w:rPr>
          <w:rFonts w:cs="Times New Roman"/>
          <w:noProof/>
          <w:szCs w:val="24"/>
        </w:rPr>
        <w:t>, 52(2), pp.555–565. Available at: http://linkinghub.elsevier.com/retrieve/pii/S1359431112007314 [Accessed November 17, 2014].</w:t>
      </w:r>
    </w:p>
    <w:p w14:paraId="18A4CBE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Diver, R.B., Levy, M., Meirovitch, E., Rosin, H., Paripatyadar, S.A., Richardson, J.T. &amp; Laboratories, S.N., 1992. Solar Test of an Integrated Sodium Reflux Heat Pipe Receiver/Reactor for Thermochemical Energy Transport. </w:t>
      </w:r>
      <w:r w:rsidRPr="003D40B5">
        <w:rPr>
          <w:rFonts w:cs="Times New Roman"/>
          <w:i/>
          <w:iCs/>
          <w:noProof/>
          <w:szCs w:val="24"/>
        </w:rPr>
        <w:t>Solar Energy</w:t>
      </w:r>
      <w:r w:rsidRPr="003D40B5">
        <w:rPr>
          <w:rFonts w:cs="Times New Roman"/>
          <w:noProof/>
          <w:szCs w:val="24"/>
        </w:rPr>
        <w:t>, 48(1), pp.21–30.</w:t>
      </w:r>
    </w:p>
    <w:p w14:paraId="052F55A2"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Edfouf, Z., Guerguer, M. &amp; Raccurt, O., 2015. Glass and Polymeric Mirrors Ageing under different Moroccan Weathers, an Application for CSP Power Plants. In </w:t>
      </w:r>
      <w:r w:rsidRPr="003D40B5">
        <w:rPr>
          <w:rFonts w:cs="Times New Roman"/>
          <w:i/>
          <w:iCs/>
          <w:noProof/>
          <w:szCs w:val="24"/>
        </w:rPr>
        <w:t>Energy Procedia</w:t>
      </w:r>
      <w:r w:rsidRPr="003D40B5">
        <w:rPr>
          <w:rFonts w:cs="Times New Roman"/>
          <w:noProof/>
          <w:szCs w:val="24"/>
        </w:rPr>
        <w:t>. Elsevier B.V., pp. 1508–1518. Available at: http://linkinghub.elsevier.com/retrieve/pii/S1876610215004075.</w:t>
      </w:r>
    </w:p>
    <w:p w14:paraId="03F4CCDF"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Epstein, M., Yogev, A., Hodara, I. &amp; Segal, A., 1996. Results of a feasibility study on the possible use of the solar tower technology at the Dead Sea Works. In </w:t>
      </w:r>
      <w:r w:rsidRPr="003D40B5">
        <w:rPr>
          <w:rFonts w:cs="Times New Roman"/>
          <w:i/>
          <w:iCs/>
          <w:noProof/>
          <w:szCs w:val="24"/>
        </w:rPr>
        <w:t>Sun Day Symposium</w:t>
      </w:r>
      <w:r w:rsidRPr="003D40B5">
        <w:rPr>
          <w:rFonts w:cs="Times New Roman"/>
          <w:noProof/>
          <w:szCs w:val="24"/>
        </w:rPr>
        <w:t xml:space="preserve">. Rehovot, </w:t>
      </w:r>
      <w:r w:rsidRPr="003D40B5">
        <w:rPr>
          <w:rFonts w:cs="Times New Roman"/>
          <w:noProof/>
          <w:szCs w:val="24"/>
        </w:rPr>
        <w:lastRenderedPageBreak/>
        <w:t>Israel: Weizmann Institute of Science.</w:t>
      </w:r>
    </w:p>
    <w:p w14:paraId="61643025"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European Commission, 2013. </w:t>
      </w:r>
      <w:r w:rsidRPr="003D40B5">
        <w:rPr>
          <w:rFonts w:cs="Times New Roman"/>
          <w:i/>
          <w:iCs/>
          <w:noProof/>
          <w:szCs w:val="24"/>
        </w:rPr>
        <w:t>Best Available Techniques (BAT) Reference Document for the Manufacture of Glass</w:t>
      </w:r>
      <w:r w:rsidRPr="003D40B5">
        <w:rPr>
          <w:rFonts w:cs="Times New Roman"/>
          <w:noProof/>
          <w:szCs w:val="24"/>
        </w:rPr>
        <w:t xml:space="preserve"> B. M. Scalet et al., eds.,</w:t>
      </w:r>
    </w:p>
    <w:p w14:paraId="5B97F0ED"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Funken, K., Roeb, M., Schwarzboezl, P. &amp; Warnecke, H., 2001. Aluminum Remelting using Directly Solar-Heated Rotary. </w:t>
      </w:r>
      <w:r w:rsidRPr="003D40B5">
        <w:rPr>
          <w:rFonts w:cs="Times New Roman"/>
          <w:i/>
          <w:iCs/>
          <w:noProof/>
          <w:szCs w:val="24"/>
        </w:rPr>
        <w:t>Journal of Solar Energy Engineering</w:t>
      </w:r>
      <w:r w:rsidRPr="003D40B5">
        <w:rPr>
          <w:rFonts w:cs="Times New Roman"/>
          <w:noProof/>
          <w:szCs w:val="24"/>
        </w:rPr>
        <w:t>, 123.</w:t>
      </w:r>
    </w:p>
    <w:p w14:paraId="6F02AD1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Gallagher, J.O. &amp; Winston, R., 1985. Applications of maximally concentrating optics for solar energy collection. In </w:t>
      </w:r>
      <w:r w:rsidRPr="003D40B5">
        <w:rPr>
          <w:rFonts w:cs="Times New Roman"/>
          <w:i/>
          <w:iCs/>
          <w:noProof/>
          <w:szCs w:val="24"/>
        </w:rPr>
        <w:t>AIP</w:t>
      </w:r>
      <w:r w:rsidRPr="003D40B5">
        <w:rPr>
          <w:rFonts w:cs="Times New Roman"/>
          <w:noProof/>
          <w:szCs w:val="24"/>
        </w:rPr>
        <w:t>. Washington DC, USA.</w:t>
      </w:r>
    </w:p>
    <w:p w14:paraId="54B7CC0F"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Greger, R. &amp; Rath, H.J., 1995. Measurement of the thermal conductivity of fluids with low viscosity under reduced gravity conditions using the transient hot-wire technique. </w:t>
      </w:r>
      <w:r w:rsidRPr="003D40B5">
        <w:rPr>
          <w:rFonts w:cs="Times New Roman"/>
          <w:i/>
          <w:iCs/>
          <w:noProof/>
          <w:szCs w:val="24"/>
        </w:rPr>
        <w:t>International Journal of Heat and Mass Transfer</w:t>
      </w:r>
      <w:r w:rsidRPr="003D40B5">
        <w:rPr>
          <w:rFonts w:cs="Times New Roman"/>
          <w:noProof/>
          <w:szCs w:val="24"/>
        </w:rPr>
        <w:t>, 38(6), pp.1105–1110.</w:t>
      </w:r>
    </w:p>
    <w:p w14:paraId="2A1C40F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Hernandez, D. &amp; Olalde, G., 2006. Solar experimental methods for observing melting plateaux and associated temperature measurements for refractory oxides from 2000 to 3000°C. </w:t>
      </w:r>
      <w:r w:rsidRPr="003D40B5">
        <w:rPr>
          <w:rFonts w:cs="Times New Roman"/>
          <w:i/>
          <w:iCs/>
          <w:noProof/>
          <w:szCs w:val="24"/>
        </w:rPr>
        <w:t>Journal of the European Ceramic Society</w:t>
      </w:r>
      <w:r w:rsidRPr="003D40B5">
        <w:rPr>
          <w:rFonts w:cs="Times New Roman"/>
          <w:noProof/>
          <w:szCs w:val="24"/>
        </w:rPr>
        <w:t>, 26(6), pp.1043–1049. Available at: http://linkinghub.elsevier.com/retrieve/pii/S0955221905000609 [Accessed January 28, 2014].</w:t>
      </w:r>
    </w:p>
    <w:p w14:paraId="18F59562"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Hess, S., 2015. Helio 100. In </w:t>
      </w:r>
      <w:r w:rsidRPr="003D40B5">
        <w:rPr>
          <w:rFonts w:cs="Times New Roman"/>
          <w:i/>
          <w:iCs/>
          <w:noProof/>
          <w:szCs w:val="24"/>
        </w:rPr>
        <w:t>IAE, SHC Task 49, 8th Expert Meeting</w:t>
      </w:r>
      <w:r w:rsidRPr="003D40B5">
        <w:rPr>
          <w:rFonts w:cs="Times New Roman"/>
          <w:noProof/>
          <w:szCs w:val="24"/>
        </w:rPr>
        <w:t>. Montpellier, France.</w:t>
      </w:r>
    </w:p>
    <w:p w14:paraId="20708CE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Ho, D. &amp; E. Sobon, L., 1979. </w:t>
      </w:r>
      <w:r w:rsidRPr="003D40B5">
        <w:rPr>
          <w:rFonts w:cs="Times New Roman"/>
          <w:i/>
          <w:iCs/>
          <w:noProof/>
          <w:szCs w:val="24"/>
        </w:rPr>
        <w:t>Extraterrestrial Fiberglass Production Using Solar Energy</w:t>
      </w:r>
      <w:r w:rsidRPr="003D40B5">
        <w:rPr>
          <w:rFonts w:cs="Times New Roman"/>
          <w:noProof/>
          <w:szCs w:val="24"/>
        </w:rPr>
        <w:t xml:space="preserve"> J. Billingham &amp; W. Gilbreath, eds., Washington D.C: U.S. Government Printing Office.</w:t>
      </w:r>
    </w:p>
    <w:p w14:paraId="18DAF5A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Holloway, D.G., 1973. The composition and structure of glass. In </w:t>
      </w:r>
      <w:r w:rsidRPr="003D40B5">
        <w:rPr>
          <w:rFonts w:cs="Times New Roman"/>
          <w:i/>
          <w:iCs/>
          <w:noProof/>
          <w:szCs w:val="24"/>
        </w:rPr>
        <w:t>The physical properties of glass</w:t>
      </w:r>
      <w:r w:rsidRPr="003D40B5">
        <w:rPr>
          <w:rFonts w:cs="Times New Roman"/>
          <w:noProof/>
          <w:szCs w:val="24"/>
        </w:rPr>
        <w:t>. Taylor &amp; Francis group, pp. 10–11.</w:t>
      </w:r>
    </w:p>
    <w:p w14:paraId="230FD3AD"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Holman, J.P., 2002. </w:t>
      </w:r>
      <w:r w:rsidRPr="003D40B5">
        <w:rPr>
          <w:rFonts w:cs="Times New Roman"/>
          <w:i/>
          <w:iCs/>
          <w:noProof/>
          <w:szCs w:val="24"/>
        </w:rPr>
        <w:t>Heat Transfer</w:t>
      </w:r>
      <w:r w:rsidRPr="003D40B5">
        <w:rPr>
          <w:rFonts w:cs="Times New Roman"/>
          <w:noProof/>
          <w:szCs w:val="24"/>
        </w:rPr>
        <w:t xml:space="preserve"> 9th ed., McGraw-Hill.</w:t>
      </w:r>
    </w:p>
    <w:p w14:paraId="313867E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Hossain, M.M., Yao, Y., Watanabe, T., Funabiki, F. &amp; Yano, T., 2009. In-flight thermal treatment of soda-lime-silica glass powders for glass production by argon–oxygen induction thermal plasmas. </w:t>
      </w:r>
      <w:r w:rsidRPr="003D40B5">
        <w:rPr>
          <w:rFonts w:cs="Times New Roman"/>
          <w:i/>
          <w:iCs/>
          <w:noProof/>
          <w:szCs w:val="24"/>
        </w:rPr>
        <w:t>Chemical Engineering Journal</w:t>
      </w:r>
      <w:r w:rsidRPr="003D40B5">
        <w:rPr>
          <w:rFonts w:cs="Times New Roman"/>
          <w:noProof/>
          <w:szCs w:val="24"/>
        </w:rPr>
        <w:t>, 150(2-3), pp.561–568. Available at: http://linkinghub.elsevier.com/retrieve/pii/S1385894709001764 [Accessed November 17, 2014].</w:t>
      </w:r>
    </w:p>
    <w:p w14:paraId="5BF7749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Houaijia, A., Sattler, C., Roeb, M., Lange, M., Breuer, S. &amp; Sa, J.P., 2013. Analysis and improvement of a high-efficiency solar cavity reactor design for a two-step thermochemical cycle for solar hydrogen production from water. </w:t>
      </w:r>
      <w:r w:rsidRPr="003D40B5">
        <w:rPr>
          <w:rFonts w:cs="Times New Roman"/>
          <w:i/>
          <w:iCs/>
          <w:noProof/>
          <w:szCs w:val="24"/>
        </w:rPr>
        <w:t>Solar Energy</w:t>
      </w:r>
      <w:r w:rsidRPr="003D40B5">
        <w:rPr>
          <w:rFonts w:cs="Times New Roman"/>
          <w:noProof/>
          <w:szCs w:val="24"/>
        </w:rPr>
        <w:t>, 97, pp.26–38.</w:t>
      </w:r>
    </w:p>
    <w:p w14:paraId="3F3FC27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IRENA, 2012. </w:t>
      </w:r>
      <w:r w:rsidRPr="003D40B5">
        <w:rPr>
          <w:rFonts w:cs="Times New Roman"/>
          <w:i/>
          <w:iCs/>
          <w:noProof/>
          <w:szCs w:val="24"/>
        </w:rPr>
        <w:t>Renewable Enegy Technologies: Cost Analysis Series. Solar Photovoltaics</w:t>
      </w:r>
      <w:r w:rsidRPr="003D40B5">
        <w:rPr>
          <w:rFonts w:cs="Times New Roman"/>
          <w:noProof/>
          <w:szCs w:val="24"/>
        </w:rPr>
        <w:t>, Abu Dhabi.</w:t>
      </w:r>
    </w:p>
    <w:p w14:paraId="0C14C06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Jones, G.O., 1971a. Structural chemistry of glass. In </w:t>
      </w:r>
      <w:r w:rsidRPr="003D40B5">
        <w:rPr>
          <w:rFonts w:cs="Times New Roman"/>
          <w:i/>
          <w:iCs/>
          <w:noProof/>
          <w:szCs w:val="24"/>
        </w:rPr>
        <w:t>Glass</w:t>
      </w:r>
      <w:r w:rsidRPr="003D40B5">
        <w:rPr>
          <w:rFonts w:cs="Times New Roman"/>
          <w:noProof/>
          <w:szCs w:val="24"/>
        </w:rPr>
        <w:t>.</w:t>
      </w:r>
    </w:p>
    <w:p w14:paraId="1326E3FA"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Jones, G.O., 1971b. The glassy state. In </w:t>
      </w:r>
      <w:r w:rsidRPr="003D40B5">
        <w:rPr>
          <w:rFonts w:cs="Times New Roman"/>
          <w:i/>
          <w:iCs/>
          <w:noProof/>
          <w:szCs w:val="24"/>
        </w:rPr>
        <w:t>Glass</w:t>
      </w:r>
      <w:r w:rsidRPr="003D40B5">
        <w:rPr>
          <w:rFonts w:cs="Times New Roman"/>
          <w:noProof/>
          <w:szCs w:val="24"/>
        </w:rPr>
        <w:t>. Gateshead: Northumberland Press Ltd, pp. 2–5.</w:t>
      </w:r>
    </w:p>
    <w:p w14:paraId="5604A125"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Klouzek, J. &amp; Nemec, L., 2003. Modelling of glass refining kinetics. Part 2: Bubble distribution models and methods of measurement of refining properties. </w:t>
      </w:r>
      <w:r w:rsidRPr="003D40B5">
        <w:rPr>
          <w:rFonts w:cs="Times New Roman"/>
          <w:i/>
          <w:iCs/>
          <w:noProof/>
          <w:szCs w:val="24"/>
        </w:rPr>
        <w:t>Ceramics</w:t>
      </w:r>
      <w:r w:rsidRPr="003D40B5">
        <w:rPr>
          <w:rFonts w:cs="Times New Roman"/>
          <w:noProof/>
          <w:szCs w:val="24"/>
        </w:rPr>
        <w:t>, 47(4), pp.155–161. Available at: http://cat.inist.fr/?aModele=afficheN&amp;cpsidt=15636721 [Accessed July 9, 2015].</w:t>
      </w:r>
    </w:p>
    <w:p w14:paraId="0AA6F28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Kodama, T., 2003. </w:t>
      </w:r>
      <w:r w:rsidRPr="003D40B5">
        <w:rPr>
          <w:rFonts w:cs="Times New Roman"/>
          <w:i/>
          <w:iCs/>
          <w:noProof/>
          <w:szCs w:val="24"/>
        </w:rPr>
        <w:t>High-temperature solar chemistry for converting solar heat to chemical fuels</w:t>
      </w:r>
      <w:r w:rsidRPr="003D40B5">
        <w:rPr>
          <w:rFonts w:cs="Times New Roman"/>
          <w:noProof/>
          <w:szCs w:val="24"/>
        </w:rPr>
        <w:t>, Available at: http://linkinghub.elsevier.com/retrieve/pii/S0360128503000595 [Accessed January 28, 2014].</w:t>
      </w:r>
    </w:p>
    <w:p w14:paraId="41B379C4"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Koepf, E., Advani, S.G., Steinfeld, A. &amp; Prasad, A.K., 2012. A novel beam-down, gravity-fed, solar thermochemical receiver/reactor for direct solid particle decomposition: Design, modeling, and experimentation. </w:t>
      </w:r>
      <w:r w:rsidRPr="003D40B5">
        <w:rPr>
          <w:rFonts w:cs="Times New Roman"/>
          <w:i/>
          <w:iCs/>
          <w:noProof/>
          <w:szCs w:val="24"/>
        </w:rPr>
        <w:t>International Journal of Hydrogen Energy</w:t>
      </w:r>
      <w:r w:rsidRPr="003D40B5">
        <w:rPr>
          <w:rFonts w:cs="Times New Roman"/>
          <w:noProof/>
          <w:szCs w:val="24"/>
        </w:rPr>
        <w:t>, 37(22), pp.16871–16887. Available at: http://linkinghub.elsevier.com/retrieve/pii/S0360319912018885 [Accessed January 28, 2014].</w:t>
      </w:r>
    </w:p>
    <w:p w14:paraId="1D5321A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Leese, S. &amp; Robert Sheppardson, P., 2016. Pellet and a Method of Manufacturing Glass.</w:t>
      </w:r>
    </w:p>
    <w:p w14:paraId="193FE302"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Liu, M., Tay, N.H.S., Bell, S., Belusko, M., Jacob, R., Will, G., Saman, W. &amp; Bruno, F., 2016. Review on concentrating solar power plants and new developments in high temperature thermal energy storage technologies. </w:t>
      </w:r>
      <w:r w:rsidRPr="003D40B5">
        <w:rPr>
          <w:rFonts w:cs="Times New Roman"/>
          <w:i/>
          <w:iCs/>
          <w:noProof/>
          <w:szCs w:val="24"/>
        </w:rPr>
        <w:t>Renewable and Sustainable Energy Reviews</w:t>
      </w:r>
      <w:r w:rsidRPr="003D40B5">
        <w:rPr>
          <w:rFonts w:cs="Times New Roman"/>
          <w:noProof/>
          <w:szCs w:val="24"/>
        </w:rPr>
        <w:t>, 53, pp.1411–1432. Available at: http://dx.doi.org/10.1016/j.rser.2015.09.026.</w:t>
      </w:r>
    </w:p>
    <w:p w14:paraId="42F4928D"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Liu, Y., Tsuruoka, Y., Tanaka, M., Ichihashi, T., Yano, T. &amp; Watanabe, T., 2011. In-flight melting behavior of different glass raw materials by hybrid heating of twelve-phase ac arc with oxygen burner. </w:t>
      </w:r>
      <w:r w:rsidRPr="003D40B5">
        <w:rPr>
          <w:rFonts w:cs="Times New Roman"/>
          <w:i/>
          <w:iCs/>
          <w:noProof/>
          <w:szCs w:val="24"/>
        </w:rPr>
        <w:t>Thin Solid Films</w:t>
      </w:r>
      <w:r w:rsidRPr="003D40B5">
        <w:rPr>
          <w:rFonts w:cs="Times New Roman"/>
          <w:noProof/>
          <w:szCs w:val="24"/>
        </w:rPr>
        <w:t xml:space="preserve">, 519(20), pp.7005–7008. Available at: http://linkinghub.elsevier.com/retrieve/pii/S0040609010015920 [Accessed November 17, </w:t>
      </w:r>
      <w:r w:rsidRPr="003D40B5">
        <w:rPr>
          <w:rFonts w:cs="Times New Roman"/>
          <w:noProof/>
          <w:szCs w:val="24"/>
        </w:rPr>
        <w:lastRenderedPageBreak/>
        <w:t>2014].</w:t>
      </w:r>
    </w:p>
    <w:p w14:paraId="3BA7085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McLaws, I.J., 1971. </w:t>
      </w:r>
      <w:r w:rsidRPr="003D40B5">
        <w:rPr>
          <w:rFonts w:cs="Times New Roman"/>
          <w:i/>
          <w:iCs/>
          <w:noProof/>
          <w:szCs w:val="24"/>
        </w:rPr>
        <w:t>Uses and specifications of silica sand</w:t>
      </w:r>
      <w:r w:rsidRPr="003D40B5">
        <w:rPr>
          <w:rFonts w:cs="Times New Roman"/>
          <w:noProof/>
          <w:szCs w:val="24"/>
        </w:rPr>
        <w:t>, Edmonton, Alberta.</w:t>
      </w:r>
    </w:p>
    <w:p w14:paraId="11F882C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Meier, A., Bonaldi, E., Cella, G.M., Lipinski, W. &amp; Wuillemin, D., 2006. Solar chemical reactor technology for industrial production of lime. </w:t>
      </w:r>
      <w:r w:rsidRPr="003D40B5">
        <w:rPr>
          <w:rFonts w:cs="Times New Roman"/>
          <w:i/>
          <w:iCs/>
          <w:noProof/>
          <w:szCs w:val="24"/>
        </w:rPr>
        <w:t>Solar Energy</w:t>
      </w:r>
      <w:r w:rsidRPr="003D40B5">
        <w:rPr>
          <w:rFonts w:cs="Times New Roman"/>
          <w:noProof/>
          <w:szCs w:val="24"/>
        </w:rPr>
        <w:t>, 80(10), pp.1355–1362. Available at: http://www.sciencedirect.com/science/article/pii/S0038092X05002240 [Accessed December 5, 2014].</w:t>
      </w:r>
    </w:p>
    <w:p w14:paraId="05BE89A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Meier, A., Gremaud, N. &amp; Steinfeld, A., 2005. Economic evaluation of the industrial solar production of lime. </w:t>
      </w:r>
      <w:r w:rsidRPr="003D40B5">
        <w:rPr>
          <w:rFonts w:cs="Times New Roman"/>
          <w:i/>
          <w:iCs/>
          <w:noProof/>
          <w:szCs w:val="24"/>
        </w:rPr>
        <w:t>Energy Conversion and Management</w:t>
      </w:r>
      <w:r w:rsidRPr="003D40B5">
        <w:rPr>
          <w:rFonts w:cs="Times New Roman"/>
          <w:noProof/>
          <w:szCs w:val="24"/>
        </w:rPr>
        <w:t>, 46(6), pp.905–926. Available at: http://www.sciencedirect.com/science/article/pii/S0196890404001359 [Accessed December 5, 2014].</w:t>
      </w:r>
    </w:p>
    <w:p w14:paraId="79B29DD5"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Nakamura, T., 1977. Hydrogen production from water utilizing solar heat at high temperatures. </w:t>
      </w:r>
      <w:r w:rsidRPr="003D40B5">
        <w:rPr>
          <w:rFonts w:cs="Times New Roman"/>
          <w:i/>
          <w:iCs/>
          <w:noProof/>
          <w:szCs w:val="24"/>
        </w:rPr>
        <w:t>Solar Energy</w:t>
      </w:r>
      <w:r w:rsidRPr="003D40B5">
        <w:rPr>
          <w:rFonts w:cs="Times New Roman"/>
          <w:noProof/>
          <w:szCs w:val="24"/>
        </w:rPr>
        <w:t>, 5.</w:t>
      </w:r>
    </w:p>
    <w:p w14:paraId="545DE4FF"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Neises, M. &amp; Roeb, M., 2010. Kinetic investigations of the hydrogen production step of a thermochemical cycle using mixed iron oxides coated on ceramic substrates. </w:t>
      </w:r>
      <w:r w:rsidRPr="003D40B5">
        <w:rPr>
          <w:rFonts w:cs="Times New Roman"/>
          <w:i/>
          <w:iCs/>
          <w:noProof/>
          <w:szCs w:val="24"/>
        </w:rPr>
        <w:t>International Journal of Energy Research</w:t>
      </w:r>
      <w:r w:rsidRPr="003D40B5">
        <w:rPr>
          <w:rFonts w:cs="Times New Roman"/>
          <w:noProof/>
          <w:szCs w:val="24"/>
        </w:rPr>
        <w:t>, 34.</w:t>
      </w:r>
    </w:p>
    <w:p w14:paraId="3126E4C7"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Neises, M., Tescari, S., de Oliveira, L., Roeb, M., Sattler, C. &amp; Wong, B., 2012. Solar-heated rotary kiln for thermochemical energy storage. </w:t>
      </w:r>
      <w:r w:rsidRPr="003D40B5">
        <w:rPr>
          <w:rFonts w:cs="Times New Roman"/>
          <w:i/>
          <w:iCs/>
          <w:noProof/>
          <w:szCs w:val="24"/>
        </w:rPr>
        <w:t>Solar Energy</w:t>
      </w:r>
      <w:r w:rsidRPr="003D40B5">
        <w:rPr>
          <w:rFonts w:cs="Times New Roman"/>
          <w:noProof/>
          <w:szCs w:val="24"/>
        </w:rPr>
        <w:t>, 86(10), pp.3040–3048. Available at: http://linkinghub.elsevier.com/retrieve/pii/S0038092X12002630 [Accessed February 3, 2014].</w:t>
      </w:r>
    </w:p>
    <w:p w14:paraId="3C236D7A"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van Nijnatten, P.A., 1996. Parameters estimation and measurement of thermophysical properties of liquids. In </w:t>
      </w:r>
      <w:r w:rsidRPr="003D40B5">
        <w:rPr>
          <w:rFonts w:cs="Times New Roman"/>
          <w:i/>
          <w:iCs/>
          <w:noProof/>
          <w:szCs w:val="24"/>
        </w:rPr>
        <w:t>International Conference on Glass Problems</w:t>
      </w:r>
      <w:r w:rsidRPr="003D40B5">
        <w:rPr>
          <w:rFonts w:cs="Times New Roman"/>
          <w:noProof/>
          <w:szCs w:val="24"/>
        </w:rPr>
        <w:t>. Istambul.</w:t>
      </w:r>
    </w:p>
    <w:p w14:paraId="362BAA3A"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NREL, 2014. Ivanpah Solar Electric Generating System. Available at: http://www.nrel.gov/csp/solarpaces/project_detail.cfm/projectID=62 [Accessed May 12, 2016].</w:t>
      </w:r>
    </w:p>
    <w:p w14:paraId="442E42C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Packaging-Gateway, 2003. Quinn Glass Bottle Production Facility, Elton, United Kingdom. Available at: http://www.packaging-gateway.com/projects/quinn/ [Accessed May 11, 2016].</w:t>
      </w:r>
    </w:p>
    <w:p w14:paraId="3DC549C7"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Petrasch, J., Coray, P., Meier, A., Brack, M., Häberling, P., Wuillemin, D. &amp; Steinfeld, A., 2007. A Novel 50</w:t>
      </w:r>
      <w:r w:rsidRPr="003D40B5">
        <w:rPr>
          <w:rFonts w:cs="Times New Roman"/>
          <w:noProof/>
          <w:szCs w:val="24"/>
        </w:rPr>
        <w:t> </w:t>
      </w:r>
      <w:r w:rsidRPr="003D40B5">
        <w:rPr>
          <w:rFonts w:cs="Times New Roman"/>
          <w:noProof/>
          <w:szCs w:val="24"/>
        </w:rPr>
        <w:t xml:space="preserve">kW 11,000 suns High-Flux Solar Simulator Based on an Array of Xenon Arc Lamps. </w:t>
      </w:r>
      <w:r w:rsidRPr="003D40B5">
        <w:rPr>
          <w:rFonts w:cs="Times New Roman"/>
          <w:i/>
          <w:iCs/>
          <w:noProof/>
          <w:szCs w:val="24"/>
        </w:rPr>
        <w:t>Journal of Solar Energy Engineering</w:t>
      </w:r>
      <w:r w:rsidRPr="003D40B5">
        <w:rPr>
          <w:rFonts w:cs="Times New Roman"/>
          <w:noProof/>
          <w:szCs w:val="24"/>
        </w:rPr>
        <w:t>, 129(4), p.405. Available at: http://solarenergyengineering.asmedigitalcollection.asme.org/article.aspx?articleid=1457958 [Accessed January 28, 2014].</w:t>
      </w:r>
    </w:p>
    <w:p w14:paraId="54AC1D93"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Philip Ross, C. &amp; Tincher, G.L., 2004. </w:t>
      </w:r>
      <w:r w:rsidRPr="003D40B5">
        <w:rPr>
          <w:rFonts w:cs="Times New Roman"/>
          <w:i/>
          <w:iCs/>
          <w:noProof/>
          <w:szCs w:val="24"/>
        </w:rPr>
        <w:t>Glass Melting Technology: A Technical and Economic Assessment</w:t>
      </w:r>
      <w:r w:rsidRPr="003D40B5">
        <w:rPr>
          <w:rFonts w:cs="Times New Roman"/>
          <w:noProof/>
          <w:szCs w:val="24"/>
        </w:rPr>
        <w:t>, Westerville, Ohio.</w:t>
      </w:r>
    </w:p>
    <w:p w14:paraId="69F778C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Pipino, M., 2014. Is the (flat) glass half full? In </w:t>
      </w:r>
      <w:r w:rsidRPr="003D40B5">
        <w:rPr>
          <w:rFonts w:cs="Times New Roman"/>
          <w:i/>
          <w:iCs/>
          <w:noProof/>
          <w:szCs w:val="24"/>
        </w:rPr>
        <w:t>12th European Society of Glass Conference</w:t>
      </w:r>
      <w:r w:rsidRPr="003D40B5">
        <w:rPr>
          <w:rFonts w:cs="Times New Roman"/>
          <w:noProof/>
          <w:szCs w:val="24"/>
        </w:rPr>
        <w:t>. Parma, Italy.</w:t>
      </w:r>
    </w:p>
    <w:p w14:paraId="55E1451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Prokhorenko, O.A., 2005. Radiative Thermal Conductivity of Melts. In T. P. Seward III &amp; T. Vascott, eds. </w:t>
      </w:r>
      <w:r w:rsidRPr="003D40B5">
        <w:rPr>
          <w:rFonts w:cs="Times New Roman"/>
          <w:i/>
          <w:iCs/>
          <w:noProof/>
          <w:szCs w:val="24"/>
        </w:rPr>
        <w:t>High Temperature Glass Melt Properties Database for Process Modelling</w:t>
      </w:r>
      <w:r w:rsidRPr="003D40B5">
        <w:rPr>
          <w:rFonts w:cs="Times New Roman"/>
          <w:noProof/>
          <w:szCs w:val="24"/>
        </w:rPr>
        <w:t>. Westerville, Ohio: The American Ceramics Society.</w:t>
      </w:r>
    </w:p>
    <w:p w14:paraId="3E24FC5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Rabl, A.R.I., 1976. Tower reflector for solar power plant. </w:t>
      </w:r>
      <w:r w:rsidRPr="003D40B5">
        <w:rPr>
          <w:rFonts w:cs="Times New Roman"/>
          <w:i/>
          <w:iCs/>
          <w:noProof/>
          <w:szCs w:val="24"/>
        </w:rPr>
        <w:t>Solar Energy</w:t>
      </w:r>
      <w:r w:rsidRPr="003D40B5">
        <w:rPr>
          <w:rFonts w:cs="Times New Roman"/>
          <w:noProof/>
          <w:szCs w:val="24"/>
        </w:rPr>
        <w:t>, 18(4), pp.269–271.</w:t>
      </w:r>
    </w:p>
    <w:p w14:paraId="2BF1862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Rawson, H., 1980. Properties and applications of glass. In </w:t>
      </w:r>
      <w:r w:rsidRPr="003D40B5">
        <w:rPr>
          <w:rFonts w:cs="Times New Roman"/>
          <w:i/>
          <w:iCs/>
          <w:noProof/>
          <w:szCs w:val="24"/>
        </w:rPr>
        <w:t>Glass Science and Technology 3</w:t>
      </w:r>
      <w:r w:rsidRPr="003D40B5">
        <w:rPr>
          <w:rFonts w:cs="Times New Roman"/>
          <w:noProof/>
          <w:szCs w:val="24"/>
        </w:rPr>
        <w:t>. Elsevier Science Publshers B.V, p. 10.</w:t>
      </w:r>
    </w:p>
    <w:p w14:paraId="6BB432E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Rodriguez, J., Canadas, I. &amp; Zarza, E., 2014. PSA vertical axis solar furnace SF5. </w:t>
      </w:r>
      <w:r w:rsidRPr="003D40B5">
        <w:rPr>
          <w:rFonts w:cs="Times New Roman"/>
          <w:i/>
          <w:iCs/>
          <w:noProof/>
          <w:szCs w:val="24"/>
        </w:rPr>
        <w:t>Energy Procedia</w:t>
      </w:r>
      <w:r w:rsidRPr="003D40B5">
        <w:rPr>
          <w:rFonts w:cs="Times New Roman"/>
          <w:noProof/>
          <w:szCs w:val="24"/>
        </w:rPr>
        <w:t>, 49, pp.1511–1522. Available at: http://dx.doi.org/10.1016/j.egypro.2014.03.160.</w:t>
      </w:r>
    </w:p>
    <w:p w14:paraId="7B118C40"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Roeb, M. &amp; Monnerie, N., 2006. Thermo-chemical production of hydrogen from water by metal oxides fixed on ceramic substrates. In </w:t>
      </w:r>
      <w:r w:rsidRPr="003D40B5">
        <w:rPr>
          <w:rFonts w:cs="Times New Roman"/>
          <w:i/>
          <w:iCs/>
          <w:noProof/>
          <w:szCs w:val="24"/>
        </w:rPr>
        <w:t>16th World Hydrogen Energy Conference</w:t>
      </w:r>
      <w:r w:rsidRPr="003D40B5">
        <w:rPr>
          <w:rFonts w:cs="Times New Roman"/>
          <w:noProof/>
          <w:szCs w:val="24"/>
        </w:rPr>
        <w:t>. Lyon.</w:t>
      </w:r>
    </w:p>
    <w:p w14:paraId="6B3E6643"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Sammouda, H., Royere, C., Belghith, A. &amp; Maalej, M., 1999. Heat transfer in a rotating furnace of a solar sand!boiler at a 0999 kW thermal concentration system. </w:t>
      </w:r>
      <w:r w:rsidRPr="003D40B5">
        <w:rPr>
          <w:rFonts w:cs="Times New Roman"/>
          <w:i/>
          <w:iCs/>
          <w:noProof/>
          <w:szCs w:val="24"/>
        </w:rPr>
        <w:t>Renewable Energy</w:t>
      </w:r>
      <w:r w:rsidRPr="003D40B5">
        <w:rPr>
          <w:rFonts w:cs="Times New Roman"/>
          <w:noProof/>
          <w:szCs w:val="24"/>
        </w:rPr>
        <w:t>, 17.</w:t>
      </w:r>
    </w:p>
    <w:p w14:paraId="53E611A6"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Scalet, B.M., Garcia Munoz, M., Sisa, A.Q., Roudier, S. &amp; Delgado Sancho, L., 2013. </w:t>
      </w:r>
      <w:r w:rsidRPr="003D40B5">
        <w:rPr>
          <w:rFonts w:cs="Times New Roman"/>
          <w:i/>
          <w:iCs/>
          <w:noProof/>
          <w:szCs w:val="24"/>
        </w:rPr>
        <w:t>Best Available Techniques (BAT) Reference Document for the Manufacture of Glass</w:t>
      </w:r>
      <w:r w:rsidRPr="003D40B5">
        <w:rPr>
          <w:rFonts w:cs="Times New Roman"/>
          <w:noProof/>
          <w:szCs w:val="24"/>
        </w:rPr>
        <w:t>,</w:t>
      </w:r>
    </w:p>
    <w:p w14:paraId="3C3FEA24"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Schaffner, B., Meier, A., Wuillemin, D., Hoffelner, W. &amp; Steinfeld, A., 2003. Recycling of Hazardous Solid Waste Material Using High-Temperature Solar Process Heat . 2 . Reactor Design and Experimentation. </w:t>
      </w:r>
      <w:r w:rsidRPr="003D40B5">
        <w:rPr>
          <w:rFonts w:cs="Times New Roman"/>
          <w:i/>
          <w:iCs/>
          <w:noProof/>
          <w:szCs w:val="24"/>
        </w:rPr>
        <w:t>Environ Sci Technol</w:t>
      </w:r>
      <w:r w:rsidRPr="003D40B5">
        <w:rPr>
          <w:rFonts w:cs="Times New Roman"/>
          <w:noProof/>
          <w:szCs w:val="24"/>
        </w:rPr>
        <w:t>, 37, pp.165–170.</w:t>
      </w:r>
    </w:p>
    <w:p w14:paraId="7B0642F0"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Segal, A. &amp; Epstein, M., 1999. Comparative performance of tower-top and tower-reflector central solar receiver. </w:t>
      </w:r>
      <w:r w:rsidRPr="003D40B5">
        <w:rPr>
          <w:rFonts w:cs="Times New Roman"/>
          <w:i/>
          <w:iCs/>
          <w:noProof/>
          <w:szCs w:val="24"/>
        </w:rPr>
        <w:t>Solar Energy</w:t>
      </w:r>
      <w:r w:rsidRPr="003D40B5">
        <w:rPr>
          <w:rFonts w:cs="Times New Roman"/>
          <w:noProof/>
          <w:szCs w:val="24"/>
        </w:rPr>
        <w:t>, 65, pp.207–26.</w:t>
      </w:r>
    </w:p>
    <w:p w14:paraId="3A42E58D"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lastRenderedPageBreak/>
        <w:t xml:space="preserve">Segal, A. &amp; Epstein, M., 2008. Practical Considerations in Designing Large Scale “ Beam Down ” Optical Systems. </w:t>
      </w:r>
      <w:r w:rsidRPr="003D40B5">
        <w:rPr>
          <w:rFonts w:cs="Times New Roman"/>
          <w:i/>
          <w:iCs/>
          <w:noProof/>
          <w:szCs w:val="24"/>
        </w:rPr>
        <w:t>Journal of Solar Energy Engineering</w:t>
      </w:r>
      <w:r w:rsidRPr="003D40B5">
        <w:rPr>
          <w:rFonts w:cs="Times New Roman"/>
          <w:noProof/>
          <w:szCs w:val="24"/>
        </w:rPr>
        <w:t>, 130(February), pp.1–7.</w:t>
      </w:r>
    </w:p>
    <w:p w14:paraId="336D2F82"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Siegel, N.P. &amp; Ermanoski, I., 2013. A Beam-Down Central Receiver for Solar Thermochemical Hydrogen Production. In </w:t>
      </w:r>
      <w:r w:rsidRPr="003D40B5">
        <w:rPr>
          <w:rFonts w:cs="Times New Roman"/>
          <w:i/>
          <w:iCs/>
          <w:noProof/>
          <w:szCs w:val="24"/>
        </w:rPr>
        <w:t>ASME Solar Conference</w:t>
      </w:r>
      <w:r w:rsidRPr="003D40B5">
        <w:rPr>
          <w:rFonts w:cs="Times New Roman"/>
          <w:noProof/>
          <w:szCs w:val="24"/>
        </w:rPr>
        <w:t>. Minneapolis.</w:t>
      </w:r>
    </w:p>
    <w:p w14:paraId="7EC46D8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Siegel, R. &amp; Howell, J.R., 1981. </w:t>
      </w:r>
      <w:r w:rsidRPr="003D40B5">
        <w:rPr>
          <w:rFonts w:cs="Times New Roman"/>
          <w:i/>
          <w:iCs/>
          <w:noProof/>
          <w:szCs w:val="24"/>
        </w:rPr>
        <w:t>Thermal Radition Heat Transfer</w:t>
      </w:r>
      <w:r w:rsidRPr="003D40B5">
        <w:rPr>
          <w:rFonts w:cs="Times New Roman"/>
          <w:noProof/>
          <w:szCs w:val="24"/>
        </w:rPr>
        <w:t xml:space="preserve"> 2nd ed., Hemisphere Publishing Corporation.</w:t>
      </w:r>
    </w:p>
    <w:p w14:paraId="50AAFC6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Sobolev, I.A., Dmitriev, S.A., Lifanov, F.A., Kobelev, A.P., Stefanovsky, S.V., Ojovan, M.I., 2005. Vitrification Processes for Low, Intermediate Radioactive and Mixed Wastes. </w:t>
      </w:r>
      <w:r w:rsidRPr="003D40B5">
        <w:rPr>
          <w:rFonts w:cs="Times New Roman"/>
          <w:i/>
          <w:iCs/>
          <w:noProof/>
          <w:szCs w:val="24"/>
        </w:rPr>
        <w:t>Glass Technology</w:t>
      </w:r>
      <w:r w:rsidRPr="003D40B5">
        <w:rPr>
          <w:rFonts w:cs="Times New Roman"/>
          <w:noProof/>
          <w:szCs w:val="24"/>
        </w:rPr>
        <w:t>, 46, pp.28–35.</w:t>
      </w:r>
    </w:p>
    <w:p w14:paraId="4AA2015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Solar GIS, 2016a. Direct Normal Irradiance world map. Available at: http://solargis.info/doc/free-solar-radiation-maps-DNI [Accessed February 26, 2016].</w:t>
      </w:r>
    </w:p>
    <w:p w14:paraId="44194A9B"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Solar GIS, 2016b. Global Horizontal Irradiance (GHI) World Map. Available at: http://solargis.info/doc/_pics/freemaps/1000px/ghi/SolarGIS-Solar-map-World-map-en.png [Accessed March 23, 2016].</w:t>
      </w:r>
    </w:p>
    <w:p w14:paraId="194FEF6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Stambouli,  a. B. &amp; Koinuma, H., 2012. A primary study on a long-term vision and strategy for the realisation and the development of the Sahara Solar Breeder project in Algeria. </w:t>
      </w:r>
      <w:r w:rsidRPr="003D40B5">
        <w:rPr>
          <w:rFonts w:cs="Times New Roman"/>
          <w:i/>
          <w:iCs/>
          <w:noProof/>
          <w:szCs w:val="24"/>
        </w:rPr>
        <w:t>Renewable and Sustainable Energy Reviews</w:t>
      </w:r>
      <w:r w:rsidRPr="003D40B5">
        <w:rPr>
          <w:rFonts w:cs="Times New Roman"/>
          <w:noProof/>
          <w:szCs w:val="24"/>
        </w:rPr>
        <w:t>, 16(1), pp.591–598. Available at: http://linkinghub.elsevier.com/retrieve/pii/S1364032111004357 [Accessed February 3, 2014].</w:t>
      </w:r>
    </w:p>
    <w:p w14:paraId="2AA02D1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Steinfeld, A., 2004. Solar Fuels and Materials. </w:t>
      </w:r>
      <w:r w:rsidRPr="003D40B5">
        <w:rPr>
          <w:rFonts w:cs="Times New Roman"/>
          <w:i/>
          <w:iCs/>
          <w:noProof/>
          <w:szCs w:val="24"/>
        </w:rPr>
        <w:t>Solar Fuels and Materials</w:t>
      </w:r>
      <w:r w:rsidRPr="003D40B5">
        <w:rPr>
          <w:rFonts w:cs="Times New Roman"/>
          <w:noProof/>
          <w:szCs w:val="24"/>
        </w:rPr>
        <w:t>, 5, pp.623–637.</w:t>
      </w:r>
    </w:p>
    <w:p w14:paraId="5DEFA48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Tescari, S., Neises, M., de Oliveira, L., Roeb, M., Sattler, C. &amp; Neveu, P., 2013. Thermal model for the optimization of a solar rotary kiln to be used as high temperature thermochemical reactor. </w:t>
      </w:r>
      <w:r w:rsidRPr="003D40B5">
        <w:rPr>
          <w:rFonts w:cs="Times New Roman"/>
          <w:i/>
          <w:iCs/>
          <w:noProof/>
          <w:szCs w:val="24"/>
        </w:rPr>
        <w:t>Solar Energy</w:t>
      </w:r>
      <w:r w:rsidRPr="003D40B5">
        <w:rPr>
          <w:rFonts w:cs="Times New Roman"/>
          <w:noProof/>
          <w:szCs w:val="24"/>
        </w:rPr>
        <w:t>, 95, pp.279–289. Available at: http://linkinghub.elsevier.com/retrieve/pii/S0038092X1300251X [Accessed January 31, 2014].</w:t>
      </w:r>
    </w:p>
    <w:p w14:paraId="4D88881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Trier, W., 1987a. Day Tanks. In </w:t>
      </w:r>
      <w:r w:rsidRPr="003D40B5">
        <w:rPr>
          <w:rFonts w:cs="Times New Roman"/>
          <w:i/>
          <w:iCs/>
          <w:noProof/>
          <w:szCs w:val="24"/>
        </w:rPr>
        <w:t>Glass Furnaces: Design Construction and Operation</w:t>
      </w:r>
      <w:r w:rsidRPr="003D40B5">
        <w:rPr>
          <w:rFonts w:cs="Times New Roman"/>
          <w:noProof/>
          <w:szCs w:val="24"/>
        </w:rPr>
        <w:t>. Sheffield: Society of Glass Technology, pp. 226–228.</w:t>
      </w:r>
    </w:p>
    <w:p w14:paraId="09D9D684"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Trier, W., 1987b. Heat consumption. In </w:t>
      </w:r>
      <w:r w:rsidRPr="003D40B5">
        <w:rPr>
          <w:rFonts w:cs="Times New Roman"/>
          <w:i/>
          <w:iCs/>
          <w:noProof/>
          <w:szCs w:val="24"/>
        </w:rPr>
        <w:t>Glass Furnace: Design Construction and Operation</w:t>
      </w:r>
      <w:r w:rsidRPr="003D40B5">
        <w:rPr>
          <w:rFonts w:cs="Times New Roman"/>
          <w:noProof/>
          <w:szCs w:val="24"/>
        </w:rPr>
        <w:t>. Sheffield: Society of Glass Technology, p. 80.</w:t>
      </w:r>
    </w:p>
    <w:p w14:paraId="0507389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Trier, W., 1987c. Heath flux density and fuel distribution. In </w:t>
      </w:r>
      <w:r w:rsidRPr="003D40B5">
        <w:rPr>
          <w:rFonts w:cs="Times New Roman"/>
          <w:i/>
          <w:iCs/>
          <w:noProof/>
          <w:szCs w:val="24"/>
        </w:rPr>
        <w:t>Glass Furnace: Design Construction and Operation</w:t>
      </w:r>
      <w:r w:rsidRPr="003D40B5">
        <w:rPr>
          <w:rFonts w:cs="Times New Roman"/>
          <w:noProof/>
          <w:szCs w:val="24"/>
        </w:rPr>
        <w:t>. Sheffield: Society of Glass Technology, p. 77.</w:t>
      </w:r>
    </w:p>
    <w:p w14:paraId="0113640F"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Trier, W., 1987d. Pot furnaces. In </w:t>
      </w:r>
      <w:r w:rsidRPr="003D40B5">
        <w:rPr>
          <w:rFonts w:cs="Times New Roman"/>
          <w:i/>
          <w:iCs/>
          <w:noProof/>
          <w:szCs w:val="24"/>
        </w:rPr>
        <w:t>Glass Furnaces: Design Construction and Operation1</w:t>
      </w:r>
      <w:r w:rsidRPr="003D40B5">
        <w:rPr>
          <w:rFonts w:cs="Times New Roman"/>
          <w:noProof/>
          <w:szCs w:val="24"/>
        </w:rPr>
        <w:t>. Sheffield: Society of Glass Technology, pp. 229–236.</w:t>
      </w:r>
    </w:p>
    <w:p w14:paraId="5FF24D7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Trier, W., 1987e. Selection and use of refractories in glass tanks. In </w:t>
      </w:r>
      <w:r w:rsidRPr="003D40B5">
        <w:rPr>
          <w:rFonts w:cs="Times New Roman"/>
          <w:i/>
          <w:iCs/>
          <w:noProof/>
          <w:szCs w:val="24"/>
        </w:rPr>
        <w:t>Glass Furnaces: Design Construction and Operation</w:t>
      </w:r>
      <w:r w:rsidRPr="003D40B5">
        <w:rPr>
          <w:rFonts w:cs="Times New Roman"/>
          <w:noProof/>
          <w:szCs w:val="24"/>
        </w:rPr>
        <w:t>. Society of Glass Technology, p. 60.</w:t>
      </w:r>
    </w:p>
    <w:p w14:paraId="6D91D884"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Trombe, F., 1954. Utilisation de fours centrifuges pour le traitement par l’energie des substances a haute temperature. </w:t>
      </w:r>
      <w:r w:rsidRPr="003D40B5">
        <w:rPr>
          <w:rFonts w:cs="Times New Roman"/>
          <w:i/>
          <w:iCs/>
          <w:noProof/>
          <w:szCs w:val="24"/>
        </w:rPr>
        <w:t>Bulletin de la Societe Chimique de France</w:t>
      </w:r>
      <w:r w:rsidRPr="003D40B5">
        <w:rPr>
          <w:rFonts w:cs="Times New Roman"/>
          <w:noProof/>
          <w:szCs w:val="24"/>
        </w:rPr>
        <w:t>, p.1315.</w:t>
      </w:r>
    </w:p>
    <w:p w14:paraId="0F2C3DE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Tzouganatos, N., Matter, R., Wieckert, C., Antrekowitsch, J., Gamroth, M. &amp; Steinfeld, A., 2013. Thermal Recycling of Waelz Oxide Using Concentrated Solar Energy. </w:t>
      </w:r>
      <w:r w:rsidRPr="003D40B5">
        <w:rPr>
          <w:rFonts w:cs="Times New Roman"/>
          <w:i/>
          <w:iCs/>
          <w:noProof/>
          <w:szCs w:val="24"/>
        </w:rPr>
        <w:t>JOM</w:t>
      </w:r>
      <w:r w:rsidRPr="003D40B5">
        <w:rPr>
          <w:rFonts w:cs="Times New Roman"/>
          <w:noProof/>
          <w:szCs w:val="24"/>
        </w:rPr>
        <w:t>, 65(12), pp.1733–1743.</w:t>
      </w:r>
    </w:p>
    <w:p w14:paraId="2F4FD42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U.S. Department of Energy, 2013. </w:t>
      </w:r>
      <w:r w:rsidRPr="003D40B5">
        <w:rPr>
          <w:rFonts w:cs="Times New Roman"/>
          <w:i/>
          <w:iCs/>
          <w:noProof/>
          <w:szCs w:val="24"/>
        </w:rPr>
        <w:t>Grid Energy Storage</w:t>
      </w:r>
      <w:r w:rsidRPr="003D40B5">
        <w:rPr>
          <w:rFonts w:cs="Times New Roman"/>
          <w:noProof/>
          <w:szCs w:val="24"/>
        </w:rPr>
        <w:t>, Washington. Available at: http://energy.gov/eere/amo/articles/energy-department-releases-grid-energy-storage-report.</w:t>
      </w:r>
    </w:p>
    <w:p w14:paraId="248AEB6F"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US EIA, 2016. Cushing, OK WTI spot Price FOB. </w:t>
      </w:r>
      <w:r w:rsidRPr="003D40B5">
        <w:rPr>
          <w:rFonts w:cs="Times New Roman"/>
          <w:i/>
          <w:iCs/>
          <w:noProof/>
          <w:szCs w:val="24"/>
        </w:rPr>
        <w:t>Petroleum &amp; Other Products</w:t>
      </w:r>
      <w:r w:rsidRPr="003D40B5">
        <w:rPr>
          <w:rFonts w:cs="Times New Roman"/>
          <w:noProof/>
          <w:szCs w:val="24"/>
        </w:rPr>
        <w:t>. Available at: http://www.eia.gov/dnav/pet/hist/LeafHandler.ashx?n=PET&amp;s=RWTC&amp;f=A [Accessed May 17, 2016].</w:t>
      </w:r>
    </w:p>
    <w:p w14:paraId="0076C03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Verlotski, V., Schaus, M. &amp; Pohl, M., 1997. A solar thermal MgO-powder receiver with working temperatures of more than 1600 ° C : Model investigation by using a laser as an irradiation source. , 45, pp.227–239.</w:t>
      </w:r>
    </w:p>
    <w:p w14:paraId="66B7DA7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Villafán-Vidales, H.I., Abanades, S., Arancibia-Bulnes, C. a., Riveros-Rosas, D., Romero-Paredes, H., Espinosa-Paredes, G. &amp; Estrada, C. a., 2012. Radiative heat transfer analysis of a directly irradiated cavity-type solar thermochemical reactor by Monte-Carlo ray tracing. </w:t>
      </w:r>
      <w:r w:rsidRPr="003D40B5">
        <w:rPr>
          <w:rFonts w:cs="Times New Roman"/>
          <w:i/>
          <w:iCs/>
          <w:noProof/>
          <w:szCs w:val="24"/>
        </w:rPr>
        <w:t>Journal of Renewable and Sustainable Energy</w:t>
      </w:r>
      <w:r w:rsidRPr="003D40B5">
        <w:rPr>
          <w:rFonts w:cs="Times New Roman"/>
          <w:noProof/>
          <w:szCs w:val="24"/>
        </w:rPr>
        <w:t>, 4(4), p.043125. Available at: http://scitation.aip.org/content/aip/journal/jrse/4/4/10.1063/1.4747825 [Accessed November 24, 2014].</w:t>
      </w:r>
    </w:p>
    <w:p w14:paraId="3645BA37"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lastRenderedPageBreak/>
        <w:t xml:space="preserve">Villafán-Vidales, H.I., Abanades, S., Montiel-González, M., Romero-Paredes, H., Arancibia-bulnes, C.A. &amp; Estrada, C.A., 2015. Transient heat transfer simulation of a 1 kWth moving front solar thermochemical reactor for thermal dissociation of compressed ZnO. </w:t>
      </w:r>
      <w:r w:rsidRPr="003D40B5">
        <w:rPr>
          <w:rFonts w:cs="Times New Roman"/>
          <w:i/>
          <w:iCs/>
          <w:noProof/>
          <w:szCs w:val="24"/>
        </w:rPr>
        <w:t>Chemical Engineering Research and Design</w:t>
      </w:r>
      <w:r w:rsidRPr="003D40B5">
        <w:rPr>
          <w:rFonts w:cs="Times New Roman"/>
          <w:noProof/>
          <w:szCs w:val="24"/>
        </w:rPr>
        <w:t>, 93, pp.174–184.</w:t>
      </w:r>
    </w:p>
    <w:p w14:paraId="2C0595E4"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Villafán-Vidales, H.I., Arancibia-bulnes, C.A., Dehesa-carrasco, U. &amp; Romero-paredes, H., 2009. Monte Carlo radiative transfer simulation of a cavity solar reactor for the reduction of cerium oxide. </w:t>
      </w:r>
      <w:r w:rsidRPr="003D40B5">
        <w:rPr>
          <w:rFonts w:cs="Times New Roman"/>
          <w:i/>
          <w:iCs/>
          <w:noProof/>
          <w:szCs w:val="24"/>
        </w:rPr>
        <w:t>International Journal of Hydrogen Energy</w:t>
      </w:r>
      <w:r w:rsidRPr="003D40B5">
        <w:rPr>
          <w:rFonts w:cs="Times New Roman"/>
          <w:noProof/>
          <w:szCs w:val="24"/>
        </w:rPr>
        <w:t>, 34, pp.115–124.</w:t>
      </w:r>
    </w:p>
    <w:p w14:paraId="6D54115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Vogel, W., 1994. Forward. In </w:t>
      </w:r>
      <w:r w:rsidRPr="003D40B5">
        <w:rPr>
          <w:rFonts w:cs="Times New Roman"/>
          <w:i/>
          <w:iCs/>
          <w:noProof/>
          <w:szCs w:val="24"/>
        </w:rPr>
        <w:t>Glass Chemistry</w:t>
      </w:r>
      <w:r w:rsidRPr="003D40B5">
        <w:rPr>
          <w:rFonts w:cs="Times New Roman"/>
          <w:noProof/>
          <w:szCs w:val="24"/>
        </w:rPr>
        <w:t>. Berlin: Springer-Verlag, p. v.</w:t>
      </w:r>
    </w:p>
    <w:p w14:paraId="4D2AE5D7"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Welford, W.T. &amp; Winston, R., 1978. </w:t>
      </w:r>
      <w:r w:rsidRPr="003D40B5">
        <w:rPr>
          <w:rFonts w:cs="Times New Roman"/>
          <w:i/>
          <w:iCs/>
          <w:noProof/>
          <w:szCs w:val="24"/>
        </w:rPr>
        <w:t>The optics of nonimaging concentratrors</w:t>
      </w:r>
      <w:r w:rsidRPr="003D40B5">
        <w:rPr>
          <w:rFonts w:cs="Times New Roman"/>
          <w:noProof/>
          <w:szCs w:val="24"/>
        </w:rPr>
        <w:t>, New York: Academic Press.</w:t>
      </w:r>
    </w:p>
    <w:p w14:paraId="01C046D8"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Wieckert, C., Frommherz, U., Kräupl, S., Guillot, E., Olalde, G., Epstein, M., Santén, S., Osinga, T. &amp; Steinfeld, A., 2007. A 300</w:t>
      </w:r>
      <w:r w:rsidRPr="003D40B5">
        <w:rPr>
          <w:rFonts w:cs="Times New Roman"/>
          <w:noProof/>
          <w:szCs w:val="24"/>
        </w:rPr>
        <w:t> </w:t>
      </w:r>
      <w:r w:rsidRPr="003D40B5">
        <w:rPr>
          <w:rFonts w:cs="Times New Roman"/>
          <w:noProof/>
          <w:szCs w:val="24"/>
        </w:rPr>
        <w:t xml:space="preserve">kW Solar Chemical Pilot Plant for the Carbothermic Production of Zinc. </w:t>
      </w:r>
      <w:r w:rsidRPr="003D40B5">
        <w:rPr>
          <w:rFonts w:cs="Times New Roman"/>
          <w:i/>
          <w:iCs/>
          <w:noProof/>
          <w:szCs w:val="24"/>
        </w:rPr>
        <w:t>Journal of Solar Energy Engineering</w:t>
      </w:r>
      <w:r w:rsidRPr="003D40B5">
        <w:rPr>
          <w:rFonts w:cs="Times New Roman"/>
          <w:noProof/>
          <w:szCs w:val="24"/>
        </w:rPr>
        <w:t>, 129(2), p.190. Available at: http://solarenergyengineering.asmedigitalcollection.asme.org/article.aspx?articleid=1457894 [Accessed December 29, 2014].</w:t>
      </w:r>
    </w:p>
    <w:p w14:paraId="486A88DC"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Wieckert, C., Palumbo, R. &amp; Frommherz, U., 2005. A two-cavity reactor for solar chemical processes : heat transfer model and application to carbothermic reduction of ZnO. </w:t>
      </w:r>
      <w:r w:rsidRPr="003D40B5">
        <w:rPr>
          <w:rFonts w:cs="Times New Roman"/>
          <w:i/>
          <w:iCs/>
          <w:noProof/>
          <w:szCs w:val="24"/>
        </w:rPr>
        <w:t>Journal of Solar Energy Engineering</w:t>
      </w:r>
      <w:r w:rsidRPr="003D40B5">
        <w:rPr>
          <w:rFonts w:cs="Times New Roman"/>
          <w:noProof/>
          <w:szCs w:val="24"/>
        </w:rPr>
        <w:t>, 127.</w:t>
      </w:r>
    </w:p>
    <w:p w14:paraId="3A114933"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Wieckert, C. &amp; Steinfeld, A., 2003. Indirectly Irradiated Solar Receiver- Reactors for High-Temperature Thermochemical Processes. , 125(May 2002), pp.2001–2004.</w:t>
      </w:r>
    </w:p>
    <w:p w14:paraId="4431FBE0"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Winston, R., Welford, W.T., Benítez, P. &amp; Miñano, J.C., 2005. </w:t>
      </w:r>
      <w:r w:rsidRPr="003D40B5">
        <w:rPr>
          <w:rFonts w:cs="Times New Roman"/>
          <w:i/>
          <w:iCs/>
          <w:noProof/>
          <w:szCs w:val="24"/>
        </w:rPr>
        <w:t>Nonimaging Optics</w:t>
      </w:r>
      <w:r w:rsidRPr="003D40B5">
        <w:rPr>
          <w:rFonts w:cs="Times New Roman"/>
          <w:noProof/>
          <w:szCs w:val="24"/>
        </w:rPr>
        <w:t>, Burlington, Mass: Academic Press.</w:t>
      </w:r>
    </w:p>
    <w:p w14:paraId="4C988BC1"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Yadav, D. &amp; Banerjee, R., 2016. A review of solar thermochemical processes. </w:t>
      </w:r>
      <w:r w:rsidRPr="003D40B5">
        <w:rPr>
          <w:rFonts w:cs="Times New Roman"/>
          <w:i/>
          <w:iCs/>
          <w:noProof/>
          <w:szCs w:val="24"/>
        </w:rPr>
        <w:t>Renewable and Sustainable Energy Reviews</w:t>
      </w:r>
      <w:r w:rsidRPr="003D40B5">
        <w:rPr>
          <w:rFonts w:cs="Times New Roman"/>
          <w:noProof/>
          <w:szCs w:val="24"/>
        </w:rPr>
        <w:t>, 54, pp.497–532. Available at: http://dx.doi.org/10.1016/j.rser.2015.10.026.</w:t>
      </w:r>
    </w:p>
    <w:p w14:paraId="13363A9E"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Yao, Y., Watanabe, T., Yano, T., Iseda, T., Sakamoto, O., Iwamoto, M. &amp; Inoue, S., 2008. An innovative energy-saving in-flight melting technology and its application to glass production. </w:t>
      </w:r>
      <w:r w:rsidRPr="003D40B5">
        <w:rPr>
          <w:rFonts w:cs="Times New Roman"/>
          <w:i/>
          <w:iCs/>
          <w:noProof/>
          <w:szCs w:val="24"/>
        </w:rPr>
        <w:t>Science and Technology of Advanced Materials</w:t>
      </w:r>
      <w:r w:rsidRPr="003D40B5">
        <w:rPr>
          <w:rFonts w:cs="Times New Roman"/>
          <w:noProof/>
          <w:szCs w:val="24"/>
        </w:rPr>
        <w:t>, 9(2), p.025013. Available at: http://stacks.iop.org/1468-6996/9/i=2/a=025013?key=crossref.f181016a03b6b3b64b9de6bdf14774cf [Accessed November 17, 2014].</w:t>
      </w:r>
    </w:p>
    <w:p w14:paraId="22736829" w14:textId="77777777" w:rsidR="003D40B5" w:rsidRPr="003D40B5" w:rsidRDefault="003D40B5" w:rsidP="003D40B5">
      <w:pPr>
        <w:widowControl w:val="0"/>
        <w:autoSpaceDE w:val="0"/>
        <w:autoSpaceDN w:val="0"/>
        <w:adjustRightInd w:val="0"/>
        <w:spacing w:line="240" w:lineRule="auto"/>
        <w:ind w:left="480" w:hanging="480"/>
        <w:rPr>
          <w:rFonts w:cs="Times New Roman"/>
          <w:noProof/>
          <w:szCs w:val="24"/>
        </w:rPr>
      </w:pPr>
      <w:r w:rsidRPr="003D40B5">
        <w:rPr>
          <w:rFonts w:cs="Times New Roman"/>
          <w:noProof/>
          <w:szCs w:val="24"/>
        </w:rPr>
        <w:t xml:space="preserve">Z’Graggen, A., Haueter, P., Maag, G., Vidal, A., Romero, M. &amp; Steinfeld, A., 2007. Hydrogen production by steam-gasification of petroleum coke using concentrated solar power—III. Reactor experimentation with slurry feeding. </w:t>
      </w:r>
      <w:r w:rsidRPr="003D40B5">
        <w:rPr>
          <w:rFonts w:cs="Times New Roman"/>
          <w:i/>
          <w:iCs/>
          <w:noProof/>
          <w:szCs w:val="24"/>
        </w:rPr>
        <w:t>International Journal of Hydrogen Energy</w:t>
      </w:r>
      <w:r w:rsidRPr="003D40B5">
        <w:rPr>
          <w:rFonts w:cs="Times New Roman"/>
          <w:noProof/>
          <w:szCs w:val="24"/>
        </w:rPr>
        <w:t>, 32(8), pp.992–996. Available at: http://linkinghub.elsevier.com/retrieve/pii/S0360319906004721 [Accessed January 31, 2014].</w:t>
      </w:r>
    </w:p>
    <w:p w14:paraId="406FBF8A" w14:textId="77777777" w:rsidR="003D40B5" w:rsidRPr="003D40B5" w:rsidRDefault="003D40B5" w:rsidP="003D40B5">
      <w:pPr>
        <w:widowControl w:val="0"/>
        <w:autoSpaceDE w:val="0"/>
        <w:autoSpaceDN w:val="0"/>
        <w:adjustRightInd w:val="0"/>
        <w:spacing w:line="240" w:lineRule="auto"/>
        <w:ind w:left="480" w:hanging="480"/>
        <w:rPr>
          <w:rFonts w:cs="Times New Roman"/>
          <w:noProof/>
        </w:rPr>
      </w:pPr>
      <w:r w:rsidRPr="003D40B5">
        <w:rPr>
          <w:rFonts w:cs="Times New Roman"/>
          <w:noProof/>
          <w:szCs w:val="24"/>
        </w:rPr>
        <w:t xml:space="preserve">Zachariasen, W.H., 1932. The atomic arrangement in glass. </w:t>
      </w:r>
      <w:r w:rsidRPr="003D40B5">
        <w:rPr>
          <w:rFonts w:cs="Times New Roman"/>
          <w:i/>
          <w:iCs/>
          <w:noProof/>
          <w:szCs w:val="24"/>
        </w:rPr>
        <w:t>Journal of the American Chemistry Society</w:t>
      </w:r>
      <w:r w:rsidRPr="003D40B5">
        <w:rPr>
          <w:rFonts w:cs="Times New Roman"/>
          <w:noProof/>
          <w:szCs w:val="24"/>
        </w:rPr>
        <w:t>, 54.</w:t>
      </w:r>
    </w:p>
    <w:p w14:paraId="7EA2F3DB" w14:textId="1ADAE6D0" w:rsidR="00D72920" w:rsidRDefault="00270BFB">
      <w:pPr>
        <w:spacing w:line="276" w:lineRule="auto"/>
        <w:ind w:firstLine="0"/>
        <w:contextualSpacing w:val="0"/>
        <w:jc w:val="left"/>
      </w:pPr>
      <w:r>
        <w:fldChar w:fldCharType="end"/>
      </w:r>
      <w:r w:rsidR="00D72920">
        <w:br w:type="page"/>
      </w:r>
    </w:p>
    <w:p w14:paraId="014AC972" w14:textId="77777777" w:rsidR="00195D88" w:rsidRDefault="00195D88" w:rsidP="00195D88">
      <w:pPr>
        <w:pStyle w:val="Heading1"/>
        <w:numPr>
          <w:ilvl w:val="0"/>
          <w:numId w:val="0"/>
        </w:numPr>
      </w:pPr>
      <w:bookmarkStart w:id="276" w:name="_Toc473995193"/>
      <w:r>
        <w:lastRenderedPageBreak/>
        <w:t>Appendix</w:t>
      </w:r>
      <w:bookmarkEnd w:id="276"/>
    </w:p>
    <w:p w14:paraId="2D1EBAEF" w14:textId="77777777" w:rsidR="00195D88" w:rsidRDefault="00195D88">
      <w:r>
        <w:t xml:space="preserve">All data files related to the research described in this thesis can be found in the disk attached to the hard copy of this thesis and in cloud storage folder at the following URL: </w:t>
      </w:r>
      <w:hyperlink r:id="rId122" w:history="1">
        <w:r w:rsidRPr="00C801DB">
          <w:t>https://www.dropbox.com/sh/gkbq3xdzmcqn77w/AAAXoqhlqtl7v5hiSShn7L5wa?dl=0</w:t>
        </w:r>
      </w:hyperlink>
      <w:r>
        <w:t xml:space="preserve">. </w:t>
      </w:r>
    </w:p>
    <w:p w14:paraId="0EF63639" w14:textId="77777777" w:rsidR="00195D88" w:rsidRDefault="00195D88">
      <w:r>
        <w:t xml:space="preserve">The data files corresponding to the appendix ID (listed in </w:t>
      </w:r>
      <w:r>
        <w:fldChar w:fldCharType="begin"/>
      </w:r>
      <w:r>
        <w:instrText xml:space="preserve"> REF _Ref451201447 \h </w:instrText>
      </w:r>
      <w:r>
        <w:fldChar w:fldCharType="separate"/>
      </w:r>
      <w:r w:rsidR="00820EB1">
        <w:t xml:space="preserve">Table </w:t>
      </w:r>
      <w:r w:rsidR="00820EB1">
        <w:rPr>
          <w:noProof/>
        </w:rPr>
        <w:t>8</w:t>
      </w:r>
      <w:r>
        <w:fldChar w:fldCharType="end"/>
      </w:r>
      <w:r>
        <w:t>) citations in this thesis are located on the same disk and cloud storage folder, in the folder called ‘</w:t>
      </w:r>
      <w:r w:rsidRPr="00057DAA">
        <w:rPr>
          <w:i/>
        </w:rPr>
        <w:t>Cited appendix files’</w:t>
      </w:r>
      <w:r>
        <w:rPr>
          <w:i/>
        </w:rPr>
        <w:t>.</w:t>
      </w:r>
    </w:p>
    <w:p w14:paraId="168AEE0E" w14:textId="77777777" w:rsidR="00195D88" w:rsidRDefault="00195D88" w:rsidP="007554E1">
      <w:pPr>
        <w:pStyle w:val="Caption"/>
        <w:keepNext/>
      </w:pPr>
      <w:bookmarkStart w:id="277" w:name="_Ref451201447"/>
      <w:r>
        <w:t xml:space="preserve">Table </w:t>
      </w:r>
      <w:r w:rsidR="00A47317">
        <w:fldChar w:fldCharType="begin"/>
      </w:r>
      <w:r w:rsidR="00A47317">
        <w:instrText xml:space="preserve"> SEQ Table \* ARABIC </w:instrText>
      </w:r>
      <w:r w:rsidR="00A47317">
        <w:fldChar w:fldCharType="separate"/>
      </w:r>
      <w:r w:rsidR="00486837">
        <w:rPr>
          <w:noProof/>
        </w:rPr>
        <w:t>10</w:t>
      </w:r>
      <w:r w:rsidR="00A47317">
        <w:rPr>
          <w:noProof/>
        </w:rPr>
        <w:fldChar w:fldCharType="end"/>
      </w:r>
      <w:bookmarkEnd w:id="277"/>
      <w:r>
        <w:t>: List of data files as cited by appendix ID in this thesis.</w:t>
      </w:r>
    </w:p>
    <w:tbl>
      <w:tblPr>
        <w:tblStyle w:val="TableGrid"/>
        <w:tblW w:w="0" w:type="auto"/>
        <w:jc w:val="center"/>
        <w:tblLook w:val="04A0" w:firstRow="1" w:lastRow="0" w:firstColumn="1" w:lastColumn="0" w:noHBand="0" w:noVBand="1"/>
      </w:tblPr>
      <w:tblGrid>
        <w:gridCol w:w="517"/>
        <w:gridCol w:w="2254"/>
        <w:gridCol w:w="4170"/>
      </w:tblGrid>
      <w:tr w:rsidR="00195D88" w14:paraId="18830F96" w14:textId="77777777" w:rsidTr="007554E1">
        <w:trPr>
          <w:jc w:val="center"/>
        </w:trPr>
        <w:tc>
          <w:tcPr>
            <w:tcW w:w="517" w:type="dxa"/>
          </w:tcPr>
          <w:p w14:paraId="6ADB59E6" w14:textId="77777777" w:rsidR="00195D88" w:rsidRDefault="00195D88" w:rsidP="00195D88">
            <w:pPr>
              <w:pStyle w:val="Subtitle"/>
            </w:pPr>
            <w:r>
              <w:t>ID</w:t>
            </w:r>
          </w:p>
        </w:tc>
        <w:tc>
          <w:tcPr>
            <w:tcW w:w="2254" w:type="dxa"/>
          </w:tcPr>
          <w:p w14:paraId="7C14C7B2" w14:textId="77777777" w:rsidR="00195D88" w:rsidRDefault="00195D88" w:rsidP="00195D88">
            <w:pPr>
              <w:pStyle w:val="Subtitle"/>
              <w:spacing w:line="240" w:lineRule="auto"/>
              <w:jc w:val="left"/>
            </w:pPr>
            <w:r>
              <w:t>File name</w:t>
            </w:r>
          </w:p>
        </w:tc>
        <w:tc>
          <w:tcPr>
            <w:tcW w:w="4170" w:type="dxa"/>
          </w:tcPr>
          <w:p w14:paraId="443DF8EA" w14:textId="77777777" w:rsidR="00195D88" w:rsidRDefault="00195D88" w:rsidP="00195D88">
            <w:pPr>
              <w:pStyle w:val="Subtitle"/>
              <w:spacing w:line="240" w:lineRule="auto"/>
              <w:jc w:val="left"/>
            </w:pPr>
            <w:r>
              <w:t>Description</w:t>
            </w:r>
          </w:p>
        </w:tc>
      </w:tr>
      <w:tr w:rsidR="00195D88" w14:paraId="5FE0D575" w14:textId="77777777" w:rsidTr="007554E1">
        <w:trPr>
          <w:jc w:val="center"/>
        </w:trPr>
        <w:tc>
          <w:tcPr>
            <w:tcW w:w="517" w:type="dxa"/>
          </w:tcPr>
          <w:p w14:paraId="76F9BA84" w14:textId="77777777" w:rsidR="00195D88" w:rsidRDefault="00195D88" w:rsidP="00195D88">
            <w:pPr>
              <w:pStyle w:val="Subtitle"/>
            </w:pPr>
            <w:r>
              <w:t>1</w:t>
            </w:r>
          </w:p>
        </w:tc>
        <w:tc>
          <w:tcPr>
            <w:tcW w:w="2254" w:type="dxa"/>
          </w:tcPr>
          <w:p w14:paraId="65754FAA" w14:textId="77777777" w:rsidR="00195D88" w:rsidRPr="003627F3" w:rsidRDefault="00195D88" w:rsidP="00195D88">
            <w:pPr>
              <w:pStyle w:val="Subtitle"/>
              <w:spacing w:line="240" w:lineRule="auto"/>
              <w:jc w:val="left"/>
              <w:rPr>
                <w:rFonts w:ascii="Calibri" w:hAnsi="Calibri"/>
                <w:color w:val="000000"/>
              </w:rPr>
            </w:pPr>
            <w:r>
              <w:rPr>
                <w:rFonts w:ascii="Calibri" w:hAnsi="Calibri"/>
                <w:color w:val="000000"/>
              </w:rPr>
              <w:t>Year One PhD Project Report final.pdf</w:t>
            </w:r>
          </w:p>
        </w:tc>
        <w:tc>
          <w:tcPr>
            <w:tcW w:w="4170" w:type="dxa"/>
          </w:tcPr>
          <w:p w14:paraId="607E1462" w14:textId="77777777" w:rsidR="00195D88" w:rsidRPr="003627F3" w:rsidRDefault="00195D88" w:rsidP="00195D88">
            <w:pPr>
              <w:pStyle w:val="Subtitle"/>
              <w:spacing w:line="240" w:lineRule="auto"/>
              <w:jc w:val="left"/>
              <w:rPr>
                <w:rFonts w:ascii="Calibri" w:hAnsi="Calibri"/>
                <w:color w:val="000000"/>
              </w:rPr>
            </w:pPr>
            <w:r>
              <w:rPr>
                <w:rFonts w:ascii="Calibri" w:hAnsi="Calibri"/>
                <w:color w:val="000000"/>
              </w:rPr>
              <w:t>Preliminary research conducted during the first year of this PhD project.</w:t>
            </w:r>
          </w:p>
        </w:tc>
      </w:tr>
      <w:tr w:rsidR="00195D88" w14:paraId="1D5E8370" w14:textId="77777777" w:rsidTr="007554E1">
        <w:trPr>
          <w:trHeight w:val="483"/>
          <w:jc w:val="center"/>
        </w:trPr>
        <w:tc>
          <w:tcPr>
            <w:tcW w:w="517" w:type="dxa"/>
          </w:tcPr>
          <w:p w14:paraId="4F69CBE2" w14:textId="77777777" w:rsidR="00195D88" w:rsidRDefault="00195D88" w:rsidP="00195D88">
            <w:pPr>
              <w:pStyle w:val="Subtitle"/>
            </w:pPr>
            <w:r>
              <w:t>2</w:t>
            </w:r>
          </w:p>
        </w:tc>
        <w:tc>
          <w:tcPr>
            <w:tcW w:w="2254" w:type="dxa"/>
          </w:tcPr>
          <w:p w14:paraId="28BF89E6" w14:textId="77777777" w:rsidR="00195D88" w:rsidRPr="0000339D" w:rsidRDefault="00195D88" w:rsidP="00195D88">
            <w:pPr>
              <w:pStyle w:val="Subtitle"/>
              <w:spacing w:line="240" w:lineRule="auto"/>
              <w:jc w:val="left"/>
              <w:rPr>
                <w:rFonts w:ascii="Calibri" w:hAnsi="Calibri"/>
                <w:color w:val="000000"/>
              </w:rPr>
            </w:pPr>
            <w:r>
              <w:rPr>
                <w:rFonts w:ascii="Calibri" w:hAnsi="Calibri"/>
                <w:color w:val="000000"/>
              </w:rPr>
              <w:t>dimensions of mod crucibles.xlsx</w:t>
            </w:r>
          </w:p>
        </w:tc>
        <w:tc>
          <w:tcPr>
            <w:tcW w:w="4170" w:type="dxa"/>
          </w:tcPr>
          <w:p w14:paraId="571A0C81" w14:textId="77777777" w:rsidR="00195D88" w:rsidRPr="0000339D" w:rsidRDefault="00195D88" w:rsidP="00195D88">
            <w:pPr>
              <w:pStyle w:val="Subtitle"/>
              <w:spacing w:line="240" w:lineRule="auto"/>
              <w:jc w:val="left"/>
              <w:rPr>
                <w:color w:val="000000"/>
              </w:rPr>
            </w:pPr>
            <w:r>
              <w:rPr>
                <w:color w:val="000000"/>
              </w:rPr>
              <w:t>Measured dimensions of the modified crucibles used in experiments B1-6.</w:t>
            </w:r>
          </w:p>
        </w:tc>
      </w:tr>
      <w:tr w:rsidR="00195D88" w14:paraId="31E05CDC" w14:textId="77777777" w:rsidTr="007554E1">
        <w:trPr>
          <w:jc w:val="center"/>
        </w:trPr>
        <w:tc>
          <w:tcPr>
            <w:tcW w:w="517" w:type="dxa"/>
          </w:tcPr>
          <w:p w14:paraId="4DE5199B" w14:textId="77777777" w:rsidR="00195D88" w:rsidRDefault="00195D88" w:rsidP="00195D88">
            <w:pPr>
              <w:pStyle w:val="Subtitle"/>
            </w:pPr>
            <w:r>
              <w:t>3</w:t>
            </w:r>
          </w:p>
        </w:tc>
        <w:tc>
          <w:tcPr>
            <w:tcW w:w="2254" w:type="dxa"/>
          </w:tcPr>
          <w:p w14:paraId="691438CE" w14:textId="77777777" w:rsidR="00195D88" w:rsidRPr="0000339D" w:rsidRDefault="00195D88" w:rsidP="00195D88">
            <w:pPr>
              <w:pStyle w:val="Subtitle"/>
              <w:spacing w:line="240" w:lineRule="auto"/>
              <w:jc w:val="left"/>
              <w:rPr>
                <w:rFonts w:ascii="Calibri" w:hAnsi="Calibri"/>
                <w:color w:val="000000"/>
              </w:rPr>
            </w:pPr>
            <w:r>
              <w:rPr>
                <w:rFonts w:ascii="Calibri" w:hAnsi="Calibri"/>
                <w:color w:val="000000"/>
              </w:rPr>
              <w:t>appendix scale up drawings.docx</w:t>
            </w:r>
          </w:p>
        </w:tc>
        <w:tc>
          <w:tcPr>
            <w:tcW w:w="4170" w:type="dxa"/>
          </w:tcPr>
          <w:p w14:paraId="47D42D73" w14:textId="77777777" w:rsidR="00195D88" w:rsidRDefault="00195D88" w:rsidP="00195D88">
            <w:pPr>
              <w:pStyle w:val="Subtitle"/>
              <w:spacing w:line="240" w:lineRule="auto"/>
              <w:jc w:val="left"/>
            </w:pPr>
            <w:r>
              <w:t>Drawings of the scale up solar heated glass furnace refractory parts.</w:t>
            </w:r>
          </w:p>
        </w:tc>
      </w:tr>
      <w:tr w:rsidR="00195D88" w14:paraId="74E8CD3C" w14:textId="77777777" w:rsidTr="007554E1">
        <w:trPr>
          <w:trHeight w:val="810"/>
          <w:jc w:val="center"/>
        </w:trPr>
        <w:tc>
          <w:tcPr>
            <w:tcW w:w="517" w:type="dxa"/>
          </w:tcPr>
          <w:p w14:paraId="075733B9" w14:textId="77777777" w:rsidR="00195D88" w:rsidRDefault="00195D88" w:rsidP="00195D88">
            <w:pPr>
              <w:pStyle w:val="Subtitle"/>
            </w:pPr>
            <w:r>
              <w:t>4</w:t>
            </w:r>
          </w:p>
        </w:tc>
        <w:tc>
          <w:tcPr>
            <w:tcW w:w="2254" w:type="dxa"/>
          </w:tcPr>
          <w:p w14:paraId="376804D8" w14:textId="77777777" w:rsidR="00195D88" w:rsidRPr="0000339D" w:rsidRDefault="00195D88" w:rsidP="00195D88">
            <w:pPr>
              <w:pStyle w:val="Subtitle"/>
              <w:spacing w:line="240" w:lineRule="auto"/>
              <w:jc w:val="left"/>
              <w:rPr>
                <w:rFonts w:ascii="Calibri" w:hAnsi="Calibri"/>
                <w:color w:val="000000"/>
              </w:rPr>
            </w:pPr>
            <w:r>
              <w:rPr>
                <w:rFonts w:ascii="Calibri" w:hAnsi="Calibri"/>
                <w:color w:val="000000"/>
              </w:rPr>
              <w:t>Appendix SiC heating load calc.docx</w:t>
            </w:r>
          </w:p>
        </w:tc>
        <w:tc>
          <w:tcPr>
            <w:tcW w:w="4170" w:type="dxa"/>
          </w:tcPr>
          <w:p w14:paraId="2C8E94A2" w14:textId="77777777" w:rsidR="00195D88" w:rsidRPr="0000339D" w:rsidRDefault="00195D88" w:rsidP="00195D88">
            <w:pPr>
              <w:pStyle w:val="Subtitle"/>
              <w:spacing w:line="240" w:lineRule="auto"/>
              <w:jc w:val="left"/>
              <w:rPr>
                <w:color w:val="000000"/>
              </w:rPr>
            </w:pPr>
            <w:r>
              <w:rPr>
                <w:color w:val="000000"/>
              </w:rPr>
              <w:t>Heating elements power supply voltage, current and elements surface loading calculations.</w:t>
            </w:r>
          </w:p>
        </w:tc>
      </w:tr>
      <w:tr w:rsidR="00195D88" w14:paraId="20B95199" w14:textId="77777777" w:rsidTr="007554E1">
        <w:trPr>
          <w:jc w:val="center"/>
        </w:trPr>
        <w:tc>
          <w:tcPr>
            <w:tcW w:w="517" w:type="dxa"/>
          </w:tcPr>
          <w:p w14:paraId="22167474" w14:textId="77777777" w:rsidR="00195D88" w:rsidRDefault="00195D88" w:rsidP="00195D88">
            <w:pPr>
              <w:pStyle w:val="Subtitle"/>
            </w:pPr>
            <w:r>
              <w:t>5</w:t>
            </w:r>
          </w:p>
        </w:tc>
        <w:tc>
          <w:tcPr>
            <w:tcW w:w="2254" w:type="dxa"/>
          </w:tcPr>
          <w:p w14:paraId="527E5125" w14:textId="77777777" w:rsidR="00195D88" w:rsidRDefault="00195D88" w:rsidP="00195D88">
            <w:pPr>
              <w:pStyle w:val="Subtitle"/>
              <w:spacing w:line="240" w:lineRule="auto"/>
              <w:jc w:val="left"/>
            </w:pPr>
            <w:r w:rsidRPr="0021028A">
              <w:t>Experiment D4 melting period analysis</w:t>
            </w:r>
            <w:r>
              <w:t>.xlsx</w:t>
            </w:r>
          </w:p>
        </w:tc>
        <w:tc>
          <w:tcPr>
            <w:tcW w:w="4170" w:type="dxa"/>
          </w:tcPr>
          <w:p w14:paraId="52FBCB76" w14:textId="77777777" w:rsidR="00195D88" w:rsidRDefault="00195D88" w:rsidP="00195D88">
            <w:pPr>
              <w:pStyle w:val="Subtitle"/>
              <w:spacing w:line="240" w:lineRule="auto"/>
              <w:jc w:val="left"/>
            </w:pPr>
            <w:r>
              <w:t xml:space="preserve">Analysis of the melting period of experiment D4. </w:t>
            </w:r>
          </w:p>
        </w:tc>
      </w:tr>
      <w:tr w:rsidR="00195D88" w14:paraId="1780C4A4" w14:textId="77777777" w:rsidTr="007554E1">
        <w:trPr>
          <w:jc w:val="center"/>
        </w:trPr>
        <w:tc>
          <w:tcPr>
            <w:tcW w:w="517" w:type="dxa"/>
          </w:tcPr>
          <w:p w14:paraId="007C2B5C" w14:textId="77777777" w:rsidR="00195D88" w:rsidRDefault="00195D88" w:rsidP="00195D88">
            <w:pPr>
              <w:pStyle w:val="Subtitle"/>
            </w:pPr>
            <w:r>
              <w:t>6</w:t>
            </w:r>
          </w:p>
        </w:tc>
        <w:tc>
          <w:tcPr>
            <w:tcW w:w="2254" w:type="dxa"/>
          </w:tcPr>
          <w:p w14:paraId="3698148E" w14:textId="77777777" w:rsidR="00195D88" w:rsidRPr="00FE4397" w:rsidRDefault="00195D88" w:rsidP="00195D88">
            <w:pPr>
              <w:pStyle w:val="Subtitle"/>
              <w:spacing w:line="240" w:lineRule="auto"/>
              <w:jc w:val="left"/>
              <w:rPr>
                <w:rFonts w:ascii="Calibri" w:hAnsi="Calibri"/>
                <w:color w:val="000000"/>
              </w:rPr>
            </w:pPr>
            <w:r>
              <w:rPr>
                <w:rFonts w:ascii="Calibri" w:hAnsi="Calibri"/>
                <w:color w:val="000000"/>
              </w:rPr>
              <w:t>radiosity shape factors appendix.xlsx</w:t>
            </w:r>
          </w:p>
        </w:tc>
        <w:tc>
          <w:tcPr>
            <w:tcW w:w="4170" w:type="dxa"/>
          </w:tcPr>
          <w:p w14:paraId="035964E8" w14:textId="77777777" w:rsidR="00195D88" w:rsidRDefault="00195D88" w:rsidP="00195D88">
            <w:pPr>
              <w:pStyle w:val="Subtitle"/>
              <w:spacing w:line="240" w:lineRule="auto"/>
              <w:jc w:val="left"/>
            </w:pPr>
            <w:r>
              <w:t>Areas and radiation shape factors for surfaces involved in analysis in chapter 5.</w:t>
            </w:r>
          </w:p>
        </w:tc>
      </w:tr>
      <w:tr w:rsidR="00195D88" w14:paraId="17243B7F" w14:textId="77777777" w:rsidTr="007554E1">
        <w:trPr>
          <w:jc w:val="center"/>
        </w:trPr>
        <w:tc>
          <w:tcPr>
            <w:tcW w:w="517" w:type="dxa"/>
          </w:tcPr>
          <w:p w14:paraId="42048F6F" w14:textId="77777777" w:rsidR="00195D88" w:rsidRDefault="00195D88" w:rsidP="00195D88">
            <w:pPr>
              <w:pStyle w:val="Subtitle"/>
            </w:pPr>
            <w:r>
              <w:t>7</w:t>
            </w:r>
          </w:p>
        </w:tc>
        <w:tc>
          <w:tcPr>
            <w:tcW w:w="2254" w:type="dxa"/>
          </w:tcPr>
          <w:p w14:paraId="43FF7695" w14:textId="77777777" w:rsidR="00195D88" w:rsidRDefault="00195D88" w:rsidP="00195D88">
            <w:pPr>
              <w:pStyle w:val="Subtitle"/>
              <w:spacing w:line="240" w:lineRule="auto"/>
              <w:jc w:val="left"/>
              <w:rPr>
                <w:rFonts w:ascii="Calibri" w:hAnsi="Calibri"/>
                <w:color w:val="000000"/>
              </w:rPr>
            </w:pPr>
            <w:r>
              <w:rPr>
                <w:rFonts w:ascii="Calibri" w:hAnsi="Calibri"/>
                <w:color w:val="000000"/>
              </w:rPr>
              <w:t>Appendix RE solar concentrator nth.docx</w:t>
            </w:r>
          </w:p>
          <w:p w14:paraId="3A750321" w14:textId="77777777" w:rsidR="00195D88" w:rsidRDefault="00195D88" w:rsidP="00195D88">
            <w:pPr>
              <w:pStyle w:val="Subtitle"/>
              <w:spacing w:line="240" w:lineRule="auto"/>
              <w:jc w:val="left"/>
              <w:rPr>
                <w:rFonts w:ascii="Calibri" w:hAnsi="Calibri"/>
                <w:color w:val="000000"/>
              </w:rPr>
            </w:pPr>
          </w:p>
        </w:tc>
        <w:tc>
          <w:tcPr>
            <w:tcW w:w="4170" w:type="dxa"/>
          </w:tcPr>
          <w:p w14:paraId="3605CA07" w14:textId="77777777" w:rsidR="00195D88" w:rsidRPr="00275FE9" w:rsidRDefault="00195D88" w:rsidP="00195D88">
            <w:pPr>
              <w:pStyle w:val="Subtitle"/>
              <w:spacing w:line="240" w:lineRule="auto"/>
              <w:jc w:val="left"/>
              <w:rPr>
                <w:color w:val="000000"/>
              </w:rPr>
            </w:pPr>
            <w:r>
              <w:rPr>
                <w:color w:val="000000"/>
              </w:rPr>
              <w:t>Description of efficiencies contributing towards the overall efficiency of the solar collector system assumed in chapter 6.</w:t>
            </w:r>
          </w:p>
        </w:tc>
      </w:tr>
      <w:tr w:rsidR="00195D88" w14:paraId="6A269F3F" w14:textId="77777777" w:rsidTr="00195D88">
        <w:trPr>
          <w:trHeight w:val="647"/>
          <w:jc w:val="center"/>
        </w:trPr>
        <w:tc>
          <w:tcPr>
            <w:tcW w:w="517" w:type="dxa"/>
          </w:tcPr>
          <w:p w14:paraId="640B3F84" w14:textId="77777777" w:rsidR="00195D88" w:rsidRDefault="00195D88" w:rsidP="00195D88">
            <w:pPr>
              <w:pStyle w:val="Subtitle"/>
            </w:pPr>
            <w:r>
              <w:t>8</w:t>
            </w:r>
          </w:p>
        </w:tc>
        <w:tc>
          <w:tcPr>
            <w:tcW w:w="2254" w:type="dxa"/>
          </w:tcPr>
          <w:p w14:paraId="2BEF52A4" w14:textId="37D2ADE0" w:rsidR="00195D88" w:rsidRDefault="00AB5D57" w:rsidP="00195D88">
            <w:pPr>
              <w:pStyle w:val="Subtitle"/>
              <w:spacing w:line="240" w:lineRule="auto"/>
              <w:jc w:val="left"/>
              <w:rPr>
                <w:rFonts w:ascii="Calibri" w:hAnsi="Calibri"/>
                <w:color w:val="000000"/>
              </w:rPr>
            </w:pPr>
            <w:r w:rsidRPr="002B12F7">
              <w:rPr>
                <w:rFonts w:ascii="Calibri" w:hAnsi="Calibri"/>
                <w:color w:val="000000"/>
              </w:rPr>
              <w:t>implications of scale up analysis</w:t>
            </w:r>
            <w:r>
              <w:rPr>
                <w:rFonts w:ascii="Calibri" w:hAnsi="Calibri"/>
                <w:color w:val="000000"/>
              </w:rPr>
              <w:t>.xlsx</w:t>
            </w:r>
          </w:p>
        </w:tc>
        <w:tc>
          <w:tcPr>
            <w:tcW w:w="4170" w:type="dxa"/>
          </w:tcPr>
          <w:p w14:paraId="5F01FBD2" w14:textId="28654291" w:rsidR="00195D88" w:rsidRPr="00195D88" w:rsidRDefault="00AB5D57" w:rsidP="00195D88">
            <w:pPr>
              <w:pStyle w:val="Subtitle"/>
              <w:spacing w:line="240" w:lineRule="auto"/>
              <w:jc w:val="left"/>
              <w:rPr>
                <w:rFonts w:ascii="Calibri" w:hAnsi="Calibri"/>
                <w:color w:val="000000"/>
              </w:rPr>
            </w:pPr>
            <w:r>
              <w:rPr>
                <w:rFonts w:ascii="Calibri" w:hAnsi="Calibri"/>
                <w:color w:val="000000"/>
              </w:rPr>
              <w:t>Calculations involved in the analysis described in section 6.5.</w:t>
            </w:r>
          </w:p>
        </w:tc>
      </w:tr>
      <w:tr w:rsidR="00970F23" w14:paraId="5915D63F" w14:textId="77777777" w:rsidTr="00195D88">
        <w:trPr>
          <w:trHeight w:val="647"/>
          <w:jc w:val="center"/>
        </w:trPr>
        <w:tc>
          <w:tcPr>
            <w:tcW w:w="517" w:type="dxa"/>
          </w:tcPr>
          <w:p w14:paraId="3F9EA763" w14:textId="749D3BEC" w:rsidR="00970F23" w:rsidRDefault="00970F23" w:rsidP="00195D88">
            <w:pPr>
              <w:pStyle w:val="Subtitle"/>
            </w:pPr>
            <w:r>
              <w:t>9</w:t>
            </w:r>
          </w:p>
        </w:tc>
        <w:tc>
          <w:tcPr>
            <w:tcW w:w="2254" w:type="dxa"/>
          </w:tcPr>
          <w:p w14:paraId="44884680" w14:textId="6DE326BF" w:rsidR="00970F23" w:rsidRPr="002B12F7" w:rsidRDefault="00970F23" w:rsidP="00970F23">
            <w:pPr>
              <w:pStyle w:val="Subtitle"/>
              <w:spacing w:line="240" w:lineRule="auto"/>
              <w:jc w:val="left"/>
              <w:rPr>
                <w:rFonts w:ascii="Calibri" w:hAnsi="Calibri"/>
                <w:color w:val="000000"/>
              </w:rPr>
            </w:pPr>
            <w:r>
              <w:rPr>
                <w:rFonts w:ascii="Calibri" w:hAnsi="Calibri"/>
                <w:color w:val="000000"/>
              </w:rPr>
              <w:t>global GHI map.png</w:t>
            </w:r>
          </w:p>
        </w:tc>
        <w:tc>
          <w:tcPr>
            <w:tcW w:w="4170" w:type="dxa"/>
          </w:tcPr>
          <w:p w14:paraId="3B05658E" w14:textId="18CE0549" w:rsidR="00970F23" w:rsidRDefault="00970F23" w:rsidP="00970F23">
            <w:pPr>
              <w:pStyle w:val="Subtitle"/>
              <w:spacing w:line="240" w:lineRule="auto"/>
              <w:jc w:val="left"/>
              <w:rPr>
                <w:rFonts w:ascii="Calibri" w:hAnsi="Calibri"/>
                <w:color w:val="000000"/>
              </w:rPr>
            </w:pPr>
            <w:r>
              <w:rPr>
                <w:rFonts w:ascii="Calibri" w:hAnsi="Calibri"/>
                <w:color w:val="000000"/>
              </w:rPr>
              <w:t>World map contour plot of average Global Horizontal Irradiance (GHI)</w:t>
            </w:r>
          </w:p>
        </w:tc>
      </w:tr>
      <w:tr w:rsidR="00415170" w14:paraId="606D211C" w14:textId="77777777" w:rsidTr="00195D88">
        <w:trPr>
          <w:trHeight w:val="647"/>
          <w:jc w:val="center"/>
        </w:trPr>
        <w:tc>
          <w:tcPr>
            <w:tcW w:w="517" w:type="dxa"/>
          </w:tcPr>
          <w:p w14:paraId="40DDA57F" w14:textId="559C2808" w:rsidR="00415170" w:rsidRDefault="00415170" w:rsidP="00195D88">
            <w:pPr>
              <w:pStyle w:val="Subtitle"/>
            </w:pPr>
            <w:r>
              <w:t>10</w:t>
            </w:r>
          </w:p>
        </w:tc>
        <w:tc>
          <w:tcPr>
            <w:tcW w:w="2254" w:type="dxa"/>
          </w:tcPr>
          <w:p w14:paraId="1222CC29" w14:textId="124B7010" w:rsidR="00415170" w:rsidRDefault="00415170" w:rsidP="00970F23">
            <w:pPr>
              <w:pStyle w:val="Subtitle"/>
              <w:spacing w:line="240" w:lineRule="auto"/>
              <w:jc w:val="left"/>
              <w:rPr>
                <w:rFonts w:ascii="Calibri" w:hAnsi="Calibri"/>
                <w:color w:val="000000"/>
              </w:rPr>
            </w:pPr>
            <w:r w:rsidRPr="00415170">
              <w:rPr>
                <w:rFonts w:ascii="Calibri" w:hAnsi="Calibri"/>
                <w:color w:val="000000"/>
              </w:rPr>
              <w:t>global glass furnace locations</w:t>
            </w:r>
            <w:r>
              <w:rPr>
                <w:rFonts w:ascii="Calibri" w:hAnsi="Calibri"/>
                <w:color w:val="000000"/>
              </w:rPr>
              <w:t>.png</w:t>
            </w:r>
          </w:p>
        </w:tc>
        <w:tc>
          <w:tcPr>
            <w:tcW w:w="4170" w:type="dxa"/>
          </w:tcPr>
          <w:p w14:paraId="5BFEFE42" w14:textId="3CCCBFFB" w:rsidR="00415170" w:rsidRDefault="00415170" w:rsidP="00415170">
            <w:pPr>
              <w:pStyle w:val="Subtitle"/>
              <w:spacing w:line="240" w:lineRule="auto"/>
              <w:jc w:val="left"/>
              <w:rPr>
                <w:rFonts w:ascii="Calibri" w:hAnsi="Calibri"/>
                <w:color w:val="000000"/>
              </w:rPr>
            </w:pPr>
            <w:r>
              <w:t>Global distribution of flat and container glass tank furnaces.</w:t>
            </w:r>
          </w:p>
        </w:tc>
      </w:tr>
      <w:tr w:rsidR="00D85902" w14:paraId="34FCFE43" w14:textId="77777777" w:rsidTr="00195D88">
        <w:trPr>
          <w:trHeight w:val="647"/>
          <w:jc w:val="center"/>
        </w:trPr>
        <w:tc>
          <w:tcPr>
            <w:tcW w:w="517" w:type="dxa"/>
          </w:tcPr>
          <w:p w14:paraId="55EC50FD" w14:textId="68B31A5E" w:rsidR="00D85902" w:rsidRDefault="00D85902" w:rsidP="00195D88">
            <w:pPr>
              <w:pStyle w:val="Subtitle"/>
            </w:pPr>
            <w:r>
              <w:t>11</w:t>
            </w:r>
          </w:p>
        </w:tc>
        <w:tc>
          <w:tcPr>
            <w:tcW w:w="2254" w:type="dxa"/>
          </w:tcPr>
          <w:p w14:paraId="65EBE9ED" w14:textId="3A0773AC" w:rsidR="00D85902" w:rsidRPr="00415170" w:rsidRDefault="00D85902" w:rsidP="00970F23">
            <w:pPr>
              <w:pStyle w:val="Subtitle"/>
              <w:spacing w:line="240" w:lineRule="auto"/>
              <w:jc w:val="left"/>
              <w:rPr>
                <w:rFonts w:ascii="Calibri" w:hAnsi="Calibri"/>
                <w:color w:val="000000"/>
              </w:rPr>
            </w:pPr>
            <w:r>
              <w:rPr>
                <w:rFonts w:ascii="Calibri" w:hAnsi="Calibri"/>
                <w:color w:val="000000"/>
              </w:rPr>
              <w:t>TER calcs.xlsx</w:t>
            </w:r>
          </w:p>
        </w:tc>
        <w:tc>
          <w:tcPr>
            <w:tcW w:w="4170" w:type="dxa"/>
          </w:tcPr>
          <w:p w14:paraId="267A1825" w14:textId="0563500B" w:rsidR="00D85902" w:rsidRDefault="00D85902" w:rsidP="008741F4">
            <w:pPr>
              <w:pStyle w:val="Subtitle"/>
              <w:spacing w:line="240" w:lineRule="auto"/>
              <w:jc w:val="left"/>
            </w:pPr>
            <w:r>
              <w:t xml:space="preserve">Calculation of the Theoretical Energy Requirement </w:t>
            </w:r>
            <w:r w:rsidR="00CE683D">
              <w:t xml:space="preserve">(TER) </w:t>
            </w:r>
            <w:r>
              <w:t>for the formation of soda-lime-silica glasses from batch.</w:t>
            </w:r>
          </w:p>
        </w:tc>
      </w:tr>
    </w:tbl>
    <w:p w14:paraId="3FD8CCF2" w14:textId="77777777" w:rsidR="00195D88" w:rsidRDefault="00195D88"/>
    <w:p w14:paraId="00442304" w14:textId="77777777" w:rsidR="00972C16" w:rsidRDefault="00972C16">
      <w:pPr>
        <w:spacing w:line="276" w:lineRule="auto"/>
        <w:ind w:firstLine="0"/>
        <w:contextualSpacing w:val="0"/>
        <w:jc w:val="left"/>
      </w:pPr>
    </w:p>
    <w:sectPr w:rsidR="00972C16" w:rsidSect="00EE74FC">
      <w:footerReference w:type="default" r:id="rId123"/>
      <w:pgSz w:w="16702" w:h="16838"/>
      <w:pgMar w:top="1440" w:right="5930" w:bottom="1440" w:left="1134" w:header="709" w:footer="709" w:gutter="1134"/>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3FD6F2" w14:textId="77777777" w:rsidR="00A3464D" w:rsidRDefault="00A3464D" w:rsidP="006537DB">
      <w:pPr>
        <w:spacing w:after="0" w:line="240" w:lineRule="auto"/>
      </w:pPr>
      <w:r>
        <w:separator/>
      </w:r>
    </w:p>
  </w:endnote>
  <w:endnote w:type="continuationSeparator" w:id="0">
    <w:p w14:paraId="7332FAE1" w14:textId="77777777" w:rsidR="00A3464D" w:rsidRDefault="00A3464D" w:rsidP="006537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C0BFD" w14:textId="1E3E755E" w:rsidR="00EA7B23" w:rsidRDefault="00EA7B23">
    <w:pPr>
      <w:pStyle w:val="Footer"/>
      <w:jc w:val="center"/>
    </w:pPr>
    <w:r>
      <w:t xml:space="preserve"> </w:t>
    </w:r>
    <w:sdt>
      <w:sdtPr>
        <w:id w:val="-62909056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2D4BB7">
          <w:rPr>
            <w:noProof/>
          </w:rPr>
          <w:t>98</w:t>
        </w:r>
        <w:r>
          <w:rPr>
            <w:noProof/>
          </w:rPr>
          <w:fldChar w:fldCharType="end"/>
        </w:r>
      </w:sdtContent>
    </w:sdt>
  </w:p>
  <w:p w14:paraId="7594453B" w14:textId="77777777" w:rsidR="00EA7B23" w:rsidRDefault="00EA7B23" w:rsidP="006537DB">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14811C" w14:textId="77777777" w:rsidR="00A3464D" w:rsidRDefault="00A3464D" w:rsidP="006537DB">
      <w:pPr>
        <w:spacing w:after="0" w:line="240" w:lineRule="auto"/>
      </w:pPr>
      <w:r>
        <w:separator/>
      </w:r>
    </w:p>
  </w:footnote>
  <w:footnote w:type="continuationSeparator" w:id="0">
    <w:p w14:paraId="3BB605C1" w14:textId="77777777" w:rsidR="00A3464D" w:rsidRDefault="00A3464D" w:rsidP="006537DB">
      <w:pPr>
        <w:spacing w:after="0" w:line="240" w:lineRule="auto"/>
      </w:pPr>
      <w:r>
        <w:continuationSeparator/>
      </w:r>
    </w:p>
  </w:footnote>
  <w:footnote w:id="1">
    <w:p w14:paraId="7D5A50FA" w14:textId="5151CDE1" w:rsidR="00EA7B23" w:rsidRPr="00F52EC2" w:rsidRDefault="00EA7B23" w:rsidP="00F52EC2">
      <w:pPr>
        <w:pStyle w:val="FootnoteText"/>
        <w:spacing w:line="360" w:lineRule="auto"/>
        <w:ind w:left="0" w:firstLine="0"/>
        <w:rPr>
          <w:rFonts w:ascii="Times New Roman" w:hAnsi="Times New Roman"/>
        </w:rPr>
      </w:pPr>
      <w:r w:rsidRPr="00F52EC2">
        <w:rPr>
          <w:rStyle w:val="FootnoteReference"/>
          <w:rFonts w:ascii="Times New Roman" w:hAnsi="Times New Roman"/>
        </w:rPr>
        <w:footnoteRef/>
      </w:r>
      <w:r w:rsidRPr="00F52EC2">
        <w:rPr>
          <w:rFonts w:ascii="Times New Roman" w:hAnsi="Times New Roman"/>
        </w:rPr>
        <w:t xml:space="preserve">Glass melts can be formed from a variety of raw materials and exhibit a great range of reactions. In order to provide an overview of the basic principle, a simplified description limited to a single component melt from a crystalline raw material such as pure silica sand is provided here. For a more comprehensive description see </w:t>
      </w:r>
      <w:r w:rsidRPr="00F52EC2">
        <w:rPr>
          <w:rFonts w:ascii="Times New Roman" w:hAnsi="Times New Roman"/>
        </w:rPr>
        <w:fldChar w:fldCharType="begin" w:fldLock="1"/>
      </w:r>
      <w:r w:rsidRPr="00F52EC2">
        <w:rPr>
          <w:rFonts w:ascii="Times New Roman" w:hAnsi="Times New Roman"/>
        </w:rPr>
        <w:instrText>ADDIN CSL_CITATION { "citationItems" : [ { "id" : "ITEM-1", "itemData" : { "author" : [ { "dropping-particle" : "", "family" : "David Pye", "given" : "L", "non-dropping-particle" : "", "parse-names" : false, "suffix" : "" } ], "chapter-number" : "1", "container-title" : "Properties of glass forming melts", "id" : "ITEM-1", "issued" : { "date-parts" : [ [ "2005" ] ] }, "page" : "1-9", "publisher" : "Taylor &amp; Francis", "title" : "Glass-forming melts", "type" : "chapter" }, "uris" : [ "http://www.mendeley.com/documents/?uuid=0515ef46-ff07-4439-b1ec-418bf14b05a9" ] } ], "mendeley" : { "formattedCitation" : "(David Pye 2005)", "plainTextFormattedCitation" : "(David Pye 2005)", "previouslyFormattedCitation" : "(David Pye 2005)" }, "properties" : { "noteIndex" : 0 }, "schema" : "https://github.com/citation-style-language/schema/raw/master/csl-citation.json" }</w:instrText>
      </w:r>
      <w:r w:rsidRPr="00F52EC2">
        <w:rPr>
          <w:rFonts w:ascii="Times New Roman" w:hAnsi="Times New Roman"/>
        </w:rPr>
        <w:fldChar w:fldCharType="separate"/>
      </w:r>
      <w:r w:rsidRPr="00F52EC2">
        <w:rPr>
          <w:rFonts w:ascii="Times New Roman" w:hAnsi="Times New Roman"/>
          <w:noProof/>
        </w:rPr>
        <w:t>(David Pye 2005)</w:t>
      </w:r>
      <w:r w:rsidRPr="00F52EC2">
        <w:rPr>
          <w:rFonts w:ascii="Times New Roman" w:hAnsi="Times New Roman"/>
        </w:rPr>
        <w:fldChar w:fldCharType="end"/>
      </w:r>
      <w:r w:rsidRPr="00F52EC2">
        <w:rPr>
          <w:rFonts w:ascii="Times New Roman" w:hAnsi="Times New Roman"/>
        </w:rPr>
        <w:t xml:space="preserve">. </w:t>
      </w:r>
    </w:p>
  </w:footnote>
  <w:footnote w:id="2">
    <w:p w14:paraId="631A1BB8" w14:textId="0481123D" w:rsidR="00EA7B23" w:rsidRPr="003B3A29" w:rsidRDefault="00EA7B23" w:rsidP="00F52EC2">
      <w:pPr>
        <w:pStyle w:val="CommentText"/>
        <w:spacing w:line="360" w:lineRule="auto"/>
        <w:ind w:firstLine="0"/>
      </w:pPr>
      <w:r>
        <w:rPr>
          <w:rStyle w:val="FootnoteReference"/>
        </w:rPr>
        <w:footnoteRef/>
      </w:r>
      <w:r w:rsidRPr="005504BB">
        <w:t>Strictly, T</w:t>
      </w:r>
      <w:r w:rsidRPr="005504BB">
        <w:rPr>
          <w:vertAlign w:val="subscript"/>
        </w:rPr>
        <w:t>g</w:t>
      </w:r>
      <w:r w:rsidRPr="003B3A29">
        <w:t xml:space="preserve"> does not have single value, as the transition takes place over a range of temperatures going from a liquid to a visco-elastic solid to a brittle elastic solid.</w:t>
      </w:r>
    </w:p>
    <w:p w14:paraId="08175EDC" w14:textId="7F6980FF" w:rsidR="00EA7B23" w:rsidRDefault="00EA7B23">
      <w:pPr>
        <w:pStyle w:val="FootnoteText"/>
      </w:pPr>
    </w:p>
  </w:footnote>
  <w:footnote w:id="3">
    <w:p w14:paraId="2E05C7FE" w14:textId="77777777" w:rsidR="00EA7B23" w:rsidRDefault="00EA7B23" w:rsidP="00EA4BBA">
      <w:pPr>
        <w:pStyle w:val="FootnoteText"/>
      </w:pPr>
      <w:r>
        <w:rPr>
          <w:rStyle w:val="FootnoteReference"/>
        </w:rPr>
        <w:footnoteRef/>
      </w:r>
      <w:r>
        <w:t xml:space="preserve"> Email from </w:t>
      </w:r>
      <w:r w:rsidRPr="006C514C">
        <w:t>Sandvik Heating Technology UK</w:t>
      </w:r>
      <w:r>
        <w:t xml:space="preserve">, </w:t>
      </w:r>
      <w:r w:rsidRPr="00053578">
        <w:t>Sales Area Manager EMEA North</w:t>
      </w:r>
      <w:r>
        <w:t xml:space="preserve">, </w:t>
      </w:r>
      <w:r w:rsidRPr="00053578">
        <w:t>Daniel Burton</w:t>
      </w:r>
      <w:r>
        <w:t>, 6/6/14.</w:t>
      </w:r>
    </w:p>
  </w:footnote>
  <w:footnote w:id="4">
    <w:p w14:paraId="58224B88" w14:textId="30D676E0" w:rsidR="00EA7B23" w:rsidRDefault="00EA7B23">
      <w:pPr>
        <w:pStyle w:val="FootnoteText"/>
      </w:pPr>
      <w:r>
        <w:rPr>
          <w:rStyle w:val="FootnoteReference"/>
        </w:rPr>
        <w:footnoteRef/>
      </w:r>
      <w:r>
        <w:t xml:space="preserve"> Here we assume a typical value for the theoretical energy demand for clear container (soda-lime-silica) glass according to calorimetry measurements  by </w:t>
      </w:r>
      <w:r>
        <w:fldChar w:fldCharType="begin" w:fldLock="1"/>
      </w:r>
      <w:r>
        <w:instrText>ADDIN CSL_CITATION { "citationItems" : [ { "id" : "ITEM-1", "itemData" : { "author" : [ { "dropping-particle" : "", "family" : "Carvalho", "given" : "M. de O. Madivate", "non-dropping-particle" : "", "parse-names" : false, "suffix" : "" } ], "container-title" : "Journal of the American Ceramic Society", "id" : "ITEM-1", "issued" : { "date-parts" : [ [ "1998" ] ] }, "page" : "3300-3306", "title" : "Calculation of the Theoretical Energy Requirement for Melting Technical Silicate Glasses", "type" : "article-journal", "volume" : "81" }, "uris" : [ "http://www.mendeley.com/documents/?uuid=4feec9e9-ba8d-44d5-a275-db929be56036" ] } ], "mendeley" : { "formattedCitation" : "(Carvalho 1998)", "manualFormatting" : "Carvalho (1998)", "plainTextFormattedCitation" : "(Carvalho 1998)", "previouslyFormattedCitation" : "(Carvalho 1998)" }, "properties" : { "noteIndex" : 0 }, "schema" : "https://github.com/citation-style-language/schema/raw/master/csl-citation.json" }</w:instrText>
      </w:r>
      <w:r>
        <w:fldChar w:fldCharType="separate"/>
      </w:r>
      <w:r w:rsidRPr="0098394F">
        <w:rPr>
          <w:noProof/>
        </w:rPr>
        <w:t xml:space="preserve">Carvalho </w:t>
      </w:r>
      <w:r>
        <w:rPr>
          <w:noProof/>
        </w:rPr>
        <w:t>(</w:t>
      </w:r>
      <w:r w:rsidRPr="0098394F">
        <w:rPr>
          <w:noProof/>
        </w:rPr>
        <w:t>1998)</w:t>
      </w:r>
      <w:r>
        <w:fldChar w:fldCharType="end"/>
      </w:r>
      <w:r>
        <w:t xml:space="preserve"> which is the best possible approximation based on the information available regarding the composition of the batch. This is discussed further in Section 5.8.1.</w:t>
      </w:r>
    </w:p>
  </w:footnote>
  <w:footnote w:id="5">
    <w:p w14:paraId="610434BB" w14:textId="77777777" w:rsidR="00EA7B23" w:rsidRDefault="00EA7B23">
      <w:pPr>
        <w:pStyle w:val="FootnoteText"/>
      </w:pPr>
      <w:r>
        <w:rPr>
          <w:rStyle w:val="FootnoteReference"/>
        </w:rPr>
        <w:footnoteRef/>
      </w:r>
      <w:r>
        <w:t xml:space="preserve"> Written permission to use this image was provided by Solar GIS on 13/5/2016. For more information see: </w:t>
      </w:r>
      <w:hyperlink r:id="rId1" w:history="1">
        <w:r w:rsidRPr="0066206C">
          <w:t>http://solargis.com</w:t>
        </w:r>
      </w:hyperlink>
    </w:p>
  </w:footnote>
  <w:footnote w:id="6">
    <w:p w14:paraId="7967CFAF" w14:textId="77777777" w:rsidR="00EA7B23" w:rsidRDefault="00EA7B23">
      <w:pPr>
        <w:pStyle w:val="FootnoteText"/>
      </w:pPr>
      <w:r>
        <w:rPr>
          <w:rStyle w:val="FootnoteReference"/>
        </w:rPr>
        <w:footnoteRef/>
      </w:r>
      <w:r>
        <w:t xml:space="preserve"> Source: Personal communication (email 11/3/2016), L. Keen, Apollo Furnaces Ltd.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1036D"/>
    <w:multiLevelType w:val="hybridMultilevel"/>
    <w:tmpl w:val="B7C47C3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B50F5D"/>
    <w:multiLevelType w:val="hybridMultilevel"/>
    <w:tmpl w:val="5082EA8A"/>
    <w:lvl w:ilvl="0" w:tplc="08090017">
      <w:start w:val="1"/>
      <w:numFmt w:val="lowerLetter"/>
      <w:lvlText w:val="%1)"/>
      <w:lvlJc w:val="left"/>
      <w:pPr>
        <w:ind w:left="770" w:hanging="360"/>
      </w:pPr>
    </w:lvl>
    <w:lvl w:ilvl="1" w:tplc="08090019" w:tentative="1">
      <w:start w:val="1"/>
      <w:numFmt w:val="lowerLetter"/>
      <w:lvlText w:val="%2."/>
      <w:lvlJc w:val="left"/>
      <w:pPr>
        <w:ind w:left="1490" w:hanging="360"/>
      </w:pPr>
    </w:lvl>
    <w:lvl w:ilvl="2" w:tplc="0809001B" w:tentative="1">
      <w:start w:val="1"/>
      <w:numFmt w:val="lowerRoman"/>
      <w:lvlText w:val="%3."/>
      <w:lvlJc w:val="right"/>
      <w:pPr>
        <w:ind w:left="2210" w:hanging="180"/>
      </w:pPr>
    </w:lvl>
    <w:lvl w:ilvl="3" w:tplc="0809000F" w:tentative="1">
      <w:start w:val="1"/>
      <w:numFmt w:val="decimal"/>
      <w:lvlText w:val="%4."/>
      <w:lvlJc w:val="left"/>
      <w:pPr>
        <w:ind w:left="2930" w:hanging="360"/>
      </w:pPr>
    </w:lvl>
    <w:lvl w:ilvl="4" w:tplc="08090019" w:tentative="1">
      <w:start w:val="1"/>
      <w:numFmt w:val="lowerLetter"/>
      <w:lvlText w:val="%5."/>
      <w:lvlJc w:val="left"/>
      <w:pPr>
        <w:ind w:left="3650" w:hanging="360"/>
      </w:pPr>
    </w:lvl>
    <w:lvl w:ilvl="5" w:tplc="0809001B" w:tentative="1">
      <w:start w:val="1"/>
      <w:numFmt w:val="lowerRoman"/>
      <w:lvlText w:val="%6."/>
      <w:lvlJc w:val="right"/>
      <w:pPr>
        <w:ind w:left="4370" w:hanging="180"/>
      </w:pPr>
    </w:lvl>
    <w:lvl w:ilvl="6" w:tplc="0809000F" w:tentative="1">
      <w:start w:val="1"/>
      <w:numFmt w:val="decimal"/>
      <w:lvlText w:val="%7."/>
      <w:lvlJc w:val="left"/>
      <w:pPr>
        <w:ind w:left="5090" w:hanging="360"/>
      </w:pPr>
    </w:lvl>
    <w:lvl w:ilvl="7" w:tplc="08090019" w:tentative="1">
      <w:start w:val="1"/>
      <w:numFmt w:val="lowerLetter"/>
      <w:lvlText w:val="%8."/>
      <w:lvlJc w:val="left"/>
      <w:pPr>
        <w:ind w:left="5810" w:hanging="360"/>
      </w:pPr>
    </w:lvl>
    <w:lvl w:ilvl="8" w:tplc="0809001B" w:tentative="1">
      <w:start w:val="1"/>
      <w:numFmt w:val="lowerRoman"/>
      <w:lvlText w:val="%9."/>
      <w:lvlJc w:val="right"/>
      <w:pPr>
        <w:ind w:left="6530" w:hanging="180"/>
      </w:pPr>
    </w:lvl>
  </w:abstractNum>
  <w:abstractNum w:abstractNumId="2" w15:restartNumberingAfterBreak="0">
    <w:nsid w:val="075A2916"/>
    <w:multiLevelType w:val="hybridMultilevel"/>
    <w:tmpl w:val="C56C63DA"/>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 w15:restartNumberingAfterBreak="0">
    <w:nsid w:val="0C3A44E2"/>
    <w:multiLevelType w:val="hybridMultilevel"/>
    <w:tmpl w:val="A0DCC6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607888"/>
    <w:multiLevelType w:val="multilevel"/>
    <w:tmpl w:val="0C520D5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82"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C3F59AD"/>
    <w:multiLevelType w:val="multilevel"/>
    <w:tmpl w:val="60AADD7C"/>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05750CC"/>
    <w:multiLevelType w:val="hybridMultilevel"/>
    <w:tmpl w:val="C73E344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3D0382"/>
    <w:multiLevelType w:val="hybridMultilevel"/>
    <w:tmpl w:val="AE6283A0"/>
    <w:lvl w:ilvl="0" w:tplc="543AB378">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259E4A06"/>
    <w:multiLevelType w:val="hybridMultilevel"/>
    <w:tmpl w:val="960AA148"/>
    <w:lvl w:ilvl="0" w:tplc="D54C7CE4">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6485553"/>
    <w:multiLevelType w:val="hybridMultilevel"/>
    <w:tmpl w:val="6F90491A"/>
    <w:lvl w:ilvl="0" w:tplc="D03AC85E">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0" w15:restartNumberingAfterBreak="0">
    <w:nsid w:val="2C59165A"/>
    <w:multiLevelType w:val="hybridMultilevel"/>
    <w:tmpl w:val="E36889F8"/>
    <w:lvl w:ilvl="0" w:tplc="08090017">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1" w15:restartNumberingAfterBreak="0">
    <w:nsid w:val="2CB552F0"/>
    <w:multiLevelType w:val="multilevel"/>
    <w:tmpl w:val="EC46CB40"/>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CDA5613"/>
    <w:multiLevelType w:val="multilevel"/>
    <w:tmpl w:val="6DFCF9D8"/>
    <w:styleLink w:val="Style1"/>
    <w:lvl w:ilvl="0">
      <w:start w:val="1"/>
      <w:numFmt w:val="lowerLetter"/>
      <w:lvlText w:val="%1)"/>
      <w:lvlJc w:val="left"/>
      <w:pPr>
        <w:ind w:left="786" w:hanging="360"/>
      </w:pPr>
      <w:rPr>
        <w:rFonts w:hint="default"/>
      </w:rPr>
    </w:lvl>
    <w:lvl w:ilvl="1">
      <w:start w:val="1"/>
      <w:numFmt w:val="decimal"/>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3" w15:restartNumberingAfterBreak="0">
    <w:nsid w:val="2E652661"/>
    <w:multiLevelType w:val="multilevel"/>
    <w:tmpl w:val="3E0A65B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Heading3"/>
      <w:lvlText w:val="%1.%2.%3."/>
      <w:lvlJc w:val="left"/>
      <w:pPr>
        <w:ind w:left="2489" w:hanging="50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3B56C33"/>
    <w:multiLevelType w:val="hybridMultilevel"/>
    <w:tmpl w:val="53542324"/>
    <w:lvl w:ilvl="0" w:tplc="B6487448">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5" w15:restartNumberingAfterBreak="0">
    <w:nsid w:val="3DE959AC"/>
    <w:multiLevelType w:val="hybridMultilevel"/>
    <w:tmpl w:val="B7C47C3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323B83"/>
    <w:multiLevelType w:val="multilevel"/>
    <w:tmpl w:val="08DA15C2"/>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641"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08A7477"/>
    <w:multiLevelType w:val="hybridMultilevel"/>
    <w:tmpl w:val="0C4402C8"/>
    <w:lvl w:ilvl="0" w:tplc="29F02D1C">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8" w15:restartNumberingAfterBreak="0">
    <w:nsid w:val="52B93712"/>
    <w:multiLevelType w:val="hybridMultilevel"/>
    <w:tmpl w:val="2F7ADED8"/>
    <w:lvl w:ilvl="0" w:tplc="2640C88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F3F4CFB"/>
    <w:multiLevelType w:val="hybridMultilevel"/>
    <w:tmpl w:val="D71CE94C"/>
    <w:lvl w:ilvl="0" w:tplc="0809000F">
      <w:start w:val="1"/>
      <w:numFmt w:val="decimal"/>
      <w:lvlText w:val="%1."/>
      <w:lvlJc w:val="left"/>
      <w:pPr>
        <w:ind w:left="1497" w:hanging="360"/>
      </w:pPr>
      <w:rPr>
        <w:rFonts w:hint="default"/>
      </w:rPr>
    </w:lvl>
    <w:lvl w:ilvl="1" w:tplc="08090003" w:tentative="1">
      <w:start w:val="1"/>
      <w:numFmt w:val="bullet"/>
      <w:lvlText w:val="o"/>
      <w:lvlJc w:val="left"/>
      <w:pPr>
        <w:ind w:left="2217" w:hanging="360"/>
      </w:pPr>
      <w:rPr>
        <w:rFonts w:ascii="Courier New" w:hAnsi="Courier New" w:cs="Courier New" w:hint="default"/>
      </w:rPr>
    </w:lvl>
    <w:lvl w:ilvl="2" w:tplc="08090005" w:tentative="1">
      <w:start w:val="1"/>
      <w:numFmt w:val="bullet"/>
      <w:lvlText w:val=""/>
      <w:lvlJc w:val="left"/>
      <w:pPr>
        <w:ind w:left="2937" w:hanging="360"/>
      </w:pPr>
      <w:rPr>
        <w:rFonts w:ascii="Wingdings" w:hAnsi="Wingdings" w:hint="default"/>
      </w:rPr>
    </w:lvl>
    <w:lvl w:ilvl="3" w:tplc="08090001" w:tentative="1">
      <w:start w:val="1"/>
      <w:numFmt w:val="bullet"/>
      <w:lvlText w:val=""/>
      <w:lvlJc w:val="left"/>
      <w:pPr>
        <w:ind w:left="3657" w:hanging="360"/>
      </w:pPr>
      <w:rPr>
        <w:rFonts w:ascii="Symbol" w:hAnsi="Symbol" w:hint="default"/>
      </w:rPr>
    </w:lvl>
    <w:lvl w:ilvl="4" w:tplc="08090003" w:tentative="1">
      <w:start w:val="1"/>
      <w:numFmt w:val="bullet"/>
      <w:lvlText w:val="o"/>
      <w:lvlJc w:val="left"/>
      <w:pPr>
        <w:ind w:left="4377" w:hanging="360"/>
      </w:pPr>
      <w:rPr>
        <w:rFonts w:ascii="Courier New" w:hAnsi="Courier New" w:cs="Courier New" w:hint="default"/>
      </w:rPr>
    </w:lvl>
    <w:lvl w:ilvl="5" w:tplc="08090005" w:tentative="1">
      <w:start w:val="1"/>
      <w:numFmt w:val="bullet"/>
      <w:lvlText w:val=""/>
      <w:lvlJc w:val="left"/>
      <w:pPr>
        <w:ind w:left="5097" w:hanging="360"/>
      </w:pPr>
      <w:rPr>
        <w:rFonts w:ascii="Wingdings" w:hAnsi="Wingdings" w:hint="default"/>
      </w:rPr>
    </w:lvl>
    <w:lvl w:ilvl="6" w:tplc="08090001" w:tentative="1">
      <w:start w:val="1"/>
      <w:numFmt w:val="bullet"/>
      <w:lvlText w:val=""/>
      <w:lvlJc w:val="left"/>
      <w:pPr>
        <w:ind w:left="5817" w:hanging="360"/>
      </w:pPr>
      <w:rPr>
        <w:rFonts w:ascii="Symbol" w:hAnsi="Symbol" w:hint="default"/>
      </w:rPr>
    </w:lvl>
    <w:lvl w:ilvl="7" w:tplc="08090003" w:tentative="1">
      <w:start w:val="1"/>
      <w:numFmt w:val="bullet"/>
      <w:lvlText w:val="o"/>
      <w:lvlJc w:val="left"/>
      <w:pPr>
        <w:ind w:left="6537" w:hanging="360"/>
      </w:pPr>
      <w:rPr>
        <w:rFonts w:ascii="Courier New" w:hAnsi="Courier New" w:cs="Courier New" w:hint="default"/>
      </w:rPr>
    </w:lvl>
    <w:lvl w:ilvl="8" w:tplc="08090005" w:tentative="1">
      <w:start w:val="1"/>
      <w:numFmt w:val="bullet"/>
      <w:lvlText w:val=""/>
      <w:lvlJc w:val="left"/>
      <w:pPr>
        <w:ind w:left="7257" w:hanging="360"/>
      </w:pPr>
      <w:rPr>
        <w:rFonts w:ascii="Wingdings" w:hAnsi="Wingdings" w:hint="default"/>
      </w:rPr>
    </w:lvl>
  </w:abstractNum>
  <w:abstractNum w:abstractNumId="20" w15:restartNumberingAfterBreak="0">
    <w:nsid w:val="641428D3"/>
    <w:multiLevelType w:val="multilevel"/>
    <w:tmpl w:val="EA06826E"/>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AD37624"/>
    <w:multiLevelType w:val="hybridMultilevel"/>
    <w:tmpl w:val="A4061A02"/>
    <w:lvl w:ilvl="0" w:tplc="82EE8E38">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2" w15:restartNumberingAfterBreak="0">
    <w:nsid w:val="6D3A2519"/>
    <w:multiLevelType w:val="hybridMultilevel"/>
    <w:tmpl w:val="03B6DE58"/>
    <w:lvl w:ilvl="0" w:tplc="85AA2D7A">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3" w15:restartNumberingAfterBreak="0">
    <w:nsid w:val="6F86290B"/>
    <w:multiLevelType w:val="hybridMultilevel"/>
    <w:tmpl w:val="98A09904"/>
    <w:lvl w:ilvl="0" w:tplc="38D478BE">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4" w15:restartNumberingAfterBreak="0">
    <w:nsid w:val="77234AB0"/>
    <w:multiLevelType w:val="multilevel"/>
    <w:tmpl w:val="26EC955A"/>
    <w:lvl w:ilvl="0">
      <w:start w:val="5"/>
      <w:numFmt w:val="decimal"/>
      <w:lvlText w:val="Chapter %1."/>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7D515CCC"/>
    <w:multiLevelType w:val="hybridMultilevel"/>
    <w:tmpl w:val="800854A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0"/>
  </w:num>
  <w:num w:numId="2">
    <w:abstractNumId w:val="13"/>
  </w:num>
  <w:num w:numId="3">
    <w:abstractNumId w:val="8"/>
  </w:num>
  <w:num w:numId="4">
    <w:abstractNumId w:val="18"/>
  </w:num>
  <w:num w:numId="5">
    <w:abstractNumId w:val="1"/>
  </w:num>
  <w:num w:numId="6">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7"/>
  </w:num>
  <w:num w:numId="9">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11"/>
  </w:num>
  <w:num w:numId="12">
    <w:abstractNumId w:val="1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21"/>
  </w:num>
  <w:num w:numId="16">
    <w:abstractNumId w:val="14"/>
  </w:num>
  <w:num w:numId="17">
    <w:abstractNumId w:val="9"/>
  </w:num>
  <w:num w:numId="18">
    <w:abstractNumId w:val="22"/>
  </w:num>
  <w:num w:numId="19">
    <w:abstractNumId w:val="17"/>
  </w:num>
  <w:num w:numId="20">
    <w:abstractNumId w:val="23"/>
  </w:num>
  <w:num w:numId="21">
    <w:abstractNumId w:val="24"/>
  </w:num>
  <w:num w:numId="22">
    <w:abstractNumId w:val="12"/>
  </w:num>
  <w:num w:numId="23">
    <w:abstractNumId w:val="16"/>
  </w:num>
  <w:num w:numId="24">
    <w:abstractNumId w:val="15"/>
  </w:num>
  <w:num w:numId="25">
    <w:abstractNumId w:val="0"/>
  </w:num>
  <w:num w:numId="26">
    <w:abstractNumId w:val="3"/>
  </w:num>
  <w:num w:numId="27">
    <w:abstractNumId w:val="6"/>
  </w:num>
  <w:num w:numId="28">
    <w:abstractNumId w:val="25"/>
  </w:num>
  <w:num w:numId="29">
    <w:abstractNumId w:val="5"/>
  </w:num>
  <w:num w:numId="30">
    <w:abstractNumId w:val="19"/>
  </w:num>
  <w:num w:numId="31">
    <w:abstractNumId w:val="13"/>
  </w:num>
  <w:num w:numId="32">
    <w:abstractNumId w:val="13"/>
  </w:num>
  <w:num w:numId="33">
    <w:abstractNumId w:val="13"/>
  </w:num>
  <w:num w:numId="34">
    <w:abstractNumId w:val="13"/>
  </w:num>
  <w:num w:numId="35">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35FE"/>
    <w:rsid w:val="0000267C"/>
    <w:rsid w:val="000123BB"/>
    <w:rsid w:val="00015F72"/>
    <w:rsid w:val="0001687F"/>
    <w:rsid w:val="00021899"/>
    <w:rsid w:val="000263E6"/>
    <w:rsid w:val="00030BE8"/>
    <w:rsid w:val="000355AC"/>
    <w:rsid w:val="00044D52"/>
    <w:rsid w:val="000513F9"/>
    <w:rsid w:val="0005251B"/>
    <w:rsid w:val="00056AB4"/>
    <w:rsid w:val="000572E3"/>
    <w:rsid w:val="000643CC"/>
    <w:rsid w:val="00072CAD"/>
    <w:rsid w:val="0007470E"/>
    <w:rsid w:val="000751C6"/>
    <w:rsid w:val="00077EE6"/>
    <w:rsid w:val="0008584B"/>
    <w:rsid w:val="000923D0"/>
    <w:rsid w:val="000A0AC5"/>
    <w:rsid w:val="000A1987"/>
    <w:rsid w:val="000A5E71"/>
    <w:rsid w:val="000C0B7D"/>
    <w:rsid w:val="000C437B"/>
    <w:rsid w:val="000D1D7A"/>
    <w:rsid w:val="000D45E8"/>
    <w:rsid w:val="000D6B33"/>
    <w:rsid w:val="000E566A"/>
    <w:rsid w:val="000F51F6"/>
    <w:rsid w:val="000F787E"/>
    <w:rsid w:val="001032C0"/>
    <w:rsid w:val="00105E96"/>
    <w:rsid w:val="001125F1"/>
    <w:rsid w:val="0011321F"/>
    <w:rsid w:val="001168ED"/>
    <w:rsid w:val="00116EF6"/>
    <w:rsid w:val="0012308E"/>
    <w:rsid w:val="00126147"/>
    <w:rsid w:val="00127A58"/>
    <w:rsid w:val="00131CB1"/>
    <w:rsid w:val="0013256C"/>
    <w:rsid w:val="0013655F"/>
    <w:rsid w:val="00142851"/>
    <w:rsid w:val="001444B2"/>
    <w:rsid w:val="00164820"/>
    <w:rsid w:val="00177AB6"/>
    <w:rsid w:val="001855AF"/>
    <w:rsid w:val="00192975"/>
    <w:rsid w:val="00195D88"/>
    <w:rsid w:val="001A4047"/>
    <w:rsid w:val="001A6678"/>
    <w:rsid w:val="001A7CFD"/>
    <w:rsid w:val="001B18BB"/>
    <w:rsid w:val="001B782B"/>
    <w:rsid w:val="001D0234"/>
    <w:rsid w:val="001D1B1A"/>
    <w:rsid w:val="001D36B7"/>
    <w:rsid w:val="001D3BF3"/>
    <w:rsid w:val="001D5DDB"/>
    <w:rsid w:val="001E098C"/>
    <w:rsid w:val="001E7A15"/>
    <w:rsid w:val="001E7C75"/>
    <w:rsid w:val="001F36AE"/>
    <w:rsid w:val="001F69AC"/>
    <w:rsid w:val="00200B90"/>
    <w:rsid w:val="00204CE5"/>
    <w:rsid w:val="00206637"/>
    <w:rsid w:val="00207CB0"/>
    <w:rsid w:val="0023258E"/>
    <w:rsid w:val="00237D8D"/>
    <w:rsid w:val="00257835"/>
    <w:rsid w:val="002643B1"/>
    <w:rsid w:val="00270BFB"/>
    <w:rsid w:val="002773D5"/>
    <w:rsid w:val="00286B61"/>
    <w:rsid w:val="002A37B6"/>
    <w:rsid w:val="002A5BD2"/>
    <w:rsid w:val="002A7F9B"/>
    <w:rsid w:val="002B03E7"/>
    <w:rsid w:val="002B2DC1"/>
    <w:rsid w:val="002B693B"/>
    <w:rsid w:val="002B759B"/>
    <w:rsid w:val="002C6772"/>
    <w:rsid w:val="002D333B"/>
    <w:rsid w:val="002D3823"/>
    <w:rsid w:val="002D3AAA"/>
    <w:rsid w:val="002D4BB7"/>
    <w:rsid w:val="00301185"/>
    <w:rsid w:val="00307280"/>
    <w:rsid w:val="0030756D"/>
    <w:rsid w:val="00310DFF"/>
    <w:rsid w:val="0031187F"/>
    <w:rsid w:val="00321100"/>
    <w:rsid w:val="0032235B"/>
    <w:rsid w:val="0032672E"/>
    <w:rsid w:val="00330B05"/>
    <w:rsid w:val="00332E55"/>
    <w:rsid w:val="00336B11"/>
    <w:rsid w:val="003428DA"/>
    <w:rsid w:val="003442C9"/>
    <w:rsid w:val="00344ABD"/>
    <w:rsid w:val="00354C01"/>
    <w:rsid w:val="00357815"/>
    <w:rsid w:val="00357D2F"/>
    <w:rsid w:val="003610C6"/>
    <w:rsid w:val="003614AE"/>
    <w:rsid w:val="00372F28"/>
    <w:rsid w:val="003740DD"/>
    <w:rsid w:val="00381B5F"/>
    <w:rsid w:val="00383B79"/>
    <w:rsid w:val="00383F92"/>
    <w:rsid w:val="003865C0"/>
    <w:rsid w:val="00386783"/>
    <w:rsid w:val="00392A40"/>
    <w:rsid w:val="0039705F"/>
    <w:rsid w:val="003A2313"/>
    <w:rsid w:val="003A743C"/>
    <w:rsid w:val="003B3A29"/>
    <w:rsid w:val="003B6871"/>
    <w:rsid w:val="003C2467"/>
    <w:rsid w:val="003C6D79"/>
    <w:rsid w:val="003C6DD4"/>
    <w:rsid w:val="003D212B"/>
    <w:rsid w:val="003D3014"/>
    <w:rsid w:val="003D40B5"/>
    <w:rsid w:val="003E4222"/>
    <w:rsid w:val="003E44A3"/>
    <w:rsid w:val="003F0407"/>
    <w:rsid w:val="00404256"/>
    <w:rsid w:val="00404D51"/>
    <w:rsid w:val="00407F33"/>
    <w:rsid w:val="004112D5"/>
    <w:rsid w:val="00415170"/>
    <w:rsid w:val="00416443"/>
    <w:rsid w:val="004220BC"/>
    <w:rsid w:val="00422134"/>
    <w:rsid w:val="004317BF"/>
    <w:rsid w:val="0043638C"/>
    <w:rsid w:val="004438A9"/>
    <w:rsid w:val="0044489D"/>
    <w:rsid w:val="00452FE4"/>
    <w:rsid w:val="004547C6"/>
    <w:rsid w:val="004548F5"/>
    <w:rsid w:val="00461150"/>
    <w:rsid w:val="004703E8"/>
    <w:rsid w:val="004720AE"/>
    <w:rsid w:val="004757AA"/>
    <w:rsid w:val="00476677"/>
    <w:rsid w:val="004814E3"/>
    <w:rsid w:val="0048450F"/>
    <w:rsid w:val="00486837"/>
    <w:rsid w:val="0049646F"/>
    <w:rsid w:val="004A2F63"/>
    <w:rsid w:val="004B172D"/>
    <w:rsid w:val="004B255D"/>
    <w:rsid w:val="004C2DB5"/>
    <w:rsid w:val="004D6489"/>
    <w:rsid w:val="004E2EA9"/>
    <w:rsid w:val="004E724E"/>
    <w:rsid w:val="004E7641"/>
    <w:rsid w:val="004F26C0"/>
    <w:rsid w:val="004F3013"/>
    <w:rsid w:val="004F57FB"/>
    <w:rsid w:val="00501CFA"/>
    <w:rsid w:val="00503F28"/>
    <w:rsid w:val="0050493C"/>
    <w:rsid w:val="00506DA2"/>
    <w:rsid w:val="00507C90"/>
    <w:rsid w:val="005218AD"/>
    <w:rsid w:val="00522731"/>
    <w:rsid w:val="00533F32"/>
    <w:rsid w:val="00534E8C"/>
    <w:rsid w:val="005432CC"/>
    <w:rsid w:val="00544126"/>
    <w:rsid w:val="00544E25"/>
    <w:rsid w:val="005504BB"/>
    <w:rsid w:val="00553CD0"/>
    <w:rsid w:val="00570141"/>
    <w:rsid w:val="005757F5"/>
    <w:rsid w:val="005808A1"/>
    <w:rsid w:val="0058732E"/>
    <w:rsid w:val="005917B9"/>
    <w:rsid w:val="00593BAC"/>
    <w:rsid w:val="005955E1"/>
    <w:rsid w:val="00596C14"/>
    <w:rsid w:val="005978E1"/>
    <w:rsid w:val="005A3EFC"/>
    <w:rsid w:val="005B532E"/>
    <w:rsid w:val="005C08BF"/>
    <w:rsid w:val="005C2333"/>
    <w:rsid w:val="005D1B43"/>
    <w:rsid w:val="005D2A27"/>
    <w:rsid w:val="005E266A"/>
    <w:rsid w:val="005E2DD2"/>
    <w:rsid w:val="005E35BE"/>
    <w:rsid w:val="005F126B"/>
    <w:rsid w:val="005F2241"/>
    <w:rsid w:val="00605A36"/>
    <w:rsid w:val="00605DB2"/>
    <w:rsid w:val="00613E32"/>
    <w:rsid w:val="006265C8"/>
    <w:rsid w:val="0062768C"/>
    <w:rsid w:val="00631C89"/>
    <w:rsid w:val="00637921"/>
    <w:rsid w:val="0065062E"/>
    <w:rsid w:val="00651E38"/>
    <w:rsid w:val="006537DB"/>
    <w:rsid w:val="0066206C"/>
    <w:rsid w:val="00664D06"/>
    <w:rsid w:val="00671AE6"/>
    <w:rsid w:val="00673F69"/>
    <w:rsid w:val="006746EA"/>
    <w:rsid w:val="00683CB4"/>
    <w:rsid w:val="00684240"/>
    <w:rsid w:val="00693469"/>
    <w:rsid w:val="006A00A4"/>
    <w:rsid w:val="006A3869"/>
    <w:rsid w:val="006B073E"/>
    <w:rsid w:val="006B11FE"/>
    <w:rsid w:val="006B3658"/>
    <w:rsid w:val="006C251D"/>
    <w:rsid w:val="006C35BB"/>
    <w:rsid w:val="006C5054"/>
    <w:rsid w:val="006C6E6F"/>
    <w:rsid w:val="006D1AD4"/>
    <w:rsid w:val="006D33CC"/>
    <w:rsid w:val="006D40DA"/>
    <w:rsid w:val="006F33A7"/>
    <w:rsid w:val="006F71DD"/>
    <w:rsid w:val="0071327F"/>
    <w:rsid w:val="00725698"/>
    <w:rsid w:val="0074206C"/>
    <w:rsid w:val="00745849"/>
    <w:rsid w:val="00747D71"/>
    <w:rsid w:val="00751BE9"/>
    <w:rsid w:val="007554E1"/>
    <w:rsid w:val="00771B3D"/>
    <w:rsid w:val="0077339D"/>
    <w:rsid w:val="007779D3"/>
    <w:rsid w:val="00785CAE"/>
    <w:rsid w:val="007860FE"/>
    <w:rsid w:val="00790703"/>
    <w:rsid w:val="007A097A"/>
    <w:rsid w:val="007A0B28"/>
    <w:rsid w:val="007A73AD"/>
    <w:rsid w:val="007D3865"/>
    <w:rsid w:val="007D56FD"/>
    <w:rsid w:val="007D5AAD"/>
    <w:rsid w:val="007E033B"/>
    <w:rsid w:val="007E4577"/>
    <w:rsid w:val="007E6335"/>
    <w:rsid w:val="007F707B"/>
    <w:rsid w:val="0080033A"/>
    <w:rsid w:val="00812A7D"/>
    <w:rsid w:val="008132D6"/>
    <w:rsid w:val="00813C20"/>
    <w:rsid w:val="00820EB1"/>
    <w:rsid w:val="00821F16"/>
    <w:rsid w:val="008232E3"/>
    <w:rsid w:val="00835E67"/>
    <w:rsid w:val="008444B4"/>
    <w:rsid w:val="00845FEC"/>
    <w:rsid w:val="0084608E"/>
    <w:rsid w:val="00857514"/>
    <w:rsid w:val="00865A8D"/>
    <w:rsid w:val="0087062B"/>
    <w:rsid w:val="008708A2"/>
    <w:rsid w:val="008741F4"/>
    <w:rsid w:val="00875DEE"/>
    <w:rsid w:val="0088701C"/>
    <w:rsid w:val="008A11DC"/>
    <w:rsid w:val="008A73BE"/>
    <w:rsid w:val="008B18CA"/>
    <w:rsid w:val="008B27BE"/>
    <w:rsid w:val="008B686A"/>
    <w:rsid w:val="008C7E58"/>
    <w:rsid w:val="008D04CC"/>
    <w:rsid w:val="008D4FAB"/>
    <w:rsid w:val="008E0F5B"/>
    <w:rsid w:val="009179FC"/>
    <w:rsid w:val="00921D9B"/>
    <w:rsid w:val="00923B7A"/>
    <w:rsid w:val="009267CB"/>
    <w:rsid w:val="00931E62"/>
    <w:rsid w:val="00933AA4"/>
    <w:rsid w:val="00936939"/>
    <w:rsid w:val="00945C75"/>
    <w:rsid w:val="0095574A"/>
    <w:rsid w:val="009602E9"/>
    <w:rsid w:val="00963872"/>
    <w:rsid w:val="00964927"/>
    <w:rsid w:val="00970F23"/>
    <w:rsid w:val="009726F6"/>
    <w:rsid w:val="00972C16"/>
    <w:rsid w:val="00973F49"/>
    <w:rsid w:val="009809EB"/>
    <w:rsid w:val="0098394F"/>
    <w:rsid w:val="00983DFB"/>
    <w:rsid w:val="009872B8"/>
    <w:rsid w:val="00991EBC"/>
    <w:rsid w:val="009925A8"/>
    <w:rsid w:val="00993005"/>
    <w:rsid w:val="009A00E1"/>
    <w:rsid w:val="009A023A"/>
    <w:rsid w:val="009A4ECB"/>
    <w:rsid w:val="009A675A"/>
    <w:rsid w:val="009C06AE"/>
    <w:rsid w:val="009C6C48"/>
    <w:rsid w:val="009F1986"/>
    <w:rsid w:val="009F68F8"/>
    <w:rsid w:val="00A10813"/>
    <w:rsid w:val="00A201E6"/>
    <w:rsid w:val="00A24F79"/>
    <w:rsid w:val="00A3066B"/>
    <w:rsid w:val="00A3464D"/>
    <w:rsid w:val="00A375EF"/>
    <w:rsid w:val="00A42417"/>
    <w:rsid w:val="00A44334"/>
    <w:rsid w:val="00A47317"/>
    <w:rsid w:val="00A565EA"/>
    <w:rsid w:val="00A601B9"/>
    <w:rsid w:val="00A657CA"/>
    <w:rsid w:val="00A749A0"/>
    <w:rsid w:val="00A80EC9"/>
    <w:rsid w:val="00A86E50"/>
    <w:rsid w:val="00A963BF"/>
    <w:rsid w:val="00AA220B"/>
    <w:rsid w:val="00AA27CA"/>
    <w:rsid w:val="00AB0DB6"/>
    <w:rsid w:val="00AB1344"/>
    <w:rsid w:val="00AB3591"/>
    <w:rsid w:val="00AB5D57"/>
    <w:rsid w:val="00AC04F9"/>
    <w:rsid w:val="00AC1856"/>
    <w:rsid w:val="00AC662C"/>
    <w:rsid w:val="00AD5003"/>
    <w:rsid w:val="00AE1FD8"/>
    <w:rsid w:val="00AE572D"/>
    <w:rsid w:val="00AE5B09"/>
    <w:rsid w:val="00AF199A"/>
    <w:rsid w:val="00AF5849"/>
    <w:rsid w:val="00AF5EFF"/>
    <w:rsid w:val="00B10697"/>
    <w:rsid w:val="00B12411"/>
    <w:rsid w:val="00B151D7"/>
    <w:rsid w:val="00B2288F"/>
    <w:rsid w:val="00B32FB8"/>
    <w:rsid w:val="00B371A0"/>
    <w:rsid w:val="00B41643"/>
    <w:rsid w:val="00B42383"/>
    <w:rsid w:val="00B42B81"/>
    <w:rsid w:val="00B51BDF"/>
    <w:rsid w:val="00B55FD0"/>
    <w:rsid w:val="00B57FED"/>
    <w:rsid w:val="00B855B8"/>
    <w:rsid w:val="00BA155C"/>
    <w:rsid w:val="00BA3C65"/>
    <w:rsid w:val="00BB0F44"/>
    <w:rsid w:val="00BB0FF5"/>
    <w:rsid w:val="00BB2E49"/>
    <w:rsid w:val="00BB5E76"/>
    <w:rsid w:val="00BB795B"/>
    <w:rsid w:val="00BE0013"/>
    <w:rsid w:val="00BE245C"/>
    <w:rsid w:val="00BF13B6"/>
    <w:rsid w:val="00BF402D"/>
    <w:rsid w:val="00C01CFF"/>
    <w:rsid w:val="00C02535"/>
    <w:rsid w:val="00C06F69"/>
    <w:rsid w:val="00C11519"/>
    <w:rsid w:val="00C1617B"/>
    <w:rsid w:val="00C2192C"/>
    <w:rsid w:val="00C24485"/>
    <w:rsid w:val="00C2720A"/>
    <w:rsid w:val="00C315DA"/>
    <w:rsid w:val="00C3592B"/>
    <w:rsid w:val="00C36614"/>
    <w:rsid w:val="00C40509"/>
    <w:rsid w:val="00C409D3"/>
    <w:rsid w:val="00C44240"/>
    <w:rsid w:val="00C629F4"/>
    <w:rsid w:val="00C62C29"/>
    <w:rsid w:val="00C643BC"/>
    <w:rsid w:val="00C66A65"/>
    <w:rsid w:val="00C75038"/>
    <w:rsid w:val="00C75400"/>
    <w:rsid w:val="00C766E1"/>
    <w:rsid w:val="00C76F70"/>
    <w:rsid w:val="00C92E0A"/>
    <w:rsid w:val="00CA00B2"/>
    <w:rsid w:val="00CA3FA0"/>
    <w:rsid w:val="00CA57A3"/>
    <w:rsid w:val="00CB2CBE"/>
    <w:rsid w:val="00CB5E0B"/>
    <w:rsid w:val="00CB68EA"/>
    <w:rsid w:val="00CC30A5"/>
    <w:rsid w:val="00CC7481"/>
    <w:rsid w:val="00CD5098"/>
    <w:rsid w:val="00CE34D6"/>
    <w:rsid w:val="00CE683D"/>
    <w:rsid w:val="00CF3A20"/>
    <w:rsid w:val="00CF615B"/>
    <w:rsid w:val="00D07388"/>
    <w:rsid w:val="00D10BA9"/>
    <w:rsid w:val="00D10C08"/>
    <w:rsid w:val="00D122C2"/>
    <w:rsid w:val="00D13C8B"/>
    <w:rsid w:val="00D2659F"/>
    <w:rsid w:val="00D27A35"/>
    <w:rsid w:val="00D35873"/>
    <w:rsid w:val="00D4062C"/>
    <w:rsid w:val="00D411DC"/>
    <w:rsid w:val="00D45179"/>
    <w:rsid w:val="00D535FE"/>
    <w:rsid w:val="00D70BA8"/>
    <w:rsid w:val="00D70E1A"/>
    <w:rsid w:val="00D72920"/>
    <w:rsid w:val="00D75429"/>
    <w:rsid w:val="00D77B5B"/>
    <w:rsid w:val="00D80CD4"/>
    <w:rsid w:val="00D81745"/>
    <w:rsid w:val="00D826A5"/>
    <w:rsid w:val="00D85902"/>
    <w:rsid w:val="00D85950"/>
    <w:rsid w:val="00D8633E"/>
    <w:rsid w:val="00D87252"/>
    <w:rsid w:val="00D96ACB"/>
    <w:rsid w:val="00DA0AEA"/>
    <w:rsid w:val="00DB1956"/>
    <w:rsid w:val="00DB3208"/>
    <w:rsid w:val="00DB3CEB"/>
    <w:rsid w:val="00DC0B55"/>
    <w:rsid w:val="00DD3F0D"/>
    <w:rsid w:val="00DD4E40"/>
    <w:rsid w:val="00DD7BD5"/>
    <w:rsid w:val="00DE242A"/>
    <w:rsid w:val="00DE2DFA"/>
    <w:rsid w:val="00DE6E60"/>
    <w:rsid w:val="00DF0E19"/>
    <w:rsid w:val="00E00128"/>
    <w:rsid w:val="00E00915"/>
    <w:rsid w:val="00E06545"/>
    <w:rsid w:val="00E132C9"/>
    <w:rsid w:val="00E1515F"/>
    <w:rsid w:val="00E26268"/>
    <w:rsid w:val="00E31BD0"/>
    <w:rsid w:val="00E42504"/>
    <w:rsid w:val="00E42D7E"/>
    <w:rsid w:val="00E4733F"/>
    <w:rsid w:val="00E516E7"/>
    <w:rsid w:val="00E52821"/>
    <w:rsid w:val="00E556A1"/>
    <w:rsid w:val="00E561C9"/>
    <w:rsid w:val="00E63F83"/>
    <w:rsid w:val="00E64C49"/>
    <w:rsid w:val="00E81CB7"/>
    <w:rsid w:val="00EA3E7F"/>
    <w:rsid w:val="00EA4BBA"/>
    <w:rsid w:val="00EA6242"/>
    <w:rsid w:val="00EA7B23"/>
    <w:rsid w:val="00EB5F44"/>
    <w:rsid w:val="00EC3CE2"/>
    <w:rsid w:val="00EC7B75"/>
    <w:rsid w:val="00ED6F16"/>
    <w:rsid w:val="00EE1820"/>
    <w:rsid w:val="00EE64C3"/>
    <w:rsid w:val="00EE74FC"/>
    <w:rsid w:val="00EF17F6"/>
    <w:rsid w:val="00EF1DD3"/>
    <w:rsid w:val="00F0070E"/>
    <w:rsid w:val="00F01095"/>
    <w:rsid w:val="00F05DEC"/>
    <w:rsid w:val="00F05F63"/>
    <w:rsid w:val="00F14A80"/>
    <w:rsid w:val="00F16651"/>
    <w:rsid w:val="00F24FA6"/>
    <w:rsid w:val="00F26263"/>
    <w:rsid w:val="00F3524F"/>
    <w:rsid w:val="00F4360D"/>
    <w:rsid w:val="00F43840"/>
    <w:rsid w:val="00F52EC2"/>
    <w:rsid w:val="00F534DE"/>
    <w:rsid w:val="00F56777"/>
    <w:rsid w:val="00F568B7"/>
    <w:rsid w:val="00F64CBC"/>
    <w:rsid w:val="00F65317"/>
    <w:rsid w:val="00F65466"/>
    <w:rsid w:val="00F74648"/>
    <w:rsid w:val="00F75FFD"/>
    <w:rsid w:val="00F839DE"/>
    <w:rsid w:val="00FA7071"/>
    <w:rsid w:val="00FB352E"/>
    <w:rsid w:val="00FB6700"/>
    <w:rsid w:val="00FB6F23"/>
    <w:rsid w:val="00FC1E33"/>
    <w:rsid w:val="00FC2AC6"/>
    <w:rsid w:val="00FC3780"/>
    <w:rsid w:val="00FC450F"/>
    <w:rsid w:val="00FC68C7"/>
    <w:rsid w:val="00FE3A6A"/>
    <w:rsid w:val="00FE72C3"/>
    <w:rsid w:val="00FF1611"/>
    <w:rsid w:val="00FF51FB"/>
    <w:rsid w:val="00FF722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5260AB"/>
  <w15:docId w15:val="{29F4D9D0-D1BE-4601-ACC5-F0CD78B5F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6E60"/>
    <w:pPr>
      <w:spacing w:line="360" w:lineRule="auto"/>
      <w:ind w:firstLine="357"/>
      <w:contextualSpacing/>
      <w:jc w:val="both"/>
    </w:pPr>
    <w:rPr>
      <w:rFonts w:ascii="Times New Roman" w:hAnsi="Times New Roman"/>
    </w:rPr>
  </w:style>
  <w:style w:type="paragraph" w:styleId="Heading1">
    <w:name w:val="heading 1"/>
    <w:basedOn w:val="ListParagraph"/>
    <w:next w:val="Normal"/>
    <w:link w:val="Heading1Char"/>
    <w:uiPriority w:val="9"/>
    <w:qFormat/>
    <w:rsid w:val="00BA3C65"/>
    <w:pPr>
      <w:numPr>
        <w:numId w:val="1"/>
      </w:numPr>
      <w:spacing w:after="160"/>
      <w:outlineLvl w:val="0"/>
    </w:pPr>
    <w:rPr>
      <w:rFonts w:eastAsiaTheme="minorHAnsi"/>
      <w:b/>
      <w:sz w:val="32"/>
      <w:lang w:eastAsia="en-US"/>
    </w:rPr>
  </w:style>
  <w:style w:type="paragraph" w:styleId="Heading2">
    <w:name w:val="heading 2"/>
    <w:basedOn w:val="ListParagraph"/>
    <w:next w:val="Normal"/>
    <w:link w:val="Heading2Char"/>
    <w:uiPriority w:val="9"/>
    <w:unhideWhenUsed/>
    <w:qFormat/>
    <w:rsid w:val="00452FE4"/>
    <w:pPr>
      <w:keepNext/>
      <w:numPr>
        <w:ilvl w:val="1"/>
        <w:numId w:val="1"/>
      </w:numPr>
      <w:spacing w:after="160"/>
      <w:ind w:left="788" w:hanging="431"/>
      <w:outlineLvl w:val="1"/>
    </w:pPr>
    <w:rPr>
      <w:rFonts w:eastAsiaTheme="minorHAnsi"/>
      <w:b/>
      <w:sz w:val="24"/>
      <w:szCs w:val="24"/>
      <w:lang w:eastAsia="en-US"/>
    </w:rPr>
  </w:style>
  <w:style w:type="paragraph" w:styleId="Heading3">
    <w:name w:val="heading 3"/>
    <w:basedOn w:val="Heading2"/>
    <w:next w:val="Normal"/>
    <w:link w:val="Heading3Char"/>
    <w:uiPriority w:val="9"/>
    <w:unhideWhenUsed/>
    <w:qFormat/>
    <w:rsid w:val="0066206C"/>
    <w:pPr>
      <w:keepLines/>
      <w:numPr>
        <w:ilvl w:val="2"/>
        <w:numId w:val="2"/>
      </w:numPr>
      <w:spacing w:before="120" w:after="120"/>
      <w:outlineLvl w:val="2"/>
    </w:pPr>
    <w:rPr>
      <w:rFonts w:asciiTheme="majorHAnsi" w:eastAsiaTheme="majorEastAsia" w:hAnsiTheme="majorHAnsi" w:cstheme="majorBidi"/>
      <w:bCs/>
      <w:sz w:val="22"/>
      <w:szCs w:val="26"/>
      <w:lang w:val="en-US"/>
    </w:rPr>
  </w:style>
  <w:style w:type="paragraph" w:styleId="Heading4">
    <w:name w:val="heading 4"/>
    <w:basedOn w:val="Heading3"/>
    <w:next w:val="Normal"/>
    <w:link w:val="Heading4Char"/>
    <w:uiPriority w:val="9"/>
    <w:unhideWhenUsed/>
    <w:qFormat/>
    <w:rsid w:val="00D72920"/>
    <w:pPr>
      <w:outlineLvl w:val="3"/>
    </w:pPr>
  </w:style>
  <w:style w:type="paragraph" w:styleId="Heading5">
    <w:name w:val="heading 5"/>
    <w:aliases w:val="Figure,numbered list"/>
    <w:basedOn w:val="Normal"/>
    <w:next w:val="Normal"/>
    <w:link w:val="Heading5Char"/>
    <w:uiPriority w:val="9"/>
    <w:unhideWhenUsed/>
    <w:qFormat/>
    <w:rsid w:val="00EF1DD3"/>
    <w:pPr>
      <w:keepNext/>
      <w:keepLines/>
      <w:spacing w:before="40" w:after="0"/>
      <w:ind w:left="284" w:firstLine="437"/>
      <w:outlineLvl w:val="4"/>
      <w15:collapsed/>
    </w:pPr>
    <w:rPr>
      <w:rFonts w:asciiTheme="majorHAnsi" w:eastAsiaTheme="majorEastAsia" w:hAnsiTheme="majorHAnsi" w:cstheme="majorBidi"/>
      <w:color w:val="365F91" w:themeColor="accent1" w:themeShade="BF"/>
      <w:lang w:eastAsia="en-US"/>
    </w:rPr>
  </w:style>
  <w:style w:type="paragraph" w:styleId="Heading6">
    <w:name w:val="heading 6"/>
    <w:basedOn w:val="Heading5"/>
    <w:next w:val="Normal"/>
    <w:link w:val="Heading6Char"/>
    <w:uiPriority w:val="9"/>
    <w:unhideWhenUsed/>
    <w:qFormat/>
    <w:rsid w:val="00452FE4"/>
    <w:pPr>
      <w:keepNext w:val="0"/>
      <w:keepLines w:val="0"/>
      <w:spacing w:before="0" w:after="160"/>
      <w:ind w:left="1440" w:hanging="360"/>
      <w:outlineLvl w:val="5"/>
      <w15:collapsed w:val="0"/>
    </w:pPr>
    <w:rPr>
      <w:rFonts w:ascii="Times New Roman" w:eastAsiaTheme="minorHAnsi" w:hAnsi="Times New Roman" w:cstheme="minorBid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38A9"/>
    <w:pPr>
      <w:ind w:left="720"/>
    </w:pPr>
  </w:style>
  <w:style w:type="character" w:customStyle="1" w:styleId="Heading1Char">
    <w:name w:val="Heading 1 Char"/>
    <w:basedOn w:val="DefaultParagraphFont"/>
    <w:link w:val="Heading1"/>
    <w:uiPriority w:val="9"/>
    <w:rsid w:val="00BA3C65"/>
    <w:rPr>
      <w:rFonts w:ascii="Times New Roman" w:eastAsiaTheme="minorHAnsi" w:hAnsi="Times New Roman"/>
      <w:b/>
      <w:sz w:val="32"/>
      <w:lang w:eastAsia="en-US"/>
    </w:rPr>
  </w:style>
  <w:style w:type="character" w:customStyle="1" w:styleId="Heading2Char">
    <w:name w:val="Heading 2 Char"/>
    <w:basedOn w:val="DefaultParagraphFont"/>
    <w:link w:val="Heading2"/>
    <w:uiPriority w:val="9"/>
    <w:rsid w:val="00452FE4"/>
    <w:rPr>
      <w:rFonts w:ascii="Times New Roman" w:eastAsiaTheme="minorHAnsi" w:hAnsi="Times New Roman"/>
      <w:b/>
      <w:sz w:val="24"/>
      <w:szCs w:val="24"/>
      <w:lang w:eastAsia="en-US"/>
    </w:rPr>
  </w:style>
  <w:style w:type="character" w:customStyle="1" w:styleId="Heading3Char">
    <w:name w:val="Heading 3 Char"/>
    <w:basedOn w:val="DefaultParagraphFont"/>
    <w:link w:val="Heading3"/>
    <w:uiPriority w:val="9"/>
    <w:rsid w:val="0066206C"/>
    <w:rPr>
      <w:rFonts w:asciiTheme="majorHAnsi" w:eastAsiaTheme="majorEastAsia" w:hAnsiTheme="majorHAnsi" w:cstheme="majorBidi"/>
      <w:b/>
      <w:bCs/>
      <w:szCs w:val="26"/>
      <w:lang w:val="en-US" w:eastAsia="en-US"/>
    </w:rPr>
  </w:style>
  <w:style w:type="character" w:customStyle="1" w:styleId="Heading4Char">
    <w:name w:val="Heading 4 Char"/>
    <w:basedOn w:val="DefaultParagraphFont"/>
    <w:link w:val="Heading4"/>
    <w:uiPriority w:val="9"/>
    <w:rsid w:val="00D72920"/>
    <w:rPr>
      <w:rFonts w:asciiTheme="majorHAnsi" w:eastAsiaTheme="majorEastAsia" w:hAnsiTheme="majorHAnsi" w:cstheme="majorBidi"/>
      <w:b/>
      <w:bCs/>
      <w:szCs w:val="26"/>
      <w:lang w:val="en-US" w:eastAsia="en-US"/>
    </w:rPr>
  </w:style>
  <w:style w:type="character" w:customStyle="1" w:styleId="Heading5Char">
    <w:name w:val="Heading 5 Char"/>
    <w:aliases w:val="Figure Char,numbered list Char"/>
    <w:basedOn w:val="DefaultParagraphFont"/>
    <w:link w:val="Heading5"/>
    <w:uiPriority w:val="9"/>
    <w:rsid w:val="00EF1DD3"/>
    <w:rPr>
      <w:rFonts w:asciiTheme="majorHAnsi" w:eastAsiaTheme="majorEastAsia" w:hAnsiTheme="majorHAnsi" w:cstheme="majorBidi"/>
      <w:color w:val="365F91" w:themeColor="accent1" w:themeShade="BF"/>
      <w:lang w:eastAsia="en-US"/>
    </w:rPr>
  </w:style>
  <w:style w:type="paragraph" w:styleId="BalloonText">
    <w:name w:val="Balloon Text"/>
    <w:basedOn w:val="Normal"/>
    <w:link w:val="BalloonTextChar"/>
    <w:uiPriority w:val="99"/>
    <w:semiHidden/>
    <w:unhideWhenUsed/>
    <w:rsid w:val="00D535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35FE"/>
    <w:rPr>
      <w:rFonts w:ascii="Tahoma" w:hAnsi="Tahoma" w:cs="Tahoma"/>
      <w:sz w:val="16"/>
      <w:szCs w:val="16"/>
    </w:rPr>
  </w:style>
  <w:style w:type="character" w:styleId="CommentReference">
    <w:name w:val="annotation reference"/>
    <w:basedOn w:val="DefaultParagraphFont"/>
    <w:uiPriority w:val="99"/>
    <w:semiHidden/>
    <w:unhideWhenUsed/>
    <w:rsid w:val="00C629F4"/>
    <w:rPr>
      <w:sz w:val="16"/>
      <w:szCs w:val="16"/>
    </w:rPr>
  </w:style>
  <w:style w:type="paragraph" w:styleId="CommentText">
    <w:name w:val="annotation text"/>
    <w:basedOn w:val="Normal"/>
    <w:link w:val="CommentTextChar"/>
    <w:uiPriority w:val="99"/>
    <w:unhideWhenUsed/>
    <w:rsid w:val="00C629F4"/>
    <w:pPr>
      <w:spacing w:line="240" w:lineRule="auto"/>
    </w:pPr>
    <w:rPr>
      <w:sz w:val="20"/>
      <w:szCs w:val="20"/>
    </w:rPr>
  </w:style>
  <w:style w:type="character" w:customStyle="1" w:styleId="CommentTextChar">
    <w:name w:val="Comment Text Char"/>
    <w:basedOn w:val="DefaultParagraphFont"/>
    <w:link w:val="CommentText"/>
    <w:uiPriority w:val="99"/>
    <w:rsid w:val="00C629F4"/>
    <w:rPr>
      <w:sz w:val="20"/>
      <w:szCs w:val="20"/>
    </w:rPr>
  </w:style>
  <w:style w:type="paragraph" w:styleId="CommentSubject">
    <w:name w:val="annotation subject"/>
    <w:basedOn w:val="CommentText"/>
    <w:next w:val="CommentText"/>
    <w:link w:val="CommentSubjectChar"/>
    <w:uiPriority w:val="99"/>
    <w:semiHidden/>
    <w:unhideWhenUsed/>
    <w:rsid w:val="00C629F4"/>
    <w:rPr>
      <w:b/>
      <w:bCs/>
    </w:rPr>
  </w:style>
  <w:style w:type="character" w:customStyle="1" w:styleId="CommentSubjectChar">
    <w:name w:val="Comment Subject Char"/>
    <w:basedOn w:val="CommentTextChar"/>
    <w:link w:val="CommentSubject"/>
    <w:uiPriority w:val="99"/>
    <w:semiHidden/>
    <w:rsid w:val="00C629F4"/>
    <w:rPr>
      <w:b/>
      <w:bCs/>
      <w:sz w:val="20"/>
      <w:szCs w:val="20"/>
    </w:rPr>
  </w:style>
  <w:style w:type="paragraph" w:styleId="TOC1">
    <w:name w:val="toc 1"/>
    <w:basedOn w:val="Normal"/>
    <w:next w:val="Normal"/>
    <w:autoRedefine/>
    <w:uiPriority w:val="39"/>
    <w:unhideWhenUsed/>
    <w:rsid w:val="004438A9"/>
    <w:pPr>
      <w:spacing w:before="120" w:after="120"/>
      <w:ind w:firstLine="360"/>
    </w:pPr>
    <w:rPr>
      <w:rFonts w:eastAsiaTheme="minorHAnsi"/>
      <w:b/>
      <w:bCs/>
      <w:caps/>
      <w:sz w:val="20"/>
      <w:szCs w:val="20"/>
      <w:lang w:eastAsia="en-US"/>
    </w:rPr>
  </w:style>
  <w:style w:type="paragraph" w:styleId="TOC2">
    <w:name w:val="toc 2"/>
    <w:basedOn w:val="Normal"/>
    <w:next w:val="Normal"/>
    <w:autoRedefine/>
    <w:uiPriority w:val="39"/>
    <w:unhideWhenUsed/>
    <w:rsid w:val="004438A9"/>
    <w:pPr>
      <w:spacing w:after="0"/>
      <w:ind w:left="220" w:firstLine="360"/>
    </w:pPr>
    <w:rPr>
      <w:rFonts w:eastAsiaTheme="minorHAnsi"/>
      <w:smallCaps/>
      <w:sz w:val="20"/>
      <w:szCs w:val="20"/>
      <w:lang w:eastAsia="en-US"/>
    </w:rPr>
  </w:style>
  <w:style w:type="character" w:styleId="Strong">
    <w:name w:val="Strong"/>
    <w:aliases w:val="non chapter heading"/>
    <w:uiPriority w:val="22"/>
    <w:qFormat/>
    <w:rsid w:val="00EE74FC"/>
    <w:rPr>
      <w:rFonts w:cs="Times New Roman"/>
      <w:bCs/>
      <w:sz w:val="36"/>
      <w:szCs w:val="20"/>
      <w:lang w:eastAsia="en-US"/>
    </w:rPr>
  </w:style>
  <w:style w:type="paragraph" w:styleId="Header">
    <w:name w:val="header"/>
    <w:basedOn w:val="Normal"/>
    <w:link w:val="HeaderChar"/>
    <w:uiPriority w:val="99"/>
    <w:unhideWhenUsed/>
    <w:rsid w:val="00653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37DB"/>
    <w:rPr>
      <w:rFonts w:ascii="Times New Roman" w:hAnsi="Times New Roman"/>
    </w:rPr>
  </w:style>
  <w:style w:type="paragraph" w:styleId="Footer">
    <w:name w:val="footer"/>
    <w:basedOn w:val="Normal"/>
    <w:link w:val="FooterChar"/>
    <w:uiPriority w:val="99"/>
    <w:unhideWhenUsed/>
    <w:rsid w:val="00653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37DB"/>
    <w:rPr>
      <w:rFonts w:ascii="Times New Roman" w:hAnsi="Times New Roman"/>
    </w:rPr>
  </w:style>
  <w:style w:type="paragraph" w:styleId="Title">
    <w:name w:val="Title"/>
    <w:aliases w:val="figure,Image,text box anote"/>
    <w:basedOn w:val="Normal"/>
    <w:next w:val="Normal"/>
    <w:link w:val="TitleChar"/>
    <w:uiPriority w:val="10"/>
    <w:qFormat/>
    <w:rsid w:val="00EF1DD3"/>
    <w:pPr>
      <w:keepNext/>
      <w:spacing w:before="120" w:after="120"/>
      <w:ind w:firstLine="0"/>
      <w:jc w:val="center"/>
      <w15:collapsed/>
    </w:pPr>
    <w:rPr>
      <w:rFonts w:asciiTheme="minorHAnsi" w:eastAsiaTheme="minorHAnsi" w:hAnsiTheme="minorHAnsi"/>
      <w:noProof/>
    </w:rPr>
  </w:style>
  <w:style w:type="character" w:customStyle="1" w:styleId="TitleChar">
    <w:name w:val="Title Char"/>
    <w:aliases w:val="figure Char,Image Char,text box anote Char"/>
    <w:basedOn w:val="DefaultParagraphFont"/>
    <w:link w:val="Title"/>
    <w:uiPriority w:val="10"/>
    <w:rsid w:val="00EF1DD3"/>
    <w:rPr>
      <w:rFonts w:eastAsiaTheme="minorHAnsi"/>
      <w:noProof/>
    </w:rPr>
  </w:style>
  <w:style w:type="character" w:styleId="Hyperlink">
    <w:name w:val="Hyperlink"/>
    <w:basedOn w:val="DefaultParagraphFont"/>
    <w:uiPriority w:val="99"/>
    <w:unhideWhenUsed/>
    <w:rsid w:val="00EF1DD3"/>
    <w:rPr>
      <w:color w:val="0000FF" w:themeColor="hyperlink"/>
      <w:u w:val="single"/>
    </w:rPr>
  </w:style>
  <w:style w:type="paragraph" w:styleId="NormalWeb">
    <w:name w:val="Normal (Web)"/>
    <w:basedOn w:val="Normal"/>
    <w:uiPriority w:val="99"/>
    <w:unhideWhenUsed/>
    <w:rsid w:val="00EF1DD3"/>
    <w:pPr>
      <w:spacing w:before="100" w:beforeAutospacing="1" w:after="100" w:afterAutospacing="1" w:line="240" w:lineRule="auto"/>
      <w:ind w:firstLine="437"/>
      <w:jc w:val="left"/>
    </w:pPr>
    <w:rPr>
      <w:rFonts w:cs="Times New Roman"/>
      <w:sz w:val="24"/>
      <w:szCs w:val="24"/>
    </w:rPr>
  </w:style>
  <w:style w:type="character" w:styleId="FollowedHyperlink">
    <w:name w:val="FollowedHyperlink"/>
    <w:basedOn w:val="DefaultParagraphFont"/>
    <w:uiPriority w:val="99"/>
    <w:semiHidden/>
    <w:unhideWhenUsed/>
    <w:rsid w:val="00EF1DD3"/>
    <w:rPr>
      <w:color w:val="800080" w:themeColor="followedHyperlink"/>
      <w:u w:val="single"/>
    </w:rPr>
  </w:style>
  <w:style w:type="character" w:styleId="PlaceholderText">
    <w:name w:val="Placeholder Text"/>
    <w:basedOn w:val="DefaultParagraphFont"/>
    <w:uiPriority w:val="99"/>
    <w:semiHidden/>
    <w:rsid w:val="00EF1DD3"/>
    <w:rPr>
      <w:color w:val="808080"/>
    </w:rPr>
  </w:style>
  <w:style w:type="table" w:styleId="TableGrid">
    <w:name w:val="Table Grid"/>
    <w:basedOn w:val="TableNormal"/>
    <w:uiPriority w:val="39"/>
    <w:rsid w:val="00EF1DD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F1DD3"/>
    <w:pPr>
      <w:spacing w:line="240" w:lineRule="auto"/>
      <w:ind w:firstLine="0"/>
      <w:jc w:val="center"/>
      <w15:collapsed/>
    </w:pPr>
    <w:rPr>
      <w:rFonts w:asciiTheme="minorHAnsi" w:eastAsiaTheme="minorHAnsi" w:hAnsiTheme="minorHAnsi"/>
      <w:i/>
      <w:iCs/>
      <w:color w:val="1F497D" w:themeColor="text2"/>
      <w:lang w:eastAsia="en-US"/>
    </w:rPr>
  </w:style>
  <w:style w:type="paragraph" w:styleId="EndnoteText">
    <w:name w:val="endnote text"/>
    <w:basedOn w:val="Normal"/>
    <w:link w:val="EndnoteTextChar"/>
    <w:uiPriority w:val="99"/>
    <w:semiHidden/>
    <w:unhideWhenUsed/>
    <w:rsid w:val="00EF1DD3"/>
    <w:pPr>
      <w:spacing w:after="0" w:line="240" w:lineRule="auto"/>
      <w:ind w:left="284" w:firstLine="437"/>
      <w15:collapsed/>
    </w:pPr>
    <w:rPr>
      <w:rFonts w:asciiTheme="minorHAnsi" w:eastAsiaTheme="minorHAnsi" w:hAnsiTheme="minorHAnsi"/>
      <w:sz w:val="20"/>
      <w:szCs w:val="20"/>
      <w:lang w:eastAsia="en-US"/>
    </w:rPr>
  </w:style>
  <w:style w:type="character" w:customStyle="1" w:styleId="EndnoteTextChar">
    <w:name w:val="Endnote Text Char"/>
    <w:basedOn w:val="DefaultParagraphFont"/>
    <w:link w:val="EndnoteText"/>
    <w:uiPriority w:val="99"/>
    <w:semiHidden/>
    <w:rsid w:val="00EF1DD3"/>
    <w:rPr>
      <w:rFonts w:eastAsiaTheme="minorHAnsi"/>
      <w:sz w:val="20"/>
      <w:szCs w:val="20"/>
      <w:lang w:eastAsia="en-US"/>
    </w:rPr>
  </w:style>
  <w:style w:type="character" w:styleId="EndnoteReference">
    <w:name w:val="endnote reference"/>
    <w:basedOn w:val="DefaultParagraphFont"/>
    <w:uiPriority w:val="99"/>
    <w:semiHidden/>
    <w:unhideWhenUsed/>
    <w:rsid w:val="00EF1DD3"/>
    <w:rPr>
      <w:vertAlign w:val="superscript"/>
    </w:rPr>
  </w:style>
  <w:style w:type="paragraph" w:styleId="FootnoteText">
    <w:name w:val="footnote text"/>
    <w:basedOn w:val="Normal"/>
    <w:link w:val="FootnoteTextChar"/>
    <w:uiPriority w:val="99"/>
    <w:unhideWhenUsed/>
    <w:rsid w:val="00EF1DD3"/>
    <w:pPr>
      <w:spacing w:after="0" w:line="240" w:lineRule="auto"/>
      <w:ind w:left="284" w:firstLine="437"/>
      <w15:collapsed/>
    </w:pPr>
    <w:rPr>
      <w:rFonts w:asciiTheme="minorHAnsi" w:eastAsiaTheme="minorHAnsi" w:hAnsiTheme="minorHAnsi"/>
      <w:sz w:val="20"/>
      <w:szCs w:val="20"/>
      <w:lang w:eastAsia="en-US"/>
    </w:rPr>
  </w:style>
  <w:style w:type="character" w:customStyle="1" w:styleId="FootnoteTextChar">
    <w:name w:val="Footnote Text Char"/>
    <w:basedOn w:val="DefaultParagraphFont"/>
    <w:link w:val="FootnoteText"/>
    <w:uiPriority w:val="99"/>
    <w:rsid w:val="00EF1DD3"/>
    <w:rPr>
      <w:rFonts w:eastAsiaTheme="minorHAnsi"/>
      <w:sz w:val="20"/>
      <w:szCs w:val="20"/>
      <w:lang w:eastAsia="en-US"/>
    </w:rPr>
  </w:style>
  <w:style w:type="character" w:styleId="FootnoteReference">
    <w:name w:val="footnote reference"/>
    <w:basedOn w:val="DefaultParagraphFont"/>
    <w:uiPriority w:val="99"/>
    <w:semiHidden/>
    <w:unhideWhenUsed/>
    <w:rsid w:val="00EF1DD3"/>
    <w:rPr>
      <w:vertAlign w:val="superscript"/>
    </w:rPr>
  </w:style>
  <w:style w:type="character" w:styleId="BookTitle">
    <w:name w:val="Book Title"/>
    <w:aliases w:val="table caption"/>
    <w:uiPriority w:val="33"/>
    <w:qFormat/>
    <w:rsid w:val="00DE6E60"/>
  </w:style>
  <w:style w:type="character" w:styleId="IntenseReference">
    <w:name w:val="Intense Reference"/>
    <w:aliases w:val="image table"/>
    <w:uiPriority w:val="32"/>
    <w:qFormat/>
    <w:rsid w:val="00DE6E60"/>
    <w:rPr>
      <w:noProof/>
    </w:rPr>
  </w:style>
  <w:style w:type="paragraph" w:styleId="Revision">
    <w:name w:val="Revision"/>
    <w:hidden/>
    <w:uiPriority w:val="99"/>
    <w:semiHidden/>
    <w:rsid w:val="00AB0DB6"/>
    <w:pPr>
      <w:spacing w:after="0" w:line="240" w:lineRule="auto"/>
    </w:pPr>
    <w:rPr>
      <w:rFonts w:eastAsiaTheme="minorHAnsi"/>
      <w:lang w:val="en-US" w:eastAsia="en-US"/>
    </w:rPr>
  </w:style>
  <w:style w:type="character" w:customStyle="1" w:styleId="paragraph">
    <w:name w:val="paragraph"/>
    <w:basedOn w:val="DefaultParagraphFont"/>
    <w:rsid w:val="00AB0DB6"/>
  </w:style>
  <w:style w:type="character" w:styleId="Emphasis">
    <w:name w:val="Emphasis"/>
    <w:aliases w:val="no chapter title"/>
    <w:basedOn w:val="DefaultParagraphFont"/>
    <w:uiPriority w:val="20"/>
    <w:qFormat/>
    <w:rsid w:val="003610C6"/>
    <w:rPr>
      <w:i/>
      <w:iCs/>
    </w:rPr>
  </w:style>
  <w:style w:type="table" w:customStyle="1" w:styleId="TableGrid1">
    <w:name w:val="Table Grid1"/>
    <w:basedOn w:val="TableNormal"/>
    <w:next w:val="TableGrid"/>
    <w:uiPriority w:val="39"/>
    <w:rsid w:val="003610C6"/>
    <w:pPr>
      <w:spacing w:after="0" w:line="240" w:lineRule="auto"/>
      <w:ind w:left="788" w:hanging="431"/>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table"/>
    <w:basedOn w:val="Normal"/>
    <w:uiPriority w:val="1"/>
    <w:qFormat/>
    <w:rsid w:val="003610C6"/>
    <w:pPr>
      <w:spacing w:after="0" w:line="259" w:lineRule="auto"/>
      <w:ind w:firstLine="0"/>
      <w:contextualSpacing w:val="0"/>
      <w:jc w:val="center"/>
    </w:pPr>
    <w:rPr>
      <w:rFonts w:eastAsiaTheme="minorHAnsi"/>
      <w:lang w:eastAsia="en-US"/>
    </w:rPr>
  </w:style>
  <w:style w:type="paragraph" w:styleId="TOCHeading">
    <w:name w:val="TOC Heading"/>
    <w:basedOn w:val="Heading1"/>
    <w:next w:val="Normal"/>
    <w:uiPriority w:val="39"/>
    <w:unhideWhenUsed/>
    <w:qFormat/>
    <w:rsid w:val="000A1987"/>
    <w:pPr>
      <w:keepNext/>
      <w:spacing w:before="100" w:after="100"/>
      <w:ind w:left="720"/>
      <w:contextualSpacing w:val="0"/>
      <w:outlineLvl w:val="9"/>
    </w:pPr>
    <w:rPr>
      <w:rFonts w:eastAsia="Calibri" w:cs="Times New Roman"/>
      <w:sz w:val="24"/>
      <w:szCs w:val="20"/>
    </w:rPr>
  </w:style>
  <w:style w:type="paragraph" w:styleId="TOC3">
    <w:name w:val="toc 3"/>
    <w:basedOn w:val="Normal"/>
    <w:next w:val="Normal"/>
    <w:autoRedefine/>
    <w:uiPriority w:val="39"/>
    <w:unhideWhenUsed/>
    <w:rsid w:val="000A1987"/>
    <w:pPr>
      <w:spacing w:before="100" w:after="100"/>
      <w:ind w:left="440" w:firstLine="437"/>
      <w:contextualSpacing w:val="0"/>
    </w:pPr>
    <w:rPr>
      <w:rFonts w:eastAsia="Calibri" w:cs="Times New Roman"/>
      <w:lang w:eastAsia="en-US"/>
    </w:rPr>
  </w:style>
  <w:style w:type="paragraph" w:styleId="Subtitle">
    <w:name w:val="Subtitle"/>
    <w:aliases w:val="table text"/>
    <w:basedOn w:val="Normal"/>
    <w:next w:val="Normal"/>
    <w:link w:val="SubtitleChar"/>
    <w:uiPriority w:val="11"/>
    <w:qFormat/>
    <w:rsid w:val="000A1987"/>
    <w:pPr>
      <w:spacing w:after="0"/>
      <w:ind w:firstLine="0"/>
      <w:contextualSpacing w:val="0"/>
      <w:jc w:val="center"/>
    </w:pPr>
    <w:rPr>
      <w:rFonts w:eastAsia="Calibri" w:cs="Times New Roman"/>
      <w:lang w:eastAsia="en-US"/>
    </w:rPr>
  </w:style>
  <w:style w:type="character" w:customStyle="1" w:styleId="SubtitleChar">
    <w:name w:val="Subtitle Char"/>
    <w:aliases w:val="table text Char"/>
    <w:basedOn w:val="DefaultParagraphFont"/>
    <w:link w:val="Subtitle"/>
    <w:uiPriority w:val="11"/>
    <w:rsid w:val="000A1987"/>
    <w:rPr>
      <w:rFonts w:ascii="Times New Roman" w:eastAsia="Calibri" w:hAnsi="Times New Roman" w:cs="Times New Roman"/>
      <w:lang w:eastAsia="en-US"/>
    </w:rPr>
  </w:style>
  <w:style w:type="numbering" w:customStyle="1" w:styleId="Style1">
    <w:name w:val="Style1"/>
    <w:uiPriority w:val="99"/>
    <w:rsid w:val="000A1987"/>
    <w:pPr>
      <w:numPr>
        <w:numId w:val="22"/>
      </w:numPr>
    </w:pPr>
  </w:style>
  <w:style w:type="character" w:styleId="SubtleEmphasis">
    <w:name w:val="Subtle Emphasis"/>
    <w:aliases w:val="a)"/>
    <w:uiPriority w:val="19"/>
    <w:qFormat/>
    <w:rsid w:val="000A1987"/>
  </w:style>
  <w:style w:type="character" w:customStyle="1" w:styleId="Heading6Char">
    <w:name w:val="Heading 6 Char"/>
    <w:basedOn w:val="DefaultParagraphFont"/>
    <w:link w:val="Heading6"/>
    <w:uiPriority w:val="9"/>
    <w:rsid w:val="00452FE4"/>
    <w:rPr>
      <w:rFonts w:ascii="Times New Roman" w:eastAsiaTheme="minorHAnsi" w:hAnsi="Times New Roman"/>
      <w:lang w:eastAsia="en-US"/>
    </w:rPr>
  </w:style>
  <w:style w:type="paragraph" w:styleId="Quote">
    <w:name w:val="Quote"/>
    <w:aliases w:val="equation"/>
    <w:basedOn w:val="Normal"/>
    <w:next w:val="Normal"/>
    <w:link w:val="QuoteChar"/>
    <w:uiPriority w:val="29"/>
    <w:qFormat/>
    <w:rsid w:val="002773D5"/>
  </w:style>
  <w:style w:type="character" w:customStyle="1" w:styleId="QuoteChar">
    <w:name w:val="Quote Char"/>
    <w:aliases w:val="equation Char"/>
    <w:basedOn w:val="DefaultParagraphFont"/>
    <w:link w:val="Quote"/>
    <w:uiPriority w:val="29"/>
    <w:rsid w:val="002773D5"/>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8532853">
      <w:bodyDiv w:val="1"/>
      <w:marLeft w:val="0"/>
      <w:marRight w:val="0"/>
      <w:marTop w:val="0"/>
      <w:marBottom w:val="0"/>
      <w:divBdr>
        <w:top w:val="none" w:sz="0" w:space="0" w:color="auto"/>
        <w:left w:val="none" w:sz="0" w:space="0" w:color="auto"/>
        <w:bottom w:val="none" w:sz="0" w:space="0" w:color="auto"/>
        <w:right w:val="none" w:sz="0" w:space="0" w:color="auto"/>
      </w:divBdr>
    </w:div>
    <w:div w:id="639726038">
      <w:bodyDiv w:val="1"/>
      <w:marLeft w:val="0"/>
      <w:marRight w:val="0"/>
      <w:marTop w:val="0"/>
      <w:marBottom w:val="0"/>
      <w:divBdr>
        <w:top w:val="none" w:sz="0" w:space="0" w:color="auto"/>
        <w:left w:val="none" w:sz="0" w:space="0" w:color="auto"/>
        <w:bottom w:val="none" w:sz="0" w:space="0" w:color="auto"/>
        <w:right w:val="none" w:sz="0" w:space="0" w:color="auto"/>
      </w:divBdr>
    </w:div>
    <w:div w:id="920214487">
      <w:bodyDiv w:val="1"/>
      <w:marLeft w:val="0"/>
      <w:marRight w:val="0"/>
      <w:marTop w:val="0"/>
      <w:marBottom w:val="0"/>
      <w:divBdr>
        <w:top w:val="none" w:sz="0" w:space="0" w:color="auto"/>
        <w:left w:val="none" w:sz="0" w:space="0" w:color="auto"/>
        <w:bottom w:val="none" w:sz="0" w:space="0" w:color="auto"/>
        <w:right w:val="none" w:sz="0" w:space="0" w:color="auto"/>
      </w:divBdr>
    </w:div>
    <w:div w:id="1147283644">
      <w:bodyDiv w:val="1"/>
      <w:marLeft w:val="0"/>
      <w:marRight w:val="0"/>
      <w:marTop w:val="0"/>
      <w:marBottom w:val="0"/>
      <w:divBdr>
        <w:top w:val="none" w:sz="0" w:space="0" w:color="auto"/>
        <w:left w:val="none" w:sz="0" w:space="0" w:color="auto"/>
        <w:bottom w:val="none" w:sz="0" w:space="0" w:color="auto"/>
        <w:right w:val="none" w:sz="0" w:space="0" w:color="auto"/>
      </w:divBdr>
    </w:div>
    <w:div w:id="1294215546">
      <w:bodyDiv w:val="1"/>
      <w:marLeft w:val="0"/>
      <w:marRight w:val="0"/>
      <w:marTop w:val="0"/>
      <w:marBottom w:val="0"/>
      <w:divBdr>
        <w:top w:val="none" w:sz="0" w:space="0" w:color="auto"/>
        <w:left w:val="none" w:sz="0" w:space="0" w:color="auto"/>
        <w:bottom w:val="none" w:sz="0" w:space="0" w:color="auto"/>
        <w:right w:val="none" w:sz="0" w:space="0" w:color="auto"/>
      </w:divBdr>
    </w:div>
    <w:div w:id="1371495257">
      <w:bodyDiv w:val="1"/>
      <w:marLeft w:val="0"/>
      <w:marRight w:val="0"/>
      <w:marTop w:val="0"/>
      <w:marBottom w:val="0"/>
      <w:divBdr>
        <w:top w:val="none" w:sz="0" w:space="0" w:color="auto"/>
        <w:left w:val="none" w:sz="0" w:space="0" w:color="auto"/>
        <w:bottom w:val="none" w:sz="0" w:space="0" w:color="auto"/>
        <w:right w:val="none" w:sz="0" w:space="0" w:color="auto"/>
      </w:divBdr>
    </w:div>
    <w:div w:id="1530098478">
      <w:bodyDiv w:val="1"/>
      <w:marLeft w:val="0"/>
      <w:marRight w:val="0"/>
      <w:marTop w:val="0"/>
      <w:marBottom w:val="0"/>
      <w:divBdr>
        <w:top w:val="none" w:sz="0" w:space="0" w:color="auto"/>
        <w:left w:val="none" w:sz="0" w:space="0" w:color="auto"/>
        <w:bottom w:val="none" w:sz="0" w:space="0" w:color="auto"/>
        <w:right w:val="none" w:sz="0" w:space="0" w:color="auto"/>
      </w:divBdr>
    </w:div>
    <w:div w:id="1834107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tif"/><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1.png"/><Relationship Id="rId16" Type="http://schemas.openxmlformats.org/officeDocument/2006/relationships/image" Target="media/image7.png"/><Relationship Id="rId107" Type="http://schemas.openxmlformats.org/officeDocument/2006/relationships/image" Target="media/image96.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3.png"/><Relationship Id="rId98" Type="http://schemas.openxmlformats.org/officeDocument/2006/relationships/hyperlink" Target="https://www.dropbox.com/s/o705eqkgv93x8wk/mass%20of%20glass%20collected%20D2.xlsx?dl=0" TargetMode="External"/><Relationship Id="rId121" Type="http://schemas.openxmlformats.org/officeDocument/2006/relationships/image" Target="media/image110.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6.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0" Type="http://schemas.openxmlformats.org/officeDocument/2006/relationships/hyperlink" Target="http://task49.iea-shc.org/publications" TargetMode="External"/><Relationship Id="rId31" Type="http://schemas.openxmlformats.org/officeDocument/2006/relationships/image" Target="media/image22.png"/><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4.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www.dropbox.com/sh/gkbq3xdzmcqn77w/AAAXoqhlqtl7v5hiSShn7L5wa?dl=0" TargetMode="External"/><Relationship Id="rId4" Type="http://schemas.openxmlformats.org/officeDocument/2006/relationships/settings" Target="settings.xml"/><Relationship Id="rId9" Type="http://schemas.openxmlformats.org/officeDocument/2006/relationships/hyperlink" Target="http://dx.doi.org/10.1016/j.solener.2014.08.007"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7.pn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www.dropbox.com/s/o8nuxeikgtsbrnz/mass%20glass%20collected%20D1.xlsx?dl=0"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9.png"/><Relationship Id="rId115" Type="http://schemas.openxmlformats.org/officeDocument/2006/relationships/image" Target="media/image104.png"/></Relationships>
</file>

<file path=word/_rels/footnotes.xml.rels><?xml version="1.0" encoding="UTF-8" standalone="yes"?>
<Relationships xmlns="http://schemas.openxmlformats.org/package/2006/relationships"><Relationship Id="rId1" Type="http://schemas.openxmlformats.org/officeDocument/2006/relationships/hyperlink" Target="http://solargi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E9E6B-6A55-461C-8100-71300DF92D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150</Pages>
  <Words>103442</Words>
  <Characters>589625</Characters>
  <Application>Microsoft Office Word</Application>
  <DocSecurity>0</DocSecurity>
  <Lines>4913</Lines>
  <Paragraphs>1383</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691684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Arp10sm</dc:creator>
  <cp:keywords/>
  <dc:description/>
  <cp:lastModifiedBy>Qasid</cp:lastModifiedBy>
  <cp:revision>4</cp:revision>
  <cp:lastPrinted>2016-07-26T07:09:00Z</cp:lastPrinted>
  <dcterms:created xsi:type="dcterms:W3CDTF">2017-03-18T14:03:00Z</dcterms:created>
  <dcterms:modified xsi:type="dcterms:W3CDTF">2017-03-18T15:48:00Z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q.ahmad@sheffield.ac.uk@www.mendeley.com</vt:lpwstr>
  </property>
  <property fmtid="{D5CDD505-2E9C-101B-9397-08002B2CF9AE}" pid="4" name="Mendeley Citation Style_1">
    <vt:lpwstr>http://csl.mendeley.com/styles/27854821/harvard1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http://csl.mendeley.com/styles/27854821/harvard1</vt:lpwstr>
  </property>
  <property fmtid="{D5CDD505-2E9C-101B-9397-08002B2CF9AE}" pid="16" name="Mendeley Recent Style Name 5_1">
    <vt:lpwstr>Harvard Reference format 1 (author-date) - Qasid Ahmad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